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1"/>
        <w:ind w:left="918"/>
      </w:pPr>
      <w:r>
        <w:rPr/>
        <w:t>La política de Ordenamiento Territorial en México y el desarrollo de guías metodológicas</w:t>
      </w:r>
    </w:p>
    <w:p>
      <w:pPr>
        <w:pStyle w:val="BodyText"/>
        <w:rPr>
          <w:b/>
          <w:sz w:val="20"/>
        </w:rPr>
      </w:pPr>
    </w:p>
    <w:p>
      <w:pPr>
        <w:pStyle w:val="BodyText"/>
        <w:rPr>
          <w:b/>
          <w:sz w:val="20"/>
        </w:rPr>
      </w:pPr>
    </w:p>
    <w:p>
      <w:pPr>
        <w:pStyle w:val="BodyText"/>
        <w:spacing w:before="3"/>
        <w:rPr>
          <w:b/>
          <w:sz w:val="22"/>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561"/>
        <w:gridCol w:w="5682"/>
      </w:tblGrid>
      <w:tr>
        <w:trPr>
          <w:trHeight w:val="12000" w:hRule="exact"/>
        </w:trPr>
        <w:tc>
          <w:tcPr>
            <w:tcW w:w="3561" w:type="dxa"/>
          </w:tcPr>
          <w:p>
            <w:pPr>
              <w:pStyle w:val="TableParagraph"/>
              <w:numPr>
                <w:ilvl w:val="0"/>
                <w:numId w:val="1"/>
              </w:numPr>
              <w:tabs>
                <w:tab w:pos="874" w:val="left" w:leader="none"/>
                <w:tab w:pos="875" w:val="left" w:leader="none"/>
                <w:tab w:pos="2586" w:val="left" w:leader="none"/>
              </w:tabs>
              <w:spacing w:line="184" w:lineRule="exact" w:before="0" w:after="0"/>
              <w:ind w:left="874" w:right="0" w:hanging="674"/>
              <w:jc w:val="both"/>
              <w:rPr>
                <w:rFonts w:ascii="Arial" w:hAnsi="Arial"/>
                <w:b/>
                <w:sz w:val="18"/>
              </w:rPr>
            </w:pPr>
            <w:r>
              <w:rPr>
                <w:rFonts w:ascii="Arial" w:hAnsi="Arial"/>
                <w:b/>
                <w:sz w:val="18"/>
              </w:rPr>
              <w:t>Introducción.</w:t>
              <w:tab/>
              <w:t>Problemas</w:t>
            </w:r>
          </w:p>
          <w:p>
            <w:pPr>
              <w:pStyle w:val="TableParagraph"/>
              <w:spacing w:line="204" w:lineRule="exact" w:before="7"/>
              <w:ind w:left="200" w:right="47"/>
              <w:rPr>
                <w:rFonts w:ascii="Arial" w:hAnsi="Arial"/>
                <w:b/>
                <w:sz w:val="18"/>
              </w:rPr>
            </w:pPr>
            <w:r>
              <w:rPr>
                <w:rFonts w:ascii="Arial" w:hAnsi="Arial"/>
                <w:b/>
                <w:sz w:val="18"/>
              </w:rPr>
              <w:t>territoriales, globalización y ordenamiento.</w:t>
            </w:r>
          </w:p>
          <w:p>
            <w:pPr>
              <w:pStyle w:val="TableParagraph"/>
              <w:spacing w:before="8"/>
              <w:jc w:val="left"/>
              <w:rPr>
                <w:rFonts w:ascii="Arial"/>
                <w:b/>
                <w:sz w:val="24"/>
              </w:rPr>
            </w:pPr>
          </w:p>
          <w:p>
            <w:pPr>
              <w:pStyle w:val="TableParagraph"/>
              <w:ind w:left="200" w:right="48"/>
              <w:rPr>
                <w:rFonts w:ascii="Arial" w:hAnsi="Arial"/>
                <w:sz w:val="18"/>
              </w:rPr>
            </w:pPr>
            <w:r>
              <w:rPr>
                <w:rFonts w:ascii="Arial" w:hAnsi="Arial"/>
                <w:sz w:val="18"/>
              </w:rPr>
              <w:t>El presente artículo tiene como objetivo fundamentar la necesidad de que las políticas de ordenamiento territorial se conviertan en el eje de la planificación integral del desarrollo, para lo cual se analizan los conceptos de ordenamiento territorial y sistema territorial, y se presenta una síntesis de lo que ha sido</w:t>
            </w:r>
            <w:r>
              <w:rPr>
                <w:rFonts w:ascii="Arial" w:hAnsi="Arial"/>
                <w:spacing w:val="-28"/>
                <w:sz w:val="18"/>
              </w:rPr>
              <w:t> </w:t>
            </w:r>
            <w:r>
              <w:rPr>
                <w:rFonts w:ascii="Arial" w:hAnsi="Arial"/>
                <w:sz w:val="18"/>
              </w:rPr>
              <w:t>la política de ordenamiento territorial en México en los últimos decenios y los avances logrados en el desarrollo de metodologías para realizar estudios territoriales</w:t>
            </w:r>
            <w:r>
              <w:rPr>
                <w:rFonts w:ascii="Arial" w:hAnsi="Arial"/>
                <w:spacing w:val="-12"/>
                <w:sz w:val="18"/>
              </w:rPr>
              <w:t> </w:t>
            </w:r>
            <w:r>
              <w:rPr>
                <w:rFonts w:ascii="Arial" w:hAnsi="Arial"/>
                <w:sz w:val="18"/>
              </w:rPr>
              <w:t>con</w:t>
            </w:r>
            <w:r>
              <w:rPr>
                <w:rFonts w:ascii="Arial" w:hAnsi="Arial"/>
                <w:spacing w:val="-12"/>
                <w:sz w:val="18"/>
              </w:rPr>
              <w:t> </w:t>
            </w:r>
            <w:r>
              <w:rPr>
                <w:rFonts w:ascii="Arial" w:hAnsi="Arial"/>
                <w:sz w:val="18"/>
              </w:rPr>
              <w:t>fines</w:t>
            </w:r>
            <w:r>
              <w:rPr>
                <w:rFonts w:ascii="Arial" w:hAnsi="Arial"/>
                <w:spacing w:val="-12"/>
                <w:sz w:val="18"/>
              </w:rPr>
              <w:t> </w:t>
            </w:r>
            <w:r>
              <w:rPr>
                <w:rFonts w:ascii="Arial" w:hAnsi="Arial"/>
                <w:sz w:val="18"/>
              </w:rPr>
              <w:t>de</w:t>
            </w:r>
            <w:r>
              <w:rPr>
                <w:rFonts w:ascii="Arial" w:hAnsi="Arial"/>
                <w:spacing w:val="-15"/>
                <w:sz w:val="18"/>
              </w:rPr>
              <w:t> </w:t>
            </w:r>
            <w:r>
              <w:rPr>
                <w:rFonts w:ascii="Arial" w:hAnsi="Arial"/>
                <w:sz w:val="18"/>
              </w:rPr>
              <w:t>su</w:t>
            </w:r>
            <w:r>
              <w:rPr>
                <w:rFonts w:ascii="Arial" w:hAnsi="Arial"/>
                <w:spacing w:val="-12"/>
                <w:sz w:val="18"/>
              </w:rPr>
              <w:t> </w:t>
            </w:r>
            <w:r>
              <w:rPr>
                <w:rFonts w:ascii="Arial" w:hAnsi="Arial"/>
                <w:sz w:val="18"/>
              </w:rPr>
              <w:t>ordenamiento, en los años</w:t>
            </w:r>
            <w:r>
              <w:rPr>
                <w:rFonts w:ascii="Arial" w:hAnsi="Arial"/>
                <w:spacing w:val="-8"/>
                <w:sz w:val="18"/>
              </w:rPr>
              <w:t> </w:t>
            </w:r>
            <w:r>
              <w:rPr>
                <w:rFonts w:ascii="Arial" w:hAnsi="Arial"/>
                <w:sz w:val="18"/>
              </w:rPr>
              <w:t>recientes.</w:t>
            </w:r>
          </w:p>
          <w:p>
            <w:pPr>
              <w:pStyle w:val="TableParagraph"/>
              <w:spacing w:before="6"/>
              <w:jc w:val="left"/>
              <w:rPr>
                <w:rFonts w:ascii="Arial"/>
                <w:b/>
                <w:sz w:val="24"/>
              </w:rPr>
            </w:pPr>
          </w:p>
          <w:p>
            <w:pPr>
              <w:pStyle w:val="TableParagraph"/>
              <w:tabs>
                <w:tab w:pos="1614" w:val="left" w:leader="none"/>
                <w:tab w:pos="3406" w:val="left" w:leader="none"/>
              </w:tabs>
              <w:ind w:left="200" w:right="49"/>
              <w:rPr>
                <w:rFonts w:ascii="Arial" w:hAnsi="Arial"/>
                <w:sz w:val="18"/>
              </w:rPr>
            </w:pPr>
            <w:r>
              <w:rPr>
                <w:rFonts w:ascii="Arial" w:hAnsi="Arial"/>
                <w:sz w:val="18"/>
              </w:rPr>
              <w:t>En el devenir cotidiano, es muy común entrar en contacto con situaciones como las siguientes, en las cuales el común denominador es la ocupación o la utilización</w:t>
              <w:tab/>
              <w:t>“desordenada”</w:t>
              <w:tab/>
              <w:t>o desequilibrada del territorio con los efectos negativos que de ello se</w:t>
            </w:r>
            <w:r>
              <w:rPr>
                <w:rFonts w:ascii="Arial" w:hAnsi="Arial"/>
                <w:spacing w:val="-18"/>
                <w:sz w:val="18"/>
              </w:rPr>
              <w:t> </w:t>
            </w:r>
            <w:r>
              <w:rPr>
                <w:rFonts w:ascii="Arial" w:hAnsi="Arial"/>
                <w:sz w:val="18"/>
              </w:rPr>
              <w:t>derivan:</w:t>
            </w:r>
          </w:p>
          <w:p>
            <w:pPr>
              <w:pStyle w:val="TableParagraph"/>
              <w:spacing w:before="6"/>
              <w:jc w:val="left"/>
              <w:rPr>
                <w:rFonts w:ascii="Arial"/>
                <w:b/>
                <w:sz w:val="24"/>
              </w:rPr>
            </w:pPr>
          </w:p>
          <w:p>
            <w:pPr>
              <w:pStyle w:val="TableParagraph"/>
              <w:numPr>
                <w:ilvl w:val="1"/>
                <w:numId w:val="1"/>
              </w:numPr>
              <w:tabs>
                <w:tab w:pos="1357" w:val="left" w:leader="none"/>
              </w:tabs>
              <w:spacing w:line="240" w:lineRule="auto" w:before="0" w:after="0"/>
              <w:ind w:left="919" w:right="51" w:firstLine="0"/>
              <w:jc w:val="both"/>
              <w:rPr>
                <w:rFonts w:ascii="Arial" w:hAnsi="Arial"/>
                <w:sz w:val="18"/>
              </w:rPr>
            </w:pPr>
            <w:r>
              <w:rPr>
                <w:rFonts w:ascii="Arial" w:hAnsi="Arial"/>
                <w:sz w:val="18"/>
              </w:rPr>
              <w:t>la sobreexplotación o utilización de los recursos naturales renovables y no renovables</w:t>
            </w:r>
            <w:r>
              <w:rPr>
                <w:rFonts w:ascii="Arial" w:hAnsi="Arial"/>
                <w:spacing w:val="-15"/>
                <w:sz w:val="18"/>
              </w:rPr>
              <w:t> </w:t>
            </w:r>
            <w:r>
              <w:rPr>
                <w:rFonts w:ascii="Arial" w:hAnsi="Arial"/>
                <w:sz w:val="18"/>
              </w:rPr>
              <w:t>con</w:t>
            </w:r>
            <w:r>
              <w:rPr>
                <w:rFonts w:ascii="Arial" w:hAnsi="Arial"/>
                <w:spacing w:val="-16"/>
                <w:sz w:val="18"/>
              </w:rPr>
              <w:t> </w:t>
            </w:r>
            <w:r>
              <w:rPr>
                <w:rFonts w:ascii="Arial" w:hAnsi="Arial"/>
                <w:sz w:val="18"/>
              </w:rPr>
              <w:t>criterios</w:t>
            </w:r>
            <w:r>
              <w:rPr>
                <w:rFonts w:ascii="Arial" w:hAnsi="Arial"/>
                <w:spacing w:val="-15"/>
                <w:sz w:val="18"/>
              </w:rPr>
              <w:t> </w:t>
            </w:r>
            <w:r>
              <w:rPr>
                <w:rFonts w:ascii="Arial" w:hAnsi="Arial"/>
                <w:sz w:val="18"/>
              </w:rPr>
              <w:t>alejados de la búsqueda de un desarrollo sostenible;</w:t>
            </w:r>
          </w:p>
          <w:p>
            <w:pPr>
              <w:pStyle w:val="TableParagraph"/>
              <w:numPr>
                <w:ilvl w:val="1"/>
                <w:numId w:val="1"/>
              </w:numPr>
              <w:tabs>
                <w:tab w:pos="1138" w:val="left" w:leader="none"/>
              </w:tabs>
              <w:spacing w:line="240" w:lineRule="auto" w:before="0" w:after="0"/>
              <w:ind w:left="919" w:right="53" w:firstLine="0"/>
              <w:jc w:val="both"/>
              <w:rPr>
                <w:rFonts w:ascii="Arial" w:hAnsi="Arial"/>
                <w:sz w:val="18"/>
              </w:rPr>
            </w:pPr>
            <w:r>
              <w:rPr>
                <w:rFonts w:ascii="Arial" w:hAnsi="Arial"/>
                <w:sz w:val="18"/>
              </w:rPr>
              <w:t>el uso y aprovechamiento del territorio de manera no acorde con su aptitud o vocación natural;</w:t>
            </w:r>
          </w:p>
          <w:p>
            <w:pPr>
              <w:pStyle w:val="TableParagraph"/>
              <w:numPr>
                <w:ilvl w:val="1"/>
                <w:numId w:val="1"/>
              </w:numPr>
              <w:tabs>
                <w:tab w:pos="1150" w:val="left" w:leader="none"/>
              </w:tabs>
              <w:spacing w:line="240" w:lineRule="auto" w:before="0" w:after="0"/>
              <w:ind w:left="919" w:right="50" w:firstLine="0"/>
              <w:jc w:val="both"/>
              <w:rPr>
                <w:rFonts w:ascii="Arial" w:hAnsi="Arial"/>
                <w:sz w:val="18"/>
              </w:rPr>
            </w:pPr>
            <w:r>
              <w:rPr>
                <w:rFonts w:ascii="Arial" w:hAnsi="Arial"/>
                <w:sz w:val="18"/>
              </w:rPr>
              <w:t>la ocupación por parte de la población y sus actividades económicas, de áreas susceptibles a peligros y desastres naturales y antrópicos;</w:t>
            </w:r>
          </w:p>
          <w:p>
            <w:pPr>
              <w:pStyle w:val="TableParagraph"/>
              <w:numPr>
                <w:ilvl w:val="1"/>
                <w:numId w:val="1"/>
              </w:numPr>
              <w:tabs>
                <w:tab w:pos="1210" w:val="left" w:leader="none"/>
                <w:tab w:pos="2878" w:val="left" w:leader="none"/>
              </w:tabs>
              <w:spacing w:line="240" w:lineRule="auto" w:before="2" w:after="0"/>
              <w:ind w:left="919" w:right="48" w:firstLine="0"/>
              <w:jc w:val="both"/>
              <w:rPr>
                <w:rFonts w:ascii="Arial" w:hAnsi="Arial"/>
                <w:sz w:val="18"/>
              </w:rPr>
            </w:pPr>
            <w:r>
              <w:rPr>
                <w:rFonts w:ascii="Arial" w:hAnsi="Arial"/>
                <w:sz w:val="18"/>
              </w:rPr>
              <w:t>la deficiente o insuficiente protección del patrimonio</w:t>
            </w:r>
            <w:r>
              <w:rPr>
                <w:rFonts w:ascii="Arial" w:hAnsi="Arial"/>
                <w:spacing w:val="-36"/>
                <w:sz w:val="18"/>
              </w:rPr>
              <w:t> </w:t>
            </w:r>
            <w:r>
              <w:rPr>
                <w:rFonts w:ascii="Arial" w:hAnsi="Arial"/>
                <w:sz w:val="18"/>
              </w:rPr>
              <w:t>natural y</w:t>
              <w:tab/>
              <w:t>cultural;</w:t>
            </w:r>
          </w:p>
          <w:p>
            <w:pPr>
              <w:pStyle w:val="TableParagraph"/>
              <w:numPr>
                <w:ilvl w:val="1"/>
                <w:numId w:val="1"/>
              </w:numPr>
              <w:tabs>
                <w:tab w:pos="1235" w:val="left" w:leader="none"/>
              </w:tabs>
              <w:spacing w:line="240" w:lineRule="auto" w:before="0" w:after="0"/>
              <w:ind w:left="919" w:right="51" w:firstLine="0"/>
              <w:jc w:val="both"/>
              <w:rPr>
                <w:rFonts w:ascii="Arial" w:hAnsi="Arial"/>
                <w:sz w:val="18"/>
              </w:rPr>
            </w:pPr>
            <w:r>
              <w:rPr>
                <w:rFonts w:ascii="Arial" w:hAnsi="Arial"/>
                <w:sz w:val="18"/>
              </w:rPr>
              <w:t>la afectación del entorno urbano y rural por diversos problemas ambientales cuya magnitud trasciende el ámbito nacional y ha llegado a niveles que involucran a todo el</w:t>
            </w:r>
            <w:r>
              <w:rPr>
                <w:rFonts w:ascii="Arial" w:hAnsi="Arial"/>
                <w:spacing w:val="-28"/>
                <w:sz w:val="18"/>
              </w:rPr>
              <w:t> </w:t>
            </w:r>
            <w:r>
              <w:rPr>
                <w:rFonts w:ascii="Arial" w:hAnsi="Arial"/>
                <w:sz w:val="18"/>
              </w:rPr>
              <w:t>planeta;</w:t>
            </w:r>
          </w:p>
          <w:p>
            <w:pPr>
              <w:pStyle w:val="TableParagraph"/>
              <w:numPr>
                <w:ilvl w:val="1"/>
                <w:numId w:val="1"/>
              </w:numPr>
              <w:tabs>
                <w:tab w:pos="1098" w:val="left" w:leader="none"/>
              </w:tabs>
              <w:spacing w:line="240" w:lineRule="auto" w:before="2" w:after="0"/>
              <w:ind w:left="919" w:right="52" w:firstLine="0"/>
              <w:jc w:val="both"/>
              <w:rPr>
                <w:rFonts w:ascii="Arial" w:hAnsi="Arial"/>
                <w:sz w:val="18"/>
              </w:rPr>
            </w:pPr>
            <w:r>
              <w:rPr>
                <w:rFonts w:ascii="Arial" w:hAnsi="Arial"/>
                <w:sz w:val="18"/>
              </w:rPr>
              <w:t>los procesos migratorios y de gran concentración urbana a ritmos que superan la</w:t>
            </w:r>
            <w:r>
              <w:rPr>
                <w:rFonts w:ascii="Arial" w:hAnsi="Arial"/>
                <w:spacing w:val="-24"/>
                <w:sz w:val="18"/>
              </w:rPr>
              <w:t> </w:t>
            </w:r>
            <w:r>
              <w:rPr>
                <w:rFonts w:ascii="Arial" w:hAnsi="Arial"/>
                <w:sz w:val="18"/>
              </w:rPr>
              <w:t>capacidad de los gobiernos locales para dotar     a     la     población  </w:t>
            </w:r>
            <w:r>
              <w:rPr>
                <w:rFonts w:ascii="Arial" w:hAnsi="Arial"/>
                <w:spacing w:val="16"/>
                <w:sz w:val="18"/>
              </w:rPr>
              <w:t> </w:t>
            </w:r>
            <w:r>
              <w:rPr>
                <w:rFonts w:ascii="Arial" w:hAnsi="Arial"/>
                <w:sz w:val="18"/>
              </w:rPr>
              <w:t>del</w:t>
            </w:r>
          </w:p>
        </w:tc>
        <w:tc>
          <w:tcPr>
            <w:tcW w:w="5682" w:type="dxa"/>
          </w:tcPr>
          <w:p>
            <w:pPr>
              <w:pStyle w:val="TableParagraph"/>
              <w:spacing w:line="185" w:lineRule="exact"/>
              <w:ind w:left="49"/>
              <w:rPr>
                <w:sz w:val="18"/>
              </w:rPr>
            </w:pPr>
            <w:r>
              <w:rPr>
                <w:sz w:val="18"/>
              </w:rPr>
              <w:t>El Plan Nacional de Desarrollo Urbano y Ordenación del Territorio   2001-</w:t>
            </w:r>
          </w:p>
          <w:p>
            <w:pPr>
              <w:pStyle w:val="TableParagraph"/>
              <w:spacing w:before="2"/>
              <w:ind w:left="49" w:right="204"/>
              <w:rPr>
                <w:sz w:val="18"/>
              </w:rPr>
            </w:pPr>
            <w:r>
              <w:rPr>
                <w:sz w:val="18"/>
              </w:rPr>
              <w:t>2006 presentado en 2001 contemplaba al ordenamiento territorial como el instrumento de la planificación del desarrollo nacional, en tanto que, paralelamente, Presidencia de la República ponía en marcha en ese mismo año una política territorial con enfoque regional mediante la creación de cinco fideicomisos mesorregionales para la construcción de infraestructura y equipamiento, y para el desarrollo de proyectos de inversión.</w:t>
            </w:r>
          </w:p>
          <w:p>
            <w:pPr>
              <w:pStyle w:val="TableParagraph"/>
              <w:spacing w:before="6"/>
              <w:jc w:val="left"/>
              <w:rPr>
                <w:rFonts w:ascii="Arial"/>
                <w:b/>
                <w:sz w:val="24"/>
              </w:rPr>
            </w:pPr>
          </w:p>
          <w:p>
            <w:pPr>
              <w:pStyle w:val="TableParagraph"/>
              <w:ind w:left="49" w:right="201"/>
              <w:rPr>
                <w:sz w:val="18"/>
              </w:rPr>
            </w:pPr>
            <w:r>
              <w:rPr>
                <w:sz w:val="18"/>
              </w:rPr>
              <w:t>En esa coyuntura, el Instituto de Geografía de la UNAM es invitado por la Dirección General de Ordenación del Territorio de la SEDESOL como entidad experta para elaborar los términos de referencia y la Guía Metodológica para el desarrollo de las fases de Diagnóstico Integrado, Prospectiva, y Modelo de Uso y Ocupación del Territorio del PEOT, cuyo diseño tuvo como objetivo promover el uso de bases de datos nacionales, actualizadas, tanto cartográficas como estadísticas, con el fin de que los productos obtenidos durante el desarrollo de los PEOT pudieran integrarse y mantuvieran una continuidad espacial a nivel nacional, permitiendo la comparación de resultados entre las distintas entidades federativas.</w:t>
            </w:r>
          </w:p>
          <w:p>
            <w:pPr>
              <w:pStyle w:val="TableParagraph"/>
              <w:spacing w:before="6"/>
              <w:jc w:val="left"/>
              <w:rPr>
                <w:rFonts w:ascii="Arial"/>
                <w:b/>
                <w:sz w:val="24"/>
              </w:rPr>
            </w:pPr>
          </w:p>
          <w:p>
            <w:pPr>
              <w:pStyle w:val="TableParagraph"/>
              <w:ind w:left="49" w:right="200"/>
              <w:rPr>
                <w:sz w:val="18"/>
              </w:rPr>
            </w:pPr>
            <w:r>
              <w:rPr>
                <w:sz w:val="18"/>
              </w:rPr>
              <w:t>En</w:t>
            </w:r>
            <w:r>
              <w:rPr>
                <w:spacing w:val="-9"/>
                <w:sz w:val="18"/>
              </w:rPr>
              <w:t> </w:t>
            </w:r>
            <w:r>
              <w:rPr>
                <w:sz w:val="18"/>
              </w:rPr>
              <w:t>2002</w:t>
            </w:r>
            <w:r>
              <w:rPr>
                <w:spacing w:val="-9"/>
                <w:sz w:val="18"/>
              </w:rPr>
              <w:t> </w:t>
            </w:r>
            <w:r>
              <w:rPr>
                <w:sz w:val="18"/>
              </w:rPr>
              <w:t>y</w:t>
            </w:r>
            <w:r>
              <w:rPr>
                <w:spacing w:val="-14"/>
                <w:sz w:val="18"/>
              </w:rPr>
              <w:t> </w:t>
            </w:r>
            <w:r>
              <w:rPr>
                <w:sz w:val="18"/>
              </w:rPr>
              <w:t>2003</w:t>
            </w:r>
            <w:r>
              <w:rPr>
                <w:spacing w:val="-12"/>
                <w:sz w:val="18"/>
              </w:rPr>
              <w:t> </w:t>
            </w:r>
            <w:r>
              <w:rPr>
                <w:sz w:val="18"/>
              </w:rPr>
              <w:t>la</w:t>
            </w:r>
            <w:r>
              <w:rPr>
                <w:spacing w:val="-11"/>
                <w:sz w:val="18"/>
              </w:rPr>
              <w:t> </w:t>
            </w:r>
            <w:r>
              <w:rPr>
                <w:sz w:val="18"/>
              </w:rPr>
              <w:t>SEDESOL</w:t>
            </w:r>
            <w:r>
              <w:rPr>
                <w:spacing w:val="-13"/>
                <w:sz w:val="18"/>
              </w:rPr>
              <w:t> </w:t>
            </w:r>
            <w:r>
              <w:rPr>
                <w:sz w:val="18"/>
              </w:rPr>
              <w:t>decidió</w:t>
            </w:r>
            <w:r>
              <w:rPr>
                <w:spacing w:val="-9"/>
                <w:sz w:val="18"/>
              </w:rPr>
              <w:t> </w:t>
            </w:r>
            <w:r>
              <w:rPr>
                <w:sz w:val="18"/>
              </w:rPr>
              <w:t>la</w:t>
            </w:r>
            <w:r>
              <w:rPr>
                <w:spacing w:val="-13"/>
                <w:sz w:val="18"/>
              </w:rPr>
              <w:t> </w:t>
            </w:r>
            <w:r>
              <w:rPr>
                <w:sz w:val="18"/>
              </w:rPr>
              <w:t>pertinencia</w:t>
            </w:r>
            <w:r>
              <w:rPr>
                <w:spacing w:val="-11"/>
                <w:sz w:val="18"/>
              </w:rPr>
              <w:t> </w:t>
            </w:r>
            <w:r>
              <w:rPr>
                <w:sz w:val="18"/>
              </w:rPr>
              <w:t>de</w:t>
            </w:r>
            <w:r>
              <w:rPr>
                <w:spacing w:val="-11"/>
                <w:sz w:val="18"/>
              </w:rPr>
              <w:t> </w:t>
            </w:r>
            <w:r>
              <w:rPr>
                <w:sz w:val="18"/>
              </w:rPr>
              <w:t>elaborar</w:t>
            </w:r>
            <w:r>
              <w:rPr>
                <w:spacing w:val="-10"/>
                <w:sz w:val="18"/>
              </w:rPr>
              <w:t> </w:t>
            </w:r>
            <w:r>
              <w:rPr>
                <w:sz w:val="18"/>
              </w:rPr>
              <w:t>una</w:t>
            </w:r>
            <w:r>
              <w:rPr>
                <w:spacing w:val="-14"/>
                <w:sz w:val="18"/>
              </w:rPr>
              <w:t> </w:t>
            </w:r>
            <w:r>
              <w:rPr>
                <w:sz w:val="18"/>
              </w:rPr>
              <w:t>segunda generación de Guías Metodológicas para el desarrollo de PEOT, a partir de la</w:t>
            </w:r>
            <w:r>
              <w:rPr>
                <w:spacing w:val="-6"/>
                <w:sz w:val="18"/>
              </w:rPr>
              <w:t> </w:t>
            </w:r>
            <w:r>
              <w:rPr>
                <w:sz w:val="18"/>
              </w:rPr>
              <w:t>evaluación</w:t>
            </w:r>
            <w:r>
              <w:rPr>
                <w:spacing w:val="-5"/>
                <w:sz w:val="18"/>
              </w:rPr>
              <w:t> </w:t>
            </w:r>
            <w:r>
              <w:rPr>
                <w:sz w:val="18"/>
              </w:rPr>
              <w:t>de</w:t>
            </w:r>
            <w:r>
              <w:rPr>
                <w:spacing w:val="-6"/>
                <w:sz w:val="18"/>
              </w:rPr>
              <w:t> </w:t>
            </w:r>
            <w:r>
              <w:rPr>
                <w:sz w:val="18"/>
              </w:rPr>
              <w:t>la</w:t>
            </w:r>
            <w:r>
              <w:rPr>
                <w:spacing w:val="-6"/>
                <w:sz w:val="18"/>
              </w:rPr>
              <w:t> </w:t>
            </w:r>
            <w:r>
              <w:rPr>
                <w:sz w:val="18"/>
              </w:rPr>
              <w:t>experiencia</w:t>
            </w:r>
            <w:r>
              <w:rPr>
                <w:spacing w:val="-6"/>
                <w:sz w:val="18"/>
              </w:rPr>
              <w:t> </w:t>
            </w:r>
            <w:r>
              <w:rPr>
                <w:sz w:val="18"/>
              </w:rPr>
              <w:t>en</w:t>
            </w:r>
            <w:r>
              <w:rPr>
                <w:spacing w:val="-5"/>
                <w:sz w:val="18"/>
              </w:rPr>
              <w:t> </w:t>
            </w:r>
            <w:r>
              <w:rPr>
                <w:sz w:val="18"/>
              </w:rPr>
              <w:t>la</w:t>
            </w:r>
            <w:r>
              <w:rPr>
                <w:spacing w:val="-6"/>
                <w:sz w:val="18"/>
              </w:rPr>
              <w:t> </w:t>
            </w:r>
            <w:r>
              <w:rPr>
                <w:sz w:val="18"/>
              </w:rPr>
              <w:t>aplicación</w:t>
            </w:r>
            <w:r>
              <w:rPr>
                <w:spacing w:val="-5"/>
                <w:sz w:val="18"/>
              </w:rPr>
              <w:t> </w:t>
            </w:r>
            <w:r>
              <w:rPr>
                <w:sz w:val="18"/>
              </w:rPr>
              <w:t>de</w:t>
            </w:r>
            <w:r>
              <w:rPr>
                <w:spacing w:val="-6"/>
                <w:sz w:val="18"/>
              </w:rPr>
              <w:t> </w:t>
            </w:r>
            <w:r>
              <w:rPr>
                <w:sz w:val="18"/>
              </w:rPr>
              <w:t>las</w:t>
            </w:r>
            <w:r>
              <w:rPr>
                <w:spacing w:val="-6"/>
                <w:sz w:val="18"/>
              </w:rPr>
              <w:t> </w:t>
            </w:r>
            <w:r>
              <w:rPr>
                <w:sz w:val="18"/>
              </w:rPr>
              <w:t>primeras</w:t>
            </w:r>
            <w:r>
              <w:rPr>
                <w:spacing w:val="-6"/>
                <w:sz w:val="18"/>
              </w:rPr>
              <w:t> </w:t>
            </w:r>
            <w:r>
              <w:rPr>
                <w:sz w:val="18"/>
              </w:rPr>
              <w:t>guías</w:t>
            </w:r>
            <w:r>
              <w:rPr>
                <w:spacing w:val="-4"/>
                <w:sz w:val="18"/>
              </w:rPr>
              <w:t> </w:t>
            </w:r>
            <w:r>
              <w:rPr>
                <w:sz w:val="18"/>
              </w:rPr>
              <w:t>por</w:t>
            </w:r>
            <w:r>
              <w:rPr>
                <w:spacing w:val="-6"/>
                <w:sz w:val="18"/>
              </w:rPr>
              <w:t> </w:t>
            </w:r>
            <w:r>
              <w:rPr>
                <w:sz w:val="18"/>
              </w:rPr>
              <w:t>las entidades federativas. Para ello se llevaron a cabo talleres de discusión de los problemas a los que se habían enfrentado los consultores e instituciones académicas al aplicar las guías metodológicas durante el proceso de elaboración de los PEOT y, paralelamente, el Instituto de Geografía de la UNAM realizó una revisión técnica de los PEOT concluidos o avanzados para detectar sus alcances y limitaciones desde el punto de vista práctico (Sánchez-Salazar y Palacio-Prieto, 2004). La segunda generación de guías metodológicas, en su versión preliminar, se concluyó a mediados de</w:t>
            </w:r>
            <w:r>
              <w:rPr>
                <w:spacing w:val="-19"/>
                <w:sz w:val="18"/>
              </w:rPr>
              <w:t> </w:t>
            </w:r>
            <w:r>
              <w:rPr>
                <w:sz w:val="18"/>
              </w:rPr>
              <w:t>2003.</w:t>
            </w:r>
          </w:p>
          <w:p>
            <w:pPr>
              <w:pStyle w:val="TableParagraph"/>
              <w:spacing w:before="6"/>
              <w:jc w:val="left"/>
              <w:rPr>
                <w:rFonts w:ascii="Arial"/>
                <w:b/>
                <w:sz w:val="24"/>
              </w:rPr>
            </w:pPr>
          </w:p>
          <w:p>
            <w:pPr>
              <w:pStyle w:val="TableParagraph"/>
              <w:ind w:left="49" w:right="200"/>
              <w:rPr>
                <w:sz w:val="18"/>
              </w:rPr>
            </w:pPr>
            <w:r>
              <w:rPr>
                <w:sz w:val="18"/>
              </w:rPr>
              <w:t>Durante la segunda mitad de 2003, y tomando como base la experiencia en la elaboración y aplicación de las dos versiones anteriores de las guías metodológicas, el Instituto de Geografía de la UNAM y la SEDESOL discutieron la conveniencia de diseñar un conjunto de indicadores básicos para la caracterización y el diagnóstico del territorio y de sus componentes o subsistemas, para posteriormente incorporarlos a la versión final de la metodología</w:t>
            </w:r>
            <w:r>
              <w:rPr>
                <w:spacing w:val="-8"/>
                <w:sz w:val="18"/>
              </w:rPr>
              <w:t> </w:t>
            </w:r>
            <w:r>
              <w:rPr>
                <w:sz w:val="18"/>
              </w:rPr>
              <w:t>de</w:t>
            </w:r>
            <w:r>
              <w:rPr>
                <w:spacing w:val="-9"/>
                <w:sz w:val="18"/>
              </w:rPr>
              <w:t> </w:t>
            </w:r>
            <w:r>
              <w:rPr>
                <w:sz w:val="18"/>
              </w:rPr>
              <w:t>segunda</w:t>
            </w:r>
            <w:r>
              <w:rPr>
                <w:spacing w:val="-9"/>
                <w:sz w:val="18"/>
              </w:rPr>
              <w:t> </w:t>
            </w:r>
            <w:r>
              <w:rPr>
                <w:sz w:val="18"/>
              </w:rPr>
              <w:t>generación.</w:t>
            </w:r>
            <w:r>
              <w:rPr>
                <w:spacing w:val="-10"/>
                <w:sz w:val="18"/>
              </w:rPr>
              <w:t> </w:t>
            </w:r>
            <w:r>
              <w:rPr>
                <w:sz w:val="18"/>
              </w:rPr>
              <w:t>Para</w:t>
            </w:r>
            <w:r>
              <w:rPr>
                <w:spacing w:val="-9"/>
                <w:sz w:val="18"/>
              </w:rPr>
              <w:t> </w:t>
            </w:r>
            <w:r>
              <w:rPr>
                <w:sz w:val="18"/>
              </w:rPr>
              <w:t>ello,</w:t>
            </w:r>
            <w:r>
              <w:rPr>
                <w:spacing w:val="-8"/>
                <w:sz w:val="18"/>
              </w:rPr>
              <w:t> </w:t>
            </w:r>
            <w:r>
              <w:rPr>
                <w:sz w:val="18"/>
              </w:rPr>
              <w:t>a</w:t>
            </w:r>
            <w:r>
              <w:rPr>
                <w:spacing w:val="-9"/>
                <w:sz w:val="18"/>
              </w:rPr>
              <w:t> </w:t>
            </w:r>
            <w:r>
              <w:rPr>
                <w:sz w:val="18"/>
              </w:rPr>
              <w:t>finales</w:t>
            </w:r>
            <w:r>
              <w:rPr>
                <w:spacing w:val="-9"/>
                <w:sz w:val="18"/>
              </w:rPr>
              <w:t> </w:t>
            </w:r>
            <w:r>
              <w:rPr>
                <w:sz w:val="18"/>
              </w:rPr>
              <w:t>de</w:t>
            </w:r>
            <w:r>
              <w:rPr>
                <w:spacing w:val="-9"/>
                <w:sz w:val="18"/>
              </w:rPr>
              <w:t> </w:t>
            </w:r>
            <w:r>
              <w:rPr>
                <w:sz w:val="18"/>
              </w:rPr>
              <w:t>2003</w:t>
            </w:r>
            <w:r>
              <w:rPr>
                <w:spacing w:val="-7"/>
                <w:sz w:val="18"/>
              </w:rPr>
              <w:t> </w:t>
            </w:r>
            <w:r>
              <w:rPr>
                <w:sz w:val="18"/>
              </w:rPr>
              <w:t>se</w:t>
            </w:r>
            <w:r>
              <w:rPr>
                <w:spacing w:val="-9"/>
                <w:sz w:val="18"/>
              </w:rPr>
              <w:t> </w:t>
            </w:r>
            <w:r>
              <w:rPr>
                <w:sz w:val="18"/>
              </w:rPr>
              <w:t>organizó un taller en el que participaron diversas instituciones del sector público relacionadas con la generación de información geográfica y el diseño y aplicación de indicadores. De las propuestas de indicadores emanadas de dicho taller se derivó una memoria en formato digital y un libro sobre indicadores para la caracterización y el ordenamiento territorial, de autoría colectiva, coeditado por la SEDESOL, el INE-SEMARNAT y el Instituto de Geografía de la UNAM (Palacio-Prieto et al.,</w:t>
            </w:r>
            <w:r>
              <w:rPr>
                <w:spacing w:val="-16"/>
                <w:sz w:val="18"/>
              </w:rPr>
              <w:t> </w:t>
            </w:r>
            <w:r>
              <w:rPr>
                <w:sz w:val="18"/>
              </w:rPr>
              <w:t>2004).</w:t>
            </w:r>
          </w:p>
          <w:p>
            <w:pPr>
              <w:pStyle w:val="TableParagraph"/>
              <w:spacing w:before="6"/>
              <w:jc w:val="left"/>
              <w:rPr>
                <w:rFonts w:ascii="Arial"/>
                <w:b/>
                <w:sz w:val="24"/>
              </w:rPr>
            </w:pPr>
          </w:p>
          <w:p>
            <w:pPr>
              <w:pStyle w:val="TableParagraph"/>
              <w:ind w:left="49" w:right="202"/>
              <w:rPr>
                <w:sz w:val="18"/>
              </w:rPr>
            </w:pPr>
            <w:r>
              <w:rPr>
                <w:sz w:val="18"/>
              </w:rPr>
              <w:t>La utilización de indicadores para caracterizar y realizar diagnósticos del territorio y sus distintos componentes ofrece, entre otras ventajas, la facilidad</w:t>
            </w:r>
            <w:r>
              <w:rPr>
                <w:spacing w:val="-6"/>
                <w:sz w:val="18"/>
              </w:rPr>
              <w:t> </w:t>
            </w:r>
            <w:r>
              <w:rPr>
                <w:sz w:val="18"/>
              </w:rPr>
              <w:t>de</w:t>
            </w:r>
            <w:r>
              <w:rPr>
                <w:spacing w:val="-7"/>
                <w:sz w:val="18"/>
              </w:rPr>
              <w:t> </w:t>
            </w:r>
            <w:r>
              <w:rPr>
                <w:sz w:val="18"/>
              </w:rPr>
              <w:t>su</w:t>
            </w:r>
            <w:r>
              <w:rPr>
                <w:spacing w:val="-6"/>
                <w:sz w:val="18"/>
              </w:rPr>
              <w:t> </w:t>
            </w:r>
            <w:r>
              <w:rPr>
                <w:sz w:val="18"/>
              </w:rPr>
              <w:t>aplicación</w:t>
            </w:r>
            <w:r>
              <w:rPr>
                <w:spacing w:val="-6"/>
                <w:sz w:val="18"/>
              </w:rPr>
              <w:t> </w:t>
            </w:r>
            <w:r>
              <w:rPr>
                <w:sz w:val="18"/>
              </w:rPr>
              <w:t>por</w:t>
            </w:r>
            <w:r>
              <w:rPr>
                <w:spacing w:val="-7"/>
                <w:sz w:val="18"/>
              </w:rPr>
              <w:t> </w:t>
            </w:r>
            <w:r>
              <w:rPr>
                <w:sz w:val="18"/>
              </w:rPr>
              <w:t>parte</w:t>
            </w:r>
            <w:r>
              <w:rPr>
                <w:spacing w:val="-7"/>
                <w:sz w:val="18"/>
              </w:rPr>
              <w:t> </w:t>
            </w:r>
            <w:r>
              <w:rPr>
                <w:sz w:val="18"/>
              </w:rPr>
              <w:t>de</w:t>
            </w:r>
            <w:r>
              <w:rPr>
                <w:spacing w:val="-7"/>
                <w:sz w:val="18"/>
              </w:rPr>
              <w:t> </w:t>
            </w:r>
            <w:r>
              <w:rPr>
                <w:sz w:val="18"/>
              </w:rPr>
              <w:t>profesionales</w:t>
            </w:r>
            <w:r>
              <w:rPr>
                <w:spacing w:val="-7"/>
                <w:sz w:val="18"/>
              </w:rPr>
              <w:t> </w:t>
            </w:r>
            <w:r>
              <w:rPr>
                <w:sz w:val="18"/>
              </w:rPr>
              <w:t>y</w:t>
            </w:r>
            <w:r>
              <w:rPr>
                <w:spacing w:val="-9"/>
                <w:sz w:val="18"/>
              </w:rPr>
              <w:t> </w:t>
            </w:r>
            <w:r>
              <w:rPr>
                <w:sz w:val="18"/>
              </w:rPr>
              <w:t>técnicos</w:t>
            </w:r>
            <w:r>
              <w:rPr>
                <w:spacing w:val="-7"/>
                <w:sz w:val="18"/>
              </w:rPr>
              <w:t> </w:t>
            </w:r>
            <w:r>
              <w:rPr>
                <w:sz w:val="18"/>
              </w:rPr>
              <w:t>con</w:t>
            </w:r>
            <w:r>
              <w:rPr>
                <w:spacing w:val="-6"/>
                <w:sz w:val="18"/>
              </w:rPr>
              <w:t> </w:t>
            </w:r>
            <w:r>
              <w:rPr>
                <w:sz w:val="18"/>
              </w:rPr>
              <w:t>distintos niveles de capacitación en este tipo de trabajos; favorece el desarrollo mejores colecciones de información georreferenciada con una desagregación espacial adecuada y con continuidad en el tiempo, a fin de establecer</w:t>
            </w:r>
            <w:r>
              <w:rPr>
                <w:spacing w:val="-5"/>
                <w:sz w:val="18"/>
              </w:rPr>
              <w:t> </w:t>
            </w:r>
            <w:r>
              <w:rPr>
                <w:sz w:val="18"/>
              </w:rPr>
              <w:t>las</w:t>
            </w:r>
            <w:r>
              <w:rPr>
                <w:spacing w:val="-6"/>
                <w:sz w:val="18"/>
              </w:rPr>
              <w:t> </w:t>
            </w:r>
            <w:r>
              <w:rPr>
                <w:sz w:val="18"/>
              </w:rPr>
              <w:t>tendencias</w:t>
            </w:r>
            <w:r>
              <w:rPr>
                <w:spacing w:val="-8"/>
                <w:sz w:val="18"/>
              </w:rPr>
              <w:t> </w:t>
            </w:r>
            <w:r>
              <w:rPr>
                <w:sz w:val="18"/>
              </w:rPr>
              <w:t>de</w:t>
            </w:r>
            <w:r>
              <w:rPr>
                <w:spacing w:val="-6"/>
                <w:sz w:val="18"/>
              </w:rPr>
              <w:t> </w:t>
            </w:r>
            <w:r>
              <w:rPr>
                <w:sz w:val="18"/>
              </w:rPr>
              <w:t>comportamiento</w:t>
            </w:r>
            <w:r>
              <w:rPr>
                <w:spacing w:val="-4"/>
                <w:sz w:val="18"/>
              </w:rPr>
              <w:t> </w:t>
            </w:r>
            <w:r>
              <w:rPr>
                <w:sz w:val="18"/>
              </w:rPr>
              <w:t>de</w:t>
            </w:r>
            <w:r>
              <w:rPr>
                <w:spacing w:val="-8"/>
                <w:sz w:val="18"/>
              </w:rPr>
              <w:t> </w:t>
            </w:r>
            <w:r>
              <w:rPr>
                <w:sz w:val="18"/>
              </w:rPr>
              <w:t>los</w:t>
            </w:r>
            <w:r>
              <w:rPr>
                <w:spacing w:val="-8"/>
                <w:sz w:val="18"/>
              </w:rPr>
              <w:t> </w:t>
            </w:r>
            <w:r>
              <w:rPr>
                <w:sz w:val="18"/>
              </w:rPr>
              <w:t>fenómenos,</w:t>
            </w:r>
            <w:r>
              <w:rPr>
                <w:spacing w:val="-5"/>
                <w:sz w:val="18"/>
              </w:rPr>
              <w:t> </w:t>
            </w:r>
            <w:r>
              <w:rPr>
                <w:sz w:val="18"/>
              </w:rPr>
              <w:t>como</w:t>
            </w:r>
            <w:r>
              <w:rPr>
                <w:spacing w:val="-4"/>
                <w:sz w:val="18"/>
              </w:rPr>
              <w:t> </w:t>
            </w:r>
            <w:r>
              <w:rPr>
                <w:sz w:val="18"/>
              </w:rPr>
              <w:t>punto de</w:t>
            </w:r>
            <w:r>
              <w:rPr>
                <w:spacing w:val="-6"/>
                <w:sz w:val="18"/>
              </w:rPr>
              <w:t> </w:t>
            </w:r>
            <w:r>
              <w:rPr>
                <w:sz w:val="18"/>
              </w:rPr>
              <w:t>partida</w:t>
            </w:r>
            <w:r>
              <w:rPr>
                <w:spacing w:val="-6"/>
                <w:sz w:val="18"/>
              </w:rPr>
              <w:t> </w:t>
            </w:r>
            <w:r>
              <w:rPr>
                <w:sz w:val="18"/>
              </w:rPr>
              <w:t>para</w:t>
            </w:r>
            <w:r>
              <w:rPr>
                <w:spacing w:val="-6"/>
                <w:sz w:val="18"/>
              </w:rPr>
              <w:t> </w:t>
            </w:r>
            <w:r>
              <w:rPr>
                <w:sz w:val="18"/>
              </w:rPr>
              <w:t>la</w:t>
            </w:r>
            <w:r>
              <w:rPr>
                <w:spacing w:val="-6"/>
                <w:sz w:val="18"/>
              </w:rPr>
              <w:t> </w:t>
            </w:r>
            <w:r>
              <w:rPr>
                <w:sz w:val="18"/>
              </w:rPr>
              <w:t>planeación;</w:t>
            </w:r>
            <w:r>
              <w:rPr>
                <w:spacing w:val="-5"/>
                <w:sz w:val="18"/>
              </w:rPr>
              <w:t> </w:t>
            </w:r>
            <w:r>
              <w:rPr>
                <w:sz w:val="18"/>
              </w:rPr>
              <w:t>y</w:t>
            </w:r>
            <w:r>
              <w:rPr>
                <w:spacing w:val="-9"/>
                <w:sz w:val="18"/>
              </w:rPr>
              <w:t> </w:t>
            </w:r>
            <w:r>
              <w:rPr>
                <w:sz w:val="18"/>
              </w:rPr>
              <w:t>permite</w:t>
            </w:r>
            <w:r>
              <w:rPr>
                <w:spacing w:val="-6"/>
                <w:sz w:val="18"/>
              </w:rPr>
              <w:t> </w:t>
            </w:r>
            <w:r>
              <w:rPr>
                <w:sz w:val="18"/>
              </w:rPr>
              <w:t>la</w:t>
            </w:r>
            <w:r>
              <w:rPr>
                <w:spacing w:val="-6"/>
                <w:sz w:val="18"/>
              </w:rPr>
              <w:t> </w:t>
            </w:r>
            <w:r>
              <w:rPr>
                <w:sz w:val="18"/>
              </w:rPr>
              <w:t>integración</w:t>
            </w:r>
            <w:r>
              <w:rPr>
                <w:spacing w:val="-5"/>
                <w:sz w:val="18"/>
              </w:rPr>
              <w:t> </w:t>
            </w:r>
            <w:r>
              <w:rPr>
                <w:sz w:val="18"/>
              </w:rPr>
              <w:t>de</w:t>
            </w:r>
            <w:r>
              <w:rPr>
                <w:spacing w:val="-6"/>
                <w:sz w:val="18"/>
              </w:rPr>
              <w:t> </w:t>
            </w:r>
            <w:r>
              <w:rPr>
                <w:sz w:val="18"/>
              </w:rPr>
              <w:t>datos</w:t>
            </w:r>
            <w:r>
              <w:rPr>
                <w:spacing w:val="-6"/>
                <w:sz w:val="18"/>
              </w:rPr>
              <w:t> </w:t>
            </w:r>
            <w:r>
              <w:rPr>
                <w:sz w:val="18"/>
              </w:rPr>
              <w:t>ambientales, sociales y económicos útiles para la toma de</w:t>
            </w:r>
            <w:r>
              <w:rPr>
                <w:spacing w:val="-13"/>
                <w:sz w:val="18"/>
              </w:rPr>
              <w:t> </w:t>
            </w:r>
            <w:r>
              <w:rPr>
                <w:sz w:val="18"/>
              </w:rPr>
              <w:t>decisiones.</w:t>
            </w:r>
          </w:p>
        </w:tc>
      </w:tr>
    </w:tbl>
    <w:p>
      <w:pPr>
        <w:spacing w:after="0"/>
        <w:rPr>
          <w:sz w:val="18"/>
        </w:rPr>
        <w:sectPr>
          <w:type w:val="continuous"/>
          <w:pgSz w:w="12240" w:h="15840"/>
          <w:pgMar w:top="1360" w:bottom="280" w:left="1400" w:right="1380"/>
        </w:sect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561"/>
        <w:gridCol w:w="5680"/>
      </w:tblGrid>
      <w:tr>
        <w:trPr>
          <w:trHeight w:val="12824" w:hRule="exact"/>
        </w:trPr>
        <w:tc>
          <w:tcPr>
            <w:tcW w:w="3561" w:type="dxa"/>
          </w:tcPr>
          <w:p>
            <w:pPr>
              <w:pStyle w:val="TableParagraph"/>
              <w:spacing w:line="183" w:lineRule="exact"/>
              <w:ind w:left="919"/>
              <w:rPr>
                <w:rFonts w:ascii="Arial"/>
                <w:sz w:val="18"/>
              </w:rPr>
            </w:pPr>
            <w:r>
              <w:rPr>
                <w:rFonts w:ascii="Arial"/>
                <w:sz w:val="18"/>
              </w:rPr>
              <w:t>equipamiento y la infraestructura</w:t>
            </w:r>
          </w:p>
          <w:p>
            <w:pPr>
              <w:pStyle w:val="TableParagraph"/>
              <w:spacing w:line="207" w:lineRule="exact" w:before="2"/>
              <w:ind w:left="919"/>
              <w:rPr>
                <w:rFonts w:ascii="Arial"/>
                <w:sz w:val="18"/>
              </w:rPr>
            </w:pPr>
            <w:r>
              <w:rPr>
                <w:rFonts w:ascii="Arial"/>
                <w:sz w:val="18"/>
              </w:rPr>
              <w:t>suficiente;</w:t>
            </w:r>
          </w:p>
          <w:p>
            <w:pPr>
              <w:pStyle w:val="TableParagraph"/>
              <w:numPr>
                <w:ilvl w:val="0"/>
                <w:numId w:val="2"/>
              </w:numPr>
              <w:tabs>
                <w:tab w:pos="1127" w:val="left" w:leader="none"/>
                <w:tab w:pos="2444" w:val="left" w:leader="none"/>
                <w:tab w:pos="3138" w:val="left" w:leader="none"/>
              </w:tabs>
              <w:spacing w:line="240" w:lineRule="auto" w:before="0" w:after="0"/>
              <w:ind w:left="919" w:right="50" w:firstLine="0"/>
              <w:jc w:val="both"/>
              <w:rPr>
                <w:rFonts w:ascii="Arial" w:hAnsi="Arial"/>
                <w:sz w:val="18"/>
              </w:rPr>
            </w:pPr>
            <w:r>
              <w:rPr>
                <w:rFonts w:ascii="Arial" w:hAnsi="Arial"/>
                <w:sz w:val="18"/>
              </w:rPr>
              <w:t>la contradicción que implica</w:t>
            </w:r>
            <w:r>
              <w:rPr>
                <w:rFonts w:ascii="Arial" w:hAnsi="Arial"/>
                <w:spacing w:val="-32"/>
                <w:sz w:val="18"/>
              </w:rPr>
              <w:t> </w:t>
            </w:r>
            <w:r>
              <w:rPr>
                <w:rFonts w:ascii="Arial" w:hAnsi="Arial"/>
                <w:sz w:val="18"/>
              </w:rPr>
              <w:t>la expansión del fenómeno de la marginación y la pobreza en oposición a la concentración del bienestar económico y social en todas las escalas territoriales: a nivel macro o mesorregional, al interior de las entidades federativas,</w:t>
              <w:tab/>
              <w:t>a</w:t>
              <w:tab/>
              <w:t>nivel microrregional y al interior del espacio urbano, lo que ha conllevado la agudización de</w:t>
            </w:r>
            <w:r>
              <w:rPr>
                <w:rFonts w:ascii="Arial" w:hAnsi="Arial"/>
                <w:spacing w:val="-17"/>
                <w:sz w:val="18"/>
              </w:rPr>
              <w:t> </w:t>
            </w:r>
            <w:r>
              <w:rPr>
                <w:rFonts w:ascii="Arial" w:hAnsi="Arial"/>
                <w:sz w:val="18"/>
              </w:rPr>
              <w:t>los desequilibrios socioeconómicos regionales;</w:t>
            </w:r>
          </w:p>
          <w:p>
            <w:pPr>
              <w:pStyle w:val="TableParagraph"/>
              <w:numPr>
                <w:ilvl w:val="0"/>
                <w:numId w:val="2"/>
              </w:numPr>
              <w:tabs>
                <w:tab w:pos="1167" w:val="left" w:leader="none"/>
                <w:tab w:pos="2358" w:val="left" w:leader="none"/>
                <w:tab w:pos="3420" w:val="left" w:leader="none"/>
              </w:tabs>
              <w:spacing w:line="240" w:lineRule="auto" w:before="0" w:after="0"/>
              <w:ind w:left="919" w:right="47" w:firstLine="0"/>
              <w:jc w:val="both"/>
              <w:rPr>
                <w:rFonts w:ascii="Arial" w:hAnsi="Arial"/>
                <w:sz w:val="18"/>
              </w:rPr>
            </w:pPr>
            <w:r>
              <w:rPr>
                <w:rFonts w:ascii="Arial" w:hAnsi="Arial"/>
                <w:sz w:val="18"/>
              </w:rPr>
              <w:t>la existencia de importantes áreas del país deficientemente integradas</w:t>
              <w:tab/>
              <w:t>social</w:t>
              <w:tab/>
              <w:t>y económicamente. Todas estas situaciones desembocan en la necesidad de llevar a cabo acciones ordenadoras o reordenadoras que involucran a los diversos componentes de un territorio dado en una escala específica.</w:t>
            </w:r>
          </w:p>
          <w:p>
            <w:pPr>
              <w:pStyle w:val="TableParagraph"/>
              <w:jc w:val="left"/>
              <w:rPr>
                <w:rFonts w:ascii="Arial"/>
                <w:b/>
                <w:sz w:val="18"/>
              </w:rPr>
            </w:pPr>
          </w:p>
          <w:p>
            <w:pPr>
              <w:pStyle w:val="TableParagraph"/>
              <w:jc w:val="left"/>
              <w:rPr>
                <w:rFonts w:ascii="Arial"/>
                <w:b/>
                <w:sz w:val="18"/>
              </w:rPr>
            </w:pPr>
          </w:p>
          <w:p>
            <w:pPr>
              <w:pStyle w:val="TableParagraph"/>
              <w:jc w:val="left"/>
              <w:rPr>
                <w:rFonts w:ascii="Arial"/>
                <w:b/>
                <w:sz w:val="18"/>
              </w:rPr>
            </w:pPr>
          </w:p>
          <w:p>
            <w:pPr>
              <w:pStyle w:val="TableParagraph"/>
              <w:spacing w:before="147"/>
              <w:ind w:left="200" w:right="48"/>
              <w:rPr>
                <w:rFonts w:ascii="Arial" w:hAnsi="Arial"/>
                <w:sz w:val="18"/>
              </w:rPr>
            </w:pPr>
            <w:r>
              <w:rPr>
                <w:rFonts w:ascii="Arial" w:hAnsi="Arial"/>
                <w:sz w:val="18"/>
              </w:rPr>
              <w:t>Asimismo, es innegable el peso que</w:t>
            </w:r>
            <w:r>
              <w:rPr>
                <w:rFonts w:ascii="Arial" w:hAnsi="Arial"/>
                <w:spacing w:val="-32"/>
                <w:sz w:val="18"/>
              </w:rPr>
              <w:t> </w:t>
            </w:r>
            <w:r>
              <w:rPr>
                <w:rFonts w:ascii="Arial" w:hAnsi="Arial"/>
                <w:sz w:val="18"/>
              </w:rPr>
              <w:t>tiene la economía sobre la estructura y organización de los territorios. En el comportamiento diferenciado de la economía, a nivel sectorial y espacial, está el origen de los movimientos migratorios y la intensidad de éstos, del crecimiento urbano y metropolitano, del abandono de áreas rurales, del aumento de la vulnerabilidad ambiental, del deterioro de los recursos naturales, de la ocupación</w:t>
            </w:r>
            <w:r>
              <w:rPr>
                <w:rFonts w:ascii="Arial" w:hAnsi="Arial"/>
                <w:spacing w:val="-12"/>
                <w:sz w:val="18"/>
              </w:rPr>
              <w:t> </w:t>
            </w:r>
            <w:r>
              <w:rPr>
                <w:rFonts w:ascii="Arial" w:hAnsi="Arial"/>
                <w:sz w:val="18"/>
              </w:rPr>
              <w:t>de</w:t>
            </w:r>
            <w:r>
              <w:rPr>
                <w:rFonts w:ascii="Arial" w:hAnsi="Arial"/>
                <w:spacing w:val="-12"/>
                <w:sz w:val="18"/>
              </w:rPr>
              <w:t> </w:t>
            </w:r>
            <w:r>
              <w:rPr>
                <w:rFonts w:ascii="Arial" w:hAnsi="Arial"/>
                <w:sz w:val="18"/>
              </w:rPr>
              <w:t>terrenos</w:t>
            </w:r>
            <w:r>
              <w:rPr>
                <w:rFonts w:ascii="Arial" w:hAnsi="Arial"/>
                <w:spacing w:val="-12"/>
                <w:sz w:val="18"/>
              </w:rPr>
              <w:t> </w:t>
            </w:r>
            <w:r>
              <w:rPr>
                <w:rFonts w:ascii="Arial" w:hAnsi="Arial"/>
                <w:sz w:val="18"/>
              </w:rPr>
              <w:t>inadecuados</w:t>
            </w:r>
            <w:r>
              <w:rPr>
                <w:rFonts w:ascii="Arial" w:hAnsi="Arial"/>
                <w:spacing w:val="-12"/>
                <w:sz w:val="18"/>
              </w:rPr>
              <w:t> </w:t>
            </w:r>
            <w:r>
              <w:rPr>
                <w:rFonts w:ascii="Arial" w:hAnsi="Arial"/>
                <w:sz w:val="18"/>
              </w:rPr>
              <w:t>por</w:t>
            </w:r>
            <w:r>
              <w:rPr>
                <w:rFonts w:ascii="Arial" w:hAnsi="Arial"/>
                <w:spacing w:val="-13"/>
                <w:sz w:val="18"/>
              </w:rPr>
              <w:t> </w:t>
            </w:r>
            <w:r>
              <w:rPr>
                <w:rFonts w:ascii="Arial" w:hAnsi="Arial"/>
                <w:sz w:val="18"/>
              </w:rPr>
              <w:t>la población,</w:t>
            </w:r>
            <w:r>
              <w:rPr>
                <w:rFonts w:ascii="Arial" w:hAnsi="Arial"/>
                <w:spacing w:val="-7"/>
                <w:sz w:val="18"/>
              </w:rPr>
              <w:t> </w:t>
            </w:r>
            <w:r>
              <w:rPr>
                <w:rFonts w:ascii="Arial" w:hAnsi="Arial"/>
                <w:sz w:val="18"/>
              </w:rPr>
              <w:t>etcétera.</w:t>
            </w:r>
          </w:p>
          <w:p>
            <w:pPr>
              <w:pStyle w:val="TableParagraph"/>
              <w:spacing w:before="6"/>
              <w:jc w:val="left"/>
              <w:rPr>
                <w:rFonts w:ascii="Arial"/>
                <w:b/>
                <w:sz w:val="24"/>
              </w:rPr>
            </w:pPr>
          </w:p>
          <w:p>
            <w:pPr>
              <w:pStyle w:val="TableParagraph"/>
              <w:ind w:left="200" w:right="48"/>
              <w:rPr>
                <w:rFonts w:ascii="Arial" w:hAnsi="Arial"/>
                <w:sz w:val="18"/>
              </w:rPr>
            </w:pPr>
            <w:r>
              <w:rPr>
                <w:rFonts w:ascii="Arial" w:hAnsi="Arial"/>
                <w:sz w:val="18"/>
              </w:rPr>
              <w:t>Esta situación se ha agudizado sobre todo a partir del decenio de 1980 como consecuencia de la globalización económica, cuya característica fundamental es la velocidad, intensidad y escala de los procesos que ha desencadenado y de las transformaciones espaciales que ha provocado. Si bien la globalización económica y el desarrollo con</w:t>
            </w:r>
            <w:r>
              <w:rPr>
                <w:rFonts w:ascii="Arial" w:hAnsi="Arial"/>
                <w:spacing w:val="-36"/>
                <w:sz w:val="18"/>
              </w:rPr>
              <w:t> </w:t>
            </w:r>
            <w:r>
              <w:rPr>
                <w:rFonts w:ascii="Arial" w:hAnsi="Arial"/>
                <w:sz w:val="18"/>
              </w:rPr>
              <w:t>un enfoque de sostenibilidad son dos conceptos que forman parte del discurso cotidiano por haber tomado fuerza paralelamente, a partir</w:t>
            </w:r>
            <w:r>
              <w:rPr>
                <w:rFonts w:ascii="Arial" w:hAnsi="Arial"/>
                <w:spacing w:val="-12"/>
                <w:sz w:val="18"/>
              </w:rPr>
              <w:t> </w:t>
            </w:r>
            <w:r>
              <w:rPr>
                <w:rFonts w:ascii="Arial" w:hAnsi="Arial"/>
                <w:sz w:val="18"/>
              </w:rPr>
              <w:t>de</w:t>
            </w:r>
            <w:r>
              <w:rPr>
                <w:rFonts w:ascii="Arial" w:hAnsi="Arial"/>
                <w:spacing w:val="-11"/>
                <w:sz w:val="18"/>
              </w:rPr>
              <w:t> </w:t>
            </w:r>
            <w:r>
              <w:rPr>
                <w:rFonts w:ascii="Arial" w:hAnsi="Arial"/>
                <w:sz w:val="18"/>
              </w:rPr>
              <w:t>los</w:t>
            </w:r>
            <w:r>
              <w:rPr>
                <w:rFonts w:ascii="Arial" w:hAnsi="Arial"/>
                <w:spacing w:val="-8"/>
                <w:sz w:val="18"/>
              </w:rPr>
              <w:t> </w:t>
            </w:r>
            <w:r>
              <w:rPr>
                <w:rFonts w:ascii="Arial" w:hAnsi="Arial"/>
                <w:sz w:val="18"/>
              </w:rPr>
              <w:t>años</w:t>
            </w:r>
            <w:r>
              <w:rPr>
                <w:rFonts w:ascii="Arial" w:hAnsi="Arial"/>
                <w:spacing w:val="-11"/>
                <w:sz w:val="18"/>
              </w:rPr>
              <w:t> </w:t>
            </w:r>
            <w:r>
              <w:rPr>
                <w:rFonts w:ascii="Arial" w:hAnsi="Arial"/>
                <w:sz w:val="18"/>
              </w:rPr>
              <w:t>ochenta</w:t>
            </w:r>
            <w:r>
              <w:rPr>
                <w:rFonts w:ascii="Arial" w:hAnsi="Arial"/>
                <w:spacing w:val="-11"/>
                <w:sz w:val="18"/>
              </w:rPr>
              <w:t> </w:t>
            </w:r>
            <w:r>
              <w:rPr>
                <w:rFonts w:ascii="Arial" w:hAnsi="Arial"/>
                <w:sz w:val="18"/>
              </w:rPr>
              <w:t>del</w:t>
            </w:r>
            <w:r>
              <w:rPr>
                <w:rFonts w:ascii="Arial" w:hAnsi="Arial"/>
                <w:spacing w:val="-11"/>
                <w:sz w:val="18"/>
              </w:rPr>
              <w:t> </w:t>
            </w:r>
            <w:r>
              <w:rPr>
                <w:rFonts w:ascii="Arial" w:hAnsi="Arial"/>
                <w:sz w:val="18"/>
              </w:rPr>
              <w:t>siglo</w:t>
            </w:r>
            <w:r>
              <w:rPr>
                <w:rFonts w:ascii="Arial" w:hAnsi="Arial"/>
                <w:spacing w:val="-11"/>
                <w:sz w:val="18"/>
              </w:rPr>
              <w:t> </w:t>
            </w:r>
            <w:r>
              <w:rPr>
                <w:rFonts w:ascii="Arial" w:hAnsi="Arial"/>
                <w:sz w:val="18"/>
              </w:rPr>
              <w:t>XX,</w:t>
            </w:r>
            <w:r>
              <w:rPr>
                <w:rFonts w:ascii="Arial" w:hAnsi="Arial"/>
                <w:spacing w:val="-9"/>
                <w:sz w:val="18"/>
              </w:rPr>
              <w:t> </w:t>
            </w:r>
            <w:r>
              <w:rPr>
                <w:rFonts w:ascii="Arial" w:hAnsi="Arial"/>
                <w:sz w:val="18"/>
              </w:rPr>
              <w:t>no por ello son necesariamente complementarios, en virtud de que se derivan    de    posturas    ideológicas   </w:t>
            </w:r>
            <w:r>
              <w:rPr>
                <w:rFonts w:ascii="Arial" w:hAnsi="Arial"/>
                <w:spacing w:val="24"/>
                <w:sz w:val="18"/>
              </w:rPr>
              <w:t> </w:t>
            </w:r>
            <w:r>
              <w:rPr>
                <w:rFonts w:ascii="Arial" w:hAnsi="Arial"/>
                <w:sz w:val="18"/>
              </w:rPr>
              <w:t>y</w:t>
            </w:r>
          </w:p>
        </w:tc>
        <w:tc>
          <w:tcPr>
            <w:tcW w:w="5680" w:type="dxa"/>
          </w:tcPr>
          <w:p>
            <w:pPr>
              <w:pStyle w:val="TableParagraph"/>
              <w:spacing w:line="178" w:lineRule="exact"/>
              <w:ind w:left="49"/>
              <w:rPr>
                <w:sz w:val="18"/>
              </w:rPr>
            </w:pPr>
            <w:r>
              <w:rPr>
                <w:sz w:val="18"/>
              </w:rPr>
              <w:t>Los  indicadores diseñados o  seleccionados para  tal fin,  cumplen  con los</w:t>
            </w:r>
          </w:p>
          <w:p>
            <w:pPr>
              <w:pStyle w:val="TableParagraph"/>
              <w:spacing w:line="207" w:lineRule="exact"/>
              <w:ind w:left="49"/>
              <w:rPr>
                <w:sz w:val="18"/>
              </w:rPr>
            </w:pPr>
            <w:r>
              <w:rPr>
                <w:sz w:val="18"/>
              </w:rPr>
              <w:t>siguientes requisitos:</w:t>
            </w:r>
          </w:p>
          <w:p>
            <w:pPr>
              <w:pStyle w:val="TableParagraph"/>
              <w:spacing w:before="6"/>
              <w:jc w:val="left"/>
              <w:rPr>
                <w:rFonts w:ascii="Arial"/>
                <w:b/>
                <w:sz w:val="24"/>
              </w:rPr>
            </w:pPr>
          </w:p>
          <w:p>
            <w:pPr>
              <w:pStyle w:val="TableParagraph"/>
              <w:numPr>
                <w:ilvl w:val="0"/>
                <w:numId w:val="3"/>
              </w:numPr>
              <w:tabs>
                <w:tab w:pos="1029" w:val="left" w:leader="none"/>
              </w:tabs>
              <w:spacing w:line="240" w:lineRule="auto" w:before="0" w:after="0"/>
              <w:ind w:left="769" w:right="202" w:firstLine="0"/>
              <w:jc w:val="both"/>
              <w:rPr>
                <w:sz w:val="18"/>
              </w:rPr>
            </w:pPr>
            <w:r>
              <w:rPr>
                <w:sz w:val="18"/>
              </w:rPr>
              <w:t>Ser cartografiables y tener una desagregación territorial adecuada</w:t>
            </w:r>
            <w:r>
              <w:rPr>
                <w:spacing w:val="-5"/>
                <w:sz w:val="18"/>
              </w:rPr>
              <w:t> </w:t>
            </w:r>
            <w:r>
              <w:rPr>
                <w:sz w:val="18"/>
              </w:rPr>
              <w:t>y</w:t>
            </w:r>
            <w:r>
              <w:rPr>
                <w:spacing w:val="-8"/>
                <w:sz w:val="18"/>
              </w:rPr>
              <w:t> </w:t>
            </w:r>
            <w:r>
              <w:rPr>
                <w:sz w:val="18"/>
              </w:rPr>
              <w:t>el</w:t>
            </w:r>
            <w:r>
              <w:rPr>
                <w:spacing w:val="-4"/>
                <w:sz w:val="18"/>
              </w:rPr>
              <w:t> </w:t>
            </w:r>
            <w:r>
              <w:rPr>
                <w:sz w:val="18"/>
              </w:rPr>
              <w:t>cubrimiento</w:t>
            </w:r>
            <w:r>
              <w:rPr>
                <w:spacing w:val="-3"/>
                <w:sz w:val="18"/>
              </w:rPr>
              <w:t> </w:t>
            </w:r>
            <w:r>
              <w:rPr>
                <w:sz w:val="18"/>
              </w:rPr>
              <w:t>suficiente,</w:t>
            </w:r>
            <w:r>
              <w:rPr>
                <w:spacing w:val="-4"/>
                <w:sz w:val="18"/>
              </w:rPr>
              <w:t> </w:t>
            </w:r>
            <w:r>
              <w:rPr>
                <w:sz w:val="18"/>
              </w:rPr>
              <w:t>conforme</w:t>
            </w:r>
            <w:r>
              <w:rPr>
                <w:spacing w:val="-5"/>
                <w:sz w:val="18"/>
              </w:rPr>
              <w:t> </w:t>
            </w:r>
            <w:r>
              <w:rPr>
                <w:sz w:val="18"/>
              </w:rPr>
              <w:t>a</w:t>
            </w:r>
            <w:r>
              <w:rPr>
                <w:spacing w:val="-5"/>
                <w:sz w:val="18"/>
              </w:rPr>
              <w:t> </w:t>
            </w:r>
            <w:r>
              <w:rPr>
                <w:sz w:val="18"/>
              </w:rPr>
              <w:t>la</w:t>
            </w:r>
            <w:r>
              <w:rPr>
                <w:spacing w:val="-5"/>
                <w:sz w:val="18"/>
              </w:rPr>
              <w:t> </w:t>
            </w:r>
            <w:r>
              <w:rPr>
                <w:sz w:val="18"/>
              </w:rPr>
              <w:t>escala</w:t>
            </w:r>
            <w:r>
              <w:rPr>
                <w:spacing w:val="-5"/>
                <w:sz w:val="18"/>
              </w:rPr>
              <w:t> </w:t>
            </w:r>
            <w:r>
              <w:rPr>
                <w:sz w:val="18"/>
              </w:rPr>
              <w:t>para</w:t>
            </w:r>
            <w:r>
              <w:rPr>
                <w:spacing w:val="-5"/>
                <w:sz w:val="18"/>
              </w:rPr>
              <w:t> </w:t>
            </w:r>
            <w:r>
              <w:rPr>
                <w:sz w:val="18"/>
              </w:rPr>
              <w:t>la cual fueron diseñados (en este caso, la escala 1:250,000, que fue la     seleccionada     para     la     elaboración     de     los</w:t>
            </w:r>
            <w:r>
              <w:rPr>
                <w:spacing w:val="32"/>
                <w:sz w:val="18"/>
              </w:rPr>
              <w:t> </w:t>
            </w:r>
            <w:r>
              <w:rPr>
                <w:sz w:val="18"/>
              </w:rPr>
              <w:t>PEOT).</w:t>
            </w:r>
          </w:p>
          <w:p>
            <w:pPr>
              <w:pStyle w:val="TableParagraph"/>
              <w:numPr>
                <w:ilvl w:val="0"/>
                <w:numId w:val="3"/>
              </w:numPr>
              <w:tabs>
                <w:tab w:pos="972" w:val="left" w:leader="none"/>
                <w:tab w:pos="2043" w:val="left" w:leader="none"/>
                <w:tab w:pos="3567" w:val="left" w:leader="none"/>
                <w:tab w:pos="4692" w:val="left" w:leader="none"/>
              </w:tabs>
              <w:spacing w:line="240" w:lineRule="auto" w:before="2" w:after="0"/>
              <w:ind w:left="769" w:right="199" w:firstLine="0"/>
              <w:jc w:val="both"/>
              <w:rPr>
                <w:sz w:val="18"/>
              </w:rPr>
            </w:pPr>
            <w:r>
              <w:rPr>
                <w:sz w:val="18"/>
              </w:rPr>
              <w:t>Ser obtenidos o calculados a través de metodologías sencillas, para</w:t>
              <w:tab/>
              <w:t>facilitar</w:t>
              <w:tab/>
              <w:t>su</w:t>
              <w:tab/>
              <w:t>aplicación.</w:t>
            </w:r>
          </w:p>
          <w:p>
            <w:pPr>
              <w:pStyle w:val="TableParagraph"/>
              <w:numPr>
                <w:ilvl w:val="0"/>
                <w:numId w:val="3"/>
              </w:numPr>
              <w:tabs>
                <w:tab w:pos="960" w:val="left" w:leader="none"/>
              </w:tabs>
              <w:spacing w:line="240" w:lineRule="auto" w:before="0" w:after="0"/>
              <w:ind w:left="769" w:right="203" w:firstLine="0"/>
              <w:jc w:val="both"/>
              <w:rPr>
                <w:sz w:val="18"/>
              </w:rPr>
            </w:pPr>
            <w:r>
              <w:rPr>
                <w:sz w:val="18"/>
              </w:rPr>
              <w:t>Las variables a partir de las cuales se construyen, proceden de fuentes    de    información    oficial    accesibles    y  </w:t>
            </w:r>
            <w:r>
              <w:rPr>
                <w:spacing w:val="22"/>
                <w:sz w:val="18"/>
              </w:rPr>
              <w:t> </w:t>
            </w:r>
            <w:r>
              <w:rPr>
                <w:sz w:val="18"/>
              </w:rPr>
              <w:t>confiables.</w:t>
            </w:r>
          </w:p>
          <w:p>
            <w:pPr>
              <w:pStyle w:val="TableParagraph"/>
              <w:numPr>
                <w:ilvl w:val="0"/>
                <w:numId w:val="3"/>
              </w:numPr>
              <w:tabs>
                <w:tab w:pos="984" w:val="left" w:leader="none"/>
              </w:tabs>
              <w:spacing w:line="240" w:lineRule="auto" w:before="2" w:after="0"/>
              <w:ind w:left="769" w:right="207" w:firstLine="0"/>
              <w:jc w:val="both"/>
              <w:rPr>
                <w:sz w:val="18"/>
              </w:rPr>
            </w:pPr>
            <w:r>
              <w:rPr>
                <w:sz w:val="18"/>
              </w:rPr>
              <w:t>Ser actualizables periódicamente, para permitir el análisis de tendencias    en    su    comportamiento    temporal    y  </w:t>
            </w:r>
            <w:r>
              <w:rPr>
                <w:spacing w:val="32"/>
                <w:sz w:val="18"/>
              </w:rPr>
              <w:t> </w:t>
            </w:r>
            <w:r>
              <w:rPr>
                <w:sz w:val="18"/>
              </w:rPr>
              <w:t>espacial.</w:t>
            </w:r>
          </w:p>
          <w:p>
            <w:pPr>
              <w:pStyle w:val="TableParagraph"/>
              <w:numPr>
                <w:ilvl w:val="0"/>
                <w:numId w:val="3"/>
              </w:numPr>
              <w:tabs>
                <w:tab w:pos="1013" w:val="left" w:leader="none"/>
              </w:tabs>
              <w:spacing w:line="204" w:lineRule="exact" w:before="4" w:after="0"/>
              <w:ind w:left="769" w:right="207" w:firstLine="0"/>
              <w:jc w:val="both"/>
              <w:rPr>
                <w:sz w:val="18"/>
              </w:rPr>
            </w:pPr>
            <w:r>
              <w:rPr>
                <w:sz w:val="18"/>
              </w:rPr>
              <w:t>Permitir la posibilidad de agregación espacial en escalas superiores (nivel mesorregional y</w:t>
            </w:r>
            <w:r>
              <w:rPr>
                <w:spacing w:val="-11"/>
                <w:sz w:val="18"/>
              </w:rPr>
              <w:t> </w:t>
            </w:r>
            <w:r>
              <w:rPr>
                <w:sz w:val="18"/>
              </w:rPr>
              <w:t>nacional.</w:t>
            </w:r>
          </w:p>
          <w:p>
            <w:pPr>
              <w:pStyle w:val="TableParagraph"/>
              <w:spacing w:before="5"/>
              <w:jc w:val="left"/>
              <w:rPr>
                <w:rFonts w:ascii="Arial"/>
                <w:b/>
                <w:sz w:val="24"/>
              </w:rPr>
            </w:pPr>
          </w:p>
          <w:p>
            <w:pPr>
              <w:pStyle w:val="TableParagraph"/>
              <w:ind w:left="49" w:right="198"/>
              <w:rPr>
                <w:sz w:val="18"/>
              </w:rPr>
            </w:pPr>
            <w:r>
              <w:rPr>
                <w:sz w:val="18"/>
              </w:rPr>
              <w:t>Los indicadores seleccionados para la caracterización y el diagnóstico de cada subsistema (natural, social, económico y urbano-regional), fueron probados mediante su aplicación en varios estudios de caso, a nivel estatal y a escala mesorregional, y finalmente, los que ofrecieron los mejores resultados fueron incorporados a la versión final de la Segunda Generación de Guías Metodológicas para la elaboración de PEOT (Palacio-Prieto y Sánchez-Salazar,</w:t>
            </w:r>
            <w:r>
              <w:rPr>
                <w:spacing w:val="-4"/>
                <w:sz w:val="18"/>
              </w:rPr>
              <w:t> </w:t>
            </w:r>
            <w:r>
              <w:rPr>
                <w:sz w:val="18"/>
              </w:rPr>
              <w:t>2004)</w:t>
            </w:r>
            <w:r>
              <w:rPr>
                <w:spacing w:val="-4"/>
                <w:sz w:val="18"/>
              </w:rPr>
              <w:t> </w:t>
            </w:r>
            <w:r>
              <w:rPr>
                <w:sz w:val="18"/>
              </w:rPr>
              <w:t>y</w:t>
            </w:r>
            <w:r>
              <w:rPr>
                <w:spacing w:val="-7"/>
                <w:sz w:val="18"/>
              </w:rPr>
              <w:t> </w:t>
            </w:r>
            <w:r>
              <w:rPr>
                <w:sz w:val="18"/>
              </w:rPr>
              <w:t>al</w:t>
            </w:r>
            <w:r>
              <w:rPr>
                <w:spacing w:val="-4"/>
                <w:sz w:val="18"/>
              </w:rPr>
              <w:t> </w:t>
            </w:r>
            <w:r>
              <w:rPr>
                <w:sz w:val="18"/>
              </w:rPr>
              <w:t>Esquema</w:t>
            </w:r>
            <w:r>
              <w:rPr>
                <w:spacing w:val="-5"/>
                <w:sz w:val="18"/>
              </w:rPr>
              <w:t> </w:t>
            </w:r>
            <w:r>
              <w:rPr>
                <w:sz w:val="18"/>
              </w:rPr>
              <w:t>Metodológico</w:t>
            </w:r>
            <w:r>
              <w:rPr>
                <w:spacing w:val="-6"/>
                <w:sz w:val="18"/>
              </w:rPr>
              <w:t> </w:t>
            </w:r>
            <w:r>
              <w:rPr>
                <w:sz w:val="18"/>
              </w:rPr>
              <w:t>diseñado</w:t>
            </w:r>
            <w:r>
              <w:rPr>
                <w:spacing w:val="-3"/>
                <w:sz w:val="18"/>
              </w:rPr>
              <w:t> </w:t>
            </w:r>
            <w:r>
              <w:rPr>
                <w:sz w:val="18"/>
              </w:rPr>
              <w:t>para</w:t>
            </w:r>
            <w:r>
              <w:rPr>
                <w:spacing w:val="-6"/>
                <w:sz w:val="18"/>
              </w:rPr>
              <w:t> </w:t>
            </w:r>
            <w:r>
              <w:rPr>
                <w:sz w:val="18"/>
              </w:rPr>
              <w:t>elaborar Programas Mesorregionales de Ordenamiento Territorial (Fases de Caracterización y</w:t>
            </w:r>
            <w:r>
              <w:rPr>
                <w:spacing w:val="-7"/>
                <w:sz w:val="18"/>
              </w:rPr>
              <w:t> </w:t>
            </w:r>
            <w:r>
              <w:rPr>
                <w:sz w:val="18"/>
              </w:rPr>
              <w:t>Diagnóstico).</w:t>
            </w:r>
          </w:p>
          <w:p>
            <w:pPr>
              <w:pStyle w:val="TableParagraph"/>
              <w:spacing w:before="6"/>
              <w:jc w:val="left"/>
              <w:rPr>
                <w:rFonts w:ascii="Arial"/>
                <w:b/>
                <w:sz w:val="24"/>
              </w:rPr>
            </w:pPr>
          </w:p>
          <w:p>
            <w:pPr>
              <w:pStyle w:val="TableParagraph"/>
              <w:ind w:left="49" w:right="198"/>
              <w:rPr>
                <w:sz w:val="18"/>
              </w:rPr>
            </w:pPr>
            <w:r>
              <w:rPr>
                <w:sz w:val="18"/>
              </w:rPr>
              <w:t>Entre</w:t>
            </w:r>
            <w:r>
              <w:rPr>
                <w:spacing w:val="-5"/>
                <w:sz w:val="18"/>
              </w:rPr>
              <w:t> </w:t>
            </w:r>
            <w:r>
              <w:rPr>
                <w:sz w:val="18"/>
              </w:rPr>
              <w:t>2004</w:t>
            </w:r>
            <w:r>
              <w:rPr>
                <w:spacing w:val="-3"/>
                <w:sz w:val="18"/>
              </w:rPr>
              <w:t> </w:t>
            </w:r>
            <w:r>
              <w:rPr>
                <w:sz w:val="18"/>
              </w:rPr>
              <w:t>y</w:t>
            </w:r>
            <w:r>
              <w:rPr>
                <w:spacing w:val="-8"/>
                <w:sz w:val="18"/>
              </w:rPr>
              <w:t> </w:t>
            </w:r>
            <w:r>
              <w:rPr>
                <w:sz w:val="18"/>
              </w:rPr>
              <w:t>2006</w:t>
            </w:r>
            <w:r>
              <w:rPr>
                <w:spacing w:val="-3"/>
                <w:sz w:val="18"/>
              </w:rPr>
              <w:t> </w:t>
            </w:r>
            <w:r>
              <w:rPr>
                <w:sz w:val="18"/>
              </w:rPr>
              <w:t>la</w:t>
            </w:r>
            <w:r>
              <w:rPr>
                <w:spacing w:val="-5"/>
                <w:sz w:val="18"/>
              </w:rPr>
              <w:t> </w:t>
            </w:r>
            <w:r>
              <w:rPr>
                <w:sz w:val="18"/>
              </w:rPr>
              <w:t>Secretaría</w:t>
            </w:r>
            <w:r>
              <w:rPr>
                <w:spacing w:val="-5"/>
                <w:sz w:val="18"/>
              </w:rPr>
              <w:t> </w:t>
            </w:r>
            <w:r>
              <w:rPr>
                <w:sz w:val="18"/>
              </w:rPr>
              <w:t>de</w:t>
            </w:r>
            <w:r>
              <w:rPr>
                <w:spacing w:val="-5"/>
                <w:sz w:val="18"/>
              </w:rPr>
              <w:t> </w:t>
            </w:r>
            <w:r>
              <w:rPr>
                <w:sz w:val="18"/>
              </w:rPr>
              <w:t>Desarrollo</w:t>
            </w:r>
            <w:r>
              <w:rPr>
                <w:spacing w:val="-3"/>
                <w:sz w:val="18"/>
              </w:rPr>
              <w:t> </w:t>
            </w:r>
            <w:r>
              <w:rPr>
                <w:sz w:val="18"/>
              </w:rPr>
              <w:t>Social</w:t>
            </w:r>
            <w:r>
              <w:rPr>
                <w:spacing w:val="-7"/>
                <w:sz w:val="18"/>
              </w:rPr>
              <w:t> </w:t>
            </w:r>
            <w:r>
              <w:rPr>
                <w:sz w:val="18"/>
              </w:rPr>
              <w:t>desarrolló</w:t>
            </w:r>
            <w:r>
              <w:rPr>
                <w:spacing w:val="-6"/>
                <w:sz w:val="18"/>
              </w:rPr>
              <w:t> </w:t>
            </w:r>
            <w:r>
              <w:rPr>
                <w:sz w:val="18"/>
              </w:rPr>
              <w:t>un</w:t>
            </w:r>
            <w:r>
              <w:rPr>
                <w:spacing w:val="-2"/>
                <w:sz w:val="18"/>
              </w:rPr>
              <w:t> </w:t>
            </w:r>
            <w:r>
              <w:rPr>
                <w:sz w:val="18"/>
              </w:rPr>
              <w:t>conjunto de tareas encaminadas a fortalecer la política de ordenamiento territorial en el país: se desarrollaron foros de discusión para fundamentar una propuesta sobre modificaciones legales en materia de ordenamiento territorial que diera sustento a la política; se modificó el reglamento interior de la SEDESOL lo cual dio lugar a la creación de la Dirección de Desarrollo Territorial en sustitución de la Dirección General de Ordenación del Territorio; el Instituto de Geografía de la UNAM elaboró un estudio de caracterización y diagnóstico a nivel nacional a fin de proporcionar los argumentos para la propuesta de una política territorial a nivel nacional, a partir</w:t>
            </w:r>
            <w:r>
              <w:rPr>
                <w:spacing w:val="-9"/>
                <w:sz w:val="18"/>
              </w:rPr>
              <w:t> </w:t>
            </w:r>
            <w:r>
              <w:rPr>
                <w:sz w:val="18"/>
              </w:rPr>
              <w:t>de</w:t>
            </w:r>
            <w:r>
              <w:rPr>
                <w:spacing w:val="-10"/>
                <w:sz w:val="18"/>
              </w:rPr>
              <w:t> </w:t>
            </w:r>
            <w:r>
              <w:rPr>
                <w:sz w:val="18"/>
              </w:rPr>
              <w:t>un</w:t>
            </w:r>
            <w:r>
              <w:rPr>
                <w:spacing w:val="-8"/>
                <w:sz w:val="18"/>
              </w:rPr>
              <w:t> </w:t>
            </w:r>
            <w:r>
              <w:rPr>
                <w:sz w:val="18"/>
              </w:rPr>
              <w:t>modelo</w:t>
            </w:r>
            <w:r>
              <w:rPr>
                <w:spacing w:val="-8"/>
                <w:sz w:val="18"/>
              </w:rPr>
              <w:t> </w:t>
            </w:r>
            <w:r>
              <w:rPr>
                <w:sz w:val="18"/>
              </w:rPr>
              <w:t>de</w:t>
            </w:r>
            <w:r>
              <w:rPr>
                <w:spacing w:val="-10"/>
                <w:sz w:val="18"/>
              </w:rPr>
              <w:t> </w:t>
            </w:r>
            <w:r>
              <w:rPr>
                <w:sz w:val="18"/>
              </w:rPr>
              <w:t>desarrollo</w:t>
            </w:r>
            <w:r>
              <w:rPr>
                <w:spacing w:val="-8"/>
                <w:sz w:val="18"/>
              </w:rPr>
              <w:t> </w:t>
            </w:r>
            <w:r>
              <w:rPr>
                <w:sz w:val="18"/>
              </w:rPr>
              <w:t>basado</w:t>
            </w:r>
            <w:r>
              <w:rPr>
                <w:spacing w:val="-6"/>
                <w:sz w:val="18"/>
              </w:rPr>
              <w:t> </w:t>
            </w:r>
            <w:r>
              <w:rPr>
                <w:sz w:val="18"/>
              </w:rPr>
              <w:t>en</w:t>
            </w:r>
            <w:r>
              <w:rPr>
                <w:spacing w:val="-6"/>
                <w:sz w:val="18"/>
              </w:rPr>
              <w:t> </w:t>
            </w:r>
            <w:r>
              <w:rPr>
                <w:sz w:val="18"/>
              </w:rPr>
              <w:t>el</w:t>
            </w:r>
            <w:r>
              <w:rPr>
                <w:spacing w:val="-9"/>
                <w:sz w:val="18"/>
              </w:rPr>
              <w:t> </w:t>
            </w:r>
            <w:r>
              <w:rPr>
                <w:sz w:val="18"/>
              </w:rPr>
              <w:t>territorio</w:t>
            </w:r>
            <w:r>
              <w:rPr>
                <w:spacing w:val="-7"/>
                <w:sz w:val="18"/>
              </w:rPr>
              <w:t> </w:t>
            </w:r>
            <w:r>
              <w:rPr>
                <w:sz w:val="18"/>
              </w:rPr>
              <w:t>como</w:t>
            </w:r>
            <w:r>
              <w:rPr>
                <w:spacing w:val="-6"/>
                <w:sz w:val="18"/>
              </w:rPr>
              <w:t> </w:t>
            </w:r>
            <w:r>
              <w:rPr>
                <w:sz w:val="18"/>
              </w:rPr>
              <w:t>articulador</w:t>
            </w:r>
            <w:r>
              <w:rPr>
                <w:spacing w:val="-9"/>
                <w:sz w:val="18"/>
              </w:rPr>
              <w:t> </w:t>
            </w:r>
            <w:r>
              <w:rPr>
                <w:sz w:val="18"/>
              </w:rPr>
              <w:t>de las políticas públicas sectoriales; este esfuerzo fue complementado con la celebración de un panel internacional de</w:t>
            </w:r>
            <w:r>
              <w:rPr>
                <w:spacing w:val="-10"/>
                <w:sz w:val="18"/>
              </w:rPr>
              <w:t> </w:t>
            </w:r>
            <w:r>
              <w:rPr>
                <w:sz w:val="18"/>
              </w:rPr>
              <w:t>discusión.</w:t>
            </w:r>
          </w:p>
          <w:p>
            <w:pPr>
              <w:pStyle w:val="TableParagraph"/>
              <w:spacing w:before="6"/>
              <w:jc w:val="left"/>
              <w:rPr>
                <w:rFonts w:ascii="Arial"/>
                <w:b/>
                <w:sz w:val="24"/>
              </w:rPr>
            </w:pPr>
          </w:p>
          <w:p>
            <w:pPr>
              <w:pStyle w:val="TableParagraph"/>
              <w:ind w:left="49" w:right="203"/>
              <w:rPr>
                <w:sz w:val="18"/>
              </w:rPr>
            </w:pPr>
            <w:r>
              <w:rPr>
                <w:sz w:val="18"/>
              </w:rPr>
              <w:t>De todos estos trabajos, derivó un documento de fundamentación de la propuesta de una política territorial nacional coordinado por el Instituto de Investigaciones Económicas de la UNAM y publicado en versión digital al final de la administración del Presidente Fox (hasta el momento no disponible para su consulta). Asimismo, como parte de la agenda de transversalidad del Instituto Nacional de Ecología-SEMARNAT y la SEDESOL, se constituyó un grupo técnico para integrar los términos de referencia y la metodología básica que permitiera desarrollar los</w:t>
            </w:r>
            <w:r>
              <w:rPr>
                <w:spacing w:val="-29"/>
                <w:sz w:val="18"/>
              </w:rPr>
              <w:t> </w:t>
            </w:r>
            <w:r>
              <w:rPr>
                <w:sz w:val="18"/>
              </w:rPr>
              <w:t>programas de ordenamiento ecológico y territorial (POET) a nivel municipal recientemente</w:t>
            </w:r>
            <w:r>
              <w:rPr>
                <w:spacing w:val="-4"/>
                <w:sz w:val="18"/>
              </w:rPr>
              <w:t> </w:t>
            </w:r>
            <w:r>
              <w:rPr>
                <w:sz w:val="18"/>
              </w:rPr>
              <w:t>iniciados.</w:t>
            </w:r>
          </w:p>
          <w:p>
            <w:pPr>
              <w:pStyle w:val="TableParagraph"/>
              <w:spacing w:before="4"/>
              <w:jc w:val="left"/>
              <w:rPr>
                <w:rFonts w:ascii="Arial"/>
                <w:b/>
                <w:sz w:val="25"/>
              </w:rPr>
            </w:pPr>
          </w:p>
          <w:p>
            <w:pPr>
              <w:pStyle w:val="TableParagraph"/>
              <w:spacing w:line="204" w:lineRule="exact"/>
              <w:ind w:left="49" w:right="207"/>
              <w:rPr>
                <w:b/>
                <w:sz w:val="18"/>
              </w:rPr>
            </w:pPr>
            <w:r>
              <w:rPr>
                <w:b/>
                <w:sz w:val="18"/>
              </w:rPr>
              <w:t>IV. Características de la segunda generación de guías metodológicas para la elaboración de PEOT.</w:t>
            </w:r>
          </w:p>
          <w:p>
            <w:pPr>
              <w:pStyle w:val="TableParagraph"/>
              <w:spacing w:before="11"/>
              <w:jc w:val="left"/>
              <w:rPr>
                <w:rFonts w:ascii="Arial"/>
                <w:b/>
                <w:sz w:val="23"/>
              </w:rPr>
            </w:pPr>
          </w:p>
          <w:p>
            <w:pPr>
              <w:pStyle w:val="TableParagraph"/>
              <w:ind w:left="49" w:right="204"/>
              <w:rPr>
                <w:sz w:val="18"/>
              </w:rPr>
            </w:pPr>
            <w:r>
              <w:rPr>
                <w:sz w:val="18"/>
              </w:rPr>
              <w:t>La versión metodológica más reciente para elaborar programas de ordenamiento territorial a nivel estatal presenta una serie de ventajas con relación a la primera generación de guías desarrolladas por el GIOT y el Instituto de Geografía. Entre ellas, destacan las siguientes:</w:t>
            </w:r>
          </w:p>
        </w:tc>
      </w:tr>
    </w:tbl>
    <w:p>
      <w:pPr>
        <w:spacing w:after="0"/>
        <w:rPr>
          <w:sz w:val="18"/>
        </w:rPr>
        <w:sectPr>
          <w:pgSz w:w="12240" w:h="15840"/>
          <w:pgMar w:top="1440" w:bottom="280" w:left="1400" w:right="1380"/>
        </w:sect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560"/>
        <w:gridCol w:w="5680"/>
      </w:tblGrid>
      <w:tr>
        <w:trPr>
          <w:trHeight w:val="12959" w:hRule="exact"/>
        </w:trPr>
        <w:tc>
          <w:tcPr>
            <w:tcW w:w="3560" w:type="dxa"/>
          </w:tcPr>
          <w:p>
            <w:pPr>
              <w:pStyle w:val="TableParagraph"/>
              <w:spacing w:line="183" w:lineRule="exact"/>
              <w:ind w:left="200"/>
              <w:rPr>
                <w:rFonts w:ascii="Arial" w:hAnsi="Arial"/>
                <w:sz w:val="18"/>
              </w:rPr>
            </w:pPr>
            <w:r>
              <w:rPr>
                <w:rFonts w:ascii="Arial" w:hAnsi="Arial"/>
                <w:sz w:val="18"/>
              </w:rPr>
              <w:t>filosóficas  totalmente diferentes,  al igual</w:t>
            </w:r>
          </w:p>
          <w:p>
            <w:pPr>
              <w:pStyle w:val="TableParagraph"/>
              <w:tabs>
                <w:tab w:pos="3415" w:val="left" w:leader="none"/>
              </w:tabs>
              <w:spacing w:before="2"/>
              <w:ind w:left="200" w:right="48"/>
              <w:rPr>
                <w:rFonts w:ascii="Arial" w:hAnsi="Arial"/>
                <w:sz w:val="18"/>
              </w:rPr>
            </w:pPr>
            <w:r>
              <w:rPr>
                <w:rFonts w:ascii="Arial" w:hAnsi="Arial"/>
                <w:sz w:val="18"/>
              </w:rPr>
              <w:t>que los efectos tangibles que ocasionan sobre el territorio. Los objetivos que persigue la globalización económica –los del capital y de las grandes empresas trasnacionales- son opuestos a los del desarrollo sostenible –los colectivos y del interés público-, de ahí la enorme dificultad que representa, cuando se</w:t>
            </w:r>
            <w:r>
              <w:rPr>
                <w:rFonts w:ascii="Arial" w:hAnsi="Arial"/>
                <w:spacing w:val="-19"/>
                <w:sz w:val="18"/>
              </w:rPr>
              <w:t> </w:t>
            </w:r>
            <w:r>
              <w:rPr>
                <w:rFonts w:ascii="Arial" w:hAnsi="Arial"/>
                <w:sz w:val="18"/>
              </w:rPr>
              <w:t>trata de poner en práctica una política territorial, intentar conciliar los enfoques ambientalista/conservacionista</w:t>
              <w:tab/>
              <w:t>y economicista/desarrollista de la planeación, pasando por aquellos que buscan el mejoramiento de los niveles de bienestar y de la calidad de vida de la población. Lo que sí constituye una necesidad urgente, es convertir a la planeación en parte de la vida institucional en todos los sectores y a todos los niveles gubernamentales, y dado que todas las políticas sectoriales tienen como denominador común su concreción final sobre un territorio determinado, sería lógico tomar al territorio como eje central de toda la política ordenadora, asumiendo ésta un carácter integral o global, tal como lo concibe el ordenamiento</w:t>
            </w:r>
            <w:r>
              <w:rPr>
                <w:rFonts w:ascii="Arial" w:hAnsi="Arial"/>
                <w:spacing w:val="-16"/>
                <w:sz w:val="18"/>
              </w:rPr>
              <w:t> </w:t>
            </w:r>
            <w:r>
              <w:rPr>
                <w:rFonts w:ascii="Arial" w:hAnsi="Arial"/>
                <w:sz w:val="18"/>
              </w:rPr>
              <w:t>territorial.</w:t>
            </w:r>
          </w:p>
          <w:p>
            <w:pPr>
              <w:pStyle w:val="TableParagraph"/>
              <w:spacing w:before="7"/>
              <w:jc w:val="left"/>
              <w:rPr>
                <w:rFonts w:ascii="Arial"/>
                <w:b/>
                <w:sz w:val="24"/>
              </w:rPr>
            </w:pPr>
          </w:p>
          <w:p>
            <w:pPr>
              <w:pStyle w:val="TableParagraph"/>
              <w:spacing w:line="204" w:lineRule="exact" w:before="1"/>
              <w:ind w:left="200" w:right="49"/>
              <w:rPr>
                <w:rFonts w:ascii="Arial"/>
                <w:b/>
                <w:sz w:val="18"/>
              </w:rPr>
            </w:pPr>
            <w:r>
              <w:rPr>
                <w:rFonts w:ascii="Arial"/>
                <w:b/>
                <w:sz w:val="18"/>
              </w:rPr>
              <w:t>II. Concepto de ordenamiento territorial.</w:t>
            </w:r>
          </w:p>
          <w:p>
            <w:pPr>
              <w:pStyle w:val="TableParagraph"/>
              <w:spacing w:before="8"/>
              <w:jc w:val="left"/>
              <w:rPr>
                <w:rFonts w:ascii="Arial"/>
                <w:b/>
                <w:sz w:val="24"/>
              </w:rPr>
            </w:pPr>
          </w:p>
          <w:p>
            <w:pPr>
              <w:pStyle w:val="TableParagraph"/>
              <w:ind w:left="200" w:right="48"/>
              <w:rPr>
                <w:rFonts w:ascii="Arial" w:hAnsi="Arial"/>
                <w:sz w:val="18"/>
              </w:rPr>
            </w:pPr>
            <w:r>
              <w:rPr>
                <w:rFonts w:ascii="Arial" w:hAnsi="Arial"/>
                <w:sz w:val="18"/>
              </w:rPr>
              <w:t>La</w:t>
            </w:r>
            <w:r>
              <w:rPr>
                <w:rFonts w:ascii="Arial" w:hAnsi="Arial"/>
                <w:spacing w:val="-13"/>
                <w:sz w:val="18"/>
              </w:rPr>
              <w:t> </w:t>
            </w:r>
            <w:r>
              <w:rPr>
                <w:rFonts w:ascii="Arial" w:hAnsi="Arial"/>
                <w:sz w:val="18"/>
              </w:rPr>
              <w:t>noción</w:t>
            </w:r>
            <w:r>
              <w:rPr>
                <w:rFonts w:ascii="Arial" w:hAnsi="Arial"/>
                <w:spacing w:val="-13"/>
                <w:sz w:val="18"/>
              </w:rPr>
              <w:t> </w:t>
            </w:r>
            <w:r>
              <w:rPr>
                <w:rFonts w:ascii="Arial" w:hAnsi="Arial"/>
                <w:sz w:val="18"/>
              </w:rPr>
              <w:t>de</w:t>
            </w:r>
            <w:r>
              <w:rPr>
                <w:rFonts w:ascii="Arial" w:hAnsi="Arial"/>
                <w:spacing w:val="-13"/>
                <w:sz w:val="18"/>
              </w:rPr>
              <w:t> </w:t>
            </w:r>
            <w:r>
              <w:rPr>
                <w:rFonts w:ascii="Arial" w:hAnsi="Arial"/>
                <w:sz w:val="18"/>
              </w:rPr>
              <w:t>ordenamiento</w:t>
            </w:r>
            <w:r>
              <w:rPr>
                <w:rFonts w:ascii="Arial" w:hAnsi="Arial"/>
                <w:spacing w:val="-13"/>
                <w:sz w:val="18"/>
              </w:rPr>
              <w:t> </w:t>
            </w:r>
            <w:r>
              <w:rPr>
                <w:rFonts w:ascii="Arial" w:hAnsi="Arial"/>
                <w:sz w:val="18"/>
              </w:rPr>
              <w:t>territorial</w:t>
            </w:r>
            <w:r>
              <w:rPr>
                <w:rFonts w:ascii="Arial" w:hAnsi="Arial"/>
                <w:spacing w:val="-13"/>
                <w:sz w:val="18"/>
              </w:rPr>
              <w:t> </w:t>
            </w:r>
            <w:r>
              <w:rPr>
                <w:rFonts w:ascii="Arial" w:hAnsi="Arial"/>
                <w:sz w:val="18"/>
              </w:rPr>
              <w:t>(OT) aún se encuentra en evolución en cuanto a sus objetivos, alcances y métodos, de ahí que no exista un criterio unificado en relación con su conceptualización. Los primeros planes de ordenamiento territorial a escalas inferiores al nivel nacional, se elaboraron en Europa en el decenio de 1930 a consecuencia de los efectos</w:t>
            </w:r>
            <w:r>
              <w:rPr>
                <w:rFonts w:ascii="Arial" w:hAnsi="Arial"/>
                <w:spacing w:val="-11"/>
                <w:sz w:val="18"/>
              </w:rPr>
              <w:t> </w:t>
            </w:r>
            <w:r>
              <w:rPr>
                <w:rFonts w:ascii="Arial" w:hAnsi="Arial"/>
                <w:sz w:val="18"/>
              </w:rPr>
              <w:t>económicos</w:t>
            </w:r>
            <w:r>
              <w:rPr>
                <w:rFonts w:ascii="Arial" w:hAnsi="Arial"/>
                <w:spacing w:val="-11"/>
                <w:sz w:val="18"/>
              </w:rPr>
              <w:t> </w:t>
            </w:r>
            <w:r>
              <w:rPr>
                <w:rFonts w:ascii="Arial" w:hAnsi="Arial"/>
                <w:sz w:val="18"/>
              </w:rPr>
              <w:t>de</w:t>
            </w:r>
            <w:r>
              <w:rPr>
                <w:rFonts w:ascii="Arial" w:hAnsi="Arial"/>
                <w:spacing w:val="-11"/>
                <w:sz w:val="18"/>
              </w:rPr>
              <w:t> </w:t>
            </w:r>
            <w:r>
              <w:rPr>
                <w:rFonts w:ascii="Arial" w:hAnsi="Arial"/>
                <w:sz w:val="18"/>
              </w:rPr>
              <w:t>la</w:t>
            </w:r>
            <w:r>
              <w:rPr>
                <w:rFonts w:ascii="Arial" w:hAnsi="Arial"/>
                <w:spacing w:val="-11"/>
                <w:sz w:val="18"/>
              </w:rPr>
              <w:t> </w:t>
            </w:r>
            <w:r>
              <w:rPr>
                <w:rFonts w:ascii="Arial" w:hAnsi="Arial"/>
                <w:sz w:val="18"/>
              </w:rPr>
              <w:t>Gran</w:t>
            </w:r>
            <w:r>
              <w:rPr>
                <w:rFonts w:ascii="Arial" w:hAnsi="Arial"/>
                <w:spacing w:val="-13"/>
                <w:sz w:val="18"/>
              </w:rPr>
              <w:t> </w:t>
            </w:r>
            <w:r>
              <w:rPr>
                <w:rFonts w:ascii="Arial" w:hAnsi="Arial"/>
                <w:sz w:val="18"/>
              </w:rPr>
              <w:t>Depresión en países como Alemania y Suiza, en tanto que los primeros planes nacionales de</w:t>
            </w:r>
            <w:r>
              <w:rPr>
                <w:rFonts w:ascii="Arial" w:hAnsi="Arial"/>
                <w:spacing w:val="-11"/>
                <w:sz w:val="18"/>
              </w:rPr>
              <w:t> </w:t>
            </w:r>
            <w:r>
              <w:rPr>
                <w:rFonts w:ascii="Arial" w:hAnsi="Arial"/>
                <w:sz w:val="18"/>
              </w:rPr>
              <w:t>OT</w:t>
            </w:r>
            <w:r>
              <w:rPr>
                <w:rFonts w:ascii="Arial" w:hAnsi="Arial"/>
                <w:spacing w:val="-14"/>
                <w:sz w:val="18"/>
              </w:rPr>
              <w:t> </w:t>
            </w:r>
            <w:r>
              <w:rPr>
                <w:rFonts w:ascii="Arial" w:hAnsi="Arial"/>
                <w:sz w:val="18"/>
              </w:rPr>
              <w:t>datan</w:t>
            </w:r>
            <w:r>
              <w:rPr>
                <w:rFonts w:ascii="Arial" w:hAnsi="Arial"/>
                <w:spacing w:val="-14"/>
                <w:sz w:val="18"/>
              </w:rPr>
              <w:t> </w:t>
            </w:r>
            <w:r>
              <w:rPr>
                <w:rFonts w:ascii="Arial" w:hAnsi="Arial"/>
                <w:sz w:val="18"/>
              </w:rPr>
              <w:t>de</w:t>
            </w:r>
            <w:r>
              <w:rPr>
                <w:rFonts w:ascii="Arial" w:hAnsi="Arial"/>
                <w:spacing w:val="-14"/>
                <w:sz w:val="18"/>
              </w:rPr>
              <w:t> </w:t>
            </w:r>
            <w:r>
              <w:rPr>
                <w:rFonts w:ascii="Arial" w:hAnsi="Arial"/>
                <w:sz w:val="18"/>
              </w:rPr>
              <w:t>los</w:t>
            </w:r>
            <w:r>
              <w:rPr>
                <w:rFonts w:ascii="Arial" w:hAnsi="Arial"/>
                <w:spacing w:val="-13"/>
                <w:sz w:val="18"/>
              </w:rPr>
              <w:t> </w:t>
            </w:r>
            <w:r>
              <w:rPr>
                <w:rFonts w:ascii="Arial" w:hAnsi="Arial"/>
                <w:sz w:val="18"/>
              </w:rPr>
              <w:t>años</w:t>
            </w:r>
            <w:r>
              <w:rPr>
                <w:rFonts w:ascii="Arial" w:hAnsi="Arial"/>
                <w:spacing w:val="-13"/>
                <w:sz w:val="18"/>
              </w:rPr>
              <w:t> </w:t>
            </w:r>
            <w:r>
              <w:rPr>
                <w:rFonts w:ascii="Arial" w:hAnsi="Arial"/>
                <w:sz w:val="18"/>
              </w:rPr>
              <w:t>1950s</w:t>
            </w:r>
            <w:r>
              <w:rPr>
                <w:rFonts w:ascii="Arial" w:hAnsi="Arial"/>
                <w:spacing w:val="-13"/>
                <w:sz w:val="18"/>
              </w:rPr>
              <w:t> </w:t>
            </w:r>
            <w:r>
              <w:rPr>
                <w:rFonts w:ascii="Arial" w:hAnsi="Arial"/>
                <w:sz w:val="18"/>
              </w:rPr>
              <w:t>cuando</w:t>
            </w:r>
            <w:r>
              <w:rPr>
                <w:rFonts w:ascii="Arial" w:hAnsi="Arial"/>
                <w:spacing w:val="-13"/>
                <w:sz w:val="18"/>
              </w:rPr>
              <w:t> </w:t>
            </w:r>
            <w:r>
              <w:rPr>
                <w:rFonts w:ascii="Arial" w:hAnsi="Arial"/>
                <w:sz w:val="18"/>
              </w:rPr>
              <w:t>se inició la reconstrucción económica de los amplios territorios devastados por la Segunda Guerra Mundial. En el decenio siguiente, que coincide con la época dorada del desarrollo de estas políticas, se decretaron las primeras leyes orgánicas de OT a nivel nacional y el proceso se consolidó en los años 1980s, cuando la Conferencia de Ministros Responsables de Política Regional y Ordenación del Territorio elaboró la</w:t>
            </w:r>
            <w:r>
              <w:rPr>
                <w:rFonts w:ascii="Arial" w:hAnsi="Arial"/>
                <w:spacing w:val="-27"/>
                <w:sz w:val="18"/>
              </w:rPr>
              <w:t> </w:t>
            </w:r>
            <w:r>
              <w:rPr>
                <w:rFonts w:ascii="Arial" w:hAnsi="Arial"/>
                <w:sz w:val="18"/>
              </w:rPr>
              <w:t>Carta Europea de Ordenación del Territorio, en que se señalan como objetivos fundamentales del ordenamiento el desarrollo socioeconómico equilibrado</w:t>
            </w:r>
            <w:r>
              <w:rPr>
                <w:rFonts w:ascii="Arial" w:hAnsi="Arial"/>
                <w:spacing w:val="-22"/>
                <w:sz w:val="18"/>
              </w:rPr>
              <w:t> </w:t>
            </w:r>
            <w:r>
              <w:rPr>
                <w:rFonts w:ascii="Arial" w:hAnsi="Arial"/>
                <w:sz w:val="18"/>
              </w:rPr>
              <w:t>de las regiones, la mejora de la calidad   </w:t>
            </w:r>
            <w:r>
              <w:rPr>
                <w:rFonts w:ascii="Arial" w:hAnsi="Arial"/>
                <w:spacing w:val="20"/>
                <w:sz w:val="18"/>
              </w:rPr>
              <w:t> </w:t>
            </w:r>
            <w:r>
              <w:rPr>
                <w:rFonts w:ascii="Arial" w:hAnsi="Arial"/>
                <w:sz w:val="18"/>
              </w:rPr>
              <w:t>de</w:t>
            </w:r>
          </w:p>
        </w:tc>
        <w:tc>
          <w:tcPr>
            <w:tcW w:w="5680" w:type="dxa"/>
          </w:tcPr>
          <w:p>
            <w:pPr>
              <w:pStyle w:val="TableParagraph"/>
              <w:numPr>
                <w:ilvl w:val="0"/>
                <w:numId w:val="4"/>
              </w:numPr>
              <w:tabs>
                <w:tab w:pos="984" w:val="left" w:leader="none"/>
              </w:tabs>
              <w:spacing w:line="179" w:lineRule="exact" w:before="0" w:after="0"/>
              <w:ind w:left="770" w:right="0" w:firstLine="0"/>
              <w:jc w:val="both"/>
              <w:rPr>
                <w:sz w:val="18"/>
              </w:rPr>
            </w:pPr>
            <w:r>
              <w:rPr>
                <w:sz w:val="18"/>
              </w:rPr>
              <w:t>La adición de un  marco  teórico-conceptual  general  sobre</w:t>
            </w:r>
            <w:r>
              <w:rPr>
                <w:spacing w:val="33"/>
                <w:sz w:val="18"/>
              </w:rPr>
              <w:t> </w:t>
            </w:r>
            <w:r>
              <w:rPr>
                <w:sz w:val="18"/>
              </w:rPr>
              <w:t>el</w:t>
            </w:r>
          </w:p>
          <w:p>
            <w:pPr>
              <w:pStyle w:val="TableParagraph"/>
              <w:spacing w:before="2"/>
              <w:ind w:left="770" w:right="204"/>
              <w:rPr>
                <w:sz w:val="18"/>
              </w:rPr>
            </w:pPr>
            <w:r>
              <w:rPr>
                <w:sz w:val="18"/>
              </w:rPr>
              <w:t>ordenamiento territorial que da unidad y congruencia a toda la metodología.</w:t>
            </w:r>
          </w:p>
          <w:p>
            <w:pPr>
              <w:pStyle w:val="TableParagraph"/>
              <w:numPr>
                <w:ilvl w:val="0"/>
                <w:numId w:val="4"/>
              </w:numPr>
              <w:tabs>
                <w:tab w:pos="1080" w:val="left" w:leader="none"/>
              </w:tabs>
              <w:spacing w:line="240" w:lineRule="auto" w:before="0" w:after="0"/>
              <w:ind w:left="770" w:right="201" w:firstLine="0"/>
              <w:jc w:val="both"/>
              <w:rPr>
                <w:sz w:val="18"/>
              </w:rPr>
            </w:pPr>
            <w:r>
              <w:rPr>
                <w:sz w:val="18"/>
              </w:rPr>
              <w:t>La articulación adecuada entre las cuatro fases del ordenamiento territorial: caracterización, diagnósticos sectoriales e</w:t>
            </w:r>
            <w:r>
              <w:rPr>
                <w:spacing w:val="-9"/>
                <w:sz w:val="18"/>
              </w:rPr>
              <w:t> </w:t>
            </w:r>
            <w:r>
              <w:rPr>
                <w:sz w:val="18"/>
              </w:rPr>
              <w:t>integrado,</w:t>
            </w:r>
            <w:r>
              <w:rPr>
                <w:spacing w:val="-8"/>
                <w:sz w:val="18"/>
              </w:rPr>
              <w:t> </w:t>
            </w:r>
            <w:r>
              <w:rPr>
                <w:sz w:val="18"/>
              </w:rPr>
              <w:t>diseño</w:t>
            </w:r>
            <w:r>
              <w:rPr>
                <w:spacing w:val="-7"/>
                <w:sz w:val="18"/>
              </w:rPr>
              <w:t> </w:t>
            </w:r>
            <w:r>
              <w:rPr>
                <w:sz w:val="18"/>
              </w:rPr>
              <w:t>de</w:t>
            </w:r>
            <w:r>
              <w:rPr>
                <w:spacing w:val="-9"/>
                <w:sz w:val="18"/>
              </w:rPr>
              <w:t> </w:t>
            </w:r>
            <w:r>
              <w:rPr>
                <w:sz w:val="18"/>
              </w:rPr>
              <w:t>escenarios</w:t>
            </w:r>
            <w:r>
              <w:rPr>
                <w:spacing w:val="-11"/>
                <w:sz w:val="18"/>
              </w:rPr>
              <w:t> </w:t>
            </w:r>
            <w:r>
              <w:rPr>
                <w:sz w:val="18"/>
              </w:rPr>
              <w:t>y</w:t>
            </w:r>
            <w:r>
              <w:rPr>
                <w:spacing w:val="-9"/>
                <w:sz w:val="18"/>
              </w:rPr>
              <w:t> </w:t>
            </w:r>
            <w:r>
              <w:rPr>
                <w:sz w:val="18"/>
              </w:rPr>
              <w:t>formulación</w:t>
            </w:r>
            <w:r>
              <w:rPr>
                <w:spacing w:val="-7"/>
                <w:sz w:val="18"/>
              </w:rPr>
              <w:t> </w:t>
            </w:r>
            <w:r>
              <w:rPr>
                <w:sz w:val="18"/>
              </w:rPr>
              <w:t>de</w:t>
            </w:r>
            <w:r>
              <w:rPr>
                <w:spacing w:val="-9"/>
                <w:sz w:val="18"/>
              </w:rPr>
              <w:t> </w:t>
            </w:r>
            <w:r>
              <w:rPr>
                <w:sz w:val="18"/>
              </w:rPr>
              <w:t>los</w:t>
            </w:r>
            <w:r>
              <w:rPr>
                <w:spacing w:val="-8"/>
                <w:sz w:val="18"/>
              </w:rPr>
              <w:t> </w:t>
            </w:r>
            <w:r>
              <w:rPr>
                <w:sz w:val="18"/>
              </w:rPr>
              <w:t>modelos</w:t>
            </w:r>
            <w:r>
              <w:rPr>
                <w:spacing w:val="-8"/>
                <w:sz w:val="18"/>
              </w:rPr>
              <w:t> </w:t>
            </w:r>
            <w:r>
              <w:rPr>
                <w:sz w:val="18"/>
              </w:rPr>
              <w:t>de uso   y   ocupación   del   territorio   y   de   desarrollo   </w:t>
            </w:r>
            <w:r>
              <w:rPr>
                <w:spacing w:val="14"/>
                <w:sz w:val="18"/>
              </w:rPr>
              <w:t> </w:t>
            </w:r>
            <w:r>
              <w:rPr>
                <w:sz w:val="18"/>
              </w:rPr>
              <w:t>regional.</w:t>
            </w:r>
          </w:p>
          <w:p>
            <w:pPr>
              <w:pStyle w:val="TableParagraph"/>
              <w:numPr>
                <w:ilvl w:val="0"/>
                <w:numId w:val="4"/>
              </w:numPr>
              <w:tabs>
                <w:tab w:pos="984" w:val="left" w:leader="none"/>
              </w:tabs>
              <w:spacing w:line="240" w:lineRule="auto" w:before="0" w:after="0"/>
              <w:ind w:left="770" w:right="202" w:firstLine="0"/>
              <w:jc w:val="both"/>
              <w:rPr>
                <w:sz w:val="18"/>
              </w:rPr>
            </w:pPr>
            <w:r>
              <w:rPr>
                <w:sz w:val="18"/>
              </w:rPr>
              <w:t>La incorporación de un capítulo con lineamientos generales para incorporar al PEOT un apartado sobre marco jurídico e institucional.</w:t>
            </w:r>
          </w:p>
          <w:p>
            <w:pPr>
              <w:pStyle w:val="TableParagraph"/>
              <w:numPr>
                <w:ilvl w:val="0"/>
                <w:numId w:val="4"/>
              </w:numPr>
              <w:tabs>
                <w:tab w:pos="965" w:val="left" w:leader="none"/>
              </w:tabs>
              <w:spacing w:line="240" w:lineRule="auto" w:before="0" w:after="0"/>
              <w:ind w:left="770" w:right="198" w:firstLine="0"/>
              <w:jc w:val="both"/>
              <w:rPr>
                <w:sz w:val="18"/>
              </w:rPr>
            </w:pPr>
            <w:r>
              <w:rPr>
                <w:sz w:val="18"/>
              </w:rPr>
              <w:t>La</w:t>
            </w:r>
            <w:r>
              <w:rPr>
                <w:spacing w:val="-5"/>
                <w:sz w:val="18"/>
              </w:rPr>
              <w:t> </w:t>
            </w:r>
            <w:r>
              <w:rPr>
                <w:sz w:val="18"/>
              </w:rPr>
              <w:t>inclusión</w:t>
            </w:r>
            <w:r>
              <w:rPr>
                <w:spacing w:val="-6"/>
                <w:sz w:val="18"/>
              </w:rPr>
              <w:t> </w:t>
            </w:r>
            <w:r>
              <w:rPr>
                <w:sz w:val="18"/>
              </w:rPr>
              <w:t>de</w:t>
            </w:r>
            <w:r>
              <w:rPr>
                <w:spacing w:val="-5"/>
                <w:sz w:val="18"/>
              </w:rPr>
              <w:t> </w:t>
            </w:r>
            <w:r>
              <w:rPr>
                <w:sz w:val="18"/>
              </w:rPr>
              <w:t>cuatro</w:t>
            </w:r>
            <w:r>
              <w:rPr>
                <w:spacing w:val="-3"/>
                <w:sz w:val="18"/>
              </w:rPr>
              <w:t> </w:t>
            </w:r>
            <w:r>
              <w:rPr>
                <w:sz w:val="18"/>
              </w:rPr>
              <w:t>subsistemas</w:t>
            </w:r>
            <w:r>
              <w:rPr>
                <w:spacing w:val="-5"/>
                <w:sz w:val="18"/>
              </w:rPr>
              <w:t> </w:t>
            </w:r>
            <w:r>
              <w:rPr>
                <w:sz w:val="18"/>
              </w:rPr>
              <w:t>en</w:t>
            </w:r>
            <w:r>
              <w:rPr>
                <w:spacing w:val="-3"/>
                <w:sz w:val="18"/>
              </w:rPr>
              <w:t> </w:t>
            </w:r>
            <w:r>
              <w:rPr>
                <w:sz w:val="18"/>
              </w:rPr>
              <w:t>lugar</w:t>
            </w:r>
            <w:r>
              <w:rPr>
                <w:spacing w:val="-4"/>
                <w:sz w:val="18"/>
              </w:rPr>
              <w:t> </w:t>
            </w:r>
            <w:r>
              <w:rPr>
                <w:sz w:val="18"/>
              </w:rPr>
              <w:t>de</w:t>
            </w:r>
            <w:r>
              <w:rPr>
                <w:spacing w:val="-7"/>
                <w:sz w:val="18"/>
              </w:rPr>
              <w:t> </w:t>
            </w:r>
            <w:r>
              <w:rPr>
                <w:sz w:val="18"/>
              </w:rPr>
              <w:t>tres,</w:t>
            </w:r>
            <w:r>
              <w:rPr>
                <w:spacing w:val="-4"/>
                <w:sz w:val="18"/>
              </w:rPr>
              <w:t> </w:t>
            </w:r>
            <w:r>
              <w:rPr>
                <w:sz w:val="18"/>
              </w:rPr>
              <w:t>a</w:t>
            </w:r>
            <w:r>
              <w:rPr>
                <w:spacing w:val="-7"/>
                <w:sz w:val="18"/>
              </w:rPr>
              <w:t> </w:t>
            </w:r>
            <w:r>
              <w:rPr>
                <w:sz w:val="18"/>
              </w:rPr>
              <w:t>la</w:t>
            </w:r>
            <w:r>
              <w:rPr>
                <w:spacing w:val="-5"/>
                <w:sz w:val="18"/>
              </w:rPr>
              <w:t> </w:t>
            </w:r>
            <w:r>
              <w:rPr>
                <w:sz w:val="18"/>
              </w:rPr>
              <w:t>fase</w:t>
            </w:r>
            <w:r>
              <w:rPr>
                <w:spacing w:val="-5"/>
                <w:sz w:val="18"/>
              </w:rPr>
              <w:t> </w:t>
            </w:r>
            <w:r>
              <w:rPr>
                <w:sz w:val="18"/>
              </w:rPr>
              <w:t>de análisis territorial, al separar el subsistema social del urbano- regional.</w:t>
            </w:r>
          </w:p>
          <w:p>
            <w:pPr>
              <w:pStyle w:val="TableParagraph"/>
              <w:numPr>
                <w:ilvl w:val="0"/>
                <w:numId w:val="4"/>
              </w:numPr>
              <w:tabs>
                <w:tab w:pos="953" w:val="left" w:leader="none"/>
              </w:tabs>
              <w:spacing w:line="240" w:lineRule="auto" w:before="2" w:after="0"/>
              <w:ind w:left="770" w:right="201" w:firstLine="0"/>
              <w:jc w:val="both"/>
              <w:rPr>
                <w:sz w:val="18"/>
              </w:rPr>
            </w:pPr>
            <w:r>
              <w:rPr>
                <w:sz w:val="18"/>
              </w:rPr>
              <w:t>La</w:t>
            </w:r>
            <w:r>
              <w:rPr>
                <w:spacing w:val="-5"/>
                <w:sz w:val="18"/>
              </w:rPr>
              <w:t> </w:t>
            </w:r>
            <w:r>
              <w:rPr>
                <w:sz w:val="18"/>
              </w:rPr>
              <w:t>incorporación</w:t>
            </w:r>
            <w:r>
              <w:rPr>
                <w:spacing w:val="-6"/>
                <w:sz w:val="18"/>
              </w:rPr>
              <w:t> </w:t>
            </w:r>
            <w:r>
              <w:rPr>
                <w:sz w:val="18"/>
              </w:rPr>
              <w:t>de</w:t>
            </w:r>
            <w:r>
              <w:rPr>
                <w:spacing w:val="-7"/>
                <w:sz w:val="18"/>
              </w:rPr>
              <w:t> </w:t>
            </w:r>
            <w:r>
              <w:rPr>
                <w:sz w:val="18"/>
              </w:rPr>
              <w:t>una</w:t>
            </w:r>
            <w:r>
              <w:rPr>
                <w:spacing w:val="-5"/>
                <w:sz w:val="18"/>
              </w:rPr>
              <w:t> </w:t>
            </w:r>
            <w:r>
              <w:rPr>
                <w:sz w:val="18"/>
              </w:rPr>
              <w:t>estructura</w:t>
            </w:r>
            <w:r>
              <w:rPr>
                <w:spacing w:val="-5"/>
                <w:sz w:val="18"/>
              </w:rPr>
              <w:t> </w:t>
            </w:r>
            <w:r>
              <w:rPr>
                <w:sz w:val="18"/>
              </w:rPr>
              <w:t>más</w:t>
            </w:r>
            <w:r>
              <w:rPr>
                <w:spacing w:val="-5"/>
                <w:sz w:val="18"/>
              </w:rPr>
              <w:t> </w:t>
            </w:r>
            <w:r>
              <w:rPr>
                <w:sz w:val="18"/>
              </w:rPr>
              <w:t>ordenada</w:t>
            </w:r>
            <w:r>
              <w:rPr>
                <w:spacing w:val="-5"/>
                <w:sz w:val="18"/>
              </w:rPr>
              <w:t> </w:t>
            </w:r>
            <w:r>
              <w:rPr>
                <w:sz w:val="18"/>
              </w:rPr>
              <w:t>y</w:t>
            </w:r>
            <w:r>
              <w:rPr>
                <w:spacing w:val="-7"/>
                <w:sz w:val="18"/>
              </w:rPr>
              <w:t> </w:t>
            </w:r>
            <w:r>
              <w:rPr>
                <w:sz w:val="18"/>
              </w:rPr>
              <w:t>lógica</w:t>
            </w:r>
            <w:r>
              <w:rPr>
                <w:spacing w:val="-5"/>
                <w:sz w:val="18"/>
              </w:rPr>
              <w:t> </w:t>
            </w:r>
            <w:r>
              <w:rPr>
                <w:sz w:val="18"/>
              </w:rPr>
              <w:t>en</w:t>
            </w:r>
            <w:r>
              <w:rPr>
                <w:spacing w:val="-6"/>
                <w:sz w:val="18"/>
              </w:rPr>
              <w:t> </w:t>
            </w:r>
            <w:r>
              <w:rPr>
                <w:sz w:val="18"/>
              </w:rPr>
              <w:t>el contenido  temático  de  los  distintos  subsistemas  del</w:t>
            </w:r>
            <w:r>
              <w:rPr>
                <w:spacing w:val="23"/>
                <w:sz w:val="18"/>
              </w:rPr>
              <w:t> </w:t>
            </w:r>
            <w:r>
              <w:rPr>
                <w:sz w:val="18"/>
              </w:rPr>
              <w:t>territorio.</w:t>
            </w:r>
          </w:p>
          <w:p>
            <w:pPr>
              <w:pStyle w:val="TableParagraph"/>
              <w:numPr>
                <w:ilvl w:val="0"/>
                <w:numId w:val="4"/>
              </w:numPr>
              <w:tabs>
                <w:tab w:pos="968" w:val="left" w:leader="none"/>
                <w:tab w:pos="2065" w:val="left" w:leader="none"/>
                <w:tab w:pos="2708" w:val="left" w:leader="none"/>
                <w:tab w:pos="3399" w:val="left" w:leader="none"/>
                <w:tab w:pos="4402" w:val="left" w:leader="none"/>
              </w:tabs>
              <w:spacing w:line="240" w:lineRule="auto" w:before="0" w:after="0"/>
              <w:ind w:left="770" w:right="200" w:firstLine="0"/>
              <w:jc w:val="both"/>
              <w:rPr>
                <w:sz w:val="18"/>
              </w:rPr>
            </w:pPr>
            <w:r>
              <w:rPr>
                <w:sz w:val="18"/>
              </w:rPr>
              <w:t>La simplificación de las unidades de paisaje a partir de las unidades geomorfológicas definidas a nivel nacional, para facilitar su interpretación y garantizar su continuidad territorial al hacer</w:t>
            </w:r>
            <w:r>
              <w:rPr>
                <w:spacing w:val="-10"/>
                <w:sz w:val="18"/>
              </w:rPr>
              <w:t> </w:t>
            </w:r>
            <w:r>
              <w:rPr>
                <w:sz w:val="18"/>
              </w:rPr>
              <w:t>comparaciones</w:t>
            </w:r>
            <w:r>
              <w:rPr>
                <w:spacing w:val="-10"/>
                <w:sz w:val="18"/>
              </w:rPr>
              <w:t> </w:t>
            </w:r>
            <w:r>
              <w:rPr>
                <w:sz w:val="18"/>
              </w:rPr>
              <w:t>con</w:t>
            </w:r>
            <w:r>
              <w:rPr>
                <w:spacing w:val="-9"/>
                <w:sz w:val="18"/>
              </w:rPr>
              <w:t> </w:t>
            </w:r>
            <w:r>
              <w:rPr>
                <w:sz w:val="18"/>
              </w:rPr>
              <w:t>otras</w:t>
            </w:r>
            <w:r>
              <w:rPr>
                <w:spacing w:val="-11"/>
                <w:sz w:val="18"/>
              </w:rPr>
              <w:t> </w:t>
            </w:r>
            <w:r>
              <w:rPr>
                <w:sz w:val="18"/>
              </w:rPr>
              <w:t>entidades</w:t>
            </w:r>
            <w:r>
              <w:rPr>
                <w:spacing w:val="-10"/>
                <w:sz w:val="18"/>
              </w:rPr>
              <w:t> </w:t>
            </w:r>
            <w:r>
              <w:rPr>
                <w:sz w:val="18"/>
              </w:rPr>
              <w:t>federativas</w:t>
            </w:r>
            <w:r>
              <w:rPr>
                <w:spacing w:val="-10"/>
                <w:sz w:val="18"/>
              </w:rPr>
              <w:t> </w:t>
            </w:r>
            <w:r>
              <w:rPr>
                <w:sz w:val="18"/>
              </w:rPr>
              <w:t>o</w:t>
            </w:r>
            <w:r>
              <w:rPr>
                <w:spacing w:val="-9"/>
                <w:sz w:val="18"/>
              </w:rPr>
              <w:t> </w:t>
            </w:r>
            <w:r>
              <w:rPr>
                <w:sz w:val="18"/>
              </w:rPr>
              <w:t>integrar</w:t>
            </w:r>
            <w:r>
              <w:rPr>
                <w:spacing w:val="-10"/>
                <w:sz w:val="18"/>
              </w:rPr>
              <w:t> </w:t>
            </w:r>
            <w:r>
              <w:rPr>
                <w:sz w:val="18"/>
              </w:rPr>
              <w:t>los resultados</w:t>
              <w:tab/>
              <w:t>a</w:t>
              <w:tab/>
              <w:t>la</w:t>
              <w:tab/>
              <w:t>escala</w:t>
              <w:tab/>
              <w:t>mesorregional.</w:t>
            </w:r>
          </w:p>
          <w:p>
            <w:pPr>
              <w:pStyle w:val="TableParagraph"/>
              <w:numPr>
                <w:ilvl w:val="0"/>
                <w:numId w:val="4"/>
              </w:numPr>
              <w:tabs>
                <w:tab w:pos="1008" w:val="left" w:leader="none"/>
              </w:tabs>
              <w:spacing w:line="240" w:lineRule="auto" w:before="0" w:after="0"/>
              <w:ind w:left="770" w:right="202" w:firstLine="0"/>
              <w:jc w:val="both"/>
              <w:rPr>
                <w:sz w:val="18"/>
              </w:rPr>
            </w:pPr>
            <w:r>
              <w:rPr>
                <w:sz w:val="18"/>
              </w:rPr>
              <w:t>La reestructuración de la metodología en un formato más acorde a un “Manual de Procedimientos” para facilitar su aplicación por parte de los técnicos de las empresas </w:t>
            </w:r>
            <w:r>
              <w:rPr>
                <w:spacing w:val="26"/>
                <w:sz w:val="18"/>
              </w:rPr>
              <w:t> </w:t>
            </w:r>
            <w:r>
              <w:rPr>
                <w:sz w:val="18"/>
              </w:rPr>
              <w:t>consultoras.</w:t>
            </w:r>
          </w:p>
          <w:p>
            <w:pPr>
              <w:pStyle w:val="TableParagraph"/>
              <w:numPr>
                <w:ilvl w:val="0"/>
                <w:numId w:val="4"/>
              </w:numPr>
              <w:tabs>
                <w:tab w:pos="1071" w:val="left" w:leader="none"/>
                <w:tab w:pos="4672" w:val="left" w:leader="none"/>
              </w:tabs>
              <w:spacing w:line="240" w:lineRule="auto" w:before="0" w:after="0"/>
              <w:ind w:left="770" w:right="199" w:firstLine="0"/>
              <w:jc w:val="both"/>
              <w:rPr>
                <w:sz w:val="18"/>
              </w:rPr>
            </w:pPr>
            <w:r>
              <w:rPr>
                <w:sz w:val="18"/>
              </w:rPr>
              <w:t>La adaptación de algunos contenidos temáticos a la disponibilidad de información actualizada derivada de bases de datos</w:t>
              <w:tab/>
              <w:t>nacionales.</w:t>
            </w:r>
          </w:p>
          <w:p>
            <w:pPr>
              <w:pStyle w:val="TableParagraph"/>
              <w:spacing w:before="2"/>
              <w:ind w:left="770" w:right="200"/>
              <w:rPr>
                <w:sz w:val="18"/>
              </w:rPr>
            </w:pPr>
            <w:r>
              <w:rPr>
                <w:sz w:val="18"/>
              </w:rPr>
              <w:t>i) El empleo sistemático de indicadores para la caracterización y el diagnóstico territorial, especialmente en los subsistemas</w:t>
            </w:r>
            <w:r>
              <w:rPr>
                <w:spacing w:val="-32"/>
                <w:sz w:val="18"/>
              </w:rPr>
              <w:t> </w:t>
            </w:r>
            <w:r>
              <w:rPr>
                <w:sz w:val="18"/>
              </w:rPr>
              <w:t>social, económico y urbano-regional. j) La selección de variables e indicadores      acordes      con      la      escala      de       </w:t>
            </w:r>
            <w:r>
              <w:rPr>
                <w:spacing w:val="40"/>
                <w:sz w:val="18"/>
              </w:rPr>
              <w:t> </w:t>
            </w:r>
            <w:r>
              <w:rPr>
                <w:sz w:val="18"/>
              </w:rPr>
              <w:t>estudio.</w:t>
            </w:r>
          </w:p>
          <w:p>
            <w:pPr>
              <w:pStyle w:val="TableParagraph"/>
              <w:spacing w:line="237" w:lineRule="auto" w:before="4"/>
              <w:ind w:left="770" w:right="201"/>
              <w:rPr>
                <w:sz w:val="18"/>
              </w:rPr>
            </w:pPr>
            <w:r>
              <w:rPr>
                <w:sz w:val="18"/>
              </w:rPr>
              <w:t>k) La incorporación de algunos temas faltantes o insuficientemente tratados en la primera versión de la metodología.</w:t>
            </w:r>
          </w:p>
          <w:p>
            <w:pPr>
              <w:pStyle w:val="TableParagraph"/>
              <w:jc w:val="left"/>
              <w:rPr>
                <w:rFonts w:ascii="Arial"/>
                <w:b/>
                <w:sz w:val="18"/>
              </w:rPr>
            </w:pPr>
          </w:p>
          <w:p>
            <w:pPr>
              <w:pStyle w:val="TableParagraph"/>
              <w:jc w:val="left"/>
              <w:rPr>
                <w:rFonts w:ascii="Arial"/>
                <w:b/>
                <w:sz w:val="18"/>
              </w:rPr>
            </w:pPr>
          </w:p>
          <w:p>
            <w:pPr>
              <w:pStyle w:val="TableParagraph"/>
              <w:jc w:val="left"/>
              <w:rPr>
                <w:rFonts w:ascii="Arial"/>
                <w:b/>
                <w:sz w:val="18"/>
              </w:rPr>
            </w:pPr>
          </w:p>
          <w:p>
            <w:pPr>
              <w:pStyle w:val="TableParagraph"/>
              <w:spacing w:before="151"/>
              <w:ind w:left="50"/>
              <w:rPr>
                <w:b/>
                <w:sz w:val="18"/>
              </w:rPr>
            </w:pPr>
            <w:r>
              <w:rPr>
                <w:b/>
                <w:sz w:val="18"/>
              </w:rPr>
              <w:t>V. Conclusiones.</w:t>
            </w:r>
          </w:p>
          <w:p>
            <w:pPr>
              <w:pStyle w:val="TableParagraph"/>
              <w:spacing w:before="3"/>
              <w:jc w:val="left"/>
              <w:rPr>
                <w:rFonts w:ascii="Arial"/>
                <w:b/>
                <w:sz w:val="24"/>
              </w:rPr>
            </w:pPr>
          </w:p>
          <w:p>
            <w:pPr>
              <w:pStyle w:val="TableParagraph"/>
              <w:spacing w:line="237" w:lineRule="auto"/>
              <w:ind w:left="50" w:right="199"/>
              <w:rPr>
                <w:sz w:val="18"/>
              </w:rPr>
            </w:pPr>
            <w:r>
              <w:rPr>
                <w:sz w:val="18"/>
              </w:rPr>
              <w:t>El valor de las metodologías desarrolladas hasta el momento para la elaboración de programas de ordenamiento territorial con un enfoque integral, a escalas estatal y mesorregional, radica precisamente en que constituyen</w:t>
            </w:r>
            <w:r>
              <w:rPr>
                <w:spacing w:val="-6"/>
                <w:sz w:val="18"/>
              </w:rPr>
              <w:t> </w:t>
            </w:r>
            <w:r>
              <w:rPr>
                <w:sz w:val="18"/>
              </w:rPr>
              <w:t>el</w:t>
            </w:r>
            <w:r>
              <w:rPr>
                <w:spacing w:val="-6"/>
                <w:sz w:val="18"/>
              </w:rPr>
              <w:t> </w:t>
            </w:r>
            <w:r>
              <w:rPr>
                <w:sz w:val="18"/>
              </w:rPr>
              <w:t>primer</w:t>
            </w:r>
            <w:r>
              <w:rPr>
                <w:spacing w:val="-7"/>
                <w:sz w:val="18"/>
              </w:rPr>
              <w:t> </w:t>
            </w:r>
            <w:r>
              <w:rPr>
                <w:sz w:val="18"/>
              </w:rPr>
              <w:t>esfuerzo</w:t>
            </w:r>
            <w:r>
              <w:rPr>
                <w:spacing w:val="-6"/>
                <w:sz w:val="18"/>
              </w:rPr>
              <w:t> </w:t>
            </w:r>
            <w:r>
              <w:rPr>
                <w:sz w:val="18"/>
              </w:rPr>
              <w:t>que</w:t>
            </w:r>
            <w:r>
              <w:rPr>
                <w:spacing w:val="-7"/>
                <w:sz w:val="18"/>
              </w:rPr>
              <w:t> </w:t>
            </w:r>
            <w:r>
              <w:rPr>
                <w:sz w:val="18"/>
              </w:rPr>
              <w:t>se</w:t>
            </w:r>
            <w:r>
              <w:rPr>
                <w:spacing w:val="-8"/>
                <w:sz w:val="18"/>
              </w:rPr>
              <w:t> </w:t>
            </w:r>
            <w:r>
              <w:rPr>
                <w:sz w:val="18"/>
              </w:rPr>
              <w:t>realiza</w:t>
            </w:r>
            <w:r>
              <w:rPr>
                <w:spacing w:val="-7"/>
                <w:sz w:val="18"/>
              </w:rPr>
              <w:t> </w:t>
            </w:r>
            <w:r>
              <w:rPr>
                <w:sz w:val="18"/>
              </w:rPr>
              <w:t>en</w:t>
            </w:r>
            <w:r>
              <w:rPr>
                <w:spacing w:val="-6"/>
                <w:sz w:val="18"/>
              </w:rPr>
              <w:t> </w:t>
            </w:r>
            <w:r>
              <w:rPr>
                <w:sz w:val="18"/>
              </w:rPr>
              <w:t>México</w:t>
            </w:r>
            <w:r>
              <w:rPr>
                <w:spacing w:val="-6"/>
                <w:sz w:val="18"/>
              </w:rPr>
              <w:t> </w:t>
            </w:r>
            <w:r>
              <w:rPr>
                <w:sz w:val="18"/>
              </w:rPr>
              <w:t>al</w:t>
            </w:r>
            <w:r>
              <w:rPr>
                <w:spacing w:val="-6"/>
                <w:sz w:val="18"/>
              </w:rPr>
              <w:t> </w:t>
            </w:r>
            <w:r>
              <w:rPr>
                <w:sz w:val="18"/>
              </w:rPr>
              <w:t>respecto.</w:t>
            </w:r>
            <w:r>
              <w:rPr>
                <w:spacing w:val="-6"/>
                <w:sz w:val="18"/>
              </w:rPr>
              <w:t> </w:t>
            </w:r>
            <w:r>
              <w:rPr>
                <w:sz w:val="18"/>
              </w:rPr>
              <w:t>Ello</w:t>
            </w:r>
            <w:r>
              <w:rPr>
                <w:spacing w:val="-6"/>
                <w:sz w:val="18"/>
              </w:rPr>
              <w:t> </w:t>
            </w:r>
            <w:r>
              <w:rPr>
                <w:sz w:val="18"/>
              </w:rPr>
              <w:t>sin demeritar los avances realizados por la extinta SEDUE</w:t>
            </w:r>
            <w:r>
              <w:rPr>
                <w:position w:val="6"/>
                <w:sz w:val="12"/>
              </w:rPr>
              <w:t>1 </w:t>
            </w:r>
            <w:r>
              <w:rPr>
                <w:sz w:val="18"/>
              </w:rPr>
              <w:t>y el Instituto Nacional de Ecología de la SEMARNAT en el desarrollo de metodologías para elaborar programas de ordenamiento</w:t>
            </w:r>
            <w:r>
              <w:rPr>
                <w:spacing w:val="-13"/>
                <w:sz w:val="18"/>
              </w:rPr>
              <w:t> </w:t>
            </w:r>
            <w:r>
              <w:rPr>
                <w:sz w:val="18"/>
              </w:rPr>
              <w:t>ecológico.</w:t>
            </w:r>
          </w:p>
          <w:p>
            <w:pPr>
              <w:pStyle w:val="TableParagraph"/>
              <w:spacing w:before="7"/>
              <w:jc w:val="left"/>
              <w:rPr>
                <w:rFonts w:ascii="Arial"/>
                <w:b/>
                <w:sz w:val="24"/>
              </w:rPr>
            </w:pPr>
          </w:p>
          <w:p>
            <w:pPr>
              <w:pStyle w:val="TableParagraph"/>
              <w:ind w:left="50" w:right="199"/>
              <w:rPr>
                <w:sz w:val="18"/>
              </w:rPr>
            </w:pPr>
            <w:r>
              <w:rPr>
                <w:sz w:val="18"/>
              </w:rPr>
              <w:t>Cuando se diseñó la primera metodología orientada al desarrollo de programas de ordenamiento territorial en 2000-2001, lo ideal hubiera sido probar</w:t>
            </w:r>
            <w:r>
              <w:rPr>
                <w:spacing w:val="-9"/>
                <w:sz w:val="18"/>
              </w:rPr>
              <w:t> </w:t>
            </w:r>
            <w:r>
              <w:rPr>
                <w:sz w:val="18"/>
              </w:rPr>
              <w:t>su</w:t>
            </w:r>
            <w:r>
              <w:rPr>
                <w:spacing w:val="-9"/>
                <w:sz w:val="18"/>
              </w:rPr>
              <w:t> </w:t>
            </w:r>
            <w:r>
              <w:rPr>
                <w:sz w:val="18"/>
              </w:rPr>
              <w:t>pertinencia</w:t>
            </w:r>
            <w:r>
              <w:rPr>
                <w:spacing w:val="-9"/>
                <w:sz w:val="18"/>
              </w:rPr>
              <w:t> </w:t>
            </w:r>
            <w:r>
              <w:rPr>
                <w:sz w:val="18"/>
              </w:rPr>
              <w:t>en</w:t>
            </w:r>
            <w:r>
              <w:rPr>
                <w:spacing w:val="-8"/>
                <w:sz w:val="18"/>
              </w:rPr>
              <w:t> </w:t>
            </w:r>
            <w:r>
              <w:rPr>
                <w:sz w:val="18"/>
              </w:rPr>
              <w:t>algunos</w:t>
            </w:r>
            <w:r>
              <w:rPr>
                <w:spacing w:val="-9"/>
                <w:sz w:val="18"/>
              </w:rPr>
              <w:t> </w:t>
            </w:r>
            <w:r>
              <w:rPr>
                <w:sz w:val="18"/>
              </w:rPr>
              <w:t>estudios</w:t>
            </w:r>
            <w:r>
              <w:rPr>
                <w:spacing w:val="-9"/>
                <w:sz w:val="18"/>
              </w:rPr>
              <w:t> </w:t>
            </w:r>
            <w:r>
              <w:rPr>
                <w:sz w:val="18"/>
              </w:rPr>
              <w:t>piloto</w:t>
            </w:r>
            <w:r>
              <w:rPr>
                <w:spacing w:val="-10"/>
                <w:sz w:val="18"/>
              </w:rPr>
              <w:t> </w:t>
            </w:r>
            <w:r>
              <w:rPr>
                <w:sz w:val="18"/>
              </w:rPr>
              <w:t>previamente</w:t>
            </w:r>
            <w:r>
              <w:rPr>
                <w:spacing w:val="-9"/>
                <w:sz w:val="18"/>
              </w:rPr>
              <w:t> </w:t>
            </w:r>
            <w:r>
              <w:rPr>
                <w:sz w:val="18"/>
              </w:rPr>
              <w:t>a</w:t>
            </w:r>
            <w:r>
              <w:rPr>
                <w:spacing w:val="-7"/>
                <w:sz w:val="18"/>
              </w:rPr>
              <w:t> </w:t>
            </w:r>
            <w:r>
              <w:rPr>
                <w:sz w:val="18"/>
              </w:rPr>
              <w:t>su</w:t>
            </w:r>
            <w:r>
              <w:rPr>
                <w:spacing w:val="-9"/>
                <w:sz w:val="18"/>
              </w:rPr>
              <w:t> </w:t>
            </w:r>
            <w:r>
              <w:rPr>
                <w:sz w:val="18"/>
              </w:rPr>
              <w:t>aplicación a nivel nacional, con el fin de garantizar su operatividad. Sin embargo, los tiempos administrativos constituyen, en la mayoría de los casos, un impedimento para contar con las condiciones ideales para el desarrollo de un proyecto de esta naturaleza. Por tal motivo, el perfeccionamiento de las metodologías es resultado de un proceso continuo y permanente de validación y ajuste, realizado a partir de acercamientos sucesivos y de ejercicios</w:t>
            </w:r>
            <w:r>
              <w:rPr>
                <w:spacing w:val="-4"/>
                <w:sz w:val="18"/>
              </w:rPr>
              <w:t> </w:t>
            </w:r>
            <w:r>
              <w:rPr>
                <w:sz w:val="18"/>
              </w:rPr>
              <w:t>de</w:t>
            </w:r>
            <w:r>
              <w:rPr>
                <w:spacing w:val="-4"/>
                <w:sz w:val="18"/>
              </w:rPr>
              <w:t> </w:t>
            </w:r>
            <w:r>
              <w:rPr>
                <w:sz w:val="18"/>
              </w:rPr>
              <w:t>prueba</w:t>
            </w:r>
            <w:r>
              <w:rPr>
                <w:spacing w:val="-4"/>
                <w:sz w:val="18"/>
              </w:rPr>
              <w:t> </w:t>
            </w:r>
            <w:r>
              <w:rPr>
                <w:sz w:val="18"/>
              </w:rPr>
              <w:t>y</w:t>
            </w:r>
            <w:r>
              <w:rPr>
                <w:spacing w:val="-7"/>
                <w:sz w:val="18"/>
              </w:rPr>
              <w:t> </w:t>
            </w:r>
            <w:r>
              <w:rPr>
                <w:sz w:val="18"/>
              </w:rPr>
              <w:t>error</w:t>
            </w:r>
            <w:r>
              <w:rPr>
                <w:spacing w:val="-3"/>
                <w:sz w:val="18"/>
              </w:rPr>
              <w:t> </w:t>
            </w:r>
            <w:r>
              <w:rPr>
                <w:sz w:val="18"/>
              </w:rPr>
              <w:t>a</w:t>
            </w:r>
            <w:r>
              <w:rPr>
                <w:spacing w:val="-4"/>
                <w:sz w:val="18"/>
              </w:rPr>
              <w:t> </w:t>
            </w:r>
            <w:r>
              <w:rPr>
                <w:sz w:val="18"/>
              </w:rPr>
              <w:t>partir</w:t>
            </w:r>
            <w:r>
              <w:rPr>
                <w:spacing w:val="-3"/>
                <w:sz w:val="18"/>
              </w:rPr>
              <w:t> </w:t>
            </w:r>
            <w:r>
              <w:rPr>
                <w:sz w:val="18"/>
              </w:rPr>
              <w:t>de</w:t>
            </w:r>
            <w:r>
              <w:rPr>
                <w:spacing w:val="-4"/>
                <w:sz w:val="18"/>
              </w:rPr>
              <w:t> </w:t>
            </w:r>
            <w:r>
              <w:rPr>
                <w:sz w:val="18"/>
              </w:rPr>
              <w:t>su</w:t>
            </w:r>
            <w:r>
              <w:rPr>
                <w:spacing w:val="-3"/>
                <w:sz w:val="18"/>
              </w:rPr>
              <w:t> </w:t>
            </w:r>
            <w:r>
              <w:rPr>
                <w:sz w:val="18"/>
              </w:rPr>
              <w:t>aplicación,</w:t>
            </w:r>
            <w:r>
              <w:rPr>
                <w:spacing w:val="-3"/>
                <w:sz w:val="18"/>
              </w:rPr>
              <w:t> </w:t>
            </w:r>
            <w:r>
              <w:rPr>
                <w:sz w:val="18"/>
              </w:rPr>
              <w:t>al</w:t>
            </w:r>
            <w:r>
              <w:rPr>
                <w:spacing w:val="-3"/>
                <w:sz w:val="18"/>
              </w:rPr>
              <w:t> </w:t>
            </w:r>
            <w:r>
              <w:rPr>
                <w:sz w:val="18"/>
              </w:rPr>
              <w:t>cual</w:t>
            </w:r>
            <w:r>
              <w:rPr>
                <w:spacing w:val="-3"/>
                <w:sz w:val="18"/>
              </w:rPr>
              <w:t> </w:t>
            </w:r>
            <w:r>
              <w:rPr>
                <w:sz w:val="18"/>
              </w:rPr>
              <w:t>se</w:t>
            </w:r>
            <w:r>
              <w:rPr>
                <w:spacing w:val="-4"/>
                <w:sz w:val="18"/>
              </w:rPr>
              <w:t> </w:t>
            </w:r>
            <w:r>
              <w:rPr>
                <w:sz w:val="18"/>
              </w:rPr>
              <w:t>deben</w:t>
            </w:r>
            <w:r>
              <w:rPr>
                <w:spacing w:val="-2"/>
                <w:sz w:val="18"/>
              </w:rPr>
              <w:t> </w:t>
            </w:r>
            <w:r>
              <w:rPr>
                <w:sz w:val="18"/>
              </w:rPr>
              <w:t>sumar las diversas instituciones involucradas de alguna forma en el desarrollo de colecciones de datos georreferenciados, el diseño y la aplicación de indicadores, y el diseño e implementación de políticas sectoriales de base territorial.</w:t>
            </w:r>
          </w:p>
        </w:tc>
      </w:tr>
    </w:tbl>
    <w:p>
      <w:pPr>
        <w:spacing w:after="0"/>
        <w:rPr>
          <w:sz w:val="18"/>
        </w:rPr>
        <w:sectPr>
          <w:pgSz w:w="12240" w:h="15840"/>
          <w:pgMar w:top="1440" w:bottom="280" w:left="1400" w:right="1380"/>
        </w:sect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561"/>
        <w:gridCol w:w="5680"/>
      </w:tblGrid>
      <w:tr>
        <w:trPr>
          <w:trHeight w:val="12956" w:hRule="exact"/>
        </w:trPr>
        <w:tc>
          <w:tcPr>
            <w:tcW w:w="3561" w:type="dxa"/>
          </w:tcPr>
          <w:p>
            <w:pPr>
              <w:pStyle w:val="TableParagraph"/>
              <w:spacing w:line="183" w:lineRule="exact"/>
              <w:ind w:left="200"/>
              <w:rPr>
                <w:rFonts w:ascii="Arial" w:hAnsi="Arial"/>
                <w:sz w:val="18"/>
              </w:rPr>
            </w:pPr>
            <w:r>
              <w:rPr>
                <w:rFonts w:ascii="Arial" w:hAnsi="Arial"/>
                <w:sz w:val="18"/>
              </w:rPr>
              <w:t>vida    de    la    población,    la     gestión</w:t>
            </w:r>
          </w:p>
          <w:p>
            <w:pPr>
              <w:pStyle w:val="TableParagraph"/>
              <w:spacing w:before="2"/>
              <w:ind w:left="200" w:right="49"/>
              <w:rPr>
                <w:rFonts w:ascii="Arial" w:hAnsi="Arial"/>
                <w:sz w:val="18"/>
              </w:rPr>
            </w:pPr>
            <w:r>
              <w:rPr>
                <w:rFonts w:ascii="Arial" w:hAnsi="Arial"/>
                <w:sz w:val="18"/>
              </w:rPr>
              <w:t>responsable</w:t>
            </w:r>
            <w:r>
              <w:rPr>
                <w:rFonts w:ascii="Arial" w:hAnsi="Arial"/>
                <w:spacing w:val="-13"/>
                <w:sz w:val="18"/>
              </w:rPr>
              <w:t> </w:t>
            </w:r>
            <w:r>
              <w:rPr>
                <w:rFonts w:ascii="Arial" w:hAnsi="Arial"/>
                <w:sz w:val="18"/>
              </w:rPr>
              <w:t>de</w:t>
            </w:r>
            <w:r>
              <w:rPr>
                <w:rFonts w:ascii="Arial" w:hAnsi="Arial"/>
                <w:spacing w:val="-13"/>
                <w:sz w:val="18"/>
              </w:rPr>
              <w:t> </w:t>
            </w:r>
            <w:r>
              <w:rPr>
                <w:rFonts w:ascii="Arial" w:hAnsi="Arial"/>
                <w:sz w:val="18"/>
              </w:rPr>
              <w:t>los</w:t>
            </w:r>
            <w:r>
              <w:rPr>
                <w:rFonts w:ascii="Arial" w:hAnsi="Arial"/>
                <w:spacing w:val="-13"/>
                <w:sz w:val="18"/>
              </w:rPr>
              <w:t> </w:t>
            </w:r>
            <w:r>
              <w:rPr>
                <w:rFonts w:ascii="Arial" w:hAnsi="Arial"/>
                <w:sz w:val="18"/>
              </w:rPr>
              <w:t>recursos</w:t>
            </w:r>
            <w:r>
              <w:rPr>
                <w:rFonts w:ascii="Arial" w:hAnsi="Arial"/>
                <w:spacing w:val="-13"/>
                <w:sz w:val="18"/>
              </w:rPr>
              <w:t> </w:t>
            </w:r>
            <w:r>
              <w:rPr>
                <w:rFonts w:ascii="Arial" w:hAnsi="Arial"/>
                <w:sz w:val="18"/>
              </w:rPr>
              <w:t>naturales</w:t>
            </w:r>
            <w:r>
              <w:rPr>
                <w:rFonts w:ascii="Arial" w:hAnsi="Arial"/>
                <w:spacing w:val="-13"/>
                <w:sz w:val="18"/>
              </w:rPr>
              <w:t> </w:t>
            </w:r>
            <w:r>
              <w:rPr>
                <w:rFonts w:ascii="Arial" w:hAnsi="Arial"/>
                <w:sz w:val="18"/>
              </w:rPr>
              <w:t>y</w:t>
            </w:r>
            <w:r>
              <w:rPr>
                <w:rFonts w:ascii="Arial" w:hAnsi="Arial"/>
                <w:spacing w:val="-13"/>
                <w:sz w:val="18"/>
              </w:rPr>
              <w:t> </w:t>
            </w:r>
            <w:r>
              <w:rPr>
                <w:rFonts w:ascii="Arial" w:hAnsi="Arial"/>
                <w:sz w:val="18"/>
              </w:rPr>
              <w:t>la protección del medio ambiente, y la utilización racional del territorio (Massiris, 2005; CEMAT, 1983). Por su parte, en Latinoamérica, la primera ley orgánica de OT se promulgó en Venezuela al final del decenio</w:t>
            </w:r>
            <w:r>
              <w:rPr>
                <w:rFonts w:ascii="Arial" w:hAnsi="Arial"/>
                <w:spacing w:val="-9"/>
                <w:sz w:val="18"/>
              </w:rPr>
              <w:t> </w:t>
            </w:r>
            <w:r>
              <w:rPr>
                <w:rFonts w:ascii="Arial" w:hAnsi="Arial"/>
                <w:sz w:val="18"/>
              </w:rPr>
              <w:t>de</w:t>
            </w:r>
            <w:r>
              <w:rPr>
                <w:rFonts w:ascii="Arial" w:hAnsi="Arial"/>
                <w:spacing w:val="-9"/>
                <w:sz w:val="18"/>
              </w:rPr>
              <w:t> </w:t>
            </w:r>
            <w:r>
              <w:rPr>
                <w:rFonts w:ascii="Arial" w:hAnsi="Arial"/>
                <w:sz w:val="18"/>
              </w:rPr>
              <w:t>1980,</w:t>
            </w:r>
            <w:r>
              <w:rPr>
                <w:rFonts w:ascii="Arial" w:hAnsi="Arial"/>
                <w:spacing w:val="-9"/>
                <w:sz w:val="18"/>
              </w:rPr>
              <w:t> </w:t>
            </w:r>
            <w:r>
              <w:rPr>
                <w:rFonts w:ascii="Arial" w:hAnsi="Arial"/>
                <w:sz w:val="18"/>
              </w:rPr>
              <w:t>en</w:t>
            </w:r>
            <w:r>
              <w:rPr>
                <w:rFonts w:ascii="Arial" w:hAnsi="Arial"/>
                <w:spacing w:val="-9"/>
                <w:sz w:val="18"/>
              </w:rPr>
              <w:t> </w:t>
            </w:r>
            <w:r>
              <w:rPr>
                <w:rFonts w:ascii="Arial" w:hAnsi="Arial"/>
                <w:sz w:val="18"/>
              </w:rPr>
              <w:t>tanto</w:t>
            </w:r>
            <w:r>
              <w:rPr>
                <w:rFonts w:ascii="Arial" w:hAnsi="Arial"/>
                <w:spacing w:val="-9"/>
                <w:sz w:val="18"/>
              </w:rPr>
              <w:t> </w:t>
            </w:r>
            <w:r>
              <w:rPr>
                <w:rFonts w:ascii="Arial" w:hAnsi="Arial"/>
                <w:sz w:val="18"/>
              </w:rPr>
              <w:t>que</w:t>
            </w:r>
            <w:r>
              <w:rPr>
                <w:rFonts w:ascii="Arial" w:hAnsi="Arial"/>
                <w:spacing w:val="-9"/>
                <w:sz w:val="18"/>
              </w:rPr>
              <w:t> </w:t>
            </w:r>
            <w:r>
              <w:rPr>
                <w:rFonts w:ascii="Arial" w:hAnsi="Arial"/>
                <w:sz w:val="18"/>
              </w:rPr>
              <w:t>el</w:t>
            </w:r>
            <w:r>
              <w:rPr>
                <w:rFonts w:ascii="Arial" w:hAnsi="Arial"/>
                <w:spacing w:val="-9"/>
                <w:sz w:val="18"/>
              </w:rPr>
              <w:t> </w:t>
            </w:r>
            <w:r>
              <w:rPr>
                <w:rFonts w:ascii="Arial" w:hAnsi="Arial"/>
                <w:sz w:val="18"/>
              </w:rPr>
              <w:t>resto</w:t>
            </w:r>
            <w:r>
              <w:rPr>
                <w:rFonts w:ascii="Arial" w:hAnsi="Arial"/>
                <w:spacing w:val="-8"/>
                <w:sz w:val="18"/>
              </w:rPr>
              <w:t> </w:t>
            </w:r>
            <w:r>
              <w:rPr>
                <w:rFonts w:ascii="Arial" w:hAnsi="Arial"/>
                <w:sz w:val="18"/>
              </w:rPr>
              <w:t>del los países de la región, adoptaron políticas de ordenamiento territorial a partir de 1990, con el objetivo de abordar en forma paralela los problemas del desarrollo y los del medio ambiente a través de un esfuerzo global (Massiris, 2006).</w:t>
            </w:r>
          </w:p>
          <w:p>
            <w:pPr>
              <w:pStyle w:val="TableParagraph"/>
              <w:spacing w:before="7"/>
              <w:jc w:val="left"/>
              <w:rPr>
                <w:rFonts w:ascii="Arial"/>
                <w:b/>
                <w:sz w:val="24"/>
              </w:rPr>
            </w:pPr>
          </w:p>
          <w:p>
            <w:pPr>
              <w:pStyle w:val="TableParagraph"/>
              <w:ind w:left="200" w:right="51"/>
              <w:rPr>
                <w:rFonts w:ascii="Arial" w:hAnsi="Arial"/>
                <w:sz w:val="18"/>
              </w:rPr>
            </w:pPr>
            <w:r>
              <w:rPr>
                <w:rFonts w:ascii="Arial" w:hAnsi="Arial"/>
                <w:sz w:val="18"/>
              </w:rPr>
              <w:t>Si</w:t>
            </w:r>
            <w:r>
              <w:rPr>
                <w:rFonts w:ascii="Arial" w:hAnsi="Arial"/>
                <w:spacing w:val="-11"/>
                <w:sz w:val="18"/>
              </w:rPr>
              <w:t> </w:t>
            </w:r>
            <w:r>
              <w:rPr>
                <w:rFonts w:ascii="Arial" w:hAnsi="Arial"/>
                <w:sz w:val="18"/>
              </w:rPr>
              <w:t>bien</w:t>
            </w:r>
            <w:r>
              <w:rPr>
                <w:rFonts w:ascii="Arial" w:hAnsi="Arial"/>
                <w:spacing w:val="-14"/>
                <w:sz w:val="18"/>
              </w:rPr>
              <w:t> </w:t>
            </w:r>
            <w:r>
              <w:rPr>
                <w:rFonts w:ascii="Arial" w:hAnsi="Arial"/>
                <w:sz w:val="18"/>
              </w:rPr>
              <w:t>como</w:t>
            </w:r>
            <w:r>
              <w:rPr>
                <w:rFonts w:ascii="Arial" w:hAnsi="Arial"/>
                <w:spacing w:val="-11"/>
                <w:sz w:val="18"/>
              </w:rPr>
              <w:t> </w:t>
            </w:r>
            <w:r>
              <w:rPr>
                <w:rFonts w:ascii="Arial" w:hAnsi="Arial"/>
                <w:sz w:val="18"/>
              </w:rPr>
              <w:t>antes</w:t>
            </w:r>
            <w:r>
              <w:rPr>
                <w:rFonts w:ascii="Arial" w:hAnsi="Arial"/>
                <w:spacing w:val="-13"/>
                <w:sz w:val="18"/>
              </w:rPr>
              <w:t> </w:t>
            </w:r>
            <w:r>
              <w:rPr>
                <w:rFonts w:ascii="Arial" w:hAnsi="Arial"/>
                <w:sz w:val="18"/>
              </w:rPr>
              <w:t>se</w:t>
            </w:r>
            <w:r>
              <w:rPr>
                <w:rFonts w:ascii="Arial" w:hAnsi="Arial"/>
                <w:spacing w:val="-11"/>
                <w:sz w:val="18"/>
              </w:rPr>
              <w:t> </w:t>
            </w:r>
            <w:r>
              <w:rPr>
                <w:rFonts w:ascii="Arial" w:hAnsi="Arial"/>
                <w:sz w:val="18"/>
              </w:rPr>
              <w:t>señalaba,</w:t>
            </w:r>
            <w:r>
              <w:rPr>
                <w:rFonts w:ascii="Arial" w:hAnsi="Arial"/>
                <w:spacing w:val="-11"/>
                <w:sz w:val="18"/>
              </w:rPr>
              <w:t> </w:t>
            </w:r>
            <w:r>
              <w:rPr>
                <w:rFonts w:ascii="Arial" w:hAnsi="Arial"/>
                <w:sz w:val="18"/>
              </w:rPr>
              <w:t>la</w:t>
            </w:r>
            <w:r>
              <w:rPr>
                <w:rFonts w:ascii="Arial" w:hAnsi="Arial"/>
                <w:spacing w:val="-11"/>
                <w:sz w:val="18"/>
              </w:rPr>
              <w:t> </w:t>
            </w:r>
            <w:r>
              <w:rPr>
                <w:rFonts w:ascii="Arial" w:hAnsi="Arial"/>
                <w:sz w:val="18"/>
              </w:rPr>
              <w:t>noción de ordenamiento territorial ha transitado por diversos enfoques a lo largo de su proceso evolutivo, la mayor parte de los autores están de acuerdo sobre sus características y cualidades</w:t>
            </w:r>
            <w:r>
              <w:rPr>
                <w:rFonts w:ascii="Arial" w:hAnsi="Arial"/>
                <w:spacing w:val="-12"/>
                <w:sz w:val="18"/>
              </w:rPr>
              <w:t> </w:t>
            </w:r>
            <w:r>
              <w:rPr>
                <w:rFonts w:ascii="Arial" w:hAnsi="Arial"/>
                <w:sz w:val="18"/>
              </w:rPr>
              <w:t>distintivas:</w:t>
            </w:r>
          </w:p>
          <w:p>
            <w:pPr>
              <w:pStyle w:val="TableParagraph"/>
              <w:spacing w:before="6"/>
              <w:jc w:val="left"/>
              <w:rPr>
                <w:rFonts w:ascii="Arial"/>
                <w:b/>
                <w:sz w:val="24"/>
              </w:rPr>
            </w:pPr>
          </w:p>
          <w:p>
            <w:pPr>
              <w:pStyle w:val="TableParagraph"/>
              <w:numPr>
                <w:ilvl w:val="0"/>
                <w:numId w:val="5"/>
              </w:numPr>
              <w:tabs>
                <w:tab w:pos="1230" w:val="left" w:leader="none"/>
              </w:tabs>
              <w:spacing w:line="240" w:lineRule="auto" w:before="0" w:after="0"/>
              <w:ind w:left="919" w:right="50" w:firstLine="0"/>
              <w:jc w:val="both"/>
              <w:rPr>
                <w:rFonts w:ascii="Arial" w:hAnsi="Arial"/>
                <w:sz w:val="18"/>
              </w:rPr>
            </w:pPr>
            <w:r>
              <w:rPr>
                <w:rFonts w:ascii="Arial" w:hAnsi="Arial"/>
                <w:sz w:val="18"/>
              </w:rPr>
              <w:t>Es una política emanada directamente del Estado, con la intención de modificar el orden territorial existente, para lo cual necesita partir de una base jurídica, conformada por leyes, instituciones e instrumentos ad hoc.</w:t>
            </w:r>
          </w:p>
          <w:p>
            <w:pPr>
              <w:pStyle w:val="TableParagraph"/>
              <w:spacing w:before="10"/>
              <w:jc w:val="left"/>
              <w:rPr>
                <w:rFonts w:ascii="Arial"/>
                <w:b/>
                <w:sz w:val="17"/>
              </w:rPr>
            </w:pPr>
          </w:p>
          <w:p>
            <w:pPr>
              <w:pStyle w:val="TableParagraph"/>
              <w:numPr>
                <w:ilvl w:val="0"/>
                <w:numId w:val="5"/>
              </w:numPr>
              <w:tabs>
                <w:tab w:pos="1131" w:val="left" w:leader="none"/>
              </w:tabs>
              <w:spacing w:line="240" w:lineRule="auto" w:before="0" w:after="0"/>
              <w:ind w:left="919" w:right="47" w:firstLine="0"/>
              <w:jc w:val="both"/>
              <w:rPr>
                <w:rFonts w:ascii="Arial" w:hAnsi="Arial"/>
                <w:sz w:val="18"/>
              </w:rPr>
            </w:pPr>
            <w:r>
              <w:rPr>
                <w:rFonts w:ascii="Arial" w:hAnsi="Arial"/>
                <w:sz w:val="18"/>
              </w:rPr>
              <w:t>Es un proceso y estrategia de planeación territorial integral. Como proceso y estrategia, el ordenamiento territorial transita por cuatro momentos: el</w:t>
            </w:r>
            <w:r>
              <w:rPr>
                <w:rFonts w:ascii="Arial" w:hAnsi="Arial"/>
                <w:spacing w:val="-25"/>
                <w:sz w:val="18"/>
              </w:rPr>
              <w:t> </w:t>
            </w:r>
            <w:r>
              <w:rPr>
                <w:rFonts w:ascii="Arial" w:hAnsi="Arial"/>
                <w:sz w:val="18"/>
              </w:rPr>
              <w:t>primero es de naturaleza política, y corresponde a la decisión o intención poner en marcha el proceso de ordenamiento; el segundo es de carácter científico-técnico, y corresponde a la elaboración del estudio de análisis territorial (fases de caracterización y diagnóstico);</w:t>
            </w:r>
            <w:r>
              <w:rPr>
                <w:rFonts w:ascii="Arial" w:hAnsi="Arial"/>
                <w:spacing w:val="-36"/>
                <w:sz w:val="18"/>
              </w:rPr>
              <w:t> </w:t>
            </w:r>
            <w:r>
              <w:rPr>
                <w:rFonts w:ascii="Arial" w:hAnsi="Arial"/>
                <w:sz w:val="18"/>
              </w:rPr>
              <w:t>el tercero es de orden político y consiste propiamente en la etapa de planificación territorial, a partir de un análisis de prospectiva o diseño de escenarios y de la formulación del programa de ordenamiento territorial. Por último el cuarto momento es de orden administrativo y coincide con la fase de gestión territorial (implementación, evaluación periódica y seguimiento del programa de ordenamiento territorial).</w:t>
            </w:r>
          </w:p>
          <w:p>
            <w:pPr>
              <w:pStyle w:val="TableParagraph"/>
              <w:spacing w:line="206" w:lineRule="exact"/>
              <w:ind w:left="919"/>
              <w:rPr>
                <w:rFonts w:ascii="Arial"/>
                <w:sz w:val="18"/>
              </w:rPr>
            </w:pPr>
            <w:r>
              <w:rPr>
                <w:rFonts w:ascii="Arial"/>
                <w:sz w:val="18"/>
              </w:rPr>
              <w:t>Asimismo, en virtud de que   las</w:t>
            </w:r>
          </w:p>
        </w:tc>
        <w:tc>
          <w:tcPr>
            <w:tcW w:w="5680" w:type="dxa"/>
          </w:tcPr>
          <w:p>
            <w:pPr>
              <w:pStyle w:val="TableParagraph"/>
              <w:spacing w:line="181" w:lineRule="exact"/>
              <w:ind w:left="49"/>
              <w:rPr>
                <w:b/>
                <w:sz w:val="18"/>
              </w:rPr>
            </w:pPr>
            <w:r>
              <w:rPr>
                <w:b/>
                <w:sz w:val="18"/>
              </w:rPr>
              <w:t>VI. Bibliografía.</w:t>
            </w:r>
          </w:p>
          <w:p>
            <w:pPr>
              <w:pStyle w:val="TableParagraph"/>
              <w:spacing w:before="1"/>
              <w:jc w:val="left"/>
              <w:rPr>
                <w:rFonts w:ascii="Arial"/>
                <w:b/>
                <w:sz w:val="24"/>
              </w:rPr>
            </w:pPr>
          </w:p>
          <w:p>
            <w:pPr>
              <w:pStyle w:val="TableParagraph"/>
              <w:tabs>
                <w:tab w:pos="1985" w:val="left" w:leader="none"/>
                <w:tab w:pos="3207" w:val="left" w:leader="none"/>
                <w:tab w:pos="5012" w:val="left" w:leader="none"/>
              </w:tabs>
              <w:spacing w:before="1"/>
              <w:ind w:left="49" w:right="199"/>
              <w:rPr>
                <w:sz w:val="18"/>
              </w:rPr>
            </w:pPr>
            <w:r>
              <w:rPr>
                <w:sz w:val="18"/>
              </w:rPr>
              <w:t>CEMAT.</w:t>
            </w:r>
            <w:r>
              <w:rPr>
                <w:spacing w:val="-9"/>
                <w:sz w:val="18"/>
              </w:rPr>
              <w:t> </w:t>
            </w:r>
            <w:r>
              <w:rPr>
                <w:sz w:val="18"/>
              </w:rPr>
              <w:t>1983.</w:t>
            </w:r>
            <w:r>
              <w:rPr>
                <w:spacing w:val="-11"/>
                <w:sz w:val="18"/>
              </w:rPr>
              <w:t> </w:t>
            </w:r>
            <w:r>
              <w:rPr>
                <w:sz w:val="18"/>
              </w:rPr>
              <w:t>Carta</w:t>
            </w:r>
            <w:r>
              <w:rPr>
                <w:spacing w:val="-9"/>
                <w:sz w:val="18"/>
              </w:rPr>
              <w:t> </w:t>
            </w:r>
            <w:r>
              <w:rPr>
                <w:sz w:val="18"/>
              </w:rPr>
              <w:t>Europea</w:t>
            </w:r>
            <w:r>
              <w:rPr>
                <w:spacing w:val="-10"/>
                <w:sz w:val="18"/>
              </w:rPr>
              <w:t> </w:t>
            </w:r>
            <w:r>
              <w:rPr>
                <w:sz w:val="18"/>
              </w:rPr>
              <w:t>de</w:t>
            </w:r>
            <w:r>
              <w:rPr>
                <w:spacing w:val="-14"/>
                <w:sz w:val="18"/>
              </w:rPr>
              <w:t> </w:t>
            </w:r>
            <w:r>
              <w:rPr>
                <w:sz w:val="18"/>
              </w:rPr>
              <w:t>Ordenación</w:t>
            </w:r>
            <w:r>
              <w:rPr>
                <w:spacing w:val="-10"/>
                <w:sz w:val="18"/>
              </w:rPr>
              <w:t> </w:t>
            </w:r>
            <w:r>
              <w:rPr>
                <w:sz w:val="18"/>
              </w:rPr>
              <w:t>del</w:t>
            </w:r>
            <w:r>
              <w:rPr>
                <w:spacing w:val="-11"/>
                <w:sz w:val="18"/>
              </w:rPr>
              <w:t> </w:t>
            </w:r>
            <w:r>
              <w:rPr>
                <w:sz w:val="18"/>
              </w:rPr>
              <w:t>Territorio.</w:t>
            </w:r>
            <w:r>
              <w:rPr>
                <w:spacing w:val="-11"/>
                <w:sz w:val="18"/>
              </w:rPr>
              <w:t> </w:t>
            </w:r>
            <w:r>
              <w:rPr>
                <w:sz w:val="18"/>
              </w:rPr>
              <w:t>Conferencia</w:t>
            </w:r>
            <w:r>
              <w:rPr>
                <w:spacing w:val="-9"/>
                <w:sz w:val="18"/>
              </w:rPr>
              <w:t> </w:t>
            </w:r>
            <w:r>
              <w:rPr>
                <w:sz w:val="18"/>
              </w:rPr>
              <w:t>de Ministros Responsables de Política Regional y Ordenación del Territorio. Torremolinos, España. Massiris, A. 2005. Fundamentos conceptuales y metodológicos del ordenamiento territorial. Universidad Pedagógica y Tecnológica</w:t>
              <w:tab/>
              <w:t>de</w:t>
              <w:tab/>
              <w:t>Colombia,</w:t>
              <w:tab/>
              <w:t>Tunja.</w:t>
            </w:r>
          </w:p>
          <w:p>
            <w:pPr>
              <w:pStyle w:val="TableParagraph"/>
              <w:spacing w:before="1"/>
              <w:jc w:val="left"/>
              <w:rPr>
                <w:rFonts w:ascii="Arial"/>
                <w:b/>
                <w:sz w:val="18"/>
              </w:rPr>
            </w:pPr>
          </w:p>
          <w:p>
            <w:pPr>
              <w:pStyle w:val="TableParagraph"/>
              <w:ind w:left="49" w:right="204"/>
              <w:rPr>
                <w:sz w:val="18"/>
              </w:rPr>
            </w:pPr>
            <w:r>
              <w:rPr>
                <w:sz w:val="18"/>
              </w:rPr>
              <w:t>D.O.F., “Ley General de Asentamientos Humanos”, expedida por el presidente  Luis  Echeverría  Álvarez,  México.  26  de  mayo  de      1976.</w:t>
            </w:r>
          </w:p>
          <w:p>
            <w:pPr>
              <w:pStyle w:val="TableParagraph"/>
              <w:spacing w:before="1"/>
              <w:jc w:val="left"/>
              <w:rPr>
                <w:rFonts w:ascii="Arial"/>
                <w:b/>
                <w:sz w:val="18"/>
              </w:rPr>
            </w:pPr>
          </w:p>
          <w:p>
            <w:pPr>
              <w:pStyle w:val="TableParagraph"/>
              <w:spacing w:line="207" w:lineRule="exact"/>
              <w:ind w:left="49"/>
              <w:rPr>
                <w:sz w:val="18"/>
              </w:rPr>
            </w:pPr>
            <w:r>
              <w:rPr>
                <w:sz w:val="18"/>
              </w:rPr>
              <w:t>D.O.F.,”Ley General del Equilibrio Ecológico y Protección al  Ambiente”,</w:t>
            </w:r>
          </w:p>
          <w:p>
            <w:pPr>
              <w:pStyle w:val="TableParagraph"/>
              <w:tabs>
                <w:tab w:pos="1256" w:val="left" w:leader="none"/>
                <w:tab w:pos="2451" w:val="left" w:leader="none"/>
                <w:tab w:pos="3876" w:val="left" w:leader="none"/>
                <w:tab w:pos="5073" w:val="left" w:leader="none"/>
              </w:tabs>
              <w:spacing w:line="207" w:lineRule="exact"/>
              <w:ind w:left="49"/>
              <w:rPr>
                <w:sz w:val="18"/>
              </w:rPr>
            </w:pPr>
            <w:r>
              <w:rPr>
                <w:sz w:val="18"/>
              </w:rPr>
              <w:t>28</w:t>
              <w:tab/>
              <w:t>de</w:t>
              <w:tab/>
              <w:t>enero</w:t>
              <w:tab/>
              <w:t>de</w:t>
              <w:tab/>
              <w:t>1988.</w:t>
            </w:r>
          </w:p>
          <w:p>
            <w:pPr>
              <w:pStyle w:val="TableParagraph"/>
              <w:spacing w:before="10"/>
              <w:jc w:val="left"/>
              <w:rPr>
                <w:rFonts w:ascii="Arial"/>
                <w:b/>
                <w:sz w:val="17"/>
              </w:rPr>
            </w:pPr>
          </w:p>
          <w:p>
            <w:pPr>
              <w:pStyle w:val="TableParagraph"/>
              <w:ind w:left="49" w:right="203"/>
              <w:rPr>
                <w:sz w:val="18"/>
              </w:rPr>
            </w:pPr>
            <w:r>
              <w:rPr>
                <w:sz w:val="18"/>
              </w:rPr>
              <w:t>Massiris, A. 2006. Políticas latinoamericanas de ordenamiento territorial: realidad y desafíos. Universidad Pedagógica y Tecnológica de Colombia. Tunja.</w:t>
            </w:r>
          </w:p>
          <w:p>
            <w:pPr>
              <w:pStyle w:val="TableParagraph"/>
              <w:spacing w:before="10"/>
              <w:jc w:val="left"/>
              <w:rPr>
                <w:rFonts w:ascii="Arial"/>
                <w:b/>
                <w:sz w:val="17"/>
              </w:rPr>
            </w:pPr>
          </w:p>
          <w:p>
            <w:pPr>
              <w:pStyle w:val="TableParagraph"/>
              <w:tabs>
                <w:tab w:pos="1556" w:val="left" w:leader="none"/>
                <w:tab w:pos="2897" w:val="left" w:leader="none"/>
                <w:tab w:pos="4235" w:val="left" w:leader="none"/>
                <w:tab w:pos="5250" w:val="left" w:leader="none"/>
              </w:tabs>
              <w:ind w:left="49" w:right="198"/>
              <w:rPr>
                <w:sz w:val="18"/>
              </w:rPr>
            </w:pPr>
            <w:r>
              <w:rPr>
                <w:sz w:val="18"/>
              </w:rPr>
              <w:t>Palacio-Prieto, J. L., M. T. Sánchez-Salazar, J. M. Casado, et al. 2004. Indicadores para la caracterización y el ordenamiento territorial. Instituto Nacional de Ecología-SEMARNAT., Instituto de Geografía, UNAM y Secretaría de Desarrollo Social. Convenio SEDESOL-Instituto de Geografía,</w:t>
              <w:tab/>
              <w:t>UNAM.</w:t>
              <w:tab/>
              <w:t>México.</w:t>
              <w:tab/>
              <w:t>161</w:t>
              <w:tab/>
              <w:t>pp.</w:t>
            </w:r>
          </w:p>
          <w:p>
            <w:pPr>
              <w:pStyle w:val="TableParagraph"/>
              <w:spacing w:before="1"/>
              <w:jc w:val="left"/>
              <w:rPr>
                <w:rFonts w:ascii="Arial"/>
                <w:b/>
                <w:sz w:val="18"/>
              </w:rPr>
            </w:pPr>
          </w:p>
          <w:p>
            <w:pPr>
              <w:pStyle w:val="TableParagraph"/>
              <w:ind w:left="49" w:right="198"/>
              <w:rPr>
                <w:sz w:val="18"/>
              </w:rPr>
            </w:pPr>
            <w:r>
              <w:rPr>
                <w:sz w:val="18"/>
              </w:rPr>
              <w:t>Palacio-Prieto, J. L. y M. T. Sánchez-Salazar (coord.). 2004. Segunda generación de guías metodológicas para la elaboración de Planes Estatales de Ordenamiento Territorial. Versión final. Convenio específico de colaboración académica SEDESOL/Instituto de Geografía, UNAM. México.</w:t>
            </w:r>
          </w:p>
          <w:p>
            <w:pPr>
              <w:pStyle w:val="TableParagraph"/>
              <w:spacing w:before="10"/>
              <w:jc w:val="left"/>
              <w:rPr>
                <w:rFonts w:ascii="Arial"/>
                <w:b/>
                <w:sz w:val="17"/>
              </w:rPr>
            </w:pPr>
          </w:p>
          <w:p>
            <w:pPr>
              <w:pStyle w:val="TableParagraph"/>
              <w:ind w:left="49" w:right="202"/>
              <w:rPr>
                <w:sz w:val="18"/>
              </w:rPr>
            </w:pPr>
            <w:r>
              <w:rPr>
                <w:sz w:val="18"/>
              </w:rPr>
              <w:t>Sánchez-Salazar, M. T. y J. L. Palacio-Prieto (Colaborador: J. M. Casado Izquierdo). 2004. “La experiencia mexicana en la elaboración de los Programas Estatales de Ordenamiento Territorial. Diagnóstico, problemática y perspectivas desde el punto de vista de la participación del Instituto de Geografía de la UNAM”. Investigaciones Geográficas.</w:t>
            </w:r>
            <w:r>
              <w:rPr>
                <w:spacing w:val="-23"/>
                <w:sz w:val="18"/>
              </w:rPr>
              <w:t> </w:t>
            </w:r>
            <w:r>
              <w:rPr>
                <w:sz w:val="18"/>
              </w:rPr>
              <w:t>Boletín. Núm. 53. Instituto de Geografía, UNAM. México. pp.</w:t>
            </w:r>
            <w:r>
              <w:rPr>
                <w:spacing w:val="-12"/>
                <w:sz w:val="18"/>
              </w:rPr>
              <w:t> </w:t>
            </w:r>
            <w:r>
              <w:rPr>
                <w:sz w:val="18"/>
              </w:rPr>
              <w:t>75-97.</w:t>
            </w:r>
          </w:p>
          <w:p>
            <w:pPr>
              <w:pStyle w:val="TableParagraph"/>
              <w:spacing w:before="9"/>
              <w:jc w:val="left"/>
              <w:rPr>
                <w:rFonts w:ascii="Arial"/>
                <w:b/>
                <w:sz w:val="24"/>
              </w:rPr>
            </w:pPr>
          </w:p>
          <w:p>
            <w:pPr>
              <w:pStyle w:val="TableParagraph"/>
              <w:tabs>
                <w:tab w:pos="5403" w:val="left" w:leader="none"/>
              </w:tabs>
              <w:spacing w:line="237" w:lineRule="auto" w:before="1"/>
              <w:ind w:left="49" w:right="204"/>
              <w:jc w:val="left"/>
              <w:rPr>
                <w:sz w:val="18"/>
              </w:rPr>
            </w:pPr>
            <w:r>
              <w:rPr>
                <w:rFonts w:ascii="Arial" w:hAnsi="Arial"/>
                <w:w w:val="100"/>
                <w:sz w:val="18"/>
                <w:u w:val="single"/>
              </w:rPr>
              <w:t> </w:t>
            </w:r>
            <w:r>
              <w:rPr>
                <w:rFonts w:ascii="Arial" w:hAnsi="Arial"/>
                <w:sz w:val="18"/>
                <w:u w:val="single"/>
              </w:rPr>
              <w:tab/>
            </w:r>
            <w:r>
              <w:rPr>
                <w:rFonts w:ascii="Arial" w:hAnsi="Arial"/>
                <w:sz w:val="18"/>
              </w:rPr>
              <w:t> </w:t>
            </w:r>
            <w:r>
              <w:rPr>
                <w:w w:val="99"/>
                <w:sz w:val="18"/>
              </w:rPr>
              <w:t>Dr</w:t>
            </w:r>
            <w:r>
              <w:rPr>
                <w:spacing w:val="-2"/>
                <w:w w:val="99"/>
                <w:sz w:val="18"/>
              </w:rPr>
              <w:t>a</w:t>
            </w:r>
            <w:r>
              <w:rPr>
                <w:sz w:val="18"/>
              </w:rPr>
              <w:t>.</w:t>
            </w:r>
            <w:r>
              <w:rPr>
                <w:spacing w:val="-7"/>
                <w:sz w:val="18"/>
              </w:rPr>
              <w:t> </w:t>
            </w:r>
            <w:r>
              <w:rPr>
                <w:w w:val="99"/>
                <w:sz w:val="18"/>
              </w:rPr>
              <w:t>M</w:t>
            </w:r>
            <w:r>
              <w:rPr>
                <w:spacing w:val="-1"/>
                <w:sz w:val="18"/>
              </w:rPr>
              <w:t>a</w:t>
            </w:r>
            <w:r>
              <w:rPr>
                <w:sz w:val="18"/>
              </w:rPr>
              <w:t>ría</w:t>
            </w:r>
            <w:r>
              <w:rPr>
                <w:spacing w:val="-7"/>
                <w:sz w:val="18"/>
              </w:rPr>
              <w:t> </w:t>
            </w:r>
            <w:r>
              <w:rPr>
                <w:sz w:val="18"/>
              </w:rPr>
              <w:t>Ter</w:t>
            </w:r>
            <w:r>
              <w:rPr>
                <w:spacing w:val="-1"/>
                <w:sz w:val="18"/>
              </w:rPr>
              <w:t>e</w:t>
            </w:r>
            <w:r>
              <w:rPr>
                <w:spacing w:val="1"/>
                <w:w w:val="99"/>
                <w:sz w:val="18"/>
              </w:rPr>
              <w:t>s</w:t>
            </w:r>
            <w:r>
              <w:rPr>
                <w:sz w:val="18"/>
              </w:rPr>
              <w:t>a</w:t>
            </w:r>
            <w:r>
              <w:rPr>
                <w:spacing w:val="-8"/>
                <w:sz w:val="18"/>
              </w:rPr>
              <w:t> </w:t>
            </w:r>
            <w:r>
              <w:rPr>
                <w:w w:val="99"/>
                <w:sz w:val="18"/>
              </w:rPr>
              <w:t>S</w:t>
            </w:r>
            <w:r>
              <w:rPr>
                <w:spacing w:val="-1"/>
                <w:sz w:val="18"/>
              </w:rPr>
              <w:t>á</w:t>
            </w:r>
            <w:r>
              <w:rPr>
                <w:spacing w:val="1"/>
                <w:sz w:val="18"/>
              </w:rPr>
              <w:t>n</w:t>
            </w:r>
            <w:r>
              <w:rPr>
                <w:spacing w:val="-1"/>
                <w:sz w:val="18"/>
              </w:rPr>
              <w:t>c</w:t>
            </w:r>
            <w:r>
              <w:rPr>
                <w:spacing w:val="1"/>
                <w:sz w:val="18"/>
              </w:rPr>
              <w:t>h</w:t>
            </w:r>
            <w:r>
              <w:rPr>
                <w:spacing w:val="-1"/>
                <w:sz w:val="18"/>
              </w:rPr>
              <w:t>e</w:t>
            </w:r>
            <w:r>
              <w:rPr>
                <w:sz w:val="18"/>
              </w:rPr>
              <w:t>z</w:t>
            </w:r>
            <w:r>
              <w:rPr>
                <w:spacing w:val="-8"/>
                <w:sz w:val="18"/>
              </w:rPr>
              <w:t> </w:t>
            </w:r>
            <w:r>
              <w:rPr>
                <w:w w:val="99"/>
                <w:sz w:val="18"/>
              </w:rPr>
              <w:t>S</w:t>
            </w:r>
            <w:r>
              <w:rPr>
                <w:spacing w:val="-1"/>
                <w:sz w:val="18"/>
              </w:rPr>
              <w:t>a</w:t>
            </w:r>
            <w:r>
              <w:rPr>
                <w:sz w:val="18"/>
              </w:rPr>
              <w:t>la</w:t>
            </w:r>
            <w:r>
              <w:rPr>
                <w:spacing w:val="-2"/>
                <w:sz w:val="18"/>
              </w:rPr>
              <w:t>z</w:t>
            </w:r>
            <w:r>
              <w:rPr>
                <w:spacing w:val="1"/>
                <w:sz w:val="18"/>
              </w:rPr>
              <w:t>a</w:t>
            </w:r>
            <w:r>
              <w:rPr>
                <w:sz w:val="18"/>
              </w:rPr>
              <w:t>r</w:t>
            </w:r>
            <w:r>
              <w:rPr>
                <w:spacing w:val="-7"/>
                <w:sz w:val="18"/>
              </w:rPr>
              <w:t> </w:t>
            </w:r>
            <w:r>
              <w:rPr>
                <w:sz w:val="18"/>
              </w:rPr>
              <w:t>I</w:t>
            </w:r>
            <w:r>
              <w:rPr>
                <w:spacing w:val="1"/>
                <w:sz w:val="18"/>
              </w:rPr>
              <w:t>n</w:t>
            </w:r>
            <w:r>
              <w:rPr>
                <w:w w:val="99"/>
                <w:sz w:val="18"/>
              </w:rPr>
              <w:t>stit</w:t>
            </w:r>
            <w:r>
              <w:rPr>
                <w:spacing w:val="1"/>
                <w:sz w:val="18"/>
              </w:rPr>
              <w:t>u</w:t>
            </w:r>
            <w:r>
              <w:rPr>
                <w:spacing w:val="-2"/>
                <w:sz w:val="18"/>
              </w:rPr>
              <w:t>t</w:t>
            </w:r>
            <w:r>
              <w:rPr>
                <w:sz w:val="18"/>
              </w:rPr>
              <w:t>o</w:t>
            </w:r>
            <w:r>
              <w:rPr>
                <w:spacing w:val="-6"/>
                <w:sz w:val="18"/>
              </w:rPr>
              <w:t> </w:t>
            </w:r>
            <w:r>
              <w:rPr>
                <w:spacing w:val="1"/>
                <w:sz w:val="18"/>
              </w:rPr>
              <w:t>d</w:t>
            </w:r>
            <w:r>
              <w:rPr>
                <w:sz w:val="18"/>
              </w:rPr>
              <w:t>e</w:t>
            </w:r>
            <w:r>
              <w:rPr>
                <w:spacing w:val="-8"/>
                <w:sz w:val="18"/>
              </w:rPr>
              <w:t> </w:t>
            </w:r>
            <w:r>
              <w:rPr>
                <w:spacing w:val="-3"/>
                <w:w w:val="99"/>
                <w:sz w:val="18"/>
              </w:rPr>
              <w:t>G</w:t>
            </w:r>
            <w:r>
              <w:rPr>
                <w:spacing w:val="-1"/>
                <w:sz w:val="18"/>
              </w:rPr>
              <w:t>e</w:t>
            </w:r>
            <w:r>
              <w:rPr>
                <w:spacing w:val="1"/>
                <w:sz w:val="18"/>
              </w:rPr>
              <w:t>o</w:t>
            </w:r>
            <w:r>
              <w:rPr>
                <w:spacing w:val="-2"/>
                <w:sz w:val="18"/>
              </w:rPr>
              <w:t>g</w:t>
            </w:r>
            <w:r>
              <w:rPr>
                <w:sz w:val="18"/>
              </w:rPr>
              <w:t>r</w:t>
            </w:r>
            <w:r>
              <w:rPr>
                <w:spacing w:val="1"/>
                <w:sz w:val="18"/>
              </w:rPr>
              <w:t>a</w:t>
            </w:r>
            <w:r>
              <w:rPr>
                <w:spacing w:val="-3"/>
                <w:sz w:val="18"/>
              </w:rPr>
              <w:t>f</w:t>
            </w:r>
            <w:r>
              <w:rPr>
                <w:sz w:val="18"/>
              </w:rPr>
              <w:t>ía,</w:t>
            </w:r>
            <w:r>
              <w:rPr>
                <w:spacing w:val="-7"/>
                <w:sz w:val="18"/>
              </w:rPr>
              <w:t> </w:t>
            </w:r>
            <w:r>
              <w:rPr>
                <w:spacing w:val="1"/>
                <w:w w:val="99"/>
                <w:sz w:val="18"/>
              </w:rPr>
              <w:t>D</w:t>
            </w:r>
            <w:r>
              <w:rPr>
                <w:spacing w:val="-1"/>
                <w:sz w:val="18"/>
              </w:rPr>
              <w:t>e</w:t>
            </w:r>
            <w:r>
              <w:rPr>
                <w:spacing w:val="1"/>
                <w:sz w:val="18"/>
              </w:rPr>
              <w:t>p</w:t>
            </w:r>
            <w:r>
              <w:rPr>
                <w:spacing w:val="-1"/>
                <w:sz w:val="18"/>
              </w:rPr>
              <w:t>a</w:t>
            </w:r>
            <w:r>
              <w:rPr>
                <w:sz w:val="18"/>
              </w:rPr>
              <w:t>rta</w:t>
            </w:r>
            <w:r>
              <w:rPr>
                <w:spacing w:val="-1"/>
                <w:sz w:val="18"/>
              </w:rPr>
              <w:t>me</w:t>
            </w:r>
            <w:r>
              <w:rPr>
                <w:spacing w:val="1"/>
                <w:sz w:val="18"/>
              </w:rPr>
              <w:t>n</w:t>
            </w:r>
            <w:r>
              <w:rPr>
                <w:sz w:val="18"/>
              </w:rPr>
              <w:t>to</w:t>
            </w:r>
            <w:r>
              <w:rPr>
                <w:spacing w:val="-6"/>
                <w:sz w:val="18"/>
              </w:rPr>
              <w:t> </w:t>
            </w:r>
            <w:r>
              <w:rPr>
                <w:spacing w:val="1"/>
                <w:sz w:val="18"/>
              </w:rPr>
              <w:t>d</w:t>
            </w:r>
            <w:r>
              <w:rPr>
                <w:sz w:val="18"/>
              </w:rPr>
              <w:t>e </w:t>
            </w:r>
            <w:r>
              <w:rPr>
                <w:spacing w:val="-3"/>
                <w:w w:val="99"/>
                <w:sz w:val="18"/>
              </w:rPr>
              <w:t>G</w:t>
            </w:r>
            <w:r>
              <w:rPr>
                <w:spacing w:val="-1"/>
                <w:sz w:val="18"/>
              </w:rPr>
              <w:t>e</w:t>
            </w:r>
            <w:r>
              <w:rPr>
                <w:spacing w:val="1"/>
                <w:sz w:val="18"/>
              </w:rPr>
              <w:t>o</w:t>
            </w:r>
            <w:r>
              <w:rPr>
                <w:spacing w:val="-2"/>
                <w:sz w:val="18"/>
              </w:rPr>
              <w:t>g</w:t>
            </w:r>
            <w:r>
              <w:rPr>
                <w:spacing w:val="2"/>
                <w:sz w:val="18"/>
              </w:rPr>
              <w:t>r</w:t>
            </w:r>
            <w:r>
              <w:rPr>
                <w:spacing w:val="1"/>
                <w:sz w:val="18"/>
              </w:rPr>
              <w:t>a</w:t>
            </w:r>
            <w:r>
              <w:rPr>
                <w:spacing w:val="-3"/>
                <w:sz w:val="18"/>
              </w:rPr>
              <w:t>f</w:t>
            </w:r>
            <w:r>
              <w:rPr>
                <w:sz w:val="18"/>
              </w:rPr>
              <w:t>ía  </w:t>
            </w:r>
            <w:r>
              <w:rPr>
                <w:spacing w:val="13"/>
                <w:sz w:val="18"/>
              </w:rPr>
              <w:t> </w:t>
            </w:r>
            <w:r>
              <w:rPr>
                <w:sz w:val="18"/>
              </w:rPr>
              <w:t>Eco</w:t>
            </w:r>
            <w:r>
              <w:rPr>
                <w:spacing w:val="1"/>
                <w:sz w:val="18"/>
              </w:rPr>
              <w:t>nó</w:t>
            </w:r>
            <w:r>
              <w:rPr>
                <w:spacing w:val="-4"/>
                <w:sz w:val="18"/>
              </w:rPr>
              <w:t>m</w:t>
            </w:r>
            <w:r>
              <w:rPr>
                <w:sz w:val="18"/>
              </w:rPr>
              <w:t>ica  </w:t>
            </w:r>
            <w:r>
              <w:rPr>
                <w:spacing w:val="12"/>
                <w:sz w:val="18"/>
              </w:rPr>
              <w:t> </w:t>
            </w:r>
            <w:r>
              <w:rPr>
                <w:w w:val="99"/>
                <w:sz w:val="18"/>
              </w:rPr>
              <w:t>Un</w:t>
            </w:r>
            <w:r>
              <w:rPr>
                <w:sz w:val="18"/>
              </w:rPr>
              <w:t>i</w:t>
            </w:r>
            <w:r>
              <w:rPr>
                <w:spacing w:val="-1"/>
                <w:sz w:val="18"/>
              </w:rPr>
              <w:t>ve</w:t>
            </w:r>
            <w:r>
              <w:rPr>
                <w:w w:val="99"/>
                <w:sz w:val="18"/>
              </w:rPr>
              <w:t>rs</w:t>
            </w:r>
            <w:r>
              <w:rPr>
                <w:spacing w:val="2"/>
                <w:w w:val="99"/>
                <w:sz w:val="18"/>
              </w:rPr>
              <w:t>i</w:t>
            </w:r>
            <w:r>
              <w:rPr>
                <w:spacing w:val="1"/>
                <w:sz w:val="18"/>
              </w:rPr>
              <w:t>d</w:t>
            </w:r>
            <w:r>
              <w:rPr>
                <w:spacing w:val="-1"/>
                <w:sz w:val="18"/>
              </w:rPr>
              <w:t>a</w:t>
            </w:r>
            <w:r>
              <w:rPr>
                <w:sz w:val="18"/>
              </w:rPr>
              <w:t>d  </w:t>
            </w:r>
            <w:r>
              <w:rPr>
                <w:spacing w:val="14"/>
                <w:sz w:val="18"/>
              </w:rPr>
              <w:t> </w:t>
            </w:r>
            <w:r>
              <w:rPr>
                <w:w w:val="99"/>
                <w:sz w:val="18"/>
              </w:rPr>
              <w:t>N</w:t>
            </w:r>
            <w:r>
              <w:rPr>
                <w:spacing w:val="-2"/>
                <w:w w:val="99"/>
                <w:sz w:val="18"/>
              </w:rPr>
              <w:t>a</w:t>
            </w:r>
            <w:r>
              <w:rPr>
                <w:spacing w:val="-1"/>
                <w:sz w:val="18"/>
              </w:rPr>
              <w:t>c</w:t>
            </w:r>
            <w:r>
              <w:rPr>
                <w:sz w:val="18"/>
              </w:rPr>
              <w:t>i</w:t>
            </w:r>
            <w:r>
              <w:rPr>
                <w:spacing w:val="1"/>
                <w:sz w:val="18"/>
              </w:rPr>
              <w:t>on</w:t>
            </w:r>
            <w:r>
              <w:rPr>
                <w:spacing w:val="-1"/>
                <w:sz w:val="18"/>
              </w:rPr>
              <w:t>a</w:t>
            </w:r>
            <w:r>
              <w:rPr>
                <w:sz w:val="18"/>
              </w:rPr>
              <w:t>l  </w:t>
            </w:r>
            <w:r>
              <w:rPr>
                <w:spacing w:val="11"/>
                <w:sz w:val="18"/>
              </w:rPr>
              <w:t> </w:t>
            </w:r>
            <w:r>
              <w:rPr>
                <w:spacing w:val="-3"/>
                <w:w w:val="99"/>
                <w:sz w:val="18"/>
              </w:rPr>
              <w:t>A</w:t>
            </w:r>
            <w:r>
              <w:rPr>
                <w:spacing w:val="1"/>
                <w:sz w:val="18"/>
              </w:rPr>
              <w:t>u</w:t>
            </w:r>
            <w:r>
              <w:rPr>
                <w:sz w:val="18"/>
              </w:rPr>
              <w:t>t</w:t>
            </w:r>
            <w:r>
              <w:rPr>
                <w:spacing w:val="1"/>
                <w:sz w:val="18"/>
              </w:rPr>
              <w:t>ó</w:t>
            </w:r>
            <w:r>
              <w:rPr>
                <w:spacing w:val="-2"/>
                <w:sz w:val="18"/>
              </w:rPr>
              <w:t>n</w:t>
            </w:r>
            <w:r>
              <w:rPr>
                <w:spacing w:val="1"/>
                <w:sz w:val="18"/>
              </w:rPr>
              <w:t>o</w:t>
            </w:r>
            <w:r>
              <w:rPr>
                <w:spacing w:val="-4"/>
                <w:sz w:val="18"/>
              </w:rPr>
              <w:t>m</w:t>
            </w:r>
            <w:r>
              <w:rPr>
                <w:sz w:val="18"/>
              </w:rPr>
              <w:t>a  </w:t>
            </w:r>
            <w:r>
              <w:rPr>
                <w:spacing w:val="13"/>
                <w:sz w:val="18"/>
              </w:rPr>
              <w:t> </w:t>
            </w:r>
            <w:r>
              <w:rPr>
                <w:spacing w:val="1"/>
                <w:sz w:val="18"/>
              </w:rPr>
              <w:t>d</w:t>
            </w:r>
            <w:r>
              <w:rPr>
                <w:sz w:val="18"/>
              </w:rPr>
              <w:t>e  </w:t>
            </w:r>
            <w:r>
              <w:rPr>
                <w:spacing w:val="13"/>
                <w:sz w:val="18"/>
              </w:rPr>
              <w:t> </w:t>
            </w:r>
            <w:r>
              <w:rPr>
                <w:w w:val="99"/>
                <w:sz w:val="18"/>
              </w:rPr>
              <w:t>M</w:t>
            </w:r>
            <w:r>
              <w:rPr>
                <w:spacing w:val="-1"/>
                <w:sz w:val="18"/>
              </w:rPr>
              <w:t>é</w:t>
            </w:r>
            <w:r>
              <w:rPr>
                <w:spacing w:val="-2"/>
                <w:sz w:val="18"/>
              </w:rPr>
              <w:t>x</w:t>
            </w:r>
            <w:r>
              <w:rPr>
                <w:sz w:val="18"/>
              </w:rPr>
              <w:t>ico</w:t>
            </w:r>
            <w:hyperlink r:id="rId5">
              <w:r>
                <w:rPr>
                  <w:sz w:val="18"/>
                </w:rPr>
                <w:t> </w:t>
              </w:r>
              <w:r>
                <w:rPr>
                  <w:spacing w:val="-4"/>
                  <w:sz w:val="18"/>
                </w:rPr>
                <w:t>m</w:t>
              </w:r>
              <w:r>
                <w:rPr>
                  <w:w w:val="99"/>
                  <w:sz w:val="18"/>
                </w:rPr>
                <w:t>t</w:t>
              </w:r>
              <w:r>
                <w:rPr>
                  <w:spacing w:val="2"/>
                  <w:w w:val="99"/>
                  <w:sz w:val="18"/>
                </w:rPr>
                <w:t>s</w:t>
              </w:r>
              <w:r>
                <w:rPr>
                  <w:w w:val="99"/>
                  <w:sz w:val="18"/>
                </w:rPr>
                <w:t>s</w:t>
              </w:r>
              <w:r>
                <w:rPr>
                  <w:spacing w:val="-1"/>
                  <w:w w:val="99"/>
                  <w:sz w:val="18"/>
                </w:rPr>
                <w:t>@</w:t>
              </w:r>
              <w:r>
                <w:rPr>
                  <w:w w:val="99"/>
                  <w:sz w:val="18"/>
                </w:rPr>
                <w:t>s</w:t>
              </w:r>
              <w:r>
                <w:rPr>
                  <w:spacing w:val="-2"/>
                  <w:w w:val="99"/>
                  <w:sz w:val="18"/>
                </w:rPr>
                <w:t>e</w:t>
              </w:r>
              <w:r>
                <w:rPr>
                  <w:spacing w:val="2"/>
                  <w:w w:val="99"/>
                  <w:sz w:val="18"/>
                </w:rPr>
                <w:t>r</w:t>
              </w:r>
              <w:r>
                <w:rPr>
                  <w:spacing w:val="-2"/>
                  <w:w w:val="99"/>
                  <w:sz w:val="18"/>
                </w:rPr>
                <w:t>v</w:t>
              </w:r>
              <w:r>
                <w:rPr>
                  <w:w w:val="99"/>
                  <w:sz w:val="18"/>
                </w:rPr>
                <w:t>i</w:t>
              </w:r>
              <w:r>
                <w:rPr>
                  <w:spacing w:val="1"/>
                  <w:w w:val="99"/>
                  <w:sz w:val="18"/>
                </w:rPr>
                <w:t>do</w:t>
              </w:r>
              <w:r>
                <w:rPr>
                  <w:w w:val="99"/>
                  <w:sz w:val="18"/>
                </w:rPr>
                <w:t>r.</w:t>
              </w:r>
              <w:r>
                <w:rPr>
                  <w:spacing w:val="-2"/>
                  <w:w w:val="99"/>
                  <w:sz w:val="18"/>
                </w:rPr>
                <w:t>u</w:t>
              </w:r>
              <w:r>
                <w:rPr>
                  <w:spacing w:val="1"/>
                  <w:w w:val="99"/>
                  <w:sz w:val="18"/>
                </w:rPr>
                <w:t>n</w:t>
              </w:r>
              <w:r>
                <w:rPr>
                  <w:spacing w:val="-1"/>
                  <w:w w:val="99"/>
                  <w:sz w:val="18"/>
                </w:rPr>
                <w:t>a</w:t>
              </w:r>
              <w:r>
                <w:rPr>
                  <w:spacing w:val="-4"/>
                  <w:w w:val="99"/>
                  <w:sz w:val="18"/>
                </w:rPr>
                <w:t>m</w:t>
              </w:r>
              <w:r>
                <w:rPr>
                  <w:spacing w:val="2"/>
                  <w:w w:val="99"/>
                  <w:sz w:val="18"/>
                </w:rPr>
                <w:t>.</w:t>
              </w:r>
              <w:r>
                <w:rPr>
                  <w:spacing w:val="-4"/>
                  <w:w w:val="99"/>
                  <w:sz w:val="18"/>
                </w:rPr>
                <w:t>m</w:t>
              </w:r>
              <w:r>
                <w:rPr>
                  <w:spacing w:val="-2"/>
                  <w:w w:val="99"/>
                  <w:sz w:val="18"/>
                </w:rPr>
                <w:t>x</w:t>
              </w:r>
              <w:r>
                <w:rPr>
                  <w:w w:val="99"/>
                  <w:sz w:val="18"/>
                </w:rPr>
                <w:t>,</w:t>
              </w:r>
              <w:r>
                <w:rPr>
                  <w:spacing w:val="3"/>
                  <w:w w:val="99"/>
                  <w:sz w:val="18"/>
                </w:rPr>
                <w:t> </w:t>
              </w:r>
            </w:hyperlink>
            <w:hyperlink r:id="rId6">
              <w:r>
                <w:rPr>
                  <w:spacing w:val="-4"/>
                  <w:w w:val="99"/>
                  <w:sz w:val="18"/>
                </w:rPr>
                <w:t>m</w:t>
              </w:r>
              <w:r>
                <w:rPr>
                  <w:w w:val="99"/>
                  <w:sz w:val="18"/>
                </w:rPr>
                <w:t>ts</w:t>
              </w:r>
              <w:r>
                <w:rPr>
                  <w:spacing w:val="1"/>
                  <w:w w:val="99"/>
                  <w:sz w:val="18"/>
                </w:rPr>
                <w:t>s</w:t>
              </w:r>
              <w:r>
                <w:rPr>
                  <w:sz w:val="18"/>
                </w:rPr>
                <w:t>@i</w:t>
              </w:r>
              <w:r>
                <w:rPr>
                  <w:spacing w:val="-2"/>
                  <w:sz w:val="18"/>
                </w:rPr>
                <w:t>gg</w:t>
              </w:r>
              <w:r>
                <w:rPr>
                  <w:sz w:val="18"/>
                </w:rPr>
                <w:t>.</w:t>
              </w:r>
              <w:r>
                <w:rPr>
                  <w:spacing w:val="1"/>
                  <w:sz w:val="18"/>
                </w:rPr>
                <w:t>un</w:t>
              </w:r>
              <w:r>
                <w:rPr>
                  <w:spacing w:val="-1"/>
                  <w:sz w:val="18"/>
                </w:rPr>
                <w:t>a</w:t>
              </w:r>
              <w:r>
                <w:rPr>
                  <w:spacing w:val="-4"/>
                  <w:sz w:val="18"/>
                </w:rPr>
                <w:t>m</w:t>
              </w:r>
              <w:r>
                <w:rPr>
                  <w:spacing w:val="2"/>
                  <w:sz w:val="18"/>
                </w:rPr>
                <w:t>.</w:t>
              </w:r>
              <w:r>
                <w:rPr>
                  <w:spacing w:val="-1"/>
                  <w:sz w:val="18"/>
                </w:rPr>
                <w:t>m</w:t>
              </w:r>
              <w:r>
                <w:rPr>
                  <w:sz w:val="18"/>
                </w:rPr>
                <w:t>x</w:t>
              </w:r>
            </w:hyperlink>
          </w:p>
          <w:p>
            <w:pPr>
              <w:pStyle w:val="TableParagraph"/>
              <w:jc w:val="left"/>
              <w:rPr>
                <w:rFonts w:ascii="Arial"/>
                <w:b/>
                <w:sz w:val="18"/>
              </w:rPr>
            </w:pPr>
          </w:p>
          <w:p>
            <w:pPr>
              <w:pStyle w:val="TableParagraph"/>
              <w:jc w:val="left"/>
              <w:rPr>
                <w:rFonts w:ascii="Arial"/>
                <w:b/>
                <w:sz w:val="18"/>
              </w:rPr>
            </w:pPr>
          </w:p>
          <w:p>
            <w:pPr>
              <w:pStyle w:val="TableParagraph"/>
              <w:jc w:val="left"/>
              <w:rPr>
                <w:rFonts w:ascii="Arial"/>
                <w:b/>
                <w:sz w:val="18"/>
              </w:rPr>
            </w:pPr>
          </w:p>
          <w:p>
            <w:pPr>
              <w:pStyle w:val="TableParagraph"/>
              <w:spacing w:before="147"/>
              <w:ind w:left="49"/>
              <w:rPr>
                <w:sz w:val="18"/>
              </w:rPr>
            </w:pPr>
            <w:r>
              <w:rPr>
                <w:sz w:val="18"/>
              </w:rPr>
              <w:t>1 Secretaría de Desarrollo Urbano y Ecología, (1983)</w:t>
            </w:r>
          </w:p>
        </w:tc>
      </w:tr>
    </w:tbl>
    <w:p>
      <w:pPr>
        <w:spacing w:after="0"/>
        <w:rPr>
          <w:sz w:val="18"/>
        </w:rPr>
        <w:sectPr>
          <w:pgSz w:w="12240" w:h="15840"/>
          <w:pgMar w:top="1440" w:bottom="280" w:left="1400" w:right="1380"/>
        </w:sectPr>
      </w:pPr>
    </w:p>
    <w:p>
      <w:pPr>
        <w:pStyle w:val="BodyText"/>
        <w:tabs>
          <w:tab w:pos="1793" w:val="left" w:leader="none"/>
          <w:tab w:pos="2279" w:val="left" w:leader="none"/>
          <w:tab w:pos="3100" w:val="left" w:leader="none"/>
        </w:tabs>
        <w:spacing w:before="55"/>
        <w:ind w:left="701" w:right="5504"/>
        <w:jc w:val="both"/>
      </w:pPr>
      <w:r>
        <w:rPr/>
        <w:t>diversas políticas sectoriales – sociales,</w:t>
        <w:tab/>
        <w:tab/>
        <w:t>económicas, ambientales- tienen su expresión final sobre el</w:t>
      </w:r>
      <w:r>
        <w:rPr>
          <w:spacing w:val="-36"/>
        </w:rPr>
        <w:t> </w:t>
      </w:r>
      <w:r>
        <w:rPr/>
        <w:t>territorio, la política de ordenamiento</w:t>
      </w:r>
      <w:r>
        <w:rPr>
          <w:spacing w:val="-26"/>
        </w:rPr>
        <w:t> </w:t>
      </w:r>
      <w:r>
        <w:rPr/>
        <w:t>tiene como objetivo diseñar un modelo de desarrollo territorial integral,</w:t>
      </w:r>
      <w:r>
        <w:rPr>
          <w:spacing w:val="-8"/>
        </w:rPr>
        <w:t> </w:t>
      </w:r>
      <w:r>
        <w:rPr/>
        <w:t>y</w:t>
      </w:r>
      <w:r>
        <w:rPr>
          <w:spacing w:val="-9"/>
        </w:rPr>
        <w:t> </w:t>
      </w:r>
      <w:r>
        <w:rPr/>
        <w:t>el</w:t>
      </w:r>
      <w:r>
        <w:rPr>
          <w:spacing w:val="-9"/>
        </w:rPr>
        <w:t> </w:t>
      </w:r>
      <w:r>
        <w:rPr/>
        <w:t>fundamento</w:t>
      </w:r>
      <w:r>
        <w:rPr>
          <w:spacing w:val="-9"/>
        </w:rPr>
        <w:t> </w:t>
      </w:r>
      <w:r>
        <w:rPr/>
        <w:t>de</w:t>
      </w:r>
      <w:r>
        <w:rPr>
          <w:spacing w:val="-7"/>
        </w:rPr>
        <w:t> </w:t>
      </w:r>
      <w:r>
        <w:rPr/>
        <w:t>esta concepción</w:t>
      </w:r>
      <w:r>
        <w:rPr>
          <w:spacing w:val="-11"/>
        </w:rPr>
        <w:t> </w:t>
      </w:r>
      <w:r>
        <w:rPr/>
        <w:t>es</w:t>
      </w:r>
      <w:r>
        <w:rPr>
          <w:spacing w:val="-11"/>
        </w:rPr>
        <w:t> </w:t>
      </w:r>
      <w:r>
        <w:rPr/>
        <w:t>que</w:t>
      </w:r>
      <w:r>
        <w:rPr>
          <w:spacing w:val="-11"/>
        </w:rPr>
        <w:t> </w:t>
      </w:r>
      <w:r>
        <w:rPr/>
        <w:t>el</w:t>
      </w:r>
      <w:r>
        <w:rPr>
          <w:spacing w:val="-11"/>
        </w:rPr>
        <w:t> </w:t>
      </w:r>
      <w:r>
        <w:rPr/>
        <w:t>proceso</w:t>
      </w:r>
      <w:r>
        <w:rPr>
          <w:spacing w:val="-14"/>
        </w:rPr>
        <w:t> </w:t>
      </w:r>
      <w:r>
        <w:rPr/>
        <w:t>de ordenamiento debe reflejar, en sí</w:t>
      </w:r>
      <w:r>
        <w:rPr>
          <w:spacing w:val="-12"/>
        </w:rPr>
        <w:t> </w:t>
      </w:r>
      <w:r>
        <w:rPr/>
        <w:t>mismo,</w:t>
      </w:r>
      <w:r>
        <w:rPr>
          <w:spacing w:val="-12"/>
        </w:rPr>
        <w:t> </w:t>
      </w:r>
      <w:r>
        <w:rPr/>
        <w:t>la</w:t>
      </w:r>
      <w:r>
        <w:rPr>
          <w:spacing w:val="-10"/>
        </w:rPr>
        <w:t> </w:t>
      </w:r>
      <w:r>
        <w:rPr/>
        <w:t>naturaleza</w:t>
      </w:r>
      <w:r>
        <w:rPr>
          <w:spacing w:val="-12"/>
        </w:rPr>
        <w:t> </w:t>
      </w:r>
      <w:r>
        <w:rPr/>
        <w:t>compleja del espacio, ya que éste no es simplemente el escenario</w:t>
      </w:r>
      <w:r>
        <w:rPr>
          <w:spacing w:val="-35"/>
        </w:rPr>
        <w:t> </w:t>
      </w:r>
      <w:r>
        <w:rPr/>
        <w:t>pasivo en</w:t>
      </w:r>
      <w:r>
        <w:rPr>
          <w:spacing w:val="-14"/>
        </w:rPr>
        <w:t> </w:t>
      </w:r>
      <w:r>
        <w:rPr/>
        <w:t>donde</w:t>
      </w:r>
      <w:r>
        <w:rPr>
          <w:spacing w:val="-16"/>
        </w:rPr>
        <w:t> </w:t>
      </w:r>
      <w:r>
        <w:rPr/>
        <w:t>ocurren</w:t>
      </w:r>
      <w:r>
        <w:rPr>
          <w:spacing w:val="-16"/>
        </w:rPr>
        <w:t> </w:t>
      </w:r>
      <w:r>
        <w:rPr/>
        <w:t>o</w:t>
      </w:r>
      <w:r>
        <w:rPr>
          <w:spacing w:val="-14"/>
        </w:rPr>
        <w:t> </w:t>
      </w:r>
      <w:r>
        <w:rPr/>
        <w:t>se</w:t>
      </w:r>
      <w:r>
        <w:rPr>
          <w:spacing w:val="-14"/>
        </w:rPr>
        <w:t> </w:t>
      </w:r>
      <w:r>
        <w:rPr/>
        <w:t>ubican</w:t>
      </w:r>
      <w:r>
        <w:rPr>
          <w:spacing w:val="-14"/>
        </w:rPr>
        <w:t> </w:t>
      </w:r>
      <w:r>
        <w:rPr/>
        <w:t>los hechos y fenómenos de la naturaleza y la sociedad, sino que constituye un sistema complejo, integrado y dinámico de diversos componentes o subsistemas –natural, social, económico, urbano-regional y político-, que interactúan a distintas escalas y a través del tiempo,</w:t>
      </w:r>
      <w:r>
        <w:rPr>
          <w:spacing w:val="-10"/>
        </w:rPr>
        <w:t> </w:t>
      </w:r>
      <w:r>
        <w:rPr/>
        <w:t>con</w:t>
      </w:r>
      <w:r>
        <w:rPr>
          <w:spacing w:val="-10"/>
        </w:rPr>
        <w:t> </w:t>
      </w:r>
      <w:r>
        <w:rPr/>
        <w:t>lo</w:t>
      </w:r>
      <w:r>
        <w:rPr>
          <w:spacing w:val="-13"/>
        </w:rPr>
        <w:t> </w:t>
      </w:r>
      <w:r>
        <w:rPr/>
        <w:t>cual</w:t>
      </w:r>
      <w:r>
        <w:rPr>
          <w:spacing w:val="-12"/>
        </w:rPr>
        <w:t> </w:t>
      </w:r>
      <w:r>
        <w:rPr/>
        <w:t>el</w:t>
      </w:r>
      <w:r>
        <w:rPr>
          <w:spacing w:val="-10"/>
        </w:rPr>
        <w:t> </w:t>
      </w:r>
      <w:r>
        <w:rPr/>
        <w:t>territorio</w:t>
      </w:r>
      <w:r>
        <w:rPr>
          <w:spacing w:val="-10"/>
        </w:rPr>
        <w:t> </w:t>
      </w:r>
      <w:r>
        <w:rPr/>
        <w:t>se convierte en un sujeto activo. De esta forma, el ordenamiento territorial constituye un proceso complejo, de carácter multi- e interdisciplinario, y de síntesis, pues una vez que se logra comprender la dinámica de transformación de un territorio dado a partir del análisis de su estructura, organización y funcionamiento a través de las múltiples y complejas relaciones entre sus componentes, se puede</w:t>
        <w:tab/>
        <w:t>sintetizar</w:t>
        <w:tab/>
        <w:t>su problemática, y por tanto, incidir de manera intencional en el orden territorial existente para que éste evolucione hacia otro más   equilibrado   y  </w:t>
      </w:r>
      <w:r>
        <w:rPr>
          <w:spacing w:val="23"/>
        </w:rPr>
        <w:t> </w:t>
      </w:r>
      <w:r>
        <w:rPr/>
        <w:t>armónico.</w:t>
      </w:r>
    </w:p>
    <w:p>
      <w:pPr>
        <w:pStyle w:val="BodyText"/>
        <w:spacing w:before="10"/>
        <w:rPr>
          <w:sz w:val="17"/>
        </w:rPr>
      </w:pPr>
    </w:p>
    <w:p>
      <w:pPr>
        <w:pStyle w:val="ListParagraph"/>
        <w:numPr>
          <w:ilvl w:val="0"/>
          <w:numId w:val="6"/>
        </w:numPr>
        <w:tabs>
          <w:tab w:pos="916" w:val="left" w:leader="none"/>
        </w:tabs>
        <w:spacing w:line="240" w:lineRule="auto" w:before="0" w:after="0"/>
        <w:ind w:left="702" w:right="5506" w:firstLine="0"/>
        <w:jc w:val="both"/>
        <w:rPr>
          <w:sz w:val="18"/>
        </w:rPr>
      </w:pPr>
      <w:r>
        <w:rPr>
          <w:sz w:val="18"/>
        </w:rPr>
        <w:t>Es un proceso concertado, lo cual</w:t>
      </w:r>
      <w:r>
        <w:rPr>
          <w:spacing w:val="-13"/>
          <w:sz w:val="18"/>
        </w:rPr>
        <w:t> </w:t>
      </w:r>
      <w:r>
        <w:rPr>
          <w:sz w:val="18"/>
        </w:rPr>
        <w:t>significa</w:t>
      </w:r>
      <w:r>
        <w:rPr>
          <w:spacing w:val="-14"/>
          <w:sz w:val="18"/>
        </w:rPr>
        <w:t> </w:t>
      </w:r>
      <w:r>
        <w:rPr>
          <w:sz w:val="18"/>
        </w:rPr>
        <w:t>que</w:t>
      </w:r>
      <w:r>
        <w:rPr>
          <w:spacing w:val="-13"/>
          <w:sz w:val="18"/>
        </w:rPr>
        <w:t> </w:t>
      </w:r>
      <w:r>
        <w:rPr>
          <w:sz w:val="18"/>
        </w:rPr>
        <w:t>en</w:t>
      </w:r>
      <w:r>
        <w:rPr>
          <w:spacing w:val="-13"/>
          <w:sz w:val="18"/>
        </w:rPr>
        <w:t> </w:t>
      </w:r>
      <w:r>
        <w:rPr>
          <w:sz w:val="18"/>
        </w:rPr>
        <w:t>el</w:t>
      </w:r>
      <w:r>
        <w:rPr>
          <w:spacing w:val="-11"/>
          <w:sz w:val="18"/>
        </w:rPr>
        <w:t> </w:t>
      </w:r>
      <w:r>
        <w:rPr>
          <w:sz w:val="18"/>
        </w:rPr>
        <w:t>diseño</w:t>
      </w:r>
      <w:r>
        <w:rPr>
          <w:spacing w:val="-16"/>
          <w:sz w:val="18"/>
        </w:rPr>
        <w:t> </w:t>
      </w:r>
      <w:r>
        <w:rPr>
          <w:sz w:val="18"/>
        </w:rPr>
        <w:t>de la imagen objetivo y el modelo territorial a alcanzar, se deben considerar las expectativas, aspiraciones y la participación activa de los diversos agentes sociales y económicos involucrados con el uso, aprovechamiento, ocupación y gestión del territorio en</w:t>
      </w:r>
      <w:r>
        <w:rPr>
          <w:spacing w:val="-28"/>
          <w:sz w:val="18"/>
        </w:rPr>
        <w:t> </w:t>
      </w:r>
      <w:r>
        <w:rPr>
          <w:sz w:val="18"/>
        </w:rPr>
        <w:t>cuestión.</w:t>
      </w:r>
    </w:p>
    <w:p>
      <w:pPr>
        <w:pStyle w:val="BodyText"/>
        <w:spacing w:before="10"/>
        <w:rPr>
          <w:sz w:val="17"/>
        </w:rPr>
      </w:pPr>
    </w:p>
    <w:p>
      <w:pPr>
        <w:pStyle w:val="ListParagraph"/>
        <w:numPr>
          <w:ilvl w:val="0"/>
          <w:numId w:val="6"/>
        </w:numPr>
        <w:tabs>
          <w:tab w:pos="916" w:val="left" w:leader="none"/>
        </w:tabs>
        <w:spacing w:line="240" w:lineRule="auto" w:before="0" w:after="0"/>
        <w:ind w:left="702" w:right="5506" w:firstLine="0"/>
        <w:jc w:val="both"/>
        <w:rPr>
          <w:sz w:val="18"/>
        </w:rPr>
      </w:pPr>
      <w:r>
        <w:rPr>
          <w:sz w:val="18"/>
        </w:rPr>
        <w:t>Tiene un enfoque prospectivo concebido a corto, mediano y largo plazo, lo que lo convierte en un proceso dinámico y continuo, flexible y de carácter permanente,     sujeto     a    </w:t>
      </w:r>
      <w:r>
        <w:rPr>
          <w:spacing w:val="38"/>
          <w:sz w:val="18"/>
        </w:rPr>
        <w:t> </w:t>
      </w:r>
      <w:r>
        <w:rPr>
          <w:sz w:val="18"/>
        </w:rPr>
        <w:t>un</w:t>
      </w:r>
    </w:p>
    <w:p>
      <w:pPr>
        <w:spacing w:after="0" w:line="240" w:lineRule="auto"/>
        <w:jc w:val="both"/>
        <w:rPr>
          <w:sz w:val="18"/>
        </w:rPr>
        <w:sectPr>
          <w:pgSz w:w="12240" w:h="15840"/>
          <w:pgMar w:top="1360" w:bottom="280" w:left="1720" w:right="1720"/>
        </w:sectPr>
      </w:pPr>
    </w:p>
    <w:p>
      <w:pPr>
        <w:pStyle w:val="BodyText"/>
        <w:spacing w:before="55"/>
        <w:ind w:left="821" w:right="5507"/>
        <w:jc w:val="both"/>
      </w:pPr>
      <w:r>
        <w:rPr/>
        <w:t>seguimiento y a una evaluación periódica para garantizar su cumplimiento.</w:t>
      </w:r>
    </w:p>
    <w:p>
      <w:pPr>
        <w:pStyle w:val="BodyText"/>
        <w:spacing w:before="10"/>
        <w:rPr>
          <w:sz w:val="17"/>
        </w:rPr>
      </w:pPr>
    </w:p>
    <w:p>
      <w:pPr>
        <w:pStyle w:val="ListParagraph"/>
        <w:numPr>
          <w:ilvl w:val="0"/>
          <w:numId w:val="6"/>
        </w:numPr>
        <w:tabs>
          <w:tab w:pos="1139" w:val="left" w:leader="none"/>
        </w:tabs>
        <w:spacing w:line="240" w:lineRule="auto" w:before="0" w:after="0"/>
        <w:ind w:left="822" w:right="5507" w:firstLine="0"/>
        <w:jc w:val="both"/>
        <w:rPr>
          <w:sz w:val="18"/>
        </w:rPr>
      </w:pPr>
      <w:r>
        <w:rPr>
          <w:sz w:val="18"/>
        </w:rPr>
        <w:t>El ordenamiento territorial persigue una triple finalidad (Palacio-Prieto y Sánchez- Salazar, 2004): · La utilización sustentable de los recursos naturales</w:t>
      </w:r>
      <w:r>
        <w:rPr>
          <w:spacing w:val="-6"/>
          <w:sz w:val="18"/>
        </w:rPr>
        <w:t> </w:t>
      </w:r>
      <w:r>
        <w:rPr>
          <w:sz w:val="18"/>
        </w:rPr>
        <w:t>y</w:t>
      </w:r>
      <w:r>
        <w:rPr>
          <w:spacing w:val="-8"/>
          <w:sz w:val="18"/>
        </w:rPr>
        <w:t> </w:t>
      </w:r>
      <w:r>
        <w:rPr>
          <w:sz w:val="18"/>
        </w:rPr>
        <w:t>el</w:t>
      </w:r>
      <w:r>
        <w:rPr>
          <w:spacing w:val="-6"/>
          <w:sz w:val="18"/>
        </w:rPr>
        <w:t> </w:t>
      </w:r>
      <w:r>
        <w:rPr>
          <w:sz w:val="18"/>
        </w:rPr>
        <w:t>uso</w:t>
      </w:r>
      <w:r>
        <w:rPr>
          <w:spacing w:val="-6"/>
          <w:sz w:val="18"/>
        </w:rPr>
        <w:t> </w:t>
      </w:r>
      <w:r>
        <w:rPr>
          <w:sz w:val="18"/>
        </w:rPr>
        <w:t>y</w:t>
      </w:r>
      <w:r>
        <w:rPr>
          <w:spacing w:val="-8"/>
          <w:sz w:val="18"/>
        </w:rPr>
        <w:t> </w:t>
      </w:r>
      <w:r>
        <w:rPr>
          <w:sz w:val="18"/>
        </w:rPr>
        <w:t>la</w:t>
      </w:r>
      <w:r>
        <w:rPr>
          <w:spacing w:val="-6"/>
          <w:sz w:val="18"/>
        </w:rPr>
        <w:t> </w:t>
      </w:r>
      <w:r>
        <w:rPr>
          <w:sz w:val="18"/>
        </w:rPr>
        <w:t>ocupación del territorio con base en su aptitud. · La reducción de los desequilibrios socioeconómicos regionales. · La integración funcional  óptima  del  </w:t>
      </w:r>
      <w:r>
        <w:rPr>
          <w:spacing w:val="12"/>
          <w:sz w:val="18"/>
        </w:rPr>
        <w:t> </w:t>
      </w:r>
      <w:r>
        <w:rPr>
          <w:sz w:val="18"/>
        </w:rPr>
        <w:t>territorio.</w:t>
      </w:r>
    </w:p>
    <w:p>
      <w:pPr>
        <w:pStyle w:val="BodyText"/>
        <w:spacing w:before="10"/>
        <w:rPr>
          <w:sz w:val="17"/>
        </w:rPr>
      </w:pPr>
    </w:p>
    <w:p>
      <w:pPr>
        <w:pStyle w:val="ListParagraph"/>
        <w:numPr>
          <w:ilvl w:val="0"/>
          <w:numId w:val="6"/>
        </w:numPr>
        <w:tabs>
          <w:tab w:pos="995" w:val="left" w:leader="none"/>
        </w:tabs>
        <w:spacing w:line="240" w:lineRule="auto" w:before="1" w:after="0"/>
        <w:ind w:left="822" w:right="5506" w:firstLine="0"/>
        <w:jc w:val="both"/>
        <w:rPr>
          <w:sz w:val="18"/>
        </w:rPr>
      </w:pPr>
      <w:r>
        <w:rPr>
          <w:sz w:val="18"/>
        </w:rPr>
        <w:t>Su objetivo último es lograr el desarrollo</w:t>
      </w:r>
      <w:r>
        <w:rPr>
          <w:spacing w:val="-10"/>
          <w:sz w:val="18"/>
        </w:rPr>
        <w:t> </w:t>
      </w:r>
      <w:r>
        <w:rPr>
          <w:sz w:val="18"/>
        </w:rPr>
        <w:t>humano</w:t>
      </w:r>
      <w:r>
        <w:rPr>
          <w:spacing w:val="-12"/>
          <w:sz w:val="18"/>
        </w:rPr>
        <w:t> </w:t>
      </w:r>
      <w:r>
        <w:rPr>
          <w:sz w:val="18"/>
        </w:rPr>
        <w:t>óptimo,</w:t>
      </w:r>
      <w:r>
        <w:rPr>
          <w:spacing w:val="-12"/>
          <w:sz w:val="18"/>
        </w:rPr>
        <w:t> </w:t>
      </w:r>
      <w:r>
        <w:rPr>
          <w:sz w:val="18"/>
        </w:rPr>
        <w:t>en</w:t>
      </w:r>
      <w:r>
        <w:rPr>
          <w:spacing w:val="-12"/>
          <w:sz w:val="18"/>
        </w:rPr>
        <w:t> </w:t>
      </w:r>
      <w:r>
        <w:rPr>
          <w:sz w:val="18"/>
        </w:rPr>
        <w:t>su concepción más integral, considerando tanto el bienestar socioeconómico de la población como la calidad ambiental del entorno en que se</w:t>
      </w:r>
      <w:r>
        <w:rPr>
          <w:spacing w:val="-15"/>
          <w:sz w:val="18"/>
        </w:rPr>
        <w:t> </w:t>
      </w:r>
      <w:r>
        <w:rPr>
          <w:sz w:val="18"/>
        </w:rPr>
        <w:t>desenvuelve.</w:t>
      </w:r>
    </w:p>
    <w:p>
      <w:pPr>
        <w:pStyle w:val="BodyText"/>
      </w:pPr>
    </w:p>
    <w:p>
      <w:pPr>
        <w:pStyle w:val="BodyText"/>
      </w:pPr>
    </w:p>
    <w:p>
      <w:pPr>
        <w:pStyle w:val="BodyText"/>
      </w:pPr>
    </w:p>
    <w:p>
      <w:pPr>
        <w:pStyle w:val="Heading1"/>
        <w:spacing w:before="141"/>
        <w:ind w:right="5506"/>
        <w:jc w:val="both"/>
      </w:pPr>
      <w:r>
        <w:rPr/>
        <w:t>III. La política de ordenamiento territorial en México y el desarrollo de guías metodológicas.</w:t>
      </w:r>
    </w:p>
    <w:p>
      <w:pPr>
        <w:pStyle w:val="BodyText"/>
        <w:rPr>
          <w:b/>
          <w:sz w:val="25"/>
        </w:rPr>
      </w:pPr>
    </w:p>
    <w:p>
      <w:pPr>
        <w:pStyle w:val="BodyText"/>
        <w:ind w:left="102" w:right="5504"/>
        <w:jc w:val="both"/>
      </w:pPr>
      <w:r>
        <w:rPr/>
        <w:t>La política de OT en México iniciada a fines del decenio de 1990 tiene como antecedentes más recientes a la Ley General de Asentamientos Humanos, promulgada en 1976, y modificada posteriormente</w:t>
      </w:r>
      <w:r>
        <w:rPr>
          <w:spacing w:val="-7"/>
        </w:rPr>
        <w:t> </w:t>
      </w:r>
      <w:r>
        <w:rPr/>
        <w:t>en</w:t>
      </w:r>
      <w:r>
        <w:rPr>
          <w:spacing w:val="-10"/>
        </w:rPr>
        <w:t> </w:t>
      </w:r>
      <w:r>
        <w:rPr/>
        <w:t>1981</w:t>
      </w:r>
      <w:r>
        <w:rPr>
          <w:spacing w:val="-10"/>
        </w:rPr>
        <w:t> </w:t>
      </w:r>
      <w:r>
        <w:rPr/>
        <w:t>y</w:t>
      </w:r>
      <w:r>
        <w:rPr>
          <w:spacing w:val="-9"/>
        </w:rPr>
        <w:t> </w:t>
      </w:r>
      <w:r>
        <w:rPr/>
        <w:t>1983,</w:t>
      </w:r>
      <w:r>
        <w:rPr>
          <w:spacing w:val="-8"/>
        </w:rPr>
        <w:t> </w:t>
      </w:r>
      <w:r>
        <w:rPr/>
        <w:t>en</w:t>
      </w:r>
      <w:r>
        <w:rPr>
          <w:spacing w:val="-7"/>
        </w:rPr>
        <w:t> </w:t>
      </w:r>
      <w:r>
        <w:rPr/>
        <w:t>donde se</w:t>
      </w:r>
      <w:r>
        <w:rPr>
          <w:spacing w:val="-7"/>
        </w:rPr>
        <w:t> </w:t>
      </w:r>
      <w:r>
        <w:rPr/>
        <w:t>menciona</w:t>
      </w:r>
      <w:r>
        <w:rPr>
          <w:spacing w:val="-7"/>
        </w:rPr>
        <w:t> </w:t>
      </w:r>
      <w:r>
        <w:rPr/>
        <w:t>por</w:t>
      </w:r>
      <w:r>
        <w:rPr>
          <w:spacing w:val="-9"/>
        </w:rPr>
        <w:t> </w:t>
      </w:r>
      <w:r>
        <w:rPr/>
        <w:t>primera</w:t>
      </w:r>
      <w:r>
        <w:rPr>
          <w:spacing w:val="-7"/>
        </w:rPr>
        <w:t> </w:t>
      </w:r>
      <w:r>
        <w:rPr/>
        <w:t>vez</w:t>
      </w:r>
      <w:r>
        <w:rPr>
          <w:spacing w:val="-8"/>
        </w:rPr>
        <w:t> </w:t>
      </w:r>
      <w:r>
        <w:rPr/>
        <w:t>en</w:t>
      </w:r>
      <w:r>
        <w:rPr>
          <w:spacing w:val="-7"/>
        </w:rPr>
        <w:t> </w:t>
      </w:r>
      <w:r>
        <w:rPr/>
        <w:t>México</w:t>
      </w:r>
      <w:r>
        <w:rPr>
          <w:spacing w:val="-7"/>
        </w:rPr>
        <w:t> </w:t>
      </w:r>
      <w:r>
        <w:rPr/>
        <w:t>a la</w:t>
      </w:r>
      <w:r>
        <w:rPr>
          <w:spacing w:val="-10"/>
        </w:rPr>
        <w:t> </w:t>
      </w:r>
      <w:r>
        <w:rPr/>
        <w:t>ordenación</w:t>
      </w:r>
      <w:r>
        <w:rPr>
          <w:spacing w:val="-10"/>
        </w:rPr>
        <w:t> </w:t>
      </w:r>
      <w:r>
        <w:rPr/>
        <w:t>del</w:t>
      </w:r>
      <w:r>
        <w:rPr>
          <w:spacing w:val="-10"/>
        </w:rPr>
        <w:t> </w:t>
      </w:r>
      <w:r>
        <w:rPr/>
        <w:t>territorio</w:t>
      </w:r>
      <w:r>
        <w:rPr>
          <w:spacing w:val="-10"/>
        </w:rPr>
        <w:t> </w:t>
      </w:r>
      <w:r>
        <w:rPr/>
        <w:t>en</w:t>
      </w:r>
      <w:r>
        <w:rPr>
          <w:spacing w:val="-12"/>
        </w:rPr>
        <w:t> </w:t>
      </w:r>
      <w:r>
        <w:rPr/>
        <w:t>relación</w:t>
      </w:r>
      <w:r>
        <w:rPr>
          <w:spacing w:val="-12"/>
        </w:rPr>
        <w:t> </w:t>
      </w:r>
      <w:r>
        <w:rPr/>
        <w:t>con los asentamientos humanos, y se define como el “…proceso de distribución equilibrada y sustentable de la población y de las actividades económicas en el territorio nacional, tendiente a mejorar el nivel y calidad de vida de la población urbana y rural…” (D.O.F., 26 de mayo de 1976). En el marco de esta ley se instituyen los llamados “ecoplanes”, en los que se buscaba integrar la</w:t>
      </w:r>
      <w:r>
        <w:rPr>
          <w:spacing w:val="-29"/>
        </w:rPr>
        <w:t> </w:t>
      </w:r>
      <w:r>
        <w:rPr/>
        <w:t>planeación ambiental al desarrollo urbano-regional. Posteriormente, en 1983 se expide la</w:t>
      </w:r>
      <w:r>
        <w:rPr>
          <w:spacing w:val="-29"/>
        </w:rPr>
        <w:t> </w:t>
      </w:r>
      <w:r>
        <w:rPr/>
        <w:t>Ley General</w:t>
      </w:r>
      <w:r>
        <w:rPr>
          <w:spacing w:val="-6"/>
        </w:rPr>
        <w:t> </w:t>
      </w:r>
      <w:r>
        <w:rPr/>
        <w:t>de</w:t>
      </w:r>
      <w:r>
        <w:rPr>
          <w:spacing w:val="-6"/>
        </w:rPr>
        <w:t> </w:t>
      </w:r>
      <w:r>
        <w:rPr/>
        <w:t>Planeación,</w:t>
      </w:r>
      <w:r>
        <w:rPr>
          <w:spacing w:val="-9"/>
        </w:rPr>
        <w:t> </w:t>
      </w:r>
      <w:r>
        <w:rPr/>
        <w:t>con</w:t>
      </w:r>
      <w:r>
        <w:rPr>
          <w:spacing w:val="-6"/>
        </w:rPr>
        <w:t> </w:t>
      </w:r>
      <w:r>
        <w:rPr/>
        <w:t>el</w:t>
      </w:r>
      <w:r>
        <w:rPr>
          <w:spacing w:val="-6"/>
        </w:rPr>
        <w:t> </w:t>
      </w:r>
      <w:r>
        <w:rPr/>
        <w:t>objetivo</w:t>
      </w:r>
      <w:r>
        <w:rPr>
          <w:spacing w:val="-6"/>
        </w:rPr>
        <w:t> </w:t>
      </w:r>
      <w:r>
        <w:rPr/>
        <w:t>de programar el desarrollo nacional y coordinar las acciones sectoriales y territoriales de las diversas entidades del gobierno federal en dicho desarrollo. En 1982 se promulga la Ley Federal de Protección al Ambiente, en la cual se menciona por vez primera el concepto de ordenamiento ecológico. Finalmente, en 1988 entra en vigor la Ley General del Equilibrio   Ecológico    y    Protección </w:t>
      </w:r>
      <w:r>
        <w:rPr>
          <w:spacing w:val="44"/>
        </w:rPr>
        <w:t> </w:t>
      </w:r>
      <w:r>
        <w:rPr/>
        <w:t>al</w:t>
      </w:r>
    </w:p>
    <w:p>
      <w:pPr>
        <w:spacing w:after="0"/>
        <w:jc w:val="both"/>
        <w:sectPr>
          <w:pgSz w:w="12240" w:h="15840"/>
          <w:pgMar w:top="1360" w:bottom="280" w:left="1600" w:right="1720"/>
        </w:sectPr>
      </w:pPr>
    </w:p>
    <w:p>
      <w:pPr>
        <w:pStyle w:val="BodyText"/>
        <w:spacing w:before="55"/>
        <w:ind w:left="102" w:right="5505"/>
        <w:jc w:val="both"/>
      </w:pPr>
      <w:r>
        <w:rPr/>
        <w:t>Ambiente (LGEEPA), la cual fue reformada en 1996, y define al ordenamiento ecológico como “…el instrumento de política ambiental cuyo objeto</w:t>
      </w:r>
      <w:r>
        <w:rPr>
          <w:spacing w:val="-10"/>
        </w:rPr>
        <w:t> </w:t>
      </w:r>
      <w:r>
        <w:rPr/>
        <w:t>es</w:t>
      </w:r>
      <w:r>
        <w:rPr>
          <w:spacing w:val="-9"/>
        </w:rPr>
        <w:t> </w:t>
      </w:r>
      <w:r>
        <w:rPr/>
        <w:t>regular</w:t>
      </w:r>
      <w:r>
        <w:rPr>
          <w:spacing w:val="-12"/>
        </w:rPr>
        <w:t> </w:t>
      </w:r>
      <w:r>
        <w:rPr/>
        <w:t>o</w:t>
      </w:r>
      <w:r>
        <w:rPr>
          <w:spacing w:val="-10"/>
        </w:rPr>
        <w:t> </w:t>
      </w:r>
      <w:r>
        <w:rPr/>
        <w:t>inducir</w:t>
      </w:r>
      <w:r>
        <w:rPr>
          <w:spacing w:val="-12"/>
        </w:rPr>
        <w:t> </w:t>
      </w:r>
      <w:r>
        <w:rPr/>
        <w:t>el</w:t>
      </w:r>
      <w:r>
        <w:rPr>
          <w:spacing w:val="-11"/>
        </w:rPr>
        <w:t> </w:t>
      </w:r>
      <w:r>
        <w:rPr/>
        <w:t>uso</w:t>
      </w:r>
      <w:r>
        <w:rPr>
          <w:spacing w:val="-10"/>
        </w:rPr>
        <w:t> </w:t>
      </w:r>
      <w:r>
        <w:rPr/>
        <w:t>del</w:t>
      </w:r>
      <w:r>
        <w:rPr>
          <w:spacing w:val="-11"/>
        </w:rPr>
        <w:t> </w:t>
      </w:r>
      <w:r>
        <w:rPr/>
        <w:t>suelo y las actividades productivas con el fin</w:t>
      </w:r>
      <w:r>
        <w:rPr>
          <w:spacing w:val="-22"/>
        </w:rPr>
        <w:t> </w:t>
      </w:r>
      <w:r>
        <w:rPr/>
        <w:t>de lograr la protección del medio ambiente y la preservación y el aprovechamiento sustentable de los recursos naturales…” (D.O.F., 28 de enero de 1988). En el marco de la LGEEPA, se publicó el Manual de Ordenamiento Ecológico del Territorio, que constituyó el primer esfuerzo de elaboración de una metodología para la elaboración de este tipo de</w:t>
      </w:r>
      <w:r>
        <w:rPr>
          <w:spacing w:val="-6"/>
        </w:rPr>
        <w:t> </w:t>
      </w:r>
      <w:r>
        <w:rPr/>
        <w:t>estudios.</w:t>
      </w:r>
    </w:p>
    <w:p>
      <w:pPr>
        <w:pStyle w:val="BodyText"/>
        <w:spacing w:before="6"/>
        <w:rPr>
          <w:sz w:val="24"/>
        </w:rPr>
      </w:pPr>
    </w:p>
    <w:p>
      <w:pPr>
        <w:pStyle w:val="BodyText"/>
        <w:ind w:left="102" w:right="5504"/>
        <w:jc w:val="both"/>
      </w:pPr>
      <w:r>
        <w:rPr/>
        <w:t>Al</w:t>
      </w:r>
      <w:r>
        <w:rPr>
          <w:spacing w:val="-12"/>
        </w:rPr>
        <w:t> </w:t>
      </w:r>
      <w:r>
        <w:rPr/>
        <w:t>final</w:t>
      </w:r>
      <w:r>
        <w:rPr>
          <w:spacing w:val="-13"/>
        </w:rPr>
        <w:t> </w:t>
      </w:r>
      <w:r>
        <w:rPr/>
        <w:t>de</w:t>
      </w:r>
      <w:r>
        <w:rPr>
          <w:spacing w:val="-13"/>
        </w:rPr>
        <w:t> </w:t>
      </w:r>
      <w:r>
        <w:rPr/>
        <w:t>la</w:t>
      </w:r>
      <w:r>
        <w:rPr>
          <w:spacing w:val="-13"/>
        </w:rPr>
        <w:t> </w:t>
      </w:r>
      <w:r>
        <w:rPr/>
        <w:t>administración</w:t>
      </w:r>
      <w:r>
        <w:rPr>
          <w:spacing w:val="-13"/>
        </w:rPr>
        <w:t> </w:t>
      </w:r>
      <w:r>
        <w:rPr/>
        <w:t>del</w:t>
      </w:r>
      <w:r>
        <w:rPr>
          <w:spacing w:val="-13"/>
        </w:rPr>
        <w:t> </w:t>
      </w:r>
      <w:r>
        <w:rPr/>
        <w:t>presidente Ernesto Zedillo, en los años 1999 y</w:t>
      </w:r>
      <w:r>
        <w:rPr>
          <w:spacing w:val="-20"/>
        </w:rPr>
        <w:t> </w:t>
      </w:r>
      <w:r>
        <w:rPr/>
        <w:t>2000, por iniciativa de la Secretaría de Desarrollo Social (SEDESOL) se inició la discusión</w:t>
      </w:r>
      <w:r>
        <w:rPr>
          <w:spacing w:val="-14"/>
        </w:rPr>
        <w:t> </w:t>
      </w:r>
      <w:r>
        <w:rPr/>
        <w:t>sobre</w:t>
      </w:r>
      <w:r>
        <w:rPr>
          <w:spacing w:val="-14"/>
        </w:rPr>
        <w:t> </w:t>
      </w:r>
      <w:r>
        <w:rPr/>
        <w:t>el</w:t>
      </w:r>
      <w:r>
        <w:rPr>
          <w:spacing w:val="-14"/>
        </w:rPr>
        <w:t> </w:t>
      </w:r>
      <w:r>
        <w:rPr/>
        <w:t>ordenamiento</w:t>
      </w:r>
      <w:r>
        <w:rPr>
          <w:spacing w:val="-11"/>
        </w:rPr>
        <w:t> </w:t>
      </w:r>
      <w:r>
        <w:rPr/>
        <w:t>territorial como una política con enfoque interdisciplinario e integral, que buscaba incorporar la dimensión territorial a la planeación del desarrollo. Para ello se integró el Grupo Interinstitucional de Ordenamiento Territorial (GIOT) con la participación, además de la SEDESOL, del Instituto Nacional de Ecología de la SEMARNAT, el Consejo Nacional de Población (CONAPO) y el Instituto Nacional de Estadística, Geografía e Informática</w:t>
      </w:r>
      <w:r>
        <w:rPr>
          <w:spacing w:val="-5"/>
        </w:rPr>
        <w:t> </w:t>
      </w:r>
      <w:r>
        <w:rPr/>
        <w:t>(INEGI).</w:t>
      </w:r>
    </w:p>
    <w:p>
      <w:pPr>
        <w:pStyle w:val="BodyText"/>
        <w:spacing w:before="6"/>
        <w:rPr>
          <w:sz w:val="24"/>
        </w:rPr>
      </w:pPr>
    </w:p>
    <w:p>
      <w:pPr>
        <w:pStyle w:val="BodyText"/>
        <w:ind w:left="102" w:right="5506"/>
        <w:jc w:val="both"/>
      </w:pPr>
      <w:r>
        <w:rPr/>
        <w:t>El GIOT se dio a la tarea de elaborar una Propuesta Interinstitucional de Ordenamiento Territorial, además de los términos de referencia para el arranque de la elaboración de los Programas Estatales de Ordenamiento Territorial (PEOT). Paralelamente preparó una</w:t>
      </w:r>
      <w:r>
        <w:rPr>
          <w:spacing w:val="-34"/>
        </w:rPr>
        <w:t> </w:t>
      </w:r>
      <w:r>
        <w:rPr/>
        <w:t>Guía Metodológica para desarrollar las fases de Caracterización y Diagnóstico de los tres subsistemas considerados originalmente en la estructura del PEOT: natural, económico y social. Con este marco</w:t>
      </w:r>
      <w:r>
        <w:rPr>
          <w:spacing w:val="-11"/>
        </w:rPr>
        <w:t> </w:t>
      </w:r>
      <w:r>
        <w:rPr/>
        <w:t>de</w:t>
      </w:r>
      <w:r>
        <w:rPr>
          <w:spacing w:val="-11"/>
        </w:rPr>
        <w:t> </w:t>
      </w:r>
      <w:r>
        <w:rPr/>
        <w:t>referencia,</w:t>
      </w:r>
      <w:r>
        <w:rPr>
          <w:spacing w:val="-14"/>
        </w:rPr>
        <w:t> </w:t>
      </w:r>
      <w:r>
        <w:rPr/>
        <w:t>la</w:t>
      </w:r>
      <w:r>
        <w:rPr>
          <w:spacing w:val="-14"/>
        </w:rPr>
        <w:t> </w:t>
      </w:r>
      <w:r>
        <w:rPr/>
        <w:t>mayor</w:t>
      </w:r>
      <w:r>
        <w:rPr>
          <w:spacing w:val="-14"/>
        </w:rPr>
        <w:t> </w:t>
      </w:r>
      <w:r>
        <w:rPr/>
        <w:t>parte</w:t>
      </w:r>
      <w:r>
        <w:rPr>
          <w:spacing w:val="-13"/>
        </w:rPr>
        <w:t> </w:t>
      </w:r>
      <w:r>
        <w:rPr/>
        <w:t>de</w:t>
      </w:r>
      <w:r>
        <w:rPr>
          <w:spacing w:val="-13"/>
        </w:rPr>
        <w:t> </w:t>
      </w:r>
      <w:r>
        <w:rPr/>
        <w:t>las entidades federativas iniciaron en 2000</w:t>
      </w:r>
      <w:r>
        <w:rPr>
          <w:spacing w:val="-30"/>
        </w:rPr>
        <w:t> </w:t>
      </w:r>
      <w:r>
        <w:rPr/>
        <w:t>la elaboración de sus programas de ordenamiento</w:t>
      </w:r>
      <w:r>
        <w:rPr>
          <w:spacing w:val="-10"/>
        </w:rPr>
        <w:t> </w:t>
      </w:r>
      <w:r>
        <w:rPr/>
        <w:t>territorial.</w:t>
      </w:r>
    </w:p>
    <w:sectPr>
      <w:pgSz w:w="12240" w:h="15840"/>
      <w:pgMar w:top="1360" w:bottom="280" w:left="1600" w:right="1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5">
    <w:multiLevelType w:val="hybridMultilevel"/>
    <w:lvl w:ilvl="0">
      <w:start w:val="3"/>
      <w:numFmt w:val="lowerLetter"/>
      <w:lvlText w:val="%1)"/>
      <w:lvlJc w:val="left"/>
      <w:pPr>
        <w:ind w:left="702" w:hanging="214"/>
        <w:jc w:val="right"/>
      </w:pPr>
      <w:rPr>
        <w:rFonts w:hint="default" w:ascii="Arial" w:hAnsi="Arial" w:eastAsia="Arial" w:cs="Arial"/>
        <w:spacing w:val="0"/>
        <w:w w:val="100"/>
        <w:sz w:val="18"/>
        <w:szCs w:val="18"/>
      </w:rPr>
    </w:lvl>
    <w:lvl w:ilvl="1">
      <w:start w:val="1"/>
      <w:numFmt w:val="bullet"/>
      <w:lvlText w:val="•"/>
      <w:lvlJc w:val="left"/>
      <w:pPr>
        <w:ind w:left="1510" w:hanging="214"/>
      </w:pPr>
      <w:rPr>
        <w:rFonts w:hint="default"/>
      </w:rPr>
    </w:lvl>
    <w:lvl w:ilvl="2">
      <w:start w:val="1"/>
      <w:numFmt w:val="bullet"/>
      <w:lvlText w:val="•"/>
      <w:lvlJc w:val="left"/>
      <w:pPr>
        <w:ind w:left="2320" w:hanging="214"/>
      </w:pPr>
      <w:rPr>
        <w:rFonts w:hint="default"/>
      </w:rPr>
    </w:lvl>
    <w:lvl w:ilvl="3">
      <w:start w:val="1"/>
      <w:numFmt w:val="bullet"/>
      <w:lvlText w:val="•"/>
      <w:lvlJc w:val="left"/>
      <w:pPr>
        <w:ind w:left="3130" w:hanging="214"/>
      </w:pPr>
      <w:rPr>
        <w:rFonts w:hint="default"/>
      </w:rPr>
    </w:lvl>
    <w:lvl w:ilvl="4">
      <w:start w:val="1"/>
      <w:numFmt w:val="bullet"/>
      <w:lvlText w:val="•"/>
      <w:lvlJc w:val="left"/>
      <w:pPr>
        <w:ind w:left="3940" w:hanging="214"/>
      </w:pPr>
      <w:rPr>
        <w:rFonts w:hint="default"/>
      </w:rPr>
    </w:lvl>
    <w:lvl w:ilvl="5">
      <w:start w:val="1"/>
      <w:numFmt w:val="bullet"/>
      <w:lvlText w:val="•"/>
      <w:lvlJc w:val="left"/>
      <w:pPr>
        <w:ind w:left="4750" w:hanging="214"/>
      </w:pPr>
      <w:rPr>
        <w:rFonts w:hint="default"/>
      </w:rPr>
    </w:lvl>
    <w:lvl w:ilvl="6">
      <w:start w:val="1"/>
      <w:numFmt w:val="bullet"/>
      <w:lvlText w:val="•"/>
      <w:lvlJc w:val="left"/>
      <w:pPr>
        <w:ind w:left="5560" w:hanging="214"/>
      </w:pPr>
      <w:rPr>
        <w:rFonts w:hint="default"/>
      </w:rPr>
    </w:lvl>
    <w:lvl w:ilvl="7">
      <w:start w:val="1"/>
      <w:numFmt w:val="bullet"/>
      <w:lvlText w:val="•"/>
      <w:lvlJc w:val="left"/>
      <w:pPr>
        <w:ind w:left="6370" w:hanging="214"/>
      </w:pPr>
      <w:rPr>
        <w:rFonts w:hint="default"/>
      </w:rPr>
    </w:lvl>
    <w:lvl w:ilvl="8">
      <w:start w:val="1"/>
      <w:numFmt w:val="bullet"/>
      <w:lvlText w:val="•"/>
      <w:lvlJc w:val="left"/>
      <w:pPr>
        <w:ind w:left="7180" w:hanging="214"/>
      </w:pPr>
      <w:rPr>
        <w:rFonts w:hint="default"/>
      </w:rPr>
    </w:lvl>
  </w:abstractNum>
  <w:abstractNum w:abstractNumId="4">
    <w:multiLevelType w:val="hybridMultilevel"/>
    <w:lvl w:ilvl="0">
      <w:start w:val="1"/>
      <w:numFmt w:val="lowerLetter"/>
      <w:lvlText w:val="%1)"/>
      <w:lvlJc w:val="left"/>
      <w:pPr>
        <w:ind w:left="919" w:hanging="310"/>
        <w:jc w:val="left"/>
      </w:pPr>
      <w:rPr>
        <w:rFonts w:hint="default" w:ascii="Arial" w:hAnsi="Arial" w:eastAsia="Arial" w:cs="Arial"/>
        <w:spacing w:val="-19"/>
        <w:w w:val="99"/>
        <w:sz w:val="18"/>
        <w:szCs w:val="18"/>
      </w:rPr>
    </w:lvl>
    <w:lvl w:ilvl="1">
      <w:start w:val="1"/>
      <w:numFmt w:val="bullet"/>
      <w:lvlText w:val="•"/>
      <w:lvlJc w:val="left"/>
      <w:pPr>
        <w:ind w:left="1184" w:hanging="310"/>
      </w:pPr>
      <w:rPr>
        <w:rFonts w:hint="default"/>
      </w:rPr>
    </w:lvl>
    <w:lvl w:ilvl="2">
      <w:start w:val="1"/>
      <w:numFmt w:val="bullet"/>
      <w:lvlText w:val="•"/>
      <w:lvlJc w:val="left"/>
      <w:pPr>
        <w:ind w:left="1448" w:hanging="310"/>
      </w:pPr>
      <w:rPr>
        <w:rFonts w:hint="default"/>
      </w:rPr>
    </w:lvl>
    <w:lvl w:ilvl="3">
      <w:start w:val="1"/>
      <w:numFmt w:val="bullet"/>
      <w:lvlText w:val="•"/>
      <w:lvlJc w:val="left"/>
      <w:pPr>
        <w:ind w:left="1712" w:hanging="310"/>
      </w:pPr>
      <w:rPr>
        <w:rFonts w:hint="default"/>
      </w:rPr>
    </w:lvl>
    <w:lvl w:ilvl="4">
      <w:start w:val="1"/>
      <w:numFmt w:val="bullet"/>
      <w:lvlText w:val="•"/>
      <w:lvlJc w:val="left"/>
      <w:pPr>
        <w:ind w:left="1976" w:hanging="310"/>
      </w:pPr>
      <w:rPr>
        <w:rFonts w:hint="default"/>
      </w:rPr>
    </w:lvl>
    <w:lvl w:ilvl="5">
      <w:start w:val="1"/>
      <w:numFmt w:val="bullet"/>
      <w:lvlText w:val="•"/>
      <w:lvlJc w:val="left"/>
      <w:pPr>
        <w:ind w:left="2240" w:hanging="310"/>
      </w:pPr>
      <w:rPr>
        <w:rFonts w:hint="default"/>
      </w:rPr>
    </w:lvl>
    <w:lvl w:ilvl="6">
      <w:start w:val="1"/>
      <w:numFmt w:val="bullet"/>
      <w:lvlText w:val="•"/>
      <w:lvlJc w:val="left"/>
      <w:pPr>
        <w:ind w:left="2504" w:hanging="310"/>
      </w:pPr>
      <w:rPr>
        <w:rFonts w:hint="default"/>
      </w:rPr>
    </w:lvl>
    <w:lvl w:ilvl="7">
      <w:start w:val="1"/>
      <w:numFmt w:val="bullet"/>
      <w:lvlText w:val="•"/>
      <w:lvlJc w:val="left"/>
      <w:pPr>
        <w:ind w:left="2768" w:hanging="310"/>
      </w:pPr>
      <w:rPr>
        <w:rFonts w:hint="default"/>
      </w:rPr>
    </w:lvl>
    <w:lvl w:ilvl="8">
      <w:start w:val="1"/>
      <w:numFmt w:val="bullet"/>
      <w:lvlText w:val="•"/>
      <w:lvlJc w:val="left"/>
      <w:pPr>
        <w:ind w:left="3032" w:hanging="310"/>
      </w:pPr>
      <w:rPr>
        <w:rFonts w:hint="default"/>
      </w:rPr>
    </w:lvl>
  </w:abstractNum>
  <w:abstractNum w:abstractNumId="3">
    <w:multiLevelType w:val="hybridMultilevel"/>
    <w:lvl w:ilvl="0">
      <w:start w:val="1"/>
      <w:numFmt w:val="lowerLetter"/>
      <w:lvlText w:val="%1)"/>
      <w:lvlJc w:val="left"/>
      <w:pPr>
        <w:ind w:left="770" w:hanging="214"/>
        <w:jc w:val="left"/>
      </w:pPr>
      <w:rPr>
        <w:rFonts w:hint="default" w:ascii="Times New Roman" w:hAnsi="Times New Roman" w:eastAsia="Times New Roman" w:cs="Times New Roman"/>
        <w:spacing w:val="-19"/>
        <w:w w:val="99"/>
        <w:sz w:val="18"/>
        <w:szCs w:val="18"/>
      </w:rPr>
    </w:lvl>
    <w:lvl w:ilvl="1">
      <w:start w:val="1"/>
      <w:numFmt w:val="bullet"/>
      <w:lvlText w:val="•"/>
      <w:lvlJc w:val="left"/>
      <w:pPr>
        <w:ind w:left="1270" w:hanging="214"/>
      </w:pPr>
      <w:rPr>
        <w:rFonts w:hint="default"/>
      </w:rPr>
    </w:lvl>
    <w:lvl w:ilvl="2">
      <w:start w:val="1"/>
      <w:numFmt w:val="bullet"/>
      <w:lvlText w:val="•"/>
      <w:lvlJc w:val="left"/>
      <w:pPr>
        <w:ind w:left="1760" w:hanging="214"/>
      </w:pPr>
      <w:rPr>
        <w:rFonts w:hint="default"/>
      </w:rPr>
    </w:lvl>
    <w:lvl w:ilvl="3">
      <w:start w:val="1"/>
      <w:numFmt w:val="bullet"/>
      <w:lvlText w:val="•"/>
      <w:lvlJc w:val="left"/>
      <w:pPr>
        <w:ind w:left="2250" w:hanging="214"/>
      </w:pPr>
      <w:rPr>
        <w:rFonts w:hint="default"/>
      </w:rPr>
    </w:lvl>
    <w:lvl w:ilvl="4">
      <w:start w:val="1"/>
      <w:numFmt w:val="bullet"/>
      <w:lvlText w:val="•"/>
      <w:lvlJc w:val="left"/>
      <w:pPr>
        <w:ind w:left="2740" w:hanging="214"/>
      </w:pPr>
      <w:rPr>
        <w:rFonts w:hint="default"/>
      </w:rPr>
    </w:lvl>
    <w:lvl w:ilvl="5">
      <w:start w:val="1"/>
      <w:numFmt w:val="bullet"/>
      <w:lvlText w:val="•"/>
      <w:lvlJc w:val="left"/>
      <w:pPr>
        <w:ind w:left="3230" w:hanging="214"/>
      </w:pPr>
      <w:rPr>
        <w:rFonts w:hint="default"/>
      </w:rPr>
    </w:lvl>
    <w:lvl w:ilvl="6">
      <w:start w:val="1"/>
      <w:numFmt w:val="bullet"/>
      <w:lvlText w:val="•"/>
      <w:lvlJc w:val="left"/>
      <w:pPr>
        <w:ind w:left="3720" w:hanging="214"/>
      </w:pPr>
      <w:rPr>
        <w:rFonts w:hint="default"/>
      </w:rPr>
    </w:lvl>
    <w:lvl w:ilvl="7">
      <w:start w:val="1"/>
      <w:numFmt w:val="bullet"/>
      <w:lvlText w:val="•"/>
      <w:lvlJc w:val="left"/>
      <w:pPr>
        <w:ind w:left="4210" w:hanging="214"/>
      </w:pPr>
      <w:rPr>
        <w:rFonts w:hint="default"/>
      </w:rPr>
    </w:lvl>
    <w:lvl w:ilvl="8">
      <w:start w:val="1"/>
      <w:numFmt w:val="bullet"/>
      <w:lvlText w:val="•"/>
      <w:lvlJc w:val="left"/>
      <w:pPr>
        <w:ind w:left="4700" w:hanging="214"/>
      </w:pPr>
      <w:rPr>
        <w:rFonts w:hint="default"/>
      </w:rPr>
    </w:lvl>
  </w:abstractNum>
  <w:abstractNum w:abstractNumId="2">
    <w:multiLevelType w:val="hybridMultilevel"/>
    <w:lvl w:ilvl="0">
      <w:start w:val="1"/>
      <w:numFmt w:val="lowerLetter"/>
      <w:lvlText w:val="%1)"/>
      <w:lvlJc w:val="left"/>
      <w:pPr>
        <w:ind w:left="769" w:hanging="260"/>
        <w:jc w:val="left"/>
      </w:pPr>
      <w:rPr>
        <w:rFonts w:hint="default" w:ascii="Times New Roman" w:hAnsi="Times New Roman" w:eastAsia="Times New Roman" w:cs="Times New Roman"/>
        <w:spacing w:val="-22"/>
        <w:w w:val="99"/>
        <w:sz w:val="18"/>
        <w:szCs w:val="18"/>
      </w:rPr>
    </w:lvl>
    <w:lvl w:ilvl="1">
      <w:start w:val="1"/>
      <w:numFmt w:val="bullet"/>
      <w:lvlText w:val="•"/>
      <w:lvlJc w:val="left"/>
      <w:pPr>
        <w:ind w:left="1252" w:hanging="260"/>
      </w:pPr>
      <w:rPr>
        <w:rFonts w:hint="default"/>
      </w:rPr>
    </w:lvl>
    <w:lvl w:ilvl="2">
      <w:start w:val="1"/>
      <w:numFmt w:val="bullet"/>
      <w:lvlText w:val="•"/>
      <w:lvlJc w:val="left"/>
      <w:pPr>
        <w:ind w:left="1744" w:hanging="260"/>
      </w:pPr>
      <w:rPr>
        <w:rFonts w:hint="default"/>
      </w:rPr>
    </w:lvl>
    <w:lvl w:ilvl="3">
      <w:start w:val="1"/>
      <w:numFmt w:val="bullet"/>
      <w:lvlText w:val="•"/>
      <w:lvlJc w:val="left"/>
      <w:pPr>
        <w:ind w:left="2236" w:hanging="260"/>
      </w:pPr>
      <w:rPr>
        <w:rFonts w:hint="default"/>
      </w:rPr>
    </w:lvl>
    <w:lvl w:ilvl="4">
      <w:start w:val="1"/>
      <w:numFmt w:val="bullet"/>
      <w:lvlText w:val="•"/>
      <w:lvlJc w:val="left"/>
      <w:pPr>
        <w:ind w:left="2728" w:hanging="260"/>
      </w:pPr>
      <w:rPr>
        <w:rFonts w:hint="default"/>
      </w:rPr>
    </w:lvl>
    <w:lvl w:ilvl="5">
      <w:start w:val="1"/>
      <w:numFmt w:val="bullet"/>
      <w:lvlText w:val="•"/>
      <w:lvlJc w:val="left"/>
      <w:pPr>
        <w:ind w:left="3220" w:hanging="260"/>
      </w:pPr>
      <w:rPr>
        <w:rFonts w:hint="default"/>
      </w:rPr>
    </w:lvl>
    <w:lvl w:ilvl="6">
      <w:start w:val="1"/>
      <w:numFmt w:val="bullet"/>
      <w:lvlText w:val="•"/>
      <w:lvlJc w:val="left"/>
      <w:pPr>
        <w:ind w:left="3712" w:hanging="260"/>
      </w:pPr>
      <w:rPr>
        <w:rFonts w:hint="default"/>
      </w:rPr>
    </w:lvl>
    <w:lvl w:ilvl="7">
      <w:start w:val="1"/>
      <w:numFmt w:val="bullet"/>
      <w:lvlText w:val="•"/>
      <w:lvlJc w:val="left"/>
      <w:pPr>
        <w:ind w:left="4204" w:hanging="260"/>
      </w:pPr>
      <w:rPr>
        <w:rFonts w:hint="default"/>
      </w:rPr>
    </w:lvl>
    <w:lvl w:ilvl="8">
      <w:start w:val="1"/>
      <w:numFmt w:val="bullet"/>
      <w:lvlText w:val="•"/>
      <w:lvlJc w:val="left"/>
      <w:pPr>
        <w:ind w:left="4696" w:hanging="260"/>
      </w:pPr>
      <w:rPr>
        <w:rFonts w:hint="default"/>
      </w:rPr>
    </w:lvl>
  </w:abstractNum>
  <w:abstractNum w:abstractNumId="1">
    <w:multiLevelType w:val="hybridMultilevel"/>
    <w:lvl w:ilvl="0">
      <w:start w:val="7"/>
      <w:numFmt w:val="lowerLetter"/>
      <w:lvlText w:val="%1)"/>
      <w:lvlJc w:val="left"/>
      <w:pPr>
        <w:ind w:left="919" w:hanging="207"/>
        <w:jc w:val="left"/>
      </w:pPr>
      <w:rPr>
        <w:rFonts w:hint="default" w:ascii="Arial" w:hAnsi="Arial" w:eastAsia="Arial" w:cs="Arial"/>
        <w:w w:val="99"/>
        <w:sz w:val="18"/>
        <w:szCs w:val="18"/>
      </w:rPr>
    </w:lvl>
    <w:lvl w:ilvl="1">
      <w:start w:val="1"/>
      <w:numFmt w:val="bullet"/>
      <w:lvlText w:val="•"/>
      <w:lvlJc w:val="left"/>
      <w:pPr>
        <w:ind w:left="1184" w:hanging="207"/>
      </w:pPr>
      <w:rPr>
        <w:rFonts w:hint="default"/>
      </w:rPr>
    </w:lvl>
    <w:lvl w:ilvl="2">
      <w:start w:val="1"/>
      <w:numFmt w:val="bullet"/>
      <w:lvlText w:val="•"/>
      <w:lvlJc w:val="left"/>
      <w:pPr>
        <w:ind w:left="1448" w:hanging="207"/>
      </w:pPr>
      <w:rPr>
        <w:rFonts w:hint="default"/>
      </w:rPr>
    </w:lvl>
    <w:lvl w:ilvl="3">
      <w:start w:val="1"/>
      <w:numFmt w:val="bullet"/>
      <w:lvlText w:val="•"/>
      <w:lvlJc w:val="left"/>
      <w:pPr>
        <w:ind w:left="1712" w:hanging="207"/>
      </w:pPr>
      <w:rPr>
        <w:rFonts w:hint="default"/>
      </w:rPr>
    </w:lvl>
    <w:lvl w:ilvl="4">
      <w:start w:val="1"/>
      <w:numFmt w:val="bullet"/>
      <w:lvlText w:val="•"/>
      <w:lvlJc w:val="left"/>
      <w:pPr>
        <w:ind w:left="1976" w:hanging="207"/>
      </w:pPr>
      <w:rPr>
        <w:rFonts w:hint="default"/>
      </w:rPr>
    </w:lvl>
    <w:lvl w:ilvl="5">
      <w:start w:val="1"/>
      <w:numFmt w:val="bullet"/>
      <w:lvlText w:val="•"/>
      <w:lvlJc w:val="left"/>
      <w:pPr>
        <w:ind w:left="2240" w:hanging="207"/>
      </w:pPr>
      <w:rPr>
        <w:rFonts w:hint="default"/>
      </w:rPr>
    </w:lvl>
    <w:lvl w:ilvl="6">
      <w:start w:val="1"/>
      <w:numFmt w:val="bullet"/>
      <w:lvlText w:val="•"/>
      <w:lvlJc w:val="left"/>
      <w:pPr>
        <w:ind w:left="2504" w:hanging="207"/>
      </w:pPr>
      <w:rPr>
        <w:rFonts w:hint="default"/>
      </w:rPr>
    </w:lvl>
    <w:lvl w:ilvl="7">
      <w:start w:val="1"/>
      <w:numFmt w:val="bullet"/>
      <w:lvlText w:val="•"/>
      <w:lvlJc w:val="left"/>
      <w:pPr>
        <w:ind w:left="2768" w:hanging="207"/>
      </w:pPr>
      <w:rPr>
        <w:rFonts w:hint="default"/>
      </w:rPr>
    </w:lvl>
    <w:lvl w:ilvl="8">
      <w:start w:val="1"/>
      <w:numFmt w:val="bullet"/>
      <w:lvlText w:val="•"/>
      <w:lvlJc w:val="left"/>
      <w:pPr>
        <w:ind w:left="3032" w:hanging="207"/>
      </w:pPr>
      <w:rPr>
        <w:rFonts w:hint="default"/>
      </w:rPr>
    </w:lvl>
  </w:abstractNum>
  <w:abstractNum w:abstractNumId="0">
    <w:multiLevelType w:val="hybridMultilevel"/>
    <w:lvl w:ilvl="0">
      <w:start w:val="1"/>
      <w:numFmt w:val="upperRoman"/>
      <w:lvlText w:val="%1."/>
      <w:lvlJc w:val="left"/>
      <w:pPr>
        <w:ind w:left="874" w:hanging="675"/>
        <w:jc w:val="left"/>
      </w:pPr>
      <w:rPr>
        <w:rFonts w:hint="default" w:ascii="Arial" w:hAnsi="Arial" w:eastAsia="Arial" w:cs="Arial"/>
        <w:b/>
        <w:bCs/>
        <w:spacing w:val="-2"/>
        <w:w w:val="99"/>
        <w:sz w:val="18"/>
        <w:szCs w:val="18"/>
      </w:rPr>
    </w:lvl>
    <w:lvl w:ilvl="1">
      <w:start w:val="1"/>
      <w:numFmt w:val="lowerLetter"/>
      <w:lvlText w:val="%2)"/>
      <w:lvlJc w:val="left"/>
      <w:pPr>
        <w:ind w:left="919" w:hanging="437"/>
        <w:jc w:val="left"/>
      </w:pPr>
      <w:rPr>
        <w:rFonts w:hint="default" w:ascii="Arial" w:hAnsi="Arial" w:eastAsia="Arial" w:cs="Arial"/>
        <w:spacing w:val="-25"/>
        <w:w w:val="99"/>
        <w:sz w:val="18"/>
        <w:szCs w:val="18"/>
      </w:rPr>
    </w:lvl>
    <w:lvl w:ilvl="2">
      <w:start w:val="1"/>
      <w:numFmt w:val="bullet"/>
      <w:lvlText w:val="•"/>
      <w:lvlJc w:val="left"/>
      <w:pPr>
        <w:ind w:left="1213" w:hanging="437"/>
      </w:pPr>
      <w:rPr>
        <w:rFonts w:hint="default"/>
      </w:rPr>
    </w:lvl>
    <w:lvl w:ilvl="3">
      <w:start w:val="1"/>
      <w:numFmt w:val="bullet"/>
      <w:lvlText w:val="•"/>
      <w:lvlJc w:val="left"/>
      <w:pPr>
        <w:ind w:left="1506" w:hanging="437"/>
      </w:pPr>
      <w:rPr>
        <w:rFonts w:hint="default"/>
      </w:rPr>
    </w:lvl>
    <w:lvl w:ilvl="4">
      <w:start w:val="1"/>
      <w:numFmt w:val="bullet"/>
      <w:lvlText w:val="•"/>
      <w:lvlJc w:val="left"/>
      <w:pPr>
        <w:ind w:left="1800" w:hanging="437"/>
      </w:pPr>
      <w:rPr>
        <w:rFonts w:hint="default"/>
      </w:rPr>
    </w:lvl>
    <w:lvl w:ilvl="5">
      <w:start w:val="1"/>
      <w:numFmt w:val="bullet"/>
      <w:lvlText w:val="•"/>
      <w:lvlJc w:val="left"/>
      <w:pPr>
        <w:ind w:left="2093" w:hanging="437"/>
      </w:pPr>
      <w:rPr>
        <w:rFonts w:hint="default"/>
      </w:rPr>
    </w:lvl>
    <w:lvl w:ilvl="6">
      <w:start w:val="1"/>
      <w:numFmt w:val="bullet"/>
      <w:lvlText w:val="•"/>
      <w:lvlJc w:val="left"/>
      <w:pPr>
        <w:ind w:left="2387" w:hanging="437"/>
      </w:pPr>
      <w:rPr>
        <w:rFonts w:hint="default"/>
      </w:rPr>
    </w:lvl>
    <w:lvl w:ilvl="7">
      <w:start w:val="1"/>
      <w:numFmt w:val="bullet"/>
      <w:lvlText w:val="•"/>
      <w:lvlJc w:val="left"/>
      <w:pPr>
        <w:ind w:left="2680" w:hanging="437"/>
      </w:pPr>
      <w:rPr>
        <w:rFonts w:hint="default"/>
      </w:rPr>
    </w:lvl>
    <w:lvl w:ilvl="8">
      <w:start w:val="1"/>
      <w:numFmt w:val="bullet"/>
      <w:lvlText w:val="•"/>
      <w:lvlJc w:val="left"/>
      <w:pPr>
        <w:ind w:left="2974" w:hanging="437"/>
      </w:pPr>
      <w:rPr>
        <w:rFonts w:hint="default"/>
      </w:rPr>
    </w:lvl>
  </w:abstract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18"/>
      <w:szCs w:val="18"/>
    </w:rPr>
  </w:style>
  <w:style w:styleId="Heading1" w:type="paragraph">
    <w:name w:val="Heading 1"/>
    <w:basedOn w:val="Normal"/>
    <w:uiPriority w:val="1"/>
    <w:qFormat/>
    <w:pPr>
      <w:spacing w:before="50"/>
      <w:ind w:left="102"/>
      <w:outlineLvl w:val="1"/>
    </w:pPr>
    <w:rPr>
      <w:rFonts w:ascii="Arial" w:hAnsi="Arial" w:eastAsia="Arial" w:cs="Arial"/>
      <w:b/>
      <w:bCs/>
      <w:sz w:val="18"/>
      <w:szCs w:val="18"/>
    </w:rPr>
  </w:style>
  <w:style w:styleId="ListParagraph" w:type="paragraph">
    <w:name w:val="List Paragraph"/>
    <w:basedOn w:val="Normal"/>
    <w:uiPriority w:val="1"/>
    <w:qFormat/>
    <w:pPr>
      <w:ind w:left="702" w:right="5506"/>
      <w:jc w:val="both"/>
    </w:pPr>
    <w:rPr>
      <w:rFonts w:ascii="Arial" w:hAnsi="Arial" w:eastAsia="Arial" w:cs="Arial"/>
    </w:rPr>
  </w:style>
  <w:style w:styleId="TableParagraph" w:type="paragraph">
    <w:name w:val="Table Paragraph"/>
    <w:basedOn w:val="Normal"/>
    <w:uiPriority w:val="1"/>
    <w:qFormat/>
    <w:pPr>
      <w:jc w:val="both"/>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yperlink" Target="mailto:mtss@servidor.unam.mx" TargetMode="External"/><Relationship Id="rId6" Type="http://schemas.openxmlformats.org/officeDocument/2006/relationships/hyperlink" Target="mailto:mtss@igg.unam.mx" TargetMode="External"/><Relationship Id="rId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Carlos Reyes Torres</dc:creator>
  <dcterms:created xsi:type="dcterms:W3CDTF">2017-06-07T00:58:58Z</dcterms:created>
  <dcterms:modified xsi:type="dcterms:W3CDTF">2017-06-07T00:58:58Z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2015-06-12T00:00:00Z</vt:filetime>
  </property>
  <property fmtid="{D5CDD505-2E9C-101B-9397-08002B2CF9AE}" pid="3" name="Creator">
    <vt:lpwstr>Microsoft® Word 2013</vt:lpwstr>
  </property>
  <property fmtid="{D5CDD505-2E9C-101B-9397-08002B2CF9AE}" pid="4" name="LastSaved">
    <vt:filetime>2017-06-06T00:00:00Z</vt:filetime>
  </property>
</Properties>
</file>