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1"/>
        </w:rPr>
      </w:pPr>
    </w:p>
    <w:p>
      <w:pPr>
        <w:pStyle w:val="Heading2"/>
        <w:ind w:left="1052" w:right="230" w:hanging="948"/>
      </w:pPr>
      <w:r>
        <w:rPr/>
        <w:t>Etapa de Pronóstico del Programa de Ordenamiento Ecológico General del Territorio (POEGT), México: escenario contextual, tendenciales y estratégico</w:t>
      </w:r>
    </w:p>
    <w:p>
      <w:pPr>
        <w:pStyle w:val="BodyText"/>
        <w:spacing w:before="4"/>
        <w:rPr>
          <w:b/>
          <w:sz w:val="31"/>
        </w:rPr>
      </w:pPr>
    </w:p>
    <w:p>
      <w:pPr>
        <w:spacing w:line="260" w:lineRule="exact" w:before="0"/>
        <w:ind w:left="0" w:right="113" w:firstLine="0"/>
        <w:jc w:val="right"/>
        <w:rPr>
          <w:i/>
          <w:sz w:val="14"/>
        </w:rPr>
      </w:pPr>
      <w:r>
        <w:rPr>
          <w:i/>
          <w:sz w:val="22"/>
        </w:rPr>
        <w:t>José Ramón Hernández Santana</w:t>
      </w:r>
      <w:r>
        <w:rPr>
          <w:i/>
          <w:position w:val="9"/>
          <w:sz w:val="14"/>
        </w:rPr>
        <w:t>1</w:t>
      </w:r>
    </w:p>
    <w:p>
      <w:pPr>
        <w:spacing w:line="254" w:lineRule="exact" w:before="10"/>
        <w:ind w:left="6213" w:right="113" w:firstLine="746"/>
        <w:jc w:val="right"/>
        <w:rPr>
          <w:i/>
          <w:sz w:val="14"/>
        </w:rPr>
      </w:pPr>
      <w:r>
        <w:rPr>
          <w:i/>
          <w:sz w:val="22"/>
        </w:rPr>
        <w:t>Manuel Bollo Manent</w:t>
      </w:r>
      <w:r>
        <w:rPr>
          <w:i/>
          <w:position w:val="9"/>
          <w:sz w:val="14"/>
        </w:rPr>
        <w:t>2</w:t>
      </w:r>
      <w:r>
        <w:rPr>
          <w:i/>
          <w:w w:val="99"/>
          <w:position w:val="9"/>
          <w:sz w:val="14"/>
        </w:rPr>
        <w:t> </w:t>
      </w:r>
      <w:r>
        <w:rPr>
          <w:i/>
          <w:sz w:val="22"/>
        </w:rPr>
        <w:t>Ana Patricia Méndez Linares</w:t>
      </w:r>
      <w:r>
        <w:rPr>
          <w:i/>
          <w:position w:val="9"/>
          <w:sz w:val="14"/>
        </w:rPr>
        <w:t>1</w:t>
      </w:r>
    </w:p>
    <w:p>
      <w:pPr>
        <w:spacing w:line="248" w:lineRule="exact" w:before="0"/>
        <w:ind w:left="0" w:right="112" w:firstLine="0"/>
        <w:jc w:val="right"/>
        <w:rPr>
          <w:i/>
          <w:sz w:val="14"/>
        </w:rPr>
      </w:pPr>
      <w:r>
        <w:rPr>
          <w:i/>
          <w:sz w:val="22"/>
        </w:rPr>
        <w:t>Celia López Miguel</w:t>
      </w:r>
      <w:r>
        <w:rPr>
          <w:i/>
          <w:position w:val="9"/>
          <w:sz w:val="14"/>
        </w:rPr>
        <w:t>3</w:t>
      </w:r>
    </w:p>
    <w:p>
      <w:pPr>
        <w:pStyle w:val="BodyText"/>
        <w:spacing w:before="8"/>
        <w:rPr>
          <w:i/>
          <w:sz w:val="20"/>
        </w:rPr>
      </w:pPr>
    </w:p>
    <w:p>
      <w:pPr>
        <w:spacing w:line="267" w:lineRule="exact" w:before="0"/>
        <w:ind w:left="0" w:right="112" w:firstLine="0"/>
        <w:jc w:val="right"/>
        <w:rPr>
          <w:i/>
          <w:sz w:val="22"/>
        </w:rPr>
      </w:pPr>
      <w:r>
        <w:rPr>
          <w:i/>
          <w:position w:val="9"/>
          <w:sz w:val="14"/>
        </w:rPr>
        <w:t>1</w:t>
      </w:r>
      <w:r>
        <w:rPr>
          <w:i/>
          <w:sz w:val="22"/>
        </w:rPr>
        <w:t>Departamento de Geografía Física</w:t>
      </w:r>
    </w:p>
    <w:p>
      <w:pPr>
        <w:spacing w:before="0"/>
        <w:ind w:left="4898" w:right="112" w:firstLine="2091"/>
        <w:jc w:val="right"/>
        <w:rPr>
          <w:i/>
          <w:sz w:val="22"/>
        </w:rPr>
      </w:pPr>
      <w:r>
        <w:rPr>
          <w:i/>
          <w:sz w:val="22"/>
        </w:rPr>
        <w:t>Instituto de Geografía</w:t>
      </w:r>
      <w:r>
        <w:rPr>
          <w:i/>
          <w:w w:val="100"/>
          <w:sz w:val="22"/>
        </w:rPr>
        <w:t> </w:t>
      </w:r>
      <w:r>
        <w:rPr>
          <w:i/>
          <w:sz w:val="22"/>
        </w:rPr>
        <w:t>Universidad Nacional Autónoma de México</w:t>
      </w:r>
      <w:r>
        <w:rPr>
          <w:i/>
          <w:w w:val="100"/>
          <w:sz w:val="22"/>
        </w:rPr>
        <w:t> </w:t>
      </w:r>
      <w:r>
        <w:rPr>
          <w:i/>
          <w:sz w:val="22"/>
        </w:rPr>
        <w:t>Ciudad de México, Distrito Federal</w:t>
      </w:r>
    </w:p>
    <w:p>
      <w:pPr>
        <w:spacing w:before="1"/>
        <w:ind w:left="0" w:right="115" w:firstLine="0"/>
        <w:jc w:val="right"/>
        <w:rPr>
          <w:i/>
          <w:sz w:val="22"/>
        </w:rPr>
      </w:pPr>
      <w:r>
        <w:rPr>
          <w:i/>
          <w:sz w:val="22"/>
        </w:rPr>
        <w:t>México</w:t>
      </w:r>
    </w:p>
    <w:p>
      <w:pPr>
        <w:pStyle w:val="BodyText"/>
        <w:spacing w:before="6"/>
        <w:rPr>
          <w:i/>
          <w:sz w:val="20"/>
        </w:rPr>
      </w:pPr>
    </w:p>
    <w:p>
      <w:pPr>
        <w:spacing w:before="0"/>
        <w:ind w:left="4898" w:right="112" w:hanging="800"/>
        <w:jc w:val="right"/>
        <w:rPr>
          <w:i/>
          <w:sz w:val="22"/>
        </w:rPr>
      </w:pPr>
      <w:r>
        <w:rPr>
          <w:i/>
          <w:position w:val="9"/>
          <w:sz w:val="14"/>
        </w:rPr>
        <w:t>2</w:t>
      </w:r>
      <w:r>
        <w:rPr>
          <w:i/>
          <w:sz w:val="22"/>
        </w:rPr>
        <w:t>Centro de Investigaciones en Geografía Ambiental</w:t>
      </w:r>
      <w:r>
        <w:rPr>
          <w:i/>
          <w:w w:val="100"/>
          <w:sz w:val="22"/>
        </w:rPr>
        <w:t> </w:t>
      </w:r>
      <w:r>
        <w:rPr>
          <w:i/>
          <w:sz w:val="22"/>
        </w:rPr>
        <w:t>Universidad Nacional Autónoma de México</w:t>
      </w:r>
    </w:p>
    <w:p>
      <w:pPr>
        <w:spacing w:line="252" w:lineRule="exact" w:before="0"/>
        <w:ind w:left="0" w:right="114" w:firstLine="0"/>
        <w:jc w:val="right"/>
        <w:rPr>
          <w:i/>
          <w:sz w:val="22"/>
        </w:rPr>
      </w:pPr>
      <w:r>
        <w:rPr>
          <w:i/>
          <w:sz w:val="22"/>
        </w:rPr>
        <w:t>Morelia, Michoacán</w:t>
      </w:r>
    </w:p>
    <w:p>
      <w:pPr>
        <w:spacing w:before="1"/>
        <w:ind w:left="0" w:right="115" w:firstLine="0"/>
        <w:jc w:val="right"/>
        <w:rPr>
          <w:i/>
          <w:sz w:val="22"/>
        </w:rPr>
      </w:pPr>
      <w:r>
        <w:rPr>
          <w:i/>
          <w:sz w:val="22"/>
        </w:rPr>
        <w:t>México</w:t>
      </w:r>
    </w:p>
    <w:p>
      <w:pPr>
        <w:pStyle w:val="BodyText"/>
        <w:spacing w:before="6"/>
        <w:rPr>
          <w:i/>
          <w:sz w:val="20"/>
        </w:rPr>
      </w:pPr>
    </w:p>
    <w:p>
      <w:pPr>
        <w:spacing w:before="0"/>
        <w:ind w:left="4898" w:right="112" w:hanging="1131"/>
        <w:jc w:val="right"/>
        <w:rPr>
          <w:i/>
          <w:sz w:val="22"/>
        </w:rPr>
      </w:pPr>
      <w:r>
        <w:rPr>
          <w:i/>
          <w:position w:val="9"/>
          <w:sz w:val="14"/>
        </w:rPr>
        <w:t>3</w:t>
      </w:r>
      <w:r>
        <w:rPr>
          <w:i/>
          <w:sz w:val="22"/>
        </w:rPr>
        <w:t>Centro Regional de Investigaciones Multidisciplinarias</w:t>
      </w:r>
      <w:r>
        <w:rPr>
          <w:i/>
          <w:w w:val="100"/>
          <w:sz w:val="22"/>
        </w:rPr>
        <w:t> </w:t>
      </w:r>
      <w:r>
        <w:rPr>
          <w:i/>
          <w:sz w:val="22"/>
        </w:rPr>
        <w:t>Universidad Nacional Autónoma de México</w:t>
      </w:r>
    </w:p>
    <w:p>
      <w:pPr>
        <w:spacing w:line="252" w:lineRule="exact" w:before="0"/>
        <w:ind w:left="0" w:right="111" w:firstLine="0"/>
        <w:jc w:val="right"/>
        <w:rPr>
          <w:i/>
          <w:sz w:val="22"/>
        </w:rPr>
      </w:pPr>
      <w:r>
        <w:rPr>
          <w:i/>
          <w:sz w:val="22"/>
        </w:rPr>
        <w:t>Cuernavaca, Morelos</w:t>
      </w:r>
    </w:p>
    <w:p>
      <w:pPr>
        <w:spacing w:before="1"/>
        <w:ind w:left="0" w:right="113" w:firstLine="0"/>
        <w:jc w:val="right"/>
        <w:rPr>
          <w:i/>
          <w:sz w:val="22"/>
        </w:rPr>
      </w:pPr>
      <w:r>
        <w:rPr>
          <w:i/>
          <w:sz w:val="22"/>
        </w:rPr>
        <w:t>México</w:t>
      </w:r>
    </w:p>
    <w:p>
      <w:pPr>
        <w:pStyle w:val="BodyText"/>
        <w:spacing w:before="7"/>
        <w:rPr>
          <w:i/>
          <w:sz w:val="21"/>
        </w:rPr>
      </w:pPr>
    </w:p>
    <w:p>
      <w:pPr>
        <w:spacing w:before="0"/>
        <w:ind w:left="6868" w:right="112" w:firstLine="139"/>
        <w:jc w:val="right"/>
        <w:rPr>
          <w:rFonts w:ascii="Times New Roman"/>
          <w:i/>
          <w:sz w:val="22"/>
        </w:rPr>
      </w:pPr>
      <w:hyperlink r:id="rId6">
        <w:r>
          <w:rPr>
            <w:rFonts w:ascii="Times New Roman"/>
            <w:i/>
            <w:color w:val="0000FF"/>
            <w:sz w:val="22"/>
            <w:u w:val="single" w:color="0000FF"/>
          </w:rPr>
          <w:t>santana@igg.unam.mx</w:t>
        </w:r>
      </w:hyperlink>
      <w:r>
        <w:rPr>
          <w:i/>
          <w:sz w:val="22"/>
        </w:rPr>
        <w:t>, </w:t>
      </w:r>
      <w:hyperlink r:id="rId7">
        <w:r>
          <w:rPr>
            <w:rFonts w:ascii="Times New Roman"/>
            <w:i/>
            <w:color w:val="0000FF"/>
            <w:sz w:val="22"/>
            <w:u w:val="single" w:color="0000FF"/>
          </w:rPr>
          <w:t>patyml@igg.unam.mx</w:t>
        </w:r>
      </w:hyperlink>
      <w:r>
        <w:rPr>
          <w:rFonts w:ascii="Times New Roman"/>
          <w:i/>
          <w:color w:val="0000FF"/>
          <w:sz w:val="22"/>
          <w:u w:val="single" w:color="0000FF"/>
        </w:rPr>
        <w:t> </w:t>
      </w:r>
      <w:hyperlink r:id="rId8">
        <w:r>
          <w:rPr>
            <w:rFonts w:ascii="Times New Roman"/>
            <w:i/>
            <w:color w:val="0000FF"/>
            <w:sz w:val="22"/>
            <w:u w:val="single" w:color="0000FF"/>
          </w:rPr>
          <w:t>mbollo@ciga.unam.mx</w:t>
        </w:r>
      </w:hyperlink>
      <w:r>
        <w:rPr>
          <w:rFonts w:ascii="Times New Roman"/>
          <w:i/>
          <w:color w:val="0000FF"/>
          <w:sz w:val="22"/>
          <w:u w:val="single" w:color="0000FF"/>
        </w:rPr>
        <w:t> </w:t>
      </w:r>
      <w:hyperlink r:id="rId9">
        <w:r>
          <w:rPr>
            <w:rFonts w:ascii="Times New Roman"/>
            <w:i/>
            <w:color w:val="0000FF"/>
            <w:sz w:val="22"/>
            <w:u w:val="single" w:color="0000FF"/>
          </w:rPr>
          <w:t>geocely@rocketmail.com</w:t>
        </w:r>
      </w:hyperlink>
    </w:p>
    <w:p>
      <w:pPr>
        <w:pStyle w:val="BodyText"/>
        <w:spacing w:before="3"/>
        <w:rPr>
          <w:rFonts w:ascii="Times New Roman"/>
          <w:i/>
          <w:sz w:val="26"/>
        </w:rPr>
      </w:pPr>
    </w:p>
    <w:p>
      <w:pPr>
        <w:pStyle w:val="Heading2"/>
        <w:ind w:left="4034" w:right="4165"/>
        <w:jc w:val="center"/>
      </w:pPr>
      <w:r>
        <w:rPr/>
        <w:t>Resumen</w:t>
      </w:r>
    </w:p>
    <w:p>
      <w:pPr>
        <w:pStyle w:val="BodyText"/>
        <w:spacing w:before="2"/>
        <w:rPr>
          <w:b/>
        </w:rPr>
      </w:pPr>
    </w:p>
    <w:p>
      <w:pPr>
        <w:spacing w:before="0"/>
        <w:ind w:left="265" w:right="397" w:firstLine="0"/>
        <w:jc w:val="both"/>
        <w:rPr>
          <w:sz w:val="20"/>
        </w:rPr>
      </w:pPr>
      <w:r>
        <w:rPr>
          <w:sz w:val="20"/>
        </w:rPr>
        <w:t>La</w:t>
      </w:r>
      <w:r>
        <w:rPr>
          <w:spacing w:val="-12"/>
          <w:sz w:val="20"/>
        </w:rPr>
        <w:t> </w:t>
      </w:r>
      <w:r>
        <w:rPr>
          <w:sz w:val="20"/>
        </w:rPr>
        <w:t>planeación</w:t>
      </w:r>
      <w:r>
        <w:rPr>
          <w:spacing w:val="-12"/>
          <w:sz w:val="20"/>
        </w:rPr>
        <w:t> </w:t>
      </w:r>
      <w:r>
        <w:rPr>
          <w:sz w:val="20"/>
        </w:rPr>
        <w:t>ecológica</w:t>
      </w:r>
      <w:r>
        <w:rPr>
          <w:spacing w:val="-10"/>
          <w:sz w:val="20"/>
        </w:rPr>
        <w:t> </w:t>
      </w:r>
      <w:r>
        <w:rPr>
          <w:sz w:val="20"/>
        </w:rPr>
        <w:t>del</w:t>
      </w:r>
      <w:r>
        <w:rPr>
          <w:spacing w:val="-11"/>
          <w:sz w:val="20"/>
        </w:rPr>
        <w:t> </w:t>
      </w:r>
      <w:r>
        <w:rPr>
          <w:sz w:val="20"/>
        </w:rPr>
        <w:t>territorio</w:t>
      </w:r>
      <w:r>
        <w:rPr>
          <w:spacing w:val="-12"/>
          <w:sz w:val="20"/>
        </w:rPr>
        <w:t> </w:t>
      </w:r>
      <w:r>
        <w:rPr>
          <w:sz w:val="20"/>
        </w:rPr>
        <w:t>nacional</w:t>
      </w:r>
      <w:r>
        <w:rPr>
          <w:spacing w:val="-13"/>
          <w:sz w:val="20"/>
        </w:rPr>
        <w:t> </w:t>
      </w:r>
      <w:r>
        <w:rPr>
          <w:sz w:val="20"/>
        </w:rPr>
        <w:t>requiere</w:t>
      </w:r>
      <w:r>
        <w:rPr>
          <w:spacing w:val="-10"/>
          <w:sz w:val="20"/>
        </w:rPr>
        <w:t> </w:t>
      </w:r>
      <w:r>
        <w:rPr>
          <w:sz w:val="20"/>
        </w:rPr>
        <w:t>un</w:t>
      </w:r>
      <w:r>
        <w:rPr>
          <w:spacing w:val="-12"/>
          <w:sz w:val="20"/>
        </w:rPr>
        <w:t> </w:t>
      </w:r>
      <w:r>
        <w:rPr>
          <w:sz w:val="20"/>
        </w:rPr>
        <w:t>conjunto</w:t>
      </w:r>
      <w:r>
        <w:rPr>
          <w:spacing w:val="-12"/>
          <w:sz w:val="20"/>
        </w:rPr>
        <w:t> </w:t>
      </w:r>
      <w:r>
        <w:rPr>
          <w:sz w:val="20"/>
        </w:rPr>
        <w:t>de</w:t>
      </w:r>
      <w:r>
        <w:rPr>
          <w:spacing w:val="-12"/>
          <w:sz w:val="20"/>
        </w:rPr>
        <w:t> </w:t>
      </w:r>
      <w:r>
        <w:rPr>
          <w:sz w:val="20"/>
        </w:rPr>
        <w:t>modelos</w:t>
      </w:r>
      <w:r>
        <w:rPr>
          <w:spacing w:val="-12"/>
          <w:sz w:val="20"/>
        </w:rPr>
        <w:t> </w:t>
      </w:r>
      <w:r>
        <w:rPr>
          <w:sz w:val="20"/>
        </w:rPr>
        <w:t>cartográficos,</w:t>
      </w:r>
      <w:r>
        <w:rPr>
          <w:spacing w:val="-12"/>
          <w:sz w:val="20"/>
        </w:rPr>
        <w:t> </w:t>
      </w:r>
      <w:r>
        <w:rPr>
          <w:sz w:val="20"/>
        </w:rPr>
        <w:t>que permitan</w:t>
      </w:r>
      <w:r>
        <w:rPr>
          <w:spacing w:val="-8"/>
          <w:sz w:val="20"/>
        </w:rPr>
        <w:t> </w:t>
      </w:r>
      <w:r>
        <w:rPr>
          <w:sz w:val="20"/>
        </w:rPr>
        <w:t>establecer</w:t>
      </w:r>
      <w:r>
        <w:rPr>
          <w:spacing w:val="-7"/>
          <w:sz w:val="20"/>
        </w:rPr>
        <w:t> </w:t>
      </w:r>
      <w:r>
        <w:rPr>
          <w:sz w:val="20"/>
        </w:rPr>
        <w:t>un</w:t>
      </w:r>
      <w:r>
        <w:rPr>
          <w:spacing w:val="-7"/>
          <w:sz w:val="20"/>
        </w:rPr>
        <w:t> </w:t>
      </w:r>
      <w:r>
        <w:rPr>
          <w:sz w:val="20"/>
        </w:rPr>
        <w:t>pronóstico</w:t>
      </w:r>
      <w:r>
        <w:rPr>
          <w:spacing w:val="-8"/>
          <w:sz w:val="20"/>
        </w:rPr>
        <w:t> </w:t>
      </w:r>
      <w:r>
        <w:rPr>
          <w:sz w:val="20"/>
        </w:rPr>
        <w:t>básico</w:t>
      </w:r>
      <w:r>
        <w:rPr>
          <w:spacing w:val="-8"/>
          <w:sz w:val="20"/>
        </w:rPr>
        <w:t> </w:t>
      </w:r>
      <w:r>
        <w:rPr>
          <w:sz w:val="20"/>
        </w:rPr>
        <w:t>de</w:t>
      </w:r>
      <w:r>
        <w:rPr>
          <w:spacing w:val="-6"/>
          <w:sz w:val="20"/>
        </w:rPr>
        <w:t> </w:t>
      </w:r>
      <w:r>
        <w:rPr>
          <w:sz w:val="20"/>
        </w:rPr>
        <w:t>ocupación</w:t>
      </w:r>
      <w:r>
        <w:rPr>
          <w:spacing w:val="-8"/>
          <w:sz w:val="20"/>
        </w:rPr>
        <w:t> </w:t>
      </w:r>
      <w:r>
        <w:rPr>
          <w:sz w:val="20"/>
        </w:rPr>
        <w:t>futura</w:t>
      </w:r>
      <w:r>
        <w:rPr>
          <w:spacing w:val="-2"/>
          <w:sz w:val="20"/>
        </w:rPr>
        <w:t> </w:t>
      </w:r>
      <w:r>
        <w:rPr>
          <w:sz w:val="20"/>
        </w:rPr>
        <w:t>y</w:t>
      </w:r>
      <w:r>
        <w:rPr>
          <w:spacing w:val="-11"/>
          <w:sz w:val="20"/>
        </w:rPr>
        <w:t> </w:t>
      </w:r>
      <w:r>
        <w:rPr>
          <w:sz w:val="20"/>
        </w:rPr>
        <w:t>que</w:t>
      </w:r>
      <w:r>
        <w:rPr>
          <w:spacing w:val="-8"/>
          <w:sz w:val="20"/>
        </w:rPr>
        <w:t> </w:t>
      </w:r>
      <w:r>
        <w:rPr>
          <w:sz w:val="20"/>
        </w:rPr>
        <w:t>oriente</w:t>
      </w:r>
      <w:r>
        <w:rPr>
          <w:spacing w:val="-6"/>
          <w:sz w:val="20"/>
        </w:rPr>
        <w:t> </w:t>
      </w:r>
      <w:r>
        <w:rPr>
          <w:sz w:val="20"/>
        </w:rPr>
        <w:t>la</w:t>
      </w:r>
      <w:r>
        <w:rPr>
          <w:spacing w:val="-8"/>
          <w:sz w:val="20"/>
        </w:rPr>
        <w:t> </w:t>
      </w:r>
      <w:r>
        <w:rPr>
          <w:sz w:val="20"/>
        </w:rPr>
        <w:t>instrumentación</w:t>
      </w:r>
      <w:r>
        <w:rPr>
          <w:spacing w:val="-8"/>
          <w:sz w:val="20"/>
        </w:rPr>
        <w:t> </w:t>
      </w:r>
      <w:r>
        <w:rPr>
          <w:sz w:val="20"/>
        </w:rPr>
        <w:t>de las políticas sectoriales federales de una manera sustentable, en correspondencia con las políticas ambientales para el país. El objetivo central de la etapa de pronóstico estuvo dirigido a la</w:t>
      </w:r>
      <w:r>
        <w:rPr>
          <w:spacing w:val="-14"/>
          <w:sz w:val="20"/>
        </w:rPr>
        <w:t> </w:t>
      </w:r>
      <w:r>
        <w:rPr>
          <w:sz w:val="20"/>
        </w:rPr>
        <w:t>elaboración</w:t>
      </w:r>
      <w:r>
        <w:rPr>
          <w:spacing w:val="-14"/>
          <w:sz w:val="20"/>
        </w:rPr>
        <w:t> </w:t>
      </w:r>
      <w:r>
        <w:rPr>
          <w:sz w:val="20"/>
        </w:rPr>
        <w:t>de</w:t>
      </w:r>
      <w:r>
        <w:rPr>
          <w:spacing w:val="-14"/>
          <w:sz w:val="20"/>
        </w:rPr>
        <w:t> </w:t>
      </w:r>
      <w:r>
        <w:rPr>
          <w:sz w:val="20"/>
        </w:rPr>
        <w:t>los</w:t>
      </w:r>
      <w:r>
        <w:rPr>
          <w:spacing w:val="-13"/>
          <w:sz w:val="20"/>
        </w:rPr>
        <w:t> </w:t>
      </w:r>
      <w:r>
        <w:rPr>
          <w:sz w:val="20"/>
        </w:rPr>
        <w:t>escenarios</w:t>
      </w:r>
      <w:r>
        <w:rPr>
          <w:spacing w:val="-15"/>
          <w:sz w:val="20"/>
        </w:rPr>
        <w:t> </w:t>
      </w:r>
      <w:r>
        <w:rPr>
          <w:sz w:val="20"/>
        </w:rPr>
        <w:t>contextual,</w:t>
      </w:r>
      <w:r>
        <w:rPr>
          <w:spacing w:val="-14"/>
          <w:sz w:val="20"/>
        </w:rPr>
        <w:t> </w:t>
      </w:r>
      <w:r>
        <w:rPr>
          <w:sz w:val="20"/>
        </w:rPr>
        <w:t>tendenciales</w:t>
      </w:r>
      <w:r>
        <w:rPr>
          <w:spacing w:val="-13"/>
          <w:sz w:val="20"/>
        </w:rPr>
        <w:t> </w:t>
      </w:r>
      <w:r>
        <w:rPr>
          <w:sz w:val="20"/>
        </w:rPr>
        <w:t>y</w:t>
      </w:r>
      <w:r>
        <w:rPr>
          <w:spacing w:val="-16"/>
          <w:sz w:val="20"/>
        </w:rPr>
        <w:t> </w:t>
      </w:r>
      <w:r>
        <w:rPr>
          <w:sz w:val="20"/>
        </w:rPr>
        <w:t>estratégico</w:t>
      </w:r>
      <w:r>
        <w:rPr>
          <w:spacing w:val="-14"/>
          <w:sz w:val="20"/>
        </w:rPr>
        <w:t> </w:t>
      </w:r>
      <w:r>
        <w:rPr>
          <w:sz w:val="20"/>
        </w:rPr>
        <w:t>del</w:t>
      </w:r>
      <w:r>
        <w:rPr>
          <w:spacing w:val="-16"/>
          <w:sz w:val="20"/>
        </w:rPr>
        <w:t> </w:t>
      </w:r>
      <w:r>
        <w:rPr>
          <w:sz w:val="20"/>
        </w:rPr>
        <w:t>territorio</w:t>
      </w:r>
      <w:r>
        <w:rPr>
          <w:spacing w:val="-16"/>
          <w:sz w:val="20"/>
        </w:rPr>
        <w:t> </w:t>
      </w:r>
      <w:r>
        <w:rPr>
          <w:sz w:val="20"/>
        </w:rPr>
        <w:t>nacional.</w:t>
      </w:r>
      <w:r>
        <w:rPr>
          <w:spacing w:val="-6"/>
          <w:sz w:val="20"/>
        </w:rPr>
        <w:t> </w:t>
      </w:r>
      <w:r>
        <w:rPr>
          <w:sz w:val="20"/>
        </w:rPr>
        <w:t>Para la realización del pronóstico, se aplicaron los métodos siguientes: (a) Compilación, búsqueda y consulta bibliográfica, documental, estadística y cartográfica de las variables necesarias; (b) Determinación del estado actual del medio ambiente de las 145 unidades ambientales biofísicas del territorio nacional, a partir de 16 indicadores (degradación biofísica, modificación antrópica y estado socioeconómico); (c) Análisis de los conflictos y de las sinergias intersectoriales; (d) Realización</w:t>
      </w:r>
      <w:r>
        <w:rPr>
          <w:spacing w:val="-8"/>
          <w:sz w:val="20"/>
        </w:rPr>
        <w:t> </w:t>
      </w:r>
      <w:r>
        <w:rPr>
          <w:sz w:val="20"/>
        </w:rPr>
        <w:t>de</w:t>
      </w:r>
      <w:r>
        <w:rPr>
          <w:spacing w:val="-8"/>
          <w:sz w:val="20"/>
        </w:rPr>
        <w:t> </w:t>
      </w:r>
      <w:r>
        <w:rPr>
          <w:sz w:val="20"/>
        </w:rPr>
        <w:t>talleres</w:t>
      </w:r>
      <w:r>
        <w:rPr>
          <w:spacing w:val="-8"/>
          <w:sz w:val="20"/>
        </w:rPr>
        <w:t> </w:t>
      </w:r>
      <w:r>
        <w:rPr>
          <w:sz w:val="20"/>
        </w:rPr>
        <w:t>sectoriales</w:t>
      </w:r>
      <w:r>
        <w:rPr>
          <w:spacing w:val="-6"/>
          <w:sz w:val="20"/>
        </w:rPr>
        <w:t> </w:t>
      </w:r>
      <w:r>
        <w:rPr>
          <w:sz w:val="20"/>
        </w:rPr>
        <w:t>y</w:t>
      </w:r>
      <w:r>
        <w:rPr>
          <w:spacing w:val="-11"/>
          <w:sz w:val="20"/>
        </w:rPr>
        <w:t> </w:t>
      </w:r>
      <w:r>
        <w:rPr>
          <w:sz w:val="20"/>
        </w:rPr>
        <w:t>regionales</w:t>
      </w:r>
      <w:r>
        <w:rPr>
          <w:spacing w:val="-8"/>
          <w:sz w:val="20"/>
        </w:rPr>
        <w:t> </w:t>
      </w:r>
      <w:r>
        <w:rPr>
          <w:sz w:val="20"/>
        </w:rPr>
        <w:t>de</w:t>
      </w:r>
      <w:r>
        <w:rPr>
          <w:spacing w:val="-8"/>
          <w:sz w:val="20"/>
        </w:rPr>
        <w:t> </w:t>
      </w:r>
      <w:r>
        <w:rPr>
          <w:sz w:val="20"/>
        </w:rPr>
        <w:t>consulta</w:t>
      </w:r>
      <w:r>
        <w:rPr>
          <w:spacing w:val="-4"/>
          <w:sz w:val="20"/>
        </w:rPr>
        <w:t> </w:t>
      </w:r>
      <w:r>
        <w:rPr>
          <w:sz w:val="20"/>
        </w:rPr>
        <w:t>y</w:t>
      </w:r>
      <w:r>
        <w:rPr>
          <w:spacing w:val="-11"/>
          <w:sz w:val="20"/>
        </w:rPr>
        <w:t> </w:t>
      </w:r>
      <w:r>
        <w:rPr>
          <w:sz w:val="20"/>
        </w:rPr>
        <w:t>de</w:t>
      </w:r>
      <w:r>
        <w:rPr>
          <w:spacing w:val="-7"/>
          <w:sz w:val="20"/>
        </w:rPr>
        <w:t> </w:t>
      </w:r>
      <w:r>
        <w:rPr>
          <w:sz w:val="20"/>
        </w:rPr>
        <w:t>validación;</w:t>
      </w:r>
      <w:r>
        <w:rPr>
          <w:spacing w:val="-4"/>
          <w:sz w:val="20"/>
        </w:rPr>
        <w:t> </w:t>
      </w:r>
      <w:r>
        <w:rPr>
          <w:sz w:val="20"/>
        </w:rPr>
        <w:t>y</w:t>
      </w:r>
      <w:r>
        <w:rPr>
          <w:spacing w:val="-12"/>
          <w:sz w:val="20"/>
        </w:rPr>
        <w:t> </w:t>
      </w:r>
      <w:r>
        <w:rPr>
          <w:sz w:val="20"/>
        </w:rPr>
        <w:t>(e)</w:t>
      </w:r>
      <w:r>
        <w:rPr>
          <w:spacing w:val="-6"/>
          <w:sz w:val="20"/>
        </w:rPr>
        <w:t> </w:t>
      </w:r>
      <w:r>
        <w:rPr>
          <w:sz w:val="20"/>
        </w:rPr>
        <w:t>Construcción</w:t>
      </w:r>
      <w:r>
        <w:rPr>
          <w:spacing w:val="-7"/>
          <w:sz w:val="20"/>
        </w:rPr>
        <w:t> </w:t>
      </w:r>
      <w:r>
        <w:rPr>
          <w:sz w:val="20"/>
        </w:rPr>
        <w:t>de los escenarios contextual y tendenciales. En la aplicación de la metodología de evaluación del estado del medio ambiente, la valoración de la intensidad de los problemas ambientales fue clasificada en muy alta, alta, media, baja y muy baja, así como el empleo de las categorías de unidades ambientales en estado estable, medianamente estable, inestable, crítico y muy crítico, en</w:t>
      </w:r>
      <w:r>
        <w:rPr>
          <w:spacing w:val="-8"/>
          <w:sz w:val="20"/>
        </w:rPr>
        <w:t> </w:t>
      </w:r>
      <w:r>
        <w:rPr>
          <w:sz w:val="20"/>
        </w:rPr>
        <w:t>función</w:t>
      </w:r>
      <w:r>
        <w:rPr>
          <w:spacing w:val="-6"/>
          <w:sz w:val="20"/>
        </w:rPr>
        <w:t> </w:t>
      </w:r>
      <w:r>
        <w:rPr>
          <w:sz w:val="20"/>
        </w:rPr>
        <w:t>de</w:t>
      </w:r>
      <w:r>
        <w:rPr>
          <w:spacing w:val="-6"/>
          <w:sz w:val="20"/>
        </w:rPr>
        <w:t> </w:t>
      </w:r>
      <w:r>
        <w:rPr>
          <w:sz w:val="20"/>
        </w:rPr>
        <w:t>los</w:t>
      </w:r>
      <w:r>
        <w:rPr>
          <w:spacing w:val="-5"/>
          <w:sz w:val="20"/>
        </w:rPr>
        <w:t> </w:t>
      </w:r>
      <w:r>
        <w:rPr>
          <w:sz w:val="20"/>
        </w:rPr>
        <w:t>valores</w:t>
      </w:r>
      <w:r>
        <w:rPr>
          <w:spacing w:val="-4"/>
          <w:sz w:val="20"/>
        </w:rPr>
        <w:t> </w:t>
      </w:r>
      <w:r>
        <w:rPr>
          <w:sz w:val="20"/>
        </w:rPr>
        <w:t>ponderados</w:t>
      </w:r>
      <w:r>
        <w:rPr>
          <w:spacing w:val="-5"/>
          <w:sz w:val="20"/>
        </w:rPr>
        <w:t> </w:t>
      </w:r>
      <w:r>
        <w:rPr>
          <w:sz w:val="20"/>
        </w:rPr>
        <w:t>de</w:t>
      </w:r>
      <w:r>
        <w:rPr>
          <w:spacing w:val="-6"/>
          <w:sz w:val="20"/>
        </w:rPr>
        <w:t> </w:t>
      </w:r>
      <w:r>
        <w:rPr>
          <w:sz w:val="20"/>
        </w:rPr>
        <w:t>los</w:t>
      </w:r>
      <w:r>
        <w:rPr>
          <w:spacing w:val="-5"/>
          <w:sz w:val="20"/>
        </w:rPr>
        <w:t> </w:t>
      </w:r>
      <w:r>
        <w:rPr>
          <w:sz w:val="20"/>
        </w:rPr>
        <w:t>16</w:t>
      </w:r>
      <w:r>
        <w:rPr>
          <w:spacing w:val="-6"/>
          <w:sz w:val="20"/>
        </w:rPr>
        <w:t> </w:t>
      </w:r>
      <w:r>
        <w:rPr>
          <w:sz w:val="20"/>
        </w:rPr>
        <w:t>indicadores</w:t>
      </w:r>
      <w:r>
        <w:rPr>
          <w:spacing w:val="-7"/>
          <w:sz w:val="20"/>
        </w:rPr>
        <w:t> </w:t>
      </w:r>
      <w:r>
        <w:rPr>
          <w:sz w:val="20"/>
        </w:rPr>
        <w:t>espaciales,</w:t>
      </w:r>
      <w:r>
        <w:rPr>
          <w:spacing w:val="-3"/>
          <w:sz w:val="20"/>
        </w:rPr>
        <w:t> </w:t>
      </w:r>
      <w:r>
        <w:rPr>
          <w:sz w:val="20"/>
        </w:rPr>
        <w:t>y</w:t>
      </w:r>
      <w:r>
        <w:rPr>
          <w:spacing w:val="-9"/>
          <w:sz w:val="20"/>
        </w:rPr>
        <w:t> </w:t>
      </w:r>
      <w:r>
        <w:rPr>
          <w:sz w:val="20"/>
        </w:rPr>
        <w:t>del</w:t>
      </w:r>
      <w:r>
        <w:rPr>
          <w:spacing w:val="-9"/>
          <w:sz w:val="20"/>
        </w:rPr>
        <w:t> </w:t>
      </w:r>
      <w:r>
        <w:rPr>
          <w:sz w:val="20"/>
        </w:rPr>
        <w:t>carácter</w:t>
      </w:r>
      <w:r>
        <w:rPr>
          <w:spacing w:val="-7"/>
          <w:sz w:val="20"/>
        </w:rPr>
        <w:t> </w:t>
      </w:r>
      <w:r>
        <w:rPr>
          <w:sz w:val="20"/>
        </w:rPr>
        <w:t>de</w:t>
      </w:r>
      <w:r>
        <w:rPr>
          <w:spacing w:val="-6"/>
          <w:sz w:val="20"/>
        </w:rPr>
        <w:t> </w:t>
      </w:r>
      <w:r>
        <w:rPr>
          <w:sz w:val="20"/>
        </w:rPr>
        <w:t>sinergia o de conflicto intersectorial en cada UAB. Como resultado final, se elaboraron las representaciones</w:t>
      </w:r>
      <w:r>
        <w:rPr>
          <w:spacing w:val="-5"/>
          <w:sz w:val="20"/>
        </w:rPr>
        <w:t> </w:t>
      </w:r>
      <w:r>
        <w:rPr>
          <w:sz w:val="20"/>
        </w:rPr>
        <w:t>cartográficas,</w:t>
      </w:r>
      <w:r>
        <w:rPr>
          <w:spacing w:val="-5"/>
          <w:sz w:val="20"/>
        </w:rPr>
        <w:t> </w:t>
      </w:r>
      <w:r>
        <w:rPr>
          <w:sz w:val="20"/>
        </w:rPr>
        <w:t>a</w:t>
      </w:r>
      <w:r>
        <w:rPr>
          <w:spacing w:val="-3"/>
          <w:sz w:val="20"/>
        </w:rPr>
        <w:t> </w:t>
      </w:r>
      <w:r>
        <w:rPr>
          <w:sz w:val="20"/>
        </w:rPr>
        <w:t>escala</w:t>
      </w:r>
      <w:r>
        <w:rPr>
          <w:spacing w:val="-3"/>
          <w:sz w:val="20"/>
        </w:rPr>
        <w:t> </w:t>
      </w:r>
      <w:r>
        <w:rPr>
          <w:sz w:val="20"/>
        </w:rPr>
        <w:t>1:2</w:t>
      </w:r>
      <w:r>
        <w:rPr>
          <w:spacing w:val="-4"/>
          <w:sz w:val="20"/>
        </w:rPr>
        <w:t> </w:t>
      </w:r>
      <w:r>
        <w:rPr>
          <w:sz w:val="20"/>
        </w:rPr>
        <w:t>000</w:t>
      </w:r>
      <w:r>
        <w:rPr>
          <w:spacing w:val="-4"/>
          <w:sz w:val="20"/>
        </w:rPr>
        <w:t> </w:t>
      </w:r>
      <w:r>
        <w:rPr>
          <w:sz w:val="20"/>
        </w:rPr>
        <w:t>000,</w:t>
      </w:r>
      <w:r>
        <w:rPr>
          <w:spacing w:val="-3"/>
          <w:sz w:val="20"/>
        </w:rPr>
        <w:t> </w:t>
      </w:r>
      <w:r>
        <w:rPr>
          <w:sz w:val="20"/>
        </w:rPr>
        <w:t>de</w:t>
      </w:r>
      <w:r>
        <w:rPr>
          <w:spacing w:val="-3"/>
          <w:sz w:val="20"/>
        </w:rPr>
        <w:t> </w:t>
      </w:r>
      <w:r>
        <w:rPr>
          <w:sz w:val="20"/>
        </w:rPr>
        <w:t>los</w:t>
      </w:r>
      <w:r>
        <w:rPr>
          <w:spacing w:val="-3"/>
          <w:sz w:val="20"/>
        </w:rPr>
        <w:t> </w:t>
      </w:r>
      <w:r>
        <w:rPr>
          <w:sz w:val="20"/>
        </w:rPr>
        <w:t>escenarios</w:t>
      </w:r>
      <w:r>
        <w:rPr>
          <w:spacing w:val="-5"/>
          <w:sz w:val="20"/>
        </w:rPr>
        <w:t> </w:t>
      </w:r>
      <w:r>
        <w:rPr>
          <w:sz w:val="20"/>
        </w:rPr>
        <w:t>contextual,</w:t>
      </w:r>
      <w:r>
        <w:rPr>
          <w:spacing w:val="-3"/>
          <w:sz w:val="20"/>
        </w:rPr>
        <w:t> </w:t>
      </w:r>
      <w:r>
        <w:rPr>
          <w:sz w:val="20"/>
        </w:rPr>
        <w:t>tendenciales (2012, 2023, 2033) y</w:t>
      </w:r>
      <w:r>
        <w:rPr>
          <w:spacing w:val="-12"/>
          <w:sz w:val="20"/>
        </w:rPr>
        <w:t> </w:t>
      </w:r>
      <w:r>
        <w:rPr>
          <w:sz w:val="20"/>
        </w:rPr>
        <w:t>estratégico.</w:t>
      </w:r>
    </w:p>
    <w:p>
      <w:pPr>
        <w:spacing w:after="0"/>
        <w:jc w:val="both"/>
        <w:rPr>
          <w:sz w:val="20"/>
        </w:rPr>
        <w:sectPr>
          <w:footerReference w:type="default" r:id="rId5"/>
          <w:type w:val="continuous"/>
          <w:pgSz w:w="12250" w:h="15850"/>
          <w:pgMar w:footer="759" w:top="1500" w:bottom="940" w:left="1720" w:right="1300"/>
          <w:pgNumType w:start="1"/>
        </w:sectPr>
      </w:pPr>
    </w:p>
    <w:p>
      <w:pPr>
        <w:pStyle w:val="BodyText"/>
        <w:rPr>
          <w:sz w:val="20"/>
        </w:rPr>
      </w:pPr>
    </w:p>
    <w:p>
      <w:pPr>
        <w:pStyle w:val="BodyText"/>
        <w:rPr>
          <w:sz w:val="20"/>
        </w:rPr>
      </w:pPr>
    </w:p>
    <w:p>
      <w:pPr>
        <w:pStyle w:val="BodyText"/>
        <w:spacing w:before="10"/>
        <w:rPr>
          <w:sz w:val="20"/>
        </w:rPr>
      </w:pPr>
    </w:p>
    <w:p>
      <w:pPr>
        <w:pStyle w:val="Heading2"/>
        <w:ind w:right="0"/>
        <w:jc w:val="both"/>
      </w:pPr>
      <w:r>
        <w:rPr/>
        <w:t>Introducción</w:t>
      </w:r>
    </w:p>
    <w:p>
      <w:pPr>
        <w:pStyle w:val="BodyText"/>
        <w:spacing w:before="7"/>
        <w:rPr>
          <w:b/>
          <w:sz w:val="32"/>
        </w:rPr>
      </w:pPr>
    </w:p>
    <w:p>
      <w:pPr>
        <w:pStyle w:val="BodyText"/>
        <w:spacing w:line="480" w:lineRule="auto" w:before="1"/>
        <w:ind w:left="102" w:right="112"/>
        <w:jc w:val="both"/>
      </w:pPr>
      <w:r>
        <w:rPr/>
        <w:t>Las</w:t>
      </w:r>
      <w:r>
        <w:rPr>
          <w:spacing w:val="-16"/>
        </w:rPr>
        <w:t> </w:t>
      </w:r>
      <w:r>
        <w:rPr/>
        <w:t>acciones</w:t>
      </w:r>
      <w:r>
        <w:rPr>
          <w:spacing w:val="-16"/>
        </w:rPr>
        <w:t> </w:t>
      </w:r>
      <w:r>
        <w:rPr/>
        <w:t>de</w:t>
      </w:r>
      <w:r>
        <w:rPr>
          <w:spacing w:val="-16"/>
        </w:rPr>
        <w:t> </w:t>
      </w:r>
      <w:r>
        <w:rPr/>
        <w:t>planeación</w:t>
      </w:r>
      <w:r>
        <w:rPr>
          <w:spacing w:val="-16"/>
        </w:rPr>
        <w:t> </w:t>
      </w:r>
      <w:r>
        <w:rPr/>
        <w:t>ambiental</w:t>
      </w:r>
      <w:r>
        <w:rPr>
          <w:spacing w:val="-17"/>
        </w:rPr>
        <w:t> </w:t>
      </w:r>
      <w:r>
        <w:rPr/>
        <w:t>de</w:t>
      </w:r>
      <w:r>
        <w:rPr>
          <w:spacing w:val="-16"/>
        </w:rPr>
        <w:t> </w:t>
      </w:r>
      <w:r>
        <w:rPr/>
        <w:t>cualquier</w:t>
      </w:r>
      <w:r>
        <w:rPr>
          <w:spacing w:val="-15"/>
        </w:rPr>
        <w:t> </w:t>
      </w:r>
      <w:r>
        <w:rPr/>
        <w:t>espacio</w:t>
      </w:r>
      <w:r>
        <w:rPr>
          <w:spacing w:val="-17"/>
        </w:rPr>
        <w:t> </w:t>
      </w:r>
      <w:r>
        <w:rPr/>
        <w:t>geográfico,</w:t>
      </w:r>
      <w:r>
        <w:rPr>
          <w:spacing w:val="-15"/>
        </w:rPr>
        <w:t> </w:t>
      </w:r>
      <w:r>
        <w:rPr/>
        <w:t>sea</w:t>
      </w:r>
      <w:r>
        <w:rPr>
          <w:spacing w:val="-18"/>
        </w:rPr>
        <w:t> </w:t>
      </w:r>
      <w:r>
        <w:rPr/>
        <w:t>continental,</w:t>
      </w:r>
      <w:r>
        <w:rPr>
          <w:spacing w:val="-15"/>
        </w:rPr>
        <w:t> </w:t>
      </w:r>
      <w:r>
        <w:rPr/>
        <w:t>insular o marino, demandan de un estudio de inventario y de estado actual y tendencial de sus recursos</w:t>
      </w:r>
      <w:r>
        <w:rPr>
          <w:spacing w:val="-9"/>
        </w:rPr>
        <w:t> </w:t>
      </w:r>
      <w:r>
        <w:rPr/>
        <w:t>naturales,</w:t>
      </w:r>
      <w:r>
        <w:rPr>
          <w:spacing w:val="-7"/>
        </w:rPr>
        <w:t> </w:t>
      </w:r>
      <w:r>
        <w:rPr/>
        <w:t>así</w:t>
      </w:r>
      <w:r>
        <w:rPr>
          <w:spacing w:val="-10"/>
        </w:rPr>
        <w:t> </w:t>
      </w:r>
      <w:r>
        <w:rPr/>
        <w:t>como</w:t>
      </w:r>
      <w:r>
        <w:rPr>
          <w:spacing w:val="-6"/>
        </w:rPr>
        <w:t> </w:t>
      </w:r>
      <w:r>
        <w:rPr/>
        <w:t>de</w:t>
      </w:r>
      <w:r>
        <w:rPr>
          <w:spacing w:val="-6"/>
        </w:rPr>
        <w:t> </w:t>
      </w:r>
      <w:r>
        <w:rPr/>
        <w:t>programas</w:t>
      </w:r>
      <w:r>
        <w:rPr>
          <w:spacing w:val="-9"/>
        </w:rPr>
        <w:t> </w:t>
      </w:r>
      <w:r>
        <w:rPr/>
        <w:t>y</w:t>
      </w:r>
      <w:r>
        <w:rPr>
          <w:spacing w:val="-8"/>
        </w:rPr>
        <w:t> </w:t>
      </w:r>
      <w:r>
        <w:rPr/>
        <w:t>proyectos</w:t>
      </w:r>
      <w:r>
        <w:rPr>
          <w:spacing w:val="-6"/>
        </w:rPr>
        <w:t> </w:t>
      </w:r>
      <w:r>
        <w:rPr/>
        <w:t>sectoriales</w:t>
      </w:r>
      <w:r>
        <w:rPr>
          <w:spacing w:val="-9"/>
        </w:rPr>
        <w:t> </w:t>
      </w:r>
      <w:r>
        <w:rPr/>
        <w:t>(etapas</w:t>
      </w:r>
      <w:r>
        <w:rPr>
          <w:spacing w:val="-6"/>
        </w:rPr>
        <w:t> </w:t>
      </w:r>
      <w:r>
        <w:rPr/>
        <w:t>de</w:t>
      </w:r>
      <w:r>
        <w:rPr>
          <w:spacing w:val="-9"/>
        </w:rPr>
        <w:t> </w:t>
      </w:r>
      <w:r>
        <w:rPr/>
        <w:t>caracterización y</w:t>
      </w:r>
      <w:r>
        <w:rPr>
          <w:spacing w:val="-11"/>
        </w:rPr>
        <w:t> </w:t>
      </w:r>
      <w:r>
        <w:rPr/>
        <w:t>de</w:t>
      </w:r>
      <w:r>
        <w:rPr>
          <w:spacing w:val="-9"/>
        </w:rPr>
        <w:t> </w:t>
      </w:r>
      <w:r>
        <w:rPr/>
        <w:t>diagnóstico),</w:t>
      </w:r>
      <w:r>
        <w:rPr>
          <w:spacing w:val="-8"/>
        </w:rPr>
        <w:t> </w:t>
      </w:r>
      <w:r>
        <w:rPr/>
        <w:t>para</w:t>
      </w:r>
      <w:r>
        <w:rPr>
          <w:spacing w:val="-9"/>
        </w:rPr>
        <w:t> </w:t>
      </w:r>
      <w:r>
        <w:rPr/>
        <w:t>analizar</w:t>
      </w:r>
      <w:r>
        <w:rPr>
          <w:spacing w:val="-8"/>
        </w:rPr>
        <w:t> </w:t>
      </w:r>
      <w:r>
        <w:rPr/>
        <w:t>la</w:t>
      </w:r>
      <w:r>
        <w:rPr>
          <w:spacing w:val="-9"/>
        </w:rPr>
        <w:t> </w:t>
      </w:r>
      <w:r>
        <w:rPr/>
        <w:t>viabilidad</w:t>
      </w:r>
      <w:r>
        <w:rPr>
          <w:spacing w:val="-9"/>
        </w:rPr>
        <w:t> </w:t>
      </w:r>
      <w:r>
        <w:rPr/>
        <w:t>ecológica</w:t>
      </w:r>
      <w:r>
        <w:rPr>
          <w:spacing w:val="-9"/>
        </w:rPr>
        <w:t> </w:t>
      </w:r>
      <w:r>
        <w:rPr/>
        <w:t>de</w:t>
      </w:r>
      <w:r>
        <w:rPr>
          <w:spacing w:val="-9"/>
        </w:rPr>
        <w:t> </w:t>
      </w:r>
      <w:r>
        <w:rPr/>
        <w:t>su</w:t>
      </w:r>
      <w:r>
        <w:rPr>
          <w:spacing w:val="-9"/>
        </w:rPr>
        <w:t> </w:t>
      </w:r>
      <w:r>
        <w:rPr/>
        <w:t>utilización</w:t>
      </w:r>
      <w:r>
        <w:rPr>
          <w:spacing w:val="-9"/>
        </w:rPr>
        <w:t> </w:t>
      </w:r>
      <w:r>
        <w:rPr/>
        <w:t>futura</w:t>
      </w:r>
      <w:r>
        <w:rPr>
          <w:spacing w:val="-9"/>
        </w:rPr>
        <w:t> </w:t>
      </w:r>
      <w:r>
        <w:rPr/>
        <w:t>ante</w:t>
      </w:r>
      <w:r>
        <w:rPr>
          <w:spacing w:val="-9"/>
        </w:rPr>
        <w:t> </w:t>
      </w:r>
      <w:r>
        <w:rPr/>
        <w:t>la</w:t>
      </w:r>
      <w:r>
        <w:rPr>
          <w:spacing w:val="-9"/>
        </w:rPr>
        <w:t> </w:t>
      </w:r>
      <w:r>
        <w:rPr/>
        <w:t>demanda creciente</w:t>
      </w:r>
      <w:r>
        <w:rPr>
          <w:spacing w:val="-9"/>
        </w:rPr>
        <w:t> </w:t>
      </w:r>
      <w:r>
        <w:rPr/>
        <w:t>de</w:t>
      </w:r>
      <w:r>
        <w:rPr>
          <w:spacing w:val="-7"/>
        </w:rPr>
        <w:t> </w:t>
      </w:r>
      <w:r>
        <w:rPr/>
        <w:t>uso</w:t>
      </w:r>
      <w:r>
        <w:rPr>
          <w:spacing w:val="-6"/>
        </w:rPr>
        <w:t> </w:t>
      </w:r>
      <w:r>
        <w:rPr/>
        <w:t>por</w:t>
      </w:r>
      <w:r>
        <w:rPr>
          <w:spacing w:val="-8"/>
        </w:rPr>
        <w:t> </w:t>
      </w:r>
      <w:r>
        <w:rPr/>
        <w:t>los</w:t>
      </w:r>
      <w:r>
        <w:rPr>
          <w:spacing w:val="-9"/>
        </w:rPr>
        <w:t> </w:t>
      </w:r>
      <w:r>
        <w:rPr/>
        <w:t>sectores</w:t>
      </w:r>
      <w:r>
        <w:rPr>
          <w:spacing w:val="-6"/>
        </w:rPr>
        <w:t> </w:t>
      </w:r>
      <w:r>
        <w:rPr/>
        <w:t>de</w:t>
      </w:r>
      <w:r>
        <w:rPr>
          <w:spacing w:val="-9"/>
        </w:rPr>
        <w:t> </w:t>
      </w:r>
      <w:r>
        <w:rPr/>
        <w:t>la</w:t>
      </w:r>
      <w:r>
        <w:rPr>
          <w:spacing w:val="-6"/>
        </w:rPr>
        <w:t> </w:t>
      </w:r>
      <w:r>
        <w:rPr/>
        <w:t>Administración</w:t>
      </w:r>
      <w:r>
        <w:rPr>
          <w:spacing w:val="-7"/>
        </w:rPr>
        <w:t> </w:t>
      </w:r>
      <w:r>
        <w:rPr/>
        <w:t>Pública</w:t>
      </w:r>
      <w:r>
        <w:rPr>
          <w:spacing w:val="-6"/>
        </w:rPr>
        <w:t> </w:t>
      </w:r>
      <w:r>
        <w:rPr/>
        <w:t>Federal</w:t>
      </w:r>
      <w:r>
        <w:rPr>
          <w:spacing w:val="-10"/>
        </w:rPr>
        <w:t> </w:t>
      </w:r>
      <w:r>
        <w:rPr/>
        <w:t>(APF).</w:t>
      </w:r>
      <w:r>
        <w:rPr>
          <w:spacing w:val="-7"/>
        </w:rPr>
        <w:t> </w:t>
      </w:r>
      <w:r>
        <w:rPr/>
        <w:t>En</w:t>
      </w:r>
      <w:r>
        <w:rPr>
          <w:spacing w:val="-6"/>
        </w:rPr>
        <w:t> </w:t>
      </w:r>
      <w:r>
        <w:rPr/>
        <w:t>este</w:t>
      </w:r>
      <w:r>
        <w:rPr>
          <w:spacing w:val="-9"/>
        </w:rPr>
        <w:t> </w:t>
      </w:r>
      <w:r>
        <w:rPr/>
        <w:t>sentido, la planeación del territorio nacional tiene que disponer de un modelo de ordenamiento ecológico general del territorio (MOEGT), basado en la disponibilidad cuantitativa y en el estado cualitativo de los componentes del medio ambiente, que sirva de plataforma sustentable</w:t>
      </w:r>
      <w:r>
        <w:rPr>
          <w:spacing w:val="-4"/>
        </w:rPr>
        <w:t> </w:t>
      </w:r>
      <w:r>
        <w:rPr/>
        <w:t>para</w:t>
      </w:r>
      <w:r>
        <w:rPr>
          <w:spacing w:val="-4"/>
        </w:rPr>
        <w:t> </w:t>
      </w:r>
      <w:r>
        <w:rPr/>
        <w:t>la</w:t>
      </w:r>
      <w:r>
        <w:rPr>
          <w:spacing w:val="-4"/>
        </w:rPr>
        <w:t> </w:t>
      </w:r>
      <w:r>
        <w:rPr/>
        <w:t>implementación</w:t>
      </w:r>
      <w:r>
        <w:rPr>
          <w:spacing w:val="-4"/>
        </w:rPr>
        <w:t> </w:t>
      </w:r>
      <w:r>
        <w:rPr/>
        <w:t>de</w:t>
      </w:r>
      <w:r>
        <w:rPr>
          <w:spacing w:val="-7"/>
        </w:rPr>
        <w:t> </w:t>
      </w:r>
      <w:r>
        <w:rPr/>
        <w:t>las</w:t>
      </w:r>
      <w:r>
        <w:rPr>
          <w:spacing w:val="-4"/>
        </w:rPr>
        <w:t> </w:t>
      </w:r>
      <w:r>
        <w:rPr/>
        <w:t>políticas</w:t>
      </w:r>
      <w:r>
        <w:rPr>
          <w:spacing w:val="-4"/>
        </w:rPr>
        <w:t> </w:t>
      </w:r>
      <w:r>
        <w:rPr/>
        <w:t>socioeconómicas</w:t>
      </w:r>
      <w:r>
        <w:rPr>
          <w:spacing w:val="-6"/>
        </w:rPr>
        <w:t> </w:t>
      </w:r>
      <w:r>
        <w:rPr/>
        <w:t>sectoriales,</w:t>
      </w:r>
      <w:r>
        <w:rPr>
          <w:spacing w:val="-3"/>
        </w:rPr>
        <w:t> </w:t>
      </w:r>
      <w:r>
        <w:rPr/>
        <w:t>con</w:t>
      </w:r>
      <w:r>
        <w:rPr>
          <w:spacing w:val="-4"/>
        </w:rPr>
        <w:t> </w:t>
      </w:r>
      <w:r>
        <w:rPr/>
        <w:t>el</w:t>
      </w:r>
      <w:r>
        <w:rPr>
          <w:spacing w:val="-7"/>
        </w:rPr>
        <w:t> </w:t>
      </w:r>
      <w:r>
        <w:rPr/>
        <w:t>fin</w:t>
      </w:r>
      <w:r>
        <w:rPr>
          <w:spacing w:val="-4"/>
        </w:rPr>
        <w:t> </w:t>
      </w:r>
      <w:r>
        <w:rPr/>
        <w:t>de lograr la debida compatibilidad o complementariedad con las políticas ambientales</w:t>
      </w:r>
      <w:r>
        <w:rPr>
          <w:spacing w:val="-32"/>
        </w:rPr>
        <w:t> </w:t>
      </w:r>
      <w:r>
        <w:rPr/>
        <w:t>requeridas en el</w:t>
      </w:r>
      <w:r>
        <w:rPr>
          <w:spacing w:val="-3"/>
        </w:rPr>
        <w:t> </w:t>
      </w:r>
      <w:r>
        <w:rPr/>
        <w:t>país.</w:t>
      </w:r>
    </w:p>
    <w:p>
      <w:pPr>
        <w:pStyle w:val="BodyText"/>
        <w:spacing w:line="480" w:lineRule="auto" w:before="127"/>
        <w:ind w:left="102" w:right="113" w:firstLine="707"/>
        <w:jc w:val="both"/>
      </w:pPr>
      <w:r>
        <w:rPr/>
        <w:t>Esta necesidad de alcanzar un equilibrio dinámico entre la disponibilidad de los recursos naturales con las expectativas de vida de la población y con el desarrollo de los intereses de los diferentes sectores sociales y económicos del país, y además, con la capacidad de autorrecuperación o recuperación del medio biofísico, inducida por el hombre, está</w:t>
      </w:r>
      <w:r>
        <w:rPr>
          <w:spacing w:val="-13"/>
        </w:rPr>
        <w:t> </w:t>
      </w:r>
      <w:r>
        <w:rPr/>
        <w:t>amparada</w:t>
      </w:r>
      <w:r>
        <w:rPr>
          <w:spacing w:val="-14"/>
        </w:rPr>
        <w:t> </w:t>
      </w:r>
      <w:r>
        <w:rPr/>
        <w:t>jurídica</w:t>
      </w:r>
      <w:r>
        <w:rPr>
          <w:spacing w:val="-11"/>
        </w:rPr>
        <w:t> </w:t>
      </w:r>
      <w:r>
        <w:rPr/>
        <w:t>y</w:t>
      </w:r>
      <w:r>
        <w:rPr>
          <w:spacing w:val="-13"/>
        </w:rPr>
        <w:t> </w:t>
      </w:r>
      <w:r>
        <w:rPr/>
        <w:t>administrativamente</w:t>
      </w:r>
      <w:r>
        <w:rPr>
          <w:spacing w:val="-14"/>
        </w:rPr>
        <w:t> </w:t>
      </w:r>
      <w:r>
        <w:rPr/>
        <w:t>en</w:t>
      </w:r>
      <w:r>
        <w:rPr>
          <w:spacing w:val="-11"/>
        </w:rPr>
        <w:t> </w:t>
      </w:r>
      <w:r>
        <w:rPr/>
        <w:t>el</w:t>
      </w:r>
      <w:r>
        <w:rPr>
          <w:spacing w:val="-12"/>
        </w:rPr>
        <w:t> </w:t>
      </w:r>
      <w:r>
        <w:rPr/>
        <w:t>reglamento</w:t>
      </w:r>
      <w:r>
        <w:rPr>
          <w:spacing w:val="-14"/>
        </w:rPr>
        <w:t> </w:t>
      </w:r>
      <w:r>
        <w:rPr/>
        <w:t>de</w:t>
      </w:r>
      <w:r>
        <w:rPr>
          <w:spacing w:val="-14"/>
        </w:rPr>
        <w:t> </w:t>
      </w:r>
      <w:r>
        <w:rPr/>
        <w:t>la</w:t>
      </w:r>
      <w:r>
        <w:rPr>
          <w:spacing w:val="-11"/>
        </w:rPr>
        <w:t> </w:t>
      </w:r>
      <w:r>
        <w:rPr/>
        <w:t>Ley</w:t>
      </w:r>
      <w:r>
        <w:rPr>
          <w:spacing w:val="-16"/>
        </w:rPr>
        <w:t> </w:t>
      </w:r>
      <w:r>
        <w:rPr/>
        <w:t>General</w:t>
      </w:r>
      <w:r>
        <w:rPr>
          <w:spacing w:val="-12"/>
        </w:rPr>
        <w:t> </w:t>
      </w:r>
      <w:r>
        <w:rPr/>
        <w:t>del</w:t>
      </w:r>
      <w:r>
        <w:rPr>
          <w:spacing w:val="-14"/>
        </w:rPr>
        <w:t> </w:t>
      </w:r>
      <w:r>
        <w:rPr/>
        <w:t>Equilibrio Ecológico y la Protección al Ambiente (Diario Oficial de la Federación, 1988; SEMARNAT, 2003) en materia de ordenamiento ecológico, donde se establece que la SEMARNAT formulará el Programa de Ordenamiento General del Territorio, en el marco del Sistema de Planeación Democrática (consenso participativo de la sociedad), siendo un programa de observancia obligatoria en todo el territorio nacional. Asimismo, trata de vincular las acciones y</w:t>
      </w:r>
      <w:r>
        <w:rPr>
          <w:spacing w:val="-6"/>
        </w:rPr>
        <w:t> </w:t>
      </w:r>
      <w:r>
        <w:rPr/>
        <w:t>programas</w:t>
      </w:r>
      <w:r>
        <w:rPr>
          <w:spacing w:val="-6"/>
        </w:rPr>
        <w:t> </w:t>
      </w:r>
      <w:r>
        <w:rPr/>
        <w:t>de</w:t>
      </w:r>
      <w:r>
        <w:rPr>
          <w:spacing w:val="-4"/>
        </w:rPr>
        <w:t> </w:t>
      </w:r>
      <w:r>
        <w:rPr/>
        <w:t>la</w:t>
      </w:r>
      <w:r>
        <w:rPr>
          <w:spacing w:val="-4"/>
        </w:rPr>
        <w:t> </w:t>
      </w:r>
      <w:r>
        <w:rPr/>
        <w:t>Administración</w:t>
      </w:r>
      <w:r>
        <w:rPr>
          <w:spacing w:val="-4"/>
        </w:rPr>
        <w:t> </w:t>
      </w:r>
      <w:r>
        <w:rPr/>
        <w:t>Pública</w:t>
      </w:r>
      <w:r>
        <w:rPr>
          <w:spacing w:val="-4"/>
        </w:rPr>
        <w:t> </w:t>
      </w:r>
      <w:r>
        <w:rPr/>
        <w:t>Federal</w:t>
      </w:r>
      <w:r>
        <w:rPr>
          <w:spacing w:val="-7"/>
        </w:rPr>
        <w:t> </w:t>
      </w:r>
      <w:r>
        <w:rPr/>
        <w:t>(APF),</w:t>
      </w:r>
      <w:r>
        <w:rPr>
          <w:spacing w:val="-3"/>
        </w:rPr>
        <w:t> </w:t>
      </w:r>
      <w:r>
        <w:rPr/>
        <w:t>observando</w:t>
      </w:r>
      <w:r>
        <w:rPr>
          <w:spacing w:val="-4"/>
        </w:rPr>
        <w:t> </w:t>
      </w:r>
      <w:r>
        <w:rPr/>
        <w:t>la</w:t>
      </w:r>
      <w:r>
        <w:rPr>
          <w:spacing w:val="-4"/>
        </w:rPr>
        <w:t> </w:t>
      </w:r>
      <w:r>
        <w:rPr/>
        <w:t>variable</w:t>
      </w:r>
      <w:r>
        <w:rPr>
          <w:spacing w:val="-4"/>
        </w:rPr>
        <w:t> </w:t>
      </w:r>
      <w:r>
        <w:rPr/>
        <w:t>ambiental</w:t>
      </w:r>
      <w:r>
        <w:rPr>
          <w:spacing w:val="-5"/>
        </w:rPr>
        <w:t> </w:t>
      </w:r>
      <w:r>
        <w:rPr/>
        <w:t>en términos de la Ley de</w:t>
      </w:r>
      <w:r>
        <w:rPr>
          <w:spacing w:val="-9"/>
        </w:rPr>
        <w:t> </w:t>
      </w:r>
      <w:r>
        <w:rPr/>
        <w:t>Planeación.</w:t>
      </w:r>
    </w:p>
    <w:p>
      <w:pPr>
        <w:spacing w:after="0" w:line="480" w:lineRule="auto"/>
        <w:jc w:val="both"/>
        <w:sectPr>
          <w:pgSz w:w="12250" w:h="15850"/>
          <w:pgMar w:header="0" w:footer="759" w:top="1500" w:bottom="940" w:left="1600" w:right="1300"/>
        </w:sectPr>
      </w:pPr>
    </w:p>
    <w:p>
      <w:pPr>
        <w:pStyle w:val="BodyText"/>
        <w:spacing w:before="9"/>
        <w:rPr>
          <w:sz w:val="10"/>
        </w:rPr>
      </w:pPr>
    </w:p>
    <w:p>
      <w:pPr>
        <w:pStyle w:val="BodyText"/>
        <w:spacing w:line="480" w:lineRule="auto" w:before="73"/>
        <w:ind w:left="102" w:right="112" w:firstLine="707"/>
        <w:jc w:val="both"/>
      </w:pPr>
      <w:r>
        <w:rPr/>
        <w:t>Esta ley sustenta que el proceso de ordenamiento ecológico territorial contempla diferentes etapas: (1) Caracterización del sistema territorial; (2) Diagnóstico integrado del sistema territorial; (3) Pronóstico, de debate comunitario participativo y democrático; (4) Proposición del Modelo de Ordenamiento Ecológico Territorial (MOET); y (5) Instrumentación o</w:t>
      </w:r>
      <w:r>
        <w:rPr>
          <w:spacing w:val="-4"/>
        </w:rPr>
        <w:t> </w:t>
      </w:r>
      <w:r>
        <w:rPr/>
        <w:t>Implementación.</w:t>
      </w:r>
      <w:r>
        <w:rPr>
          <w:spacing w:val="-2"/>
        </w:rPr>
        <w:t> </w:t>
      </w:r>
      <w:r>
        <w:rPr/>
        <w:t>Como</w:t>
      </w:r>
      <w:r>
        <w:rPr>
          <w:spacing w:val="-6"/>
        </w:rPr>
        <w:t> </w:t>
      </w:r>
      <w:r>
        <w:rPr/>
        <w:t>se</w:t>
      </w:r>
      <w:r>
        <w:rPr>
          <w:spacing w:val="-4"/>
        </w:rPr>
        <w:t> </w:t>
      </w:r>
      <w:r>
        <w:rPr/>
        <w:t>desprende</w:t>
      </w:r>
      <w:r>
        <w:rPr>
          <w:spacing w:val="-4"/>
        </w:rPr>
        <w:t> </w:t>
      </w:r>
      <w:r>
        <w:rPr/>
        <w:t>del</w:t>
      </w:r>
      <w:r>
        <w:rPr>
          <w:spacing w:val="-5"/>
        </w:rPr>
        <w:t> </w:t>
      </w:r>
      <w:r>
        <w:rPr/>
        <w:t>proceso,</w:t>
      </w:r>
      <w:r>
        <w:rPr>
          <w:spacing w:val="-3"/>
        </w:rPr>
        <w:t> </w:t>
      </w:r>
      <w:r>
        <w:rPr/>
        <w:t>para</w:t>
      </w:r>
      <w:r>
        <w:rPr>
          <w:spacing w:val="-4"/>
        </w:rPr>
        <w:t> </w:t>
      </w:r>
      <w:r>
        <w:rPr/>
        <w:t>conciliar</w:t>
      </w:r>
      <w:r>
        <w:rPr>
          <w:spacing w:val="-3"/>
        </w:rPr>
        <w:t> </w:t>
      </w:r>
      <w:r>
        <w:rPr/>
        <w:t>las</w:t>
      </w:r>
      <w:r>
        <w:rPr>
          <w:spacing w:val="-4"/>
        </w:rPr>
        <w:t> </w:t>
      </w:r>
      <w:r>
        <w:rPr/>
        <w:t>aptitudes,</w:t>
      </w:r>
      <w:r>
        <w:rPr>
          <w:spacing w:val="-5"/>
        </w:rPr>
        <w:t> </w:t>
      </w:r>
      <w:r>
        <w:rPr/>
        <w:t>prioridades</w:t>
      </w:r>
      <w:r>
        <w:rPr>
          <w:spacing w:val="-4"/>
        </w:rPr>
        <w:t> </w:t>
      </w:r>
      <w:r>
        <w:rPr/>
        <w:t>y necesidades de los usos del suelo, se emplea el ordenamiento ecológico del territorio, el cual se define jurídicamente como "el instrumento de política ambiental cuyo objeto es regular o inducir el uso del suelo y las actividades productivas, con el fin de lograr la protección del medio</w:t>
      </w:r>
      <w:r>
        <w:rPr>
          <w:spacing w:val="-13"/>
        </w:rPr>
        <w:t> </w:t>
      </w:r>
      <w:r>
        <w:rPr/>
        <w:t>ambiente;</w:t>
      </w:r>
      <w:r>
        <w:rPr>
          <w:spacing w:val="-15"/>
        </w:rPr>
        <w:t> </w:t>
      </w:r>
      <w:r>
        <w:rPr/>
        <w:t>y</w:t>
      </w:r>
      <w:r>
        <w:rPr>
          <w:spacing w:val="-16"/>
        </w:rPr>
        <w:t> </w:t>
      </w:r>
      <w:r>
        <w:rPr/>
        <w:t>la</w:t>
      </w:r>
      <w:r>
        <w:rPr>
          <w:spacing w:val="-13"/>
        </w:rPr>
        <w:t> </w:t>
      </w:r>
      <w:r>
        <w:rPr/>
        <w:t>preservación</w:t>
      </w:r>
      <w:r>
        <w:rPr>
          <w:spacing w:val="-14"/>
        </w:rPr>
        <w:t> </w:t>
      </w:r>
      <w:r>
        <w:rPr/>
        <w:t>y</w:t>
      </w:r>
      <w:r>
        <w:rPr>
          <w:spacing w:val="-16"/>
        </w:rPr>
        <w:t> </w:t>
      </w:r>
      <w:r>
        <w:rPr/>
        <w:t>el</w:t>
      </w:r>
      <w:r>
        <w:rPr>
          <w:spacing w:val="-15"/>
        </w:rPr>
        <w:t> </w:t>
      </w:r>
      <w:r>
        <w:rPr/>
        <w:t>aprovechamiento</w:t>
      </w:r>
      <w:r>
        <w:rPr>
          <w:spacing w:val="-15"/>
        </w:rPr>
        <w:t> </w:t>
      </w:r>
      <w:r>
        <w:rPr/>
        <w:t>sustentable</w:t>
      </w:r>
      <w:r>
        <w:rPr>
          <w:spacing w:val="-13"/>
        </w:rPr>
        <w:t> </w:t>
      </w:r>
      <w:r>
        <w:rPr/>
        <w:t>de</w:t>
      </w:r>
      <w:r>
        <w:rPr>
          <w:spacing w:val="-16"/>
        </w:rPr>
        <w:t> </w:t>
      </w:r>
      <w:r>
        <w:rPr/>
        <w:t>los</w:t>
      </w:r>
      <w:r>
        <w:rPr>
          <w:spacing w:val="-13"/>
        </w:rPr>
        <w:t> </w:t>
      </w:r>
      <w:r>
        <w:rPr/>
        <w:t>recursos</w:t>
      </w:r>
      <w:r>
        <w:rPr>
          <w:spacing w:val="-16"/>
        </w:rPr>
        <w:t> </w:t>
      </w:r>
      <w:r>
        <w:rPr/>
        <w:t>naturales, a partir del análisis de las tendencias de deterioro y las potencialidades de aprovechamiento de</w:t>
      </w:r>
      <w:r>
        <w:rPr>
          <w:spacing w:val="-8"/>
        </w:rPr>
        <w:t> </w:t>
      </w:r>
      <w:r>
        <w:rPr/>
        <w:t>los</w:t>
      </w:r>
      <w:r>
        <w:rPr>
          <w:spacing w:val="-9"/>
        </w:rPr>
        <w:t> </w:t>
      </w:r>
      <w:r>
        <w:rPr/>
        <w:t>mismos"</w:t>
      </w:r>
      <w:r>
        <w:rPr>
          <w:spacing w:val="-8"/>
        </w:rPr>
        <w:t> </w:t>
      </w:r>
      <w:r>
        <w:rPr/>
        <w:t>(Ley</w:t>
      </w:r>
      <w:r>
        <w:rPr>
          <w:spacing w:val="-11"/>
        </w:rPr>
        <w:t> </w:t>
      </w:r>
      <w:r>
        <w:rPr/>
        <w:t>General</w:t>
      </w:r>
      <w:r>
        <w:rPr>
          <w:spacing w:val="-8"/>
        </w:rPr>
        <w:t> </w:t>
      </w:r>
      <w:r>
        <w:rPr/>
        <w:t>del</w:t>
      </w:r>
      <w:r>
        <w:rPr>
          <w:spacing w:val="-9"/>
        </w:rPr>
        <w:t> </w:t>
      </w:r>
      <w:r>
        <w:rPr/>
        <w:t>Equilibrio</w:t>
      </w:r>
      <w:r>
        <w:rPr>
          <w:spacing w:val="-8"/>
        </w:rPr>
        <w:t> </w:t>
      </w:r>
      <w:r>
        <w:rPr/>
        <w:t>Ecológico</w:t>
      </w:r>
      <w:r>
        <w:rPr>
          <w:spacing w:val="-7"/>
        </w:rPr>
        <w:t> </w:t>
      </w:r>
      <w:r>
        <w:rPr/>
        <w:t>y</w:t>
      </w:r>
      <w:r>
        <w:rPr>
          <w:spacing w:val="-8"/>
        </w:rPr>
        <w:t> </w:t>
      </w:r>
      <w:r>
        <w:rPr/>
        <w:t>Protección</w:t>
      </w:r>
      <w:r>
        <w:rPr>
          <w:spacing w:val="-8"/>
        </w:rPr>
        <w:t> </w:t>
      </w:r>
      <w:r>
        <w:rPr/>
        <w:t>al</w:t>
      </w:r>
      <w:r>
        <w:rPr>
          <w:spacing w:val="-10"/>
        </w:rPr>
        <w:t> </w:t>
      </w:r>
      <w:r>
        <w:rPr/>
        <w:t>Ambiente,</w:t>
      </w:r>
      <w:r>
        <w:rPr>
          <w:spacing w:val="-10"/>
        </w:rPr>
        <w:t> </w:t>
      </w:r>
      <w:r>
        <w:rPr/>
        <w:t>Titulo</w:t>
      </w:r>
      <w:r>
        <w:rPr>
          <w:spacing w:val="-9"/>
        </w:rPr>
        <w:t> </w:t>
      </w:r>
      <w:r>
        <w:rPr/>
        <w:t>Primero, Art. 3, fracción XXIII); además, de reflejar por su esencia democrática, las expectativas del desarrollo</w:t>
      </w:r>
      <w:r>
        <w:rPr>
          <w:spacing w:val="-7"/>
        </w:rPr>
        <w:t> </w:t>
      </w:r>
      <w:r>
        <w:rPr/>
        <w:t>comunitario.</w:t>
      </w:r>
    </w:p>
    <w:p>
      <w:pPr>
        <w:pStyle w:val="BodyText"/>
        <w:spacing w:line="480" w:lineRule="auto" w:before="125"/>
        <w:ind w:left="102" w:right="113" w:firstLine="707"/>
        <w:jc w:val="both"/>
      </w:pPr>
      <w:r>
        <w:rPr/>
        <w:t>En síntesis este instrumento tiene como objetivo cardinal, minimizar los conflictos ambientales derivados del uso del territorio y de sus recursos naturales, a través de una correcta</w:t>
      </w:r>
      <w:r>
        <w:rPr>
          <w:spacing w:val="-9"/>
        </w:rPr>
        <w:t> </w:t>
      </w:r>
      <w:r>
        <w:rPr/>
        <w:t>y</w:t>
      </w:r>
      <w:r>
        <w:rPr>
          <w:spacing w:val="-11"/>
        </w:rPr>
        <w:t> </w:t>
      </w:r>
      <w:r>
        <w:rPr/>
        <w:t>equilibrada</w:t>
      </w:r>
      <w:r>
        <w:rPr>
          <w:spacing w:val="-9"/>
        </w:rPr>
        <w:t> </w:t>
      </w:r>
      <w:r>
        <w:rPr/>
        <w:t>planificación</w:t>
      </w:r>
      <w:r>
        <w:rPr>
          <w:spacing w:val="-11"/>
        </w:rPr>
        <w:t> </w:t>
      </w:r>
      <w:r>
        <w:rPr/>
        <w:t>territorial.</w:t>
      </w:r>
      <w:r>
        <w:rPr>
          <w:spacing w:val="-8"/>
        </w:rPr>
        <w:t> </w:t>
      </w:r>
      <w:r>
        <w:rPr/>
        <w:t>Al</w:t>
      </w:r>
      <w:r>
        <w:rPr>
          <w:spacing w:val="-12"/>
        </w:rPr>
        <w:t> </w:t>
      </w:r>
      <w:r>
        <w:rPr/>
        <w:t>Gobierno</w:t>
      </w:r>
      <w:r>
        <w:rPr>
          <w:spacing w:val="-9"/>
        </w:rPr>
        <w:t> </w:t>
      </w:r>
      <w:r>
        <w:rPr/>
        <w:t>Federal,</w:t>
      </w:r>
      <w:r>
        <w:rPr>
          <w:spacing w:val="-8"/>
        </w:rPr>
        <w:t> </w:t>
      </w:r>
      <w:r>
        <w:rPr/>
        <w:t>a</w:t>
      </w:r>
      <w:r>
        <w:rPr>
          <w:spacing w:val="-11"/>
        </w:rPr>
        <w:t> </w:t>
      </w:r>
      <w:r>
        <w:rPr/>
        <w:t>través</w:t>
      </w:r>
      <w:r>
        <w:rPr>
          <w:spacing w:val="-9"/>
        </w:rPr>
        <w:t> </w:t>
      </w:r>
      <w:r>
        <w:rPr/>
        <w:t>de</w:t>
      </w:r>
      <w:r>
        <w:rPr>
          <w:spacing w:val="-9"/>
        </w:rPr>
        <w:t> </w:t>
      </w:r>
      <w:r>
        <w:rPr/>
        <w:t>la</w:t>
      </w:r>
      <w:r>
        <w:rPr>
          <w:spacing w:val="-9"/>
        </w:rPr>
        <w:t> </w:t>
      </w:r>
      <w:r>
        <w:rPr/>
        <w:t>Secretaría</w:t>
      </w:r>
      <w:r>
        <w:rPr>
          <w:spacing w:val="-9"/>
        </w:rPr>
        <w:t> </w:t>
      </w:r>
      <w:r>
        <w:rPr/>
        <w:t>de Medio Ambiente y Recursos Naturales (SEMARNAT), le correspondió establecer las bases para que las Secretarías de Estado, con acciones en el territorio, tuviesen el sustento necesario para elaborar e instrumentar sus programas, con base en la aptitud sectorial territorial</w:t>
      </w:r>
      <w:r>
        <w:rPr>
          <w:spacing w:val="-7"/>
        </w:rPr>
        <w:t> </w:t>
      </w:r>
      <w:r>
        <w:rPr/>
        <w:t>y</w:t>
      </w:r>
      <w:r>
        <w:rPr>
          <w:spacing w:val="-8"/>
        </w:rPr>
        <w:t> </w:t>
      </w:r>
      <w:r>
        <w:rPr/>
        <w:t>las</w:t>
      </w:r>
      <w:r>
        <w:rPr>
          <w:spacing w:val="-6"/>
        </w:rPr>
        <w:t> </w:t>
      </w:r>
      <w:r>
        <w:rPr/>
        <w:t>tendencias</w:t>
      </w:r>
      <w:r>
        <w:rPr>
          <w:spacing w:val="-6"/>
        </w:rPr>
        <w:t> </w:t>
      </w:r>
      <w:r>
        <w:rPr/>
        <w:t>de</w:t>
      </w:r>
      <w:r>
        <w:rPr>
          <w:spacing w:val="-7"/>
        </w:rPr>
        <w:t> </w:t>
      </w:r>
      <w:r>
        <w:rPr/>
        <w:t>deterioro</w:t>
      </w:r>
      <w:r>
        <w:rPr>
          <w:spacing w:val="-9"/>
        </w:rPr>
        <w:t> </w:t>
      </w:r>
      <w:r>
        <w:rPr/>
        <w:t>de</w:t>
      </w:r>
      <w:r>
        <w:rPr>
          <w:spacing w:val="-7"/>
        </w:rPr>
        <w:t> </w:t>
      </w:r>
      <w:r>
        <w:rPr/>
        <w:t>los</w:t>
      </w:r>
      <w:r>
        <w:rPr>
          <w:spacing w:val="-9"/>
        </w:rPr>
        <w:t> </w:t>
      </w:r>
      <w:r>
        <w:rPr/>
        <w:t>recursos</w:t>
      </w:r>
      <w:r>
        <w:rPr>
          <w:spacing w:val="-6"/>
        </w:rPr>
        <w:t> </w:t>
      </w:r>
      <w:r>
        <w:rPr/>
        <w:t>naturales,</w:t>
      </w:r>
      <w:r>
        <w:rPr>
          <w:spacing w:val="-5"/>
        </w:rPr>
        <w:t> </w:t>
      </w:r>
      <w:r>
        <w:rPr/>
        <w:t>en</w:t>
      </w:r>
      <w:r>
        <w:rPr>
          <w:spacing w:val="-9"/>
        </w:rPr>
        <w:t> </w:t>
      </w:r>
      <w:r>
        <w:rPr/>
        <w:t>los</w:t>
      </w:r>
      <w:r>
        <w:rPr>
          <w:spacing w:val="-6"/>
        </w:rPr>
        <w:t> </w:t>
      </w:r>
      <w:r>
        <w:rPr/>
        <w:t>servicios</w:t>
      </w:r>
      <w:r>
        <w:rPr>
          <w:spacing w:val="-6"/>
        </w:rPr>
        <w:t> </w:t>
      </w:r>
      <w:r>
        <w:rPr/>
        <w:t>ambientales, en los riesgos ocasionados por peligros naturales o tecnológicos y en la conservación del patrimonio</w:t>
      </w:r>
      <w:r>
        <w:rPr>
          <w:spacing w:val="-8"/>
        </w:rPr>
        <w:t> </w:t>
      </w:r>
      <w:r>
        <w:rPr/>
        <w:t>natural.</w:t>
      </w:r>
    </w:p>
    <w:p>
      <w:pPr>
        <w:pStyle w:val="BodyText"/>
        <w:spacing w:line="480" w:lineRule="auto" w:before="127"/>
        <w:ind w:left="102" w:right="112" w:firstLine="707"/>
        <w:jc w:val="both"/>
      </w:pPr>
      <w:r>
        <w:rPr/>
        <w:t>El</w:t>
      </w:r>
      <w:r>
        <w:rPr>
          <w:spacing w:val="-7"/>
        </w:rPr>
        <w:t> </w:t>
      </w:r>
      <w:r>
        <w:rPr/>
        <w:t>presente</w:t>
      </w:r>
      <w:r>
        <w:rPr>
          <w:spacing w:val="-8"/>
        </w:rPr>
        <w:t> </w:t>
      </w:r>
      <w:r>
        <w:rPr/>
        <w:t>proceso</w:t>
      </w:r>
      <w:r>
        <w:rPr>
          <w:spacing w:val="-7"/>
        </w:rPr>
        <w:t> </w:t>
      </w:r>
      <w:r>
        <w:rPr/>
        <w:t>de</w:t>
      </w:r>
      <w:r>
        <w:rPr>
          <w:spacing w:val="-9"/>
        </w:rPr>
        <w:t> </w:t>
      </w:r>
      <w:r>
        <w:rPr/>
        <w:t>planeación</w:t>
      </w:r>
      <w:r>
        <w:rPr>
          <w:spacing w:val="-7"/>
        </w:rPr>
        <w:t> </w:t>
      </w:r>
      <w:r>
        <w:rPr/>
        <w:t>territorial</w:t>
      </w:r>
      <w:r>
        <w:rPr>
          <w:spacing w:val="-7"/>
        </w:rPr>
        <w:t> </w:t>
      </w:r>
      <w:r>
        <w:rPr/>
        <w:t>del</w:t>
      </w:r>
      <w:r>
        <w:rPr>
          <w:spacing w:val="-7"/>
        </w:rPr>
        <w:t> </w:t>
      </w:r>
      <w:r>
        <w:rPr/>
        <w:t>Programa</w:t>
      </w:r>
      <w:r>
        <w:rPr>
          <w:spacing w:val="-6"/>
        </w:rPr>
        <w:t> </w:t>
      </w:r>
      <w:r>
        <w:rPr/>
        <w:t>de</w:t>
      </w:r>
      <w:r>
        <w:rPr>
          <w:spacing w:val="-9"/>
        </w:rPr>
        <w:t> </w:t>
      </w:r>
      <w:r>
        <w:rPr/>
        <w:t>Ordenamiento</w:t>
      </w:r>
      <w:r>
        <w:rPr>
          <w:spacing w:val="-6"/>
        </w:rPr>
        <w:t> </w:t>
      </w:r>
      <w:r>
        <w:rPr/>
        <w:t>Ecológico General del Territorio (POEGT) en sus etapas de caracterización, diagnóstico, pronóstico y propuesta fue adjudicado al Instituto de Geografía de la UNAM, por la SEMARNAT y el </w:t>
      </w:r>
      <w:r>
        <w:rPr>
          <w:spacing w:val="55"/>
        </w:rPr>
        <w:t> </w:t>
      </w:r>
      <w:r>
        <w:rPr/>
        <w:t>INE,</w:t>
      </w:r>
    </w:p>
    <w:p>
      <w:pPr>
        <w:spacing w:after="0" w:line="480" w:lineRule="auto"/>
        <w:jc w:val="both"/>
        <w:sectPr>
          <w:pgSz w:w="12250" w:h="15850"/>
          <w:pgMar w:header="0" w:footer="759" w:top="1500" w:bottom="940" w:left="1600" w:right="1300"/>
        </w:sectPr>
      </w:pPr>
    </w:p>
    <w:p>
      <w:pPr>
        <w:pStyle w:val="BodyText"/>
        <w:spacing w:before="9"/>
        <w:rPr>
          <w:sz w:val="10"/>
        </w:rPr>
      </w:pPr>
    </w:p>
    <w:p>
      <w:pPr>
        <w:pStyle w:val="BodyText"/>
        <w:spacing w:line="480" w:lineRule="auto" w:before="73"/>
        <w:ind w:left="102" w:right="113"/>
        <w:jc w:val="both"/>
      </w:pPr>
      <w:r>
        <w:rPr/>
        <w:t>en el año 2008, y se extendió por todo el año 2009, en el proceso de la consulta pública y hasta la etapa de instrumentación jurídica de su futuro decreto en el Diario oficial de la Federación.</w:t>
      </w:r>
    </w:p>
    <w:p>
      <w:pPr>
        <w:pStyle w:val="BodyText"/>
        <w:spacing w:line="480" w:lineRule="auto" w:before="127"/>
        <w:ind w:left="102" w:right="111" w:firstLine="707"/>
        <w:jc w:val="both"/>
      </w:pPr>
      <w:r>
        <w:rPr/>
        <w:t>El</w:t>
      </w:r>
      <w:r>
        <w:rPr>
          <w:spacing w:val="-5"/>
        </w:rPr>
        <w:t> </w:t>
      </w:r>
      <w:r>
        <w:rPr/>
        <w:t>proyecto</w:t>
      </w:r>
      <w:r>
        <w:rPr>
          <w:spacing w:val="-3"/>
        </w:rPr>
        <w:t> </w:t>
      </w:r>
      <w:r>
        <w:rPr/>
        <w:t>inició</w:t>
      </w:r>
      <w:r>
        <w:rPr>
          <w:spacing w:val="-4"/>
        </w:rPr>
        <w:t> </w:t>
      </w:r>
      <w:r>
        <w:rPr/>
        <w:t>con</w:t>
      </w:r>
      <w:r>
        <w:rPr>
          <w:spacing w:val="-4"/>
        </w:rPr>
        <w:t> </w:t>
      </w:r>
      <w:r>
        <w:rPr/>
        <w:t>la</w:t>
      </w:r>
      <w:r>
        <w:rPr>
          <w:spacing w:val="-4"/>
        </w:rPr>
        <w:t> </w:t>
      </w:r>
      <w:r>
        <w:rPr/>
        <w:t>caracterización</w:t>
      </w:r>
      <w:r>
        <w:rPr>
          <w:spacing w:val="-4"/>
        </w:rPr>
        <w:t> </w:t>
      </w:r>
      <w:r>
        <w:rPr/>
        <w:t>y</w:t>
      </w:r>
      <w:r>
        <w:rPr>
          <w:spacing w:val="-6"/>
        </w:rPr>
        <w:t> </w:t>
      </w:r>
      <w:r>
        <w:rPr/>
        <w:t>el</w:t>
      </w:r>
      <w:r>
        <w:rPr>
          <w:spacing w:val="-5"/>
        </w:rPr>
        <w:t> </w:t>
      </w:r>
      <w:r>
        <w:rPr/>
        <w:t>diagnóstico</w:t>
      </w:r>
      <w:r>
        <w:rPr>
          <w:spacing w:val="-4"/>
        </w:rPr>
        <w:t> </w:t>
      </w:r>
      <w:r>
        <w:rPr/>
        <w:t>del</w:t>
      </w:r>
      <w:r>
        <w:rPr>
          <w:spacing w:val="-5"/>
        </w:rPr>
        <w:t> </w:t>
      </w:r>
      <w:r>
        <w:rPr/>
        <w:t>medio</w:t>
      </w:r>
      <w:r>
        <w:rPr>
          <w:spacing w:val="-4"/>
        </w:rPr>
        <w:t> </w:t>
      </w:r>
      <w:r>
        <w:rPr/>
        <w:t>biofísico</w:t>
      </w:r>
      <w:r>
        <w:rPr>
          <w:spacing w:val="-4"/>
        </w:rPr>
        <w:t> </w:t>
      </w:r>
      <w:r>
        <w:rPr/>
        <w:t>nacional,</w:t>
      </w:r>
      <w:r>
        <w:rPr>
          <w:spacing w:val="-3"/>
        </w:rPr>
        <w:t> </w:t>
      </w:r>
      <w:r>
        <w:rPr/>
        <w:t>a partir del conocimiento científico existente sobre el mismo y el estado actual de sus recursos, sin nueva generación de información físico-geográfica o ecológica primaria, con la participación de 24 investigadores y técnicos del Instituto de Geografía de la UNAM. En este sentido, las investigaciones tuvieron un corte analítico e interpretativo sobre el estado actual del</w:t>
      </w:r>
      <w:r>
        <w:rPr>
          <w:spacing w:val="-13"/>
        </w:rPr>
        <w:t> </w:t>
      </w:r>
      <w:r>
        <w:rPr/>
        <w:t>patrimonio</w:t>
      </w:r>
      <w:r>
        <w:rPr>
          <w:spacing w:val="-12"/>
        </w:rPr>
        <w:t> </w:t>
      </w:r>
      <w:r>
        <w:rPr/>
        <w:t>natural</w:t>
      </w:r>
      <w:r>
        <w:rPr>
          <w:spacing w:val="-13"/>
        </w:rPr>
        <w:t> </w:t>
      </w:r>
      <w:r>
        <w:rPr/>
        <w:t>del</w:t>
      </w:r>
      <w:r>
        <w:rPr>
          <w:spacing w:val="-16"/>
        </w:rPr>
        <w:t> </w:t>
      </w:r>
      <w:r>
        <w:rPr/>
        <w:t>país;</w:t>
      </w:r>
      <w:r>
        <w:rPr>
          <w:spacing w:val="-11"/>
        </w:rPr>
        <w:t> </w:t>
      </w:r>
      <w:r>
        <w:rPr/>
        <w:t>sobre</w:t>
      </w:r>
      <w:r>
        <w:rPr>
          <w:spacing w:val="-12"/>
        </w:rPr>
        <w:t> </w:t>
      </w:r>
      <w:r>
        <w:rPr/>
        <w:t>sus</w:t>
      </w:r>
      <w:r>
        <w:rPr>
          <w:spacing w:val="-12"/>
        </w:rPr>
        <w:t> </w:t>
      </w:r>
      <w:r>
        <w:rPr/>
        <w:t>niveles</w:t>
      </w:r>
      <w:r>
        <w:rPr>
          <w:spacing w:val="-12"/>
        </w:rPr>
        <w:t> </w:t>
      </w:r>
      <w:r>
        <w:rPr/>
        <w:t>de</w:t>
      </w:r>
      <w:r>
        <w:rPr>
          <w:spacing w:val="-13"/>
        </w:rPr>
        <w:t> </w:t>
      </w:r>
      <w:r>
        <w:rPr/>
        <w:t>degradación</w:t>
      </w:r>
      <w:r>
        <w:rPr>
          <w:spacing w:val="-13"/>
        </w:rPr>
        <w:t> </w:t>
      </w:r>
      <w:r>
        <w:rPr/>
        <w:t>(López</w:t>
      </w:r>
      <w:r>
        <w:rPr>
          <w:spacing w:val="-17"/>
        </w:rPr>
        <w:t> </w:t>
      </w:r>
      <w:r>
        <w:rPr/>
        <w:t>García,</w:t>
      </w:r>
      <w:r>
        <w:rPr>
          <w:spacing w:val="-12"/>
        </w:rPr>
        <w:t> </w:t>
      </w:r>
      <w:r>
        <w:rPr/>
        <w:t>2008a,</w:t>
      </w:r>
      <w:r>
        <w:rPr>
          <w:spacing w:val="-12"/>
        </w:rPr>
        <w:t> </w:t>
      </w:r>
      <w:r>
        <w:rPr/>
        <w:t>2008b y 2008c; Sánchez Colón </w:t>
      </w:r>
      <w:r>
        <w:rPr>
          <w:i/>
        </w:rPr>
        <w:t>et al.</w:t>
      </w:r>
      <w:r>
        <w:rPr/>
        <w:t>, 2008a, 2008b); sobre las áreas que deberán estar sujetas a planes de protección, conservación y restauración; sobre los espacios geográficos más vulnerables ante el desarrollo de procesos y/o fenómenos naturales peligrosos (Hernández Cerda, 2008a, 2008b); y considerando los aspectos de marginación municipal (Casado Izquierdo,</w:t>
      </w:r>
      <w:r>
        <w:rPr>
          <w:spacing w:val="-8"/>
        </w:rPr>
        <w:t> </w:t>
      </w:r>
      <w:r>
        <w:rPr/>
        <w:t>2008a)</w:t>
      </w:r>
      <w:r>
        <w:rPr>
          <w:spacing w:val="-6"/>
        </w:rPr>
        <w:t> </w:t>
      </w:r>
      <w:r>
        <w:rPr/>
        <w:t>y</w:t>
      </w:r>
      <w:r>
        <w:rPr>
          <w:spacing w:val="-8"/>
        </w:rPr>
        <w:t> </w:t>
      </w:r>
      <w:r>
        <w:rPr/>
        <w:t>de</w:t>
      </w:r>
      <w:r>
        <w:rPr>
          <w:spacing w:val="-7"/>
        </w:rPr>
        <w:t> </w:t>
      </w:r>
      <w:r>
        <w:rPr/>
        <w:t>distribución</w:t>
      </w:r>
      <w:r>
        <w:rPr>
          <w:spacing w:val="-7"/>
        </w:rPr>
        <w:t> </w:t>
      </w:r>
      <w:r>
        <w:rPr/>
        <w:t>de</w:t>
      </w:r>
      <w:r>
        <w:rPr>
          <w:spacing w:val="-7"/>
        </w:rPr>
        <w:t> </w:t>
      </w:r>
      <w:r>
        <w:rPr/>
        <w:t>la</w:t>
      </w:r>
      <w:r>
        <w:rPr>
          <w:spacing w:val="-6"/>
        </w:rPr>
        <w:t> </w:t>
      </w:r>
      <w:r>
        <w:rPr/>
        <w:t>población</w:t>
      </w:r>
      <w:r>
        <w:rPr>
          <w:spacing w:val="-6"/>
        </w:rPr>
        <w:t> </w:t>
      </w:r>
      <w:r>
        <w:rPr/>
        <w:t>por</w:t>
      </w:r>
      <w:r>
        <w:rPr>
          <w:spacing w:val="-5"/>
        </w:rPr>
        <w:t> </w:t>
      </w:r>
      <w:r>
        <w:rPr/>
        <w:t>localidades</w:t>
      </w:r>
      <w:r>
        <w:rPr>
          <w:spacing w:val="-6"/>
        </w:rPr>
        <w:t> </w:t>
      </w:r>
      <w:r>
        <w:rPr/>
        <w:t>(Casado</w:t>
      </w:r>
      <w:r>
        <w:rPr>
          <w:spacing w:val="-6"/>
        </w:rPr>
        <w:t> </w:t>
      </w:r>
      <w:r>
        <w:rPr/>
        <w:t>Izquierdo,</w:t>
      </w:r>
      <w:r>
        <w:rPr>
          <w:spacing w:val="-5"/>
        </w:rPr>
        <w:t> </w:t>
      </w:r>
      <w:r>
        <w:rPr/>
        <w:t>2008b). Estos resultados de las etapas de caracterización (I) y de diagnóstico integrado (II) constituyeron la plataforma informativa para el desarrollo de la etapa de pronóstico (III) y de propuesta</w:t>
      </w:r>
      <w:r>
        <w:rPr>
          <w:spacing w:val="-3"/>
        </w:rPr>
        <w:t> </w:t>
      </w:r>
      <w:r>
        <w:rPr/>
        <w:t>(IV).</w:t>
      </w:r>
    </w:p>
    <w:p>
      <w:pPr>
        <w:pStyle w:val="BodyText"/>
        <w:spacing w:line="480" w:lineRule="auto" w:before="127"/>
        <w:ind w:left="102" w:right="113" w:firstLine="707"/>
        <w:jc w:val="both"/>
      </w:pPr>
      <w:r>
        <w:rPr/>
        <w:t>A su vez, la Universidad Autónoma de Querétaro (UAQ) determinó la aptitud sectorial (22 sectores) a partir de los atributos ambientales de cada sector, y realizó el análisis de congruencia de los programas sectoriales, determinándose las áreas de conflictos y/o sinergias por concurrencia espacial de sectores, por competencia de recursos y por incongruencia</w:t>
      </w:r>
      <w:r>
        <w:rPr>
          <w:spacing w:val="-16"/>
        </w:rPr>
        <w:t> </w:t>
      </w:r>
      <w:r>
        <w:rPr/>
        <w:t>de</w:t>
      </w:r>
      <w:r>
        <w:rPr>
          <w:spacing w:val="-19"/>
        </w:rPr>
        <w:t> </w:t>
      </w:r>
      <w:r>
        <w:rPr/>
        <w:t>programas</w:t>
      </w:r>
      <w:r>
        <w:rPr>
          <w:spacing w:val="-19"/>
        </w:rPr>
        <w:t> </w:t>
      </w:r>
      <w:r>
        <w:rPr/>
        <w:t>sectoriales</w:t>
      </w:r>
      <w:r>
        <w:rPr>
          <w:spacing w:val="-18"/>
        </w:rPr>
        <w:t> </w:t>
      </w:r>
      <w:r>
        <w:rPr/>
        <w:t>(Universidad</w:t>
      </w:r>
      <w:r>
        <w:rPr>
          <w:spacing w:val="-16"/>
        </w:rPr>
        <w:t> </w:t>
      </w:r>
      <w:r>
        <w:rPr/>
        <w:t>Autónoma</w:t>
      </w:r>
      <w:r>
        <w:rPr>
          <w:spacing w:val="-19"/>
        </w:rPr>
        <w:t> </w:t>
      </w:r>
      <w:r>
        <w:rPr/>
        <w:t>de</w:t>
      </w:r>
      <w:r>
        <w:rPr>
          <w:spacing w:val="-19"/>
        </w:rPr>
        <w:t> </w:t>
      </w:r>
      <w:r>
        <w:rPr/>
        <w:t>Querétaro,</w:t>
      </w:r>
      <w:r>
        <w:rPr>
          <w:spacing w:val="-17"/>
        </w:rPr>
        <w:t> </w:t>
      </w:r>
      <w:r>
        <w:rPr/>
        <w:t>2008;</w:t>
      </w:r>
      <w:r>
        <w:rPr>
          <w:spacing w:val="-19"/>
        </w:rPr>
        <w:t> </w:t>
      </w:r>
      <w:r>
        <w:rPr/>
        <w:t>Gobierno de los Estados Unidos Mexicanos,</w:t>
      </w:r>
      <w:r>
        <w:rPr>
          <w:spacing w:val="-7"/>
        </w:rPr>
        <w:t> </w:t>
      </w:r>
      <w:r>
        <w:rPr/>
        <w:t>2007).</w:t>
      </w:r>
    </w:p>
    <w:p>
      <w:pPr>
        <w:pStyle w:val="Heading2"/>
        <w:spacing w:before="125"/>
        <w:ind w:right="0"/>
        <w:jc w:val="both"/>
      </w:pPr>
      <w:r>
        <w:rPr/>
        <w:t>Objetivos</w:t>
      </w:r>
    </w:p>
    <w:p>
      <w:pPr>
        <w:spacing w:after="0"/>
        <w:jc w:val="both"/>
        <w:sectPr>
          <w:pgSz w:w="12250" w:h="15850"/>
          <w:pgMar w:header="0" w:footer="759" w:top="1500" w:bottom="940" w:left="1600" w:right="1300"/>
        </w:sectPr>
      </w:pPr>
    </w:p>
    <w:p>
      <w:pPr>
        <w:pStyle w:val="BodyText"/>
        <w:spacing w:before="9"/>
        <w:rPr>
          <w:b/>
          <w:sz w:val="10"/>
        </w:rPr>
      </w:pPr>
    </w:p>
    <w:p>
      <w:pPr>
        <w:pStyle w:val="BodyText"/>
        <w:spacing w:line="480" w:lineRule="auto" w:before="73"/>
        <w:ind w:left="102" w:right="111" w:firstLine="707"/>
        <w:jc w:val="both"/>
      </w:pPr>
      <w:r>
        <w:rPr/>
        <w:t>Los principales objetivos de la etapa de pronóstico del POEGT fueron: (a) Generar los escenarios contextual, tendenciales y estratégico para el pronóstico ambiental y el ordenamiento</w:t>
      </w:r>
      <w:r>
        <w:rPr>
          <w:spacing w:val="-19"/>
        </w:rPr>
        <w:t> </w:t>
      </w:r>
      <w:r>
        <w:rPr/>
        <w:t>general</w:t>
      </w:r>
      <w:r>
        <w:rPr>
          <w:spacing w:val="-17"/>
        </w:rPr>
        <w:t> </w:t>
      </w:r>
      <w:r>
        <w:rPr/>
        <w:t>del</w:t>
      </w:r>
      <w:r>
        <w:rPr>
          <w:spacing w:val="-14"/>
        </w:rPr>
        <w:t> </w:t>
      </w:r>
      <w:r>
        <w:rPr/>
        <w:t>territorio</w:t>
      </w:r>
      <w:r>
        <w:rPr>
          <w:spacing w:val="-13"/>
        </w:rPr>
        <w:t> </w:t>
      </w:r>
      <w:r>
        <w:rPr/>
        <w:t>nacional;</w:t>
      </w:r>
      <w:r>
        <w:rPr>
          <w:spacing w:val="-12"/>
        </w:rPr>
        <w:t> </w:t>
      </w:r>
      <w:r>
        <w:rPr/>
        <w:t>y</w:t>
      </w:r>
      <w:r>
        <w:rPr>
          <w:spacing w:val="-18"/>
        </w:rPr>
        <w:t> </w:t>
      </w:r>
      <w:r>
        <w:rPr/>
        <w:t>(b)</w:t>
      </w:r>
      <w:r>
        <w:rPr>
          <w:spacing w:val="-17"/>
        </w:rPr>
        <w:t> </w:t>
      </w:r>
      <w:r>
        <w:rPr/>
        <w:t>Apoyar</w:t>
      </w:r>
      <w:r>
        <w:rPr>
          <w:spacing w:val="-13"/>
        </w:rPr>
        <w:t> </w:t>
      </w:r>
      <w:r>
        <w:rPr/>
        <w:t>el</w:t>
      </w:r>
      <w:r>
        <w:rPr>
          <w:spacing w:val="-17"/>
        </w:rPr>
        <w:t> </w:t>
      </w:r>
      <w:r>
        <w:rPr/>
        <w:t>trabajo</w:t>
      </w:r>
      <w:r>
        <w:rPr>
          <w:spacing w:val="-16"/>
        </w:rPr>
        <w:t> </w:t>
      </w:r>
      <w:r>
        <w:rPr/>
        <w:t>de</w:t>
      </w:r>
      <w:r>
        <w:rPr>
          <w:spacing w:val="-16"/>
        </w:rPr>
        <w:t> </w:t>
      </w:r>
      <w:r>
        <w:rPr/>
        <w:t>la</w:t>
      </w:r>
      <w:r>
        <w:rPr>
          <w:spacing w:val="-16"/>
        </w:rPr>
        <w:t> </w:t>
      </w:r>
      <w:r>
        <w:rPr/>
        <w:t>SEMARNAT-INE</w:t>
      </w:r>
      <w:r>
        <w:rPr>
          <w:spacing w:val="-14"/>
        </w:rPr>
        <w:t> </w:t>
      </w:r>
      <w:r>
        <w:rPr/>
        <w:t>para las etapas subsecuentes del POEGT, como la consulta pública y los talleres regionales de validación, fortaleciendo el marco conceptual y metodológico del proceso de las etapas de pronóstico y de propuesta del modelo de ordenamiento ecológico territorial</w:t>
      </w:r>
      <w:r>
        <w:rPr>
          <w:spacing w:val="-26"/>
        </w:rPr>
        <w:t> </w:t>
      </w:r>
      <w:r>
        <w:rPr/>
        <w:t>(MOET).</w:t>
      </w:r>
    </w:p>
    <w:p>
      <w:pPr>
        <w:pStyle w:val="Heading2"/>
        <w:spacing w:before="126"/>
      </w:pPr>
      <w:r>
        <w:rPr/>
        <w:t>Principales tareas</w:t>
      </w:r>
    </w:p>
    <w:p>
      <w:pPr>
        <w:pStyle w:val="BodyText"/>
        <w:spacing w:before="5"/>
        <w:rPr>
          <w:b/>
          <w:sz w:val="32"/>
        </w:rPr>
      </w:pPr>
    </w:p>
    <w:p>
      <w:pPr>
        <w:pStyle w:val="BodyText"/>
        <w:spacing w:line="480" w:lineRule="auto"/>
        <w:ind w:left="102" w:right="114" w:firstLine="707"/>
        <w:jc w:val="both"/>
      </w:pPr>
      <w:r>
        <w:rPr/>
        <w:t>Durante el proceso de la etapa de pronóstico del POEGT, se realizaron las tareas siguientes: (a) Compilación de los insumos cartográficos y estadísticos necesarios para la elaboración de los modelos cartográficos, que identifican los escenarios contextual, tendenciales</w:t>
      </w:r>
      <w:r>
        <w:rPr>
          <w:spacing w:val="-11"/>
        </w:rPr>
        <w:t> </w:t>
      </w:r>
      <w:r>
        <w:rPr/>
        <w:t>y</w:t>
      </w:r>
      <w:r>
        <w:rPr>
          <w:spacing w:val="-13"/>
        </w:rPr>
        <w:t> </w:t>
      </w:r>
      <w:r>
        <w:rPr/>
        <w:t>estratégico;</w:t>
      </w:r>
      <w:r>
        <w:rPr>
          <w:spacing w:val="-10"/>
        </w:rPr>
        <w:t> </w:t>
      </w:r>
      <w:r>
        <w:rPr/>
        <w:t>(b)</w:t>
      </w:r>
      <w:r>
        <w:rPr>
          <w:spacing w:val="-8"/>
        </w:rPr>
        <w:t> </w:t>
      </w:r>
      <w:r>
        <w:rPr/>
        <w:t>Integración</w:t>
      </w:r>
      <w:r>
        <w:rPr>
          <w:spacing w:val="-11"/>
        </w:rPr>
        <w:t> </w:t>
      </w:r>
      <w:r>
        <w:rPr/>
        <w:t>en</w:t>
      </w:r>
      <w:r>
        <w:rPr>
          <w:spacing w:val="-11"/>
        </w:rPr>
        <w:t> </w:t>
      </w:r>
      <w:r>
        <w:rPr/>
        <w:t>una</w:t>
      </w:r>
      <w:r>
        <w:rPr>
          <w:spacing w:val="-13"/>
        </w:rPr>
        <w:t> </w:t>
      </w:r>
      <w:r>
        <w:rPr/>
        <w:t>base</w:t>
      </w:r>
      <w:r>
        <w:rPr>
          <w:spacing w:val="-11"/>
        </w:rPr>
        <w:t> </w:t>
      </w:r>
      <w:r>
        <w:rPr/>
        <w:t>de</w:t>
      </w:r>
      <w:r>
        <w:rPr>
          <w:spacing w:val="-11"/>
        </w:rPr>
        <w:t> </w:t>
      </w:r>
      <w:r>
        <w:rPr/>
        <w:t>datos</w:t>
      </w:r>
      <w:r>
        <w:rPr>
          <w:spacing w:val="-11"/>
        </w:rPr>
        <w:t> </w:t>
      </w:r>
      <w:r>
        <w:rPr/>
        <w:t>cartográficos,</w:t>
      </w:r>
      <w:r>
        <w:rPr>
          <w:spacing w:val="-10"/>
        </w:rPr>
        <w:t> </w:t>
      </w:r>
      <w:r>
        <w:rPr/>
        <w:t>de</w:t>
      </w:r>
      <w:r>
        <w:rPr>
          <w:spacing w:val="-11"/>
        </w:rPr>
        <w:t> </w:t>
      </w:r>
      <w:r>
        <w:rPr/>
        <w:t>las</w:t>
      </w:r>
      <w:r>
        <w:rPr>
          <w:spacing w:val="-11"/>
        </w:rPr>
        <w:t> </w:t>
      </w:r>
      <w:r>
        <w:rPr/>
        <w:t>variables temáticas</w:t>
      </w:r>
      <w:r>
        <w:rPr>
          <w:spacing w:val="-14"/>
        </w:rPr>
        <w:t> </w:t>
      </w:r>
      <w:r>
        <w:rPr/>
        <w:t>necesarias</w:t>
      </w:r>
      <w:r>
        <w:rPr>
          <w:spacing w:val="-14"/>
        </w:rPr>
        <w:t> </w:t>
      </w:r>
      <w:r>
        <w:rPr/>
        <w:t>para</w:t>
      </w:r>
      <w:r>
        <w:rPr>
          <w:spacing w:val="-14"/>
        </w:rPr>
        <w:t> </w:t>
      </w:r>
      <w:r>
        <w:rPr/>
        <w:t>construir</w:t>
      </w:r>
      <w:r>
        <w:rPr>
          <w:spacing w:val="-14"/>
        </w:rPr>
        <w:t> </w:t>
      </w:r>
      <w:r>
        <w:rPr/>
        <w:t>los</w:t>
      </w:r>
      <w:r>
        <w:rPr>
          <w:spacing w:val="-14"/>
        </w:rPr>
        <w:t> </w:t>
      </w:r>
      <w:r>
        <w:rPr/>
        <w:t>escenarios</w:t>
      </w:r>
      <w:r>
        <w:rPr>
          <w:spacing w:val="-14"/>
        </w:rPr>
        <w:t> </w:t>
      </w:r>
      <w:r>
        <w:rPr/>
        <w:t>alternativos</w:t>
      </w:r>
      <w:r>
        <w:rPr>
          <w:spacing w:val="-14"/>
        </w:rPr>
        <w:t> </w:t>
      </w:r>
      <w:r>
        <w:rPr/>
        <w:t>del</w:t>
      </w:r>
      <w:r>
        <w:rPr>
          <w:spacing w:val="-15"/>
        </w:rPr>
        <w:t> </w:t>
      </w:r>
      <w:r>
        <w:rPr/>
        <w:t>ordenamiento</w:t>
      </w:r>
      <w:r>
        <w:rPr>
          <w:spacing w:val="-14"/>
        </w:rPr>
        <w:t> </w:t>
      </w:r>
      <w:r>
        <w:rPr/>
        <w:t>ecológico</w:t>
      </w:r>
      <w:r>
        <w:rPr>
          <w:spacing w:val="-14"/>
        </w:rPr>
        <w:t> </w:t>
      </w:r>
      <w:r>
        <w:rPr/>
        <w:t>del territorio nacional, a escala 1:2 000 000; (c) Participación en los talleres sectoriales con los representantes de los siguientes sectores del gobierno federal: SEMARNAT, SEDESOL, SAGARPA, SECTUR, SCT, CFE, PEMEX, SEGOB y con representantes de las áreas de planeación y del sector ambiental de los gobiernos en los estados (Estos talleres fueron organizados en el D. F., Guadalajara y Tuxtla Gutiérrez, los días 17, 27 y 30 de octubre de 2008 respectivamente); (d) Suministro de la información para la integración de la bitácora ambiental</w:t>
      </w:r>
      <w:r>
        <w:rPr>
          <w:spacing w:val="-15"/>
        </w:rPr>
        <w:t> </w:t>
      </w:r>
      <w:r>
        <w:rPr/>
        <w:t>con</w:t>
      </w:r>
      <w:r>
        <w:rPr>
          <w:spacing w:val="-16"/>
        </w:rPr>
        <w:t> </w:t>
      </w:r>
      <w:r>
        <w:rPr/>
        <w:t>los</w:t>
      </w:r>
      <w:r>
        <w:rPr>
          <w:spacing w:val="-16"/>
        </w:rPr>
        <w:t> </w:t>
      </w:r>
      <w:r>
        <w:rPr/>
        <w:t>resultados</w:t>
      </w:r>
      <w:r>
        <w:rPr>
          <w:spacing w:val="-13"/>
        </w:rPr>
        <w:t> </w:t>
      </w:r>
      <w:r>
        <w:rPr/>
        <w:t>más</w:t>
      </w:r>
      <w:r>
        <w:rPr>
          <w:spacing w:val="-16"/>
        </w:rPr>
        <w:t> </w:t>
      </w:r>
      <w:r>
        <w:rPr/>
        <w:t>relevantes</w:t>
      </w:r>
      <w:r>
        <w:rPr>
          <w:spacing w:val="-13"/>
        </w:rPr>
        <w:t> </w:t>
      </w:r>
      <w:r>
        <w:rPr/>
        <w:t>de</w:t>
      </w:r>
      <w:r>
        <w:rPr>
          <w:spacing w:val="-16"/>
        </w:rPr>
        <w:t> </w:t>
      </w:r>
      <w:r>
        <w:rPr/>
        <w:t>los</w:t>
      </w:r>
      <w:r>
        <w:rPr>
          <w:spacing w:val="-13"/>
        </w:rPr>
        <w:t> </w:t>
      </w:r>
      <w:r>
        <w:rPr/>
        <w:t>talleres</w:t>
      </w:r>
      <w:r>
        <w:rPr>
          <w:spacing w:val="-15"/>
        </w:rPr>
        <w:t> </w:t>
      </w:r>
      <w:r>
        <w:rPr/>
        <w:t>de</w:t>
      </w:r>
      <w:r>
        <w:rPr>
          <w:spacing w:val="-16"/>
        </w:rPr>
        <w:t> </w:t>
      </w:r>
      <w:r>
        <w:rPr/>
        <w:t>consulta</w:t>
      </w:r>
      <w:r>
        <w:rPr>
          <w:spacing w:val="-16"/>
        </w:rPr>
        <w:t> </w:t>
      </w:r>
      <w:r>
        <w:rPr/>
        <w:t>y</w:t>
      </w:r>
      <w:r>
        <w:rPr>
          <w:spacing w:val="-16"/>
        </w:rPr>
        <w:t> </w:t>
      </w:r>
      <w:r>
        <w:rPr/>
        <w:t>validación,</w:t>
      </w:r>
      <w:r>
        <w:rPr>
          <w:spacing w:val="-13"/>
        </w:rPr>
        <w:t> </w:t>
      </w:r>
      <w:r>
        <w:rPr/>
        <w:t>realizados para la construcción de los escenarios de pronóstico, así como con la información de las etapas I y II; (e) Preparación de la documentación textual y cartográfica final sobre los resultados de la construcción de la etapa de pronóstico del territorio</w:t>
      </w:r>
      <w:r>
        <w:rPr>
          <w:spacing w:val="-21"/>
        </w:rPr>
        <w:t> </w:t>
      </w:r>
      <w:r>
        <w:rPr/>
        <w:t>nacional.</w:t>
      </w:r>
    </w:p>
    <w:p>
      <w:pPr>
        <w:pStyle w:val="Heading2"/>
        <w:spacing w:before="125"/>
      </w:pPr>
      <w:r>
        <w:rPr/>
        <w:t>Materiales y métodos</w:t>
      </w:r>
    </w:p>
    <w:p>
      <w:pPr>
        <w:spacing w:after="0"/>
        <w:sectPr>
          <w:pgSz w:w="12250" w:h="15850"/>
          <w:pgMar w:header="0" w:footer="759" w:top="1500" w:bottom="940" w:left="1600" w:right="1300"/>
        </w:sectPr>
      </w:pPr>
    </w:p>
    <w:p>
      <w:pPr>
        <w:pStyle w:val="BodyText"/>
        <w:spacing w:before="9"/>
        <w:rPr>
          <w:b/>
          <w:sz w:val="10"/>
        </w:rPr>
      </w:pPr>
    </w:p>
    <w:p>
      <w:pPr>
        <w:pStyle w:val="BodyText"/>
        <w:spacing w:line="480" w:lineRule="auto" w:before="73"/>
        <w:ind w:left="102" w:right="111" w:firstLine="707"/>
        <w:jc w:val="both"/>
      </w:pPr>
      <w:r>
        <w:rPr/>
        <w:t>Para la realización de la presente etapa III, de pronóstico para el ordenamiento ecológico</w:t>
      </w:r>
      <w:r>
        <w:rPr>
          <w:spacing w:val="-9"/>
        </w:rPr>
        <w:t> </w:t>
      </w:r>
      <w:r>
        <w:rPr/>
        <w:t>general</w:t>
      </w:r>
      <w:r>
        <w:rPr>
          <w:spacing w:val="-7"/>
        </w:rPr>
        <w:t> </w:t>
      </w:r>
      <w:r>
        <w:rPr/>
        <w:t>del</w:t>
      </w:r>
      <w:r>
        <w:rPr>
          <w:spacing w:val="-7"/>
        </w:rPr>
        <w:t> </w:t>
      </w:r>
      <w:r>
        <w:rPr/>
        <w:t>territorio</w:t>
      </w:r>
      <w:r>
        <w:rPr>
          <w:spacing w:val="-7"/>
        </w:rPr>
        <w:t> </w:t>
      </w:r>
      <w:r>
        <w:rPr/>
        <w:t>nacional,</w:t>
      </w:r>
      <w:r>
        <w:rPr>
          <w:spacing w:val="-5"/>
        </w:rPr>
        <w:t> </w:t>
      </w:r>
      <w:r>
        <w:rPr/>
        <w:t>se</w:t>
      </w:r>
      <w:r>
        <w:rPr>
          <w:spacing w:val="-6"/>
        </w:rPr>
        <w:t> </w:t>
      </w:r>
      <w:r>
        <w:rPr/>
        <w:t>aplicaron</w:t>
      </w:r>
      <w:r>
        <w:rPr>
          <w:spacing w:val="-4"/>
        </w:rPr>
        <w:t> </w:t>
      </w:r>
      <w:r>
        <w:rPr/>
        <w:t>los</w:t>
      </w:r>
      <w:r>
        <w:rPr>
          <w:spacing w:val="-9"/>
        </w:rPr>
        <w:t> </w:t>
      </w:r>
      <w:r>
        <w:rPr/>
        <w:t>métodos</w:t>
      </w:r>
      <w:r>
        <w:rPr>
          <w:spacing w:val="-6"/>
        </w:rPr>
        <w:t> </w:t>
      </w:r>
      <w:r>
        <w:rPr/>
        <w:t>siguientes:</w:t>
      </w:r>
      <w:r>
        <w:rPr>
          <w:spacing w:val="-5"/>
        </w:rPr>
        <w:t> </w:t>
      </w:r>
      <w:r>
        <w:rPr/>
        <w:t>(a)</w:t>
      </w:r>
      <w:r>
        <w:rPr>
          <w:spacing w:val="1"/>
        </w:rPr>
        <w:t> </w:t>
      </w:r>
      <w:r>
        <w:rPr/>
        <w:t>Compilación, búsqueda</w:t>
      </w:r>
      <w:r>
        <w:rPr>
          <w:spacing w:val="-10"/>
        </w:rPr>
        <w:t> </w:t>
      </w:r>
      <w:r>
        <w:rPr/>
        <w:t>y</w:t>
      </w:r>
      <w:r>
        <w:rPr>
          <w:spacing w:val="-10"/>
        </w:rPr>
        <w:t> </w:t>
      </w:r>
      <w:r>
        <w:rPr/>
        <w:t>consulta</w:t>
      </w:r>
      <w:r>
        <w:rPr>
          <w:spacing w:val="-8"/>
        </w:rPr>
        <w:t> </w:t>
      </w:r>
      <w:r>
        <w:rPr/>
        <w:t>bibliográfica,</w:t>
      </w:r>
      <w:r>
        <w:rPr>
          <w:spacing w:val="-9"/>
        </w:rPr>
        <w:t> </w:t>
      </w:r>
      <w:r>
        <w:rPr/>
        <w:t>documental,</w:t>
      </w:r>
      <w:r>
        <w:rPr>
          <w:spacing w:val="-9"/>
        </w:rPr>
        <w:t> </w:t>
      </w:r>
      <w:r>
        <w:rPr/>
        <w:t>estadística</w:t>
      </w:r>
      <w:r>
        <w:rPr>
          <w:spacing w:val="-8"/>
        </w:rPr>
        <w:t> </w:t>
      </w:r>
      <w:r>
        <w:rPr/>
        <w:t>y</w:t>
      </w:r>
      <w:r>
        <w:rPr>
          <w:spacing w:val="-10"/>
        </w:rPr>
        <w:t> </w:t>
      </w:r>
      <w:r>
        <w:rPr/>
        <w:t>cartográfica,</w:t>
      </w:r>
      <w:r>
        <w:rPr>
          <w:spacing w:val="-7"/>
        </w:rPr>
        <w:t> </w:t>
      </w:r>
      <w:r>
        <w:rPr/>
        <w:t>para</w:t>
      </w:r>
      <w:r>
        <w:rPr>
          <w:spacing w:val="-7"/>
        </w:rPr>
        <w:t> </w:t>
      </w:r>
      <w:r>
        <w:rPr/>
        <w:t>el</w:t>
      </w:r>
      <w:r>
        <w:rPr>
          <w:spacing w:val="-9"/>
        </w:rPr>
        <w:t> </w:t>
      </w:r>
      <w:r>
        <w:rPr/>
        <w:t>desarrollo</w:t>
      </w:r>
      <w:r>
        <w:rPr>
          <w:spacing w:val="-8"/>
        </w:rPr>
        <w:t> </w:t>
      </w:r>
      <w:r>
        <w:rPr/>
        <w:t>de la etapa de identificación y selección de las variables necesarias y la elaboración de los modelos cartográficos que identifiquen los escenarios contextual, tendenciales y estratégico de</w:t>
      </w:r>
      <w:r>
        <w:rPr>
          <w:spacing w:val="-9"/>
        </w:rPr>
        <w:t> </w:t>
      </w:r>
      <w:r>
        <w:rPr/>
        <w:t>la</w:t>
      </w:r>
      <w:r>
        <w:rPr>
          <w:spacing w:val="-9"/>
        </w:rPr>
        <w:t> </w:t>
      </w:r>
      <w:r>
        <w:rPr/>
        <w:t>etapa</w:t>
      </w:r>
      <w:r>
        <w:rPr>
          <w:spacing w:val="-11"/>
        </w:rPr>
        <w:t> </w:t>
      </w:r>
      <w:r>
        <w:rPr/>
        <w:t>de</w:t>
      </w:r>
      <w:r>
        <w:rPr>
          <w:spacing w:val="-11"/>
        </w:rPr>
        <w:t> </w:t>
      </w:r>
      <w:r>
        <w:rPr/>
        <w:t>pronóstico</w:t>
      </w:r>
      <w:r>
        <w:rPr>
          <w:spacing w:val="-11"/>
        </w:rPr>
        <w:t> </w:t>
      </w:r>
      <w:r>
        <w:rPr/>
        <w:t>del</w:t>
      </w:r>
      <w:r>
        <w:rPr>
          <w:spacing w:val="-10"/>
        </w:rPr>
        <w:t> </w:t>
      </w:r>
      <w:r>
        <w:rPr/>
        <w:t>POEGT;</w:t>
      </w:r>
      <w:r>
        <w:rPr>
          <w:spacing w:val="-10"/>
        </w:rPr>
        <w:t> </w:t>
      </w:r>
      <w:r>
        <w:rPr/>
        <w:t>(b)</w:t>
      </w:r>
      <w:r>
        <w:rPr>
          <w:spacing w:val="-6"/>
        </w:rPr>
        <w:t> </w:t>
      </w:r>
      <w:r>
        <w:rPr/>
        <w:t>Determinación</w:t>
      </w:r>
      <w:r>
        <w:rPr>
          <w:spacing w:val="-9"/>
        </w:rPr>
        <w:t> </w:t>
      </w:r>
      <w:r>
        <w:rPr/>
        <w:t>del</w:t>
      </w:r>
      <w:r>
        <w:rPr>
          <w:spacing w:val="-10"/>
        </w:rPr>
        <w:t> </w:t>
      </w:r>
      <w:r>
        <w:rPr/>
        <w:t>estado</w:t>
      </w:r>
      <w:r>
        <w:rPr>
          <w:spacing w:val="-11"/>
        </w:rPr>
        <w:t> </w:t>
      </w:r>
      <w:r>
        <w:rPr/>
        <w:t>actual</w:t>
      </w:r>
      <w:r>
        <w:rPr>
          <w:spacing w:val="-14"/>
        </w:rPr>
        <w:t> </w:t>
      </w:r>
      <w:r>
        <w:rPr/>
        <w:t>del</w:t>
      </w:r>
      <w:r>
        <w:rPr>
          <w:spacing w:val="-10"/>
        </w:rPr>
        <w:t> </w:t>
      </w:r>
      <w:r>
        <w:rPr/>
        <w:t>medio</w:t>
      </w:r>
      <w:r>
        <w:rPr>
          <w:spacing w:val="-11"/>
        </w:rPr>
        <w:t> </w:t>
      </w:r>
      <w:r>
        <w:rPr/>
        <w:t>ambiente de las 145 unidades ambientales biofísicas de la regionalización del territorio nacional de López Blanco (2008), a partir de 8 indicadores de degradación biofísica (uso de suelo, degradación de suelos, degradación de la vegetación y degradación por desertificación) y de modificación antrópica (longitud de carreteras de primer orden, porcentaje de zonas urbanas, densidad de población y porcentaje de cuerpos de agua), y de 8 indicadores de índole social (marginación social, índice medio de educación, índice medio de salud, hacinamiento de la vivienda, consolidación de la vivienda) y económica (capitalización industrial, tasa de dependencia económica, porcentaje de trabajadores por actividades remuneradas por municipios). Finalmente, para la elaboración del escenario estratégico, de aplicación de políticas ambientales, se incluyó el porcentaje de áreas naturales protegidas por unidad ambiental biofísica para determinar las unidades con políticas de preservación; (c) Análisis estadístico de los conflictos y las sinergias intersectoriales de uso espacial, como situaciones adversas y favorables respectivamente, en el desarrollo actual y tendencial del estado ambiental del territorio; (d) Organización y realización de talleres sectoriales y regionales de consulta y de validación para apoyar, de manera consensuada, la construcción de los escenarios contextual y tendenciales del pronóstico; (e) Construcción de los escenarios contextual y tendenciales del territorio, a partir de los conflictos identificados, del análisis de los indicadores de degradación biofísica, de modificación antropogénica y socioeconómicos, y</w:t>
      </w:r>
      <w:r>
        <w:rPr>
          <w:spacing w:val="12"/>
        </w:rPr>
        <w:t> </w:t>
      </w:r>
      <w:r>
        <w:rPr/>
        <w:t>de</w:t>
      </w:r>
      <w:r>
        <w:rPr>
          <w:spacing w:val="13"/>
        </w:rPr>
        <w:t> </w:t>
      </w:r>
      <w:r>
        <w:rPr/>
        <w:t>la</w:t>
      </w:r>
      <w:r>
        <w:rPr>
          <w:spacing w:val="14"/>
        </w:rPr>
        <w:t> </w:t>
      </w:r>
      <w:r>
        <w:rPr/>
        <w:t>información</w:t>
      </w:r>
      <w:r>
        <w:rPr>
          <w:spacing w:val="13"/>
        </w:rPr>
        <w:t> </w:t>
      </w:r>
      <w:r>
        <w:rPr/>
        <w:t>suministrada</w:t>
      </w:r>
      <w:r>
        <w:rPr>
          <w:spacing w:val="14"/>
        </w:rPr>
        <w:t> </w:t>
      </w:r>
      <w:r>
        <w:rPr/>
        <w:t>en</w:t>
      </w:r>
      <w:r>
        <w:rPr>
          <w:spacing w:val="13"/>
        </w:rPr>
        <w:t> </w:t>
      </w:r>
      <w:r>
        <w:rPr/>
        <w:t>los</w:t>
      </w:r>
      <w:r>
        <w:rPr>
          <w:spacing w:val="14"/>
        </w:rPr>
        <w:t> </w:t>
      </w:r>
      <w:r>
        <w:rPr/>
        <w:t>talleres</w:t>
      </w:r>
      <w:r>
        <w:rPr>
          <w:spacing w:val="14"/>
        </w:rPr>
        <w:t> </w:t>
      </w:r>
      <w:r>
        <w:rPr/>
        <w:t>de</w:t>
      </w:r>
      <w:r>
        <w:rPr>
          <w:spacing w:val="14"/>
        </w:rPr>
        <w:t> </w:t>
      </w:r>
      <w:r>
        <w:rPr/>
        <w:t>consulta</w:t>
      </w:r>
      <w:r>
        <w:rPr>
          <w:spacing w:val="14"/>
        </w:rPr>
        <w:t> </w:t>
      </w:r>
      <w:r>
        <w:rPr/>
        <w:t>y</w:t>
      </w:r>
      <w:r>
        <w:rPr>
          <w:spacing w:val="12"/>
        </w:rPr>
        <w:t> </w:t>
      </w:r>
      <w:r>
        <w:rPr/>
        <w:t>validación;</w:t>
      </w:r>
      <w:r>
        <w:rPr>
          <w:spacing w:val="15"/>
        </w:rPr>
        <w:t> </w:t>
      </w:r>
      <w:r>
        <w:rPr/>
        <w:t>y</w:t>
      </w:r>
      <w:r>
        <w:rPr>
          <w:spacing w:val="12"/>
        </w:rPr>
        <w:t> </w:t>
      </w:r>
      <w:r>
        <w:rPr/>
        <w:t>(f)</w:t>
      </w:r>
      <w:r>
        <w:rPr>
          <w:spacing w:val="15"/>
        </w:rPr>
        <w:t> </w:t>
      </w:r>
      <w:r>
        <w:rPr/>
        <w:t>Propuesta</w:t>
      </w:r>
      <w:r>
        <w:rPr>
          <w:spacing w:val="14"/>
        </w:rPr>
        <w:t> </w:t>
      </w:r>
      <w:r>
        <w:rPr/>
        <w:t>del</w:t>
      </w:r>
    </w:p>
    <w:p>
      <w:pPr>
        <w:spacing w:after="0" w:line="480" w:lineRule="auto"/>
        <w:jc w:val="both"/>
        <w:sectPr>
          <w:pgSz w:w="12250" w:h="15850"/>
          <w:pgMar w:header="0" w:footer="759" w:top="1500" w:bottom="940" w:left="1600" w:right="1300"/>
        </w:sectPr>
      </w:pPr>
    </w:p>
    <w:p>
      <w:pPr>
        <w:pStyle w:val="BodyText"/>
        <w:spacing w:before="9"/>
        <w:rPr>
          <w:sz w:val="10"/>
        </w:rPr>
      </w:pPr>
      <w:r>
        <w:rPr/>
        <w:pict>
          <v:shape style="position:absolute;margin-left:139.76004pt;margin-top:327.007782pt;width:3.85pt;height:11.05pt;mso-position-horizontal-relative:page;mso-position-vertical-relative:page;z-index:-25312" coordorigin="2795,6540" coordsize="77,221" path="m2840,6540l2827,6540,2827,6592,2840,6592,2840,6540xm2872,6683l2795,6683,2833,6761,2872,6683xm2840,6631l2827,6631,2827,6683,2840,6683,2840,6631xe" filled="true" fillcolor="#000000" stroked="false">
            <v:path arrowok="t"/>
            <v:fill type="solid"/>
            <w10:wrap type="none"/>
          </v:shape>
        </w:pict>
      </w:r>
      <w:r>
        <w:rPr/>
        <w:pict>
          <v:shape style="position:absolute;margin-left:139.76004pt;margin-top:352.690399pt;width:3.85pt;height:11.15pt;mso-position-horizontal-relative:page;mso-position-vertical-relative:page;z-index:-25288" coordorigin="2795,7054" coordsize="77,223" path="m2840,7054l2827,7054,2827,7106,2840,7106,2840,7054xm2840,7145l2827,7145,2827,7196,2840,7196,2840,7145xm2872,7198l2795,7198,2833,7276,2872,7198xe" filled="true" fillcolor="#000000" stroked="false">
            <v:path arrowok="t"/>
            <v:fill type="solid"/>
            <w10:wrap type="none"/>
          </v:shape>
        </w:pict>
      </w:r>
      <w:r>
        <w:rPr/>
        <w:pict>
          <v:shape style="position:absolute;margin-left:139.76004pt;margin-top:386.968475pt;width:3.85pt;height:11.05pt;mso-position-horizontal-relative:page;mso-position-vertical-relative:page;z-index:-25264" coordorigin="2795,7739" coordsize="77,221" path="m2840,7739l2827,7739,2827,7791,2840,7791,2840,7739xm2872,7882l2795,7882,2833,7960,2872,7882xm2840,7830l2827,7830,2827,7882,2840,7882,2840,7830xe" filled="true" fillcolor="#000000" stroked="false">
            <v:path arrowok="t"/>
            <v:fill type="solid"/>
            <w10:wrap type="none"/>
          </v:shape>
        </w:pict>
      </w:r>
      <w:r>
        <w:rPr/>
        <w:pict>
          <v:shape style="position:absolute;margin-left:139.76004pt;margin-top:418.899994pt;width:3.85pt;height:11.05pt;mso-position-horizontal-relative:page;mso-position-vertical-relative:page;z-index:-25240" coordorigin="2795,8378" coordsize="77,221" path="m2840,8378l2827,8378,2827,8430,2840,8430,2840,8378xm2872,8521l2795,8521,2833,8598,2872,8521xm2840,8469l2827,8469,2827,8521,2840,8521,2840,8469xe" filled="true" fillcolor="#000000" stroked="false">
            <v:path arrowok="t"/>
            <v:fill type="solid"/>
            <w10:wrap type="none"/>
          </v:shape>
        </w:pict>
      </w:r>
      <w:r>
        <w:rPr/>
        <w:pict>
          <v:shape style="position:absolute;margin-left:139.76004pt;margin-top:451.954193pt;width:3.85pt;height:11.15pt;mso-position-horizontal-relative:page;mso-position-vertical-relative:page;z-index:-25216" coordorigin="2795,9039" coordsize="77,223" path="m2840,9039l2827,9039,2827,9091,2840,9091,2840,9039xm2840,9130l2827,9130,2827,9182,2840,9182,2840,9130xm2872,9183l2795,9183,2833,9261,2872,9183xe" filled="true" fillcolor="#000000" stroked="false">
            <v:path arrowok="t"/>
            <v:fill type="solid"/>
            <w10:wrap type="none"/>
          </v:shape>
        </w:pict>
      </w:r>
      <w:r>
        <w:rPr/>
        <w:pict>
          <v:shape style="position:absolute;margin-left:255.46846pt;margin-top:327.007782pt;width:3.85pt;height:11.05pt;mso-position-horizontal-relative:page;mso-position-vertical-relative:page;z-index:-25192" coordorigin="5109,6540" coordsize="77,221" path="m5154,6540l5141,6540,5141,6592,5154,6592,5154,6540xm5186,6683l5109,6683,5148,6761,5186,6683xm5154,6631l5141,6631,5141,6683,5154,6683,5154,6631xe" filled="true" fillcolor="#000000" stroked="false">
            <v:path arrowok="t"/>
            <v:fill type="solid"/>
            <w10:wrap type="none"/>
          </v:shape>
        </w:pict>
      </w:r>
      <w:r>
        <w:rPr/>
        <w:pict>
          <v:shape style="position:absolute;margin-left:486.982269pt;margin-top:319.630981pt;width:3.85pt;height:7.4pt;mso-position-horizontal-relative:page;mso-position-vertical-relative:page;z-index:-25120" coordorigin="9740,6393" coordsize="77,148" path="m9788,6393l9768,6393,9768,6412,9788,6412,9788,6393xm9788,6432l9768,6432,9768,6451,9788,6451,9788,6432xm9816,6462l9740,6462,9778,6540,9810,6475,9768,6475,9768,6470,9812,6470,9816,6462xm9788,6470l9768,6470,9768,6475,9788,6475,9788,6470xm9812,6470l9788,6470,9788,6475,9810,6475,9812,6470xe" filled="true" fillcolor="#000000" stroked="false">
            <v:path arrowok="t"/>
            <v:fill type="solid"/>
            <w10:wrap type="none"/>
          </v:shape>
        </w:pict>
      </w:r>
      <w:r>
        <w:rPr/>
        <w:pict>
          <v:shape style="position:absolute;margin-left:486.982269pt;margin-top:470.348206pt;width:3.85pt;height:7.3pt;mso-position-horizontal-relative:page;mso-position-vertical-relative:page;z-index:-25048" coordorigin="9740,9407" coordsize="77,146" path="m9788,9407l9768,9407,9768,9426,9788,9426,9788,9407xm9788,9446l9768,9446,9768,9465,9788,9465,9788,9446xm9816,9475l9740,9475,9778,9553,9810,9488,9768,9488,9768,9485,9811,9485,9816,9475xm9788,9485l9768,9485,9768,9488,9788,9488,9788,9485xm9811,9485l9788,9485,9788,9488,9810,9488,9811,9485xe" filled="true" fillcolor="#000000" stroked="false">
            <v:path arrowok="t"/>
            <v:fill type="solid"/>
            <w10:wrap type="none"/>
          </v:shape>
        </w:pict>
      </w:r>
    </w:p>
    <w:p>
      <w:pPr>
        <w:pStyle w:val="BodyText"/>
        <w:spacing w:line="480" w:lineRule="auto" w:before="73"/>
        <w:ind w:left="102" w:right="194"/>
        <w:jc w:val="both"/>
      </w:pPr>
      <w:r>
        <w:rPr/>
        <w:pict>
          <v:group style="position:absolute;margin-left:85.094002pt;margin-top:135.997879pt;width:460.45pt;height:351.6pt;mso-position-horizontal-relative:page;mso-position-vertical-relative:paragraph;z-index:0;mso-wrap-distance-left:0;mso-wrap-distance-right:0" coordorigin="1702,2720" coordsize="9209,7032">
            <v:line style="position:absolute" from="1712,2730" to="10900,2730" stroked="true" strokeweight=".48pt" strokecolor="#000000"/>
            <v:line style="position:absolute" from="1707,2725" to="1707,9747" stroked="true" strokeweight=".48pt" strokecolor="#000000"/>
            <v:line style="position:absolute" from="10905,2725" to="10905,9747" stroked="true" strokeweight=".48004pt" strokecolor="#000000"/>
            <v:line style="position:absolute" from="1712,9742" to="10900,9742" stroked="true" strokeweight=".47998pt" strokecolor="#000000"/>
            <w10:wrap type="topAndBottom"/>
          </v:group>
        </w:pict>
      </w:r>
      <w:r>
        <w:rPr/>
        <w:pict>
          <v:group style="position:absolute;margin-left:88.8797pt;margin-top:141.959839pt;width:443.85pt;height:340.45pt;mso-position-horizontal-relative:page;mso-position-vertical-relative:paragraph;z-index:-25360" coordorigin="1778,2839" coordsize="8877,6809">
            <v:shape style="position:absolute;left:3650;top:2839;width:5310;height:252" coordorigin="3650,2839" coordsize="5310,252" path="m8960,2839l3650,2839,3650,3090,8960,3090,8960,3076,3679,3076,3664,3061,3679,3061,3679,2868,3664,2868,3679,2854,8960,2854,8960,2839xm3679,3061l3664,3061,3679,3076,3679,3061xm8931,3061l3679,3061,3679,3076,8931,3076,8931,3061xm8931,2854l8931,3076,8945,3061,8960,3061,8960,2868,8945,2868,8931,2854xm8960,3061l8945,3061,8931,3076,8960,3076,8960,3061xm3679,2854l3664,2868,3679,2868,3679,2854xm8931,2854l3679,2854,3679,2868,8931,2868,8931,2854xm8960,2854l8931,2854,8945,2868,8960,2868,8960,2854xe" filled="true" fillcolor="#000000" stroked="false">
              <v:path arrowok="t"/>
              <v:fill type="solid"/>
            </v:shape>
            <v:line style="position:absolute" from="6306,3076" to="6306,3076" stroked="true" strokeweight=".648224pt" strokecolor="#000000"/>
            <v:shape style="position:absolute;left:1729;top:9078;width:4593;height:113" coordorigin="1729,9078" coordsize="4593,113" path="m6306,3076l6306,3222m3918,3222l9778,3222e" filled="false" stroked="true" strokeweight="1.929321pt" strokecolor="#000000">
              <v:path arrowok="t"/>
            </v:shape>
            <v:rect style="position:absolute;left:3339;top:3369;width:1230;height:293" filled="true" fillcolor="#a6a6a6" stroked="false">
              <v:fill type="solid"/>
            </v:rect>
            <v:rect style="position:absolute;left:3339;top:3369;width:1230;height:293" filled="false" stroked="true" strokeweight=".647673pt" strokecolor="#000000"/>
            <v:shape style="position:absolute;left:3861;top:3222;width:115;height:148" type="#_x0000_t75" stroked="false">
              <v:imagedata r:id="rId10" o:title=""/>
            </v:shape>
            <v:shape style="position:absolute;left:7044;top:3222;width:115;height:148" type="#_x0000_t75" stroked="false">
              <v:imagedata r:id="rId11" o:title=""/>
            </v:shape>
            <v:shape style="position:absolute;left:9721;top:3222;width:115;height:148" type="#_x0000_t75" stroked="false">
              <v:imagedata r:id="rId10" o:title=""/>
            </v:shape>
            <v:line style="position:absolute" from="3918,3662" to="3918,3737" stroked="true" strokeweight=".637990pt" strokecolor="#000000"/>
            <v:line style="position:absolute" from="2833,3737" to="5148,3737" stroked="true" strokeweight=".648224pt" strokecolor="#000000">
              <v:stroke dashstyle="dash"/>
            </v:line>
            <v:shape style="position:absolute;left:2795;top:3737;width:2391;height:148" coordorigin="2795,3737" coordsize="2391,148" path="m2840,3737l2827,3737,2827,3789,2840,3789,2840,3737m2872,3805l2795,3805,2833,3883,2872,3805m5186,3807l5154,3807,5154,3737,5141,3737,5141,3807,5109,3807,5148,3884,5180,3820,5186,3807e" filled="true" fillcolor="#000000" stroked="false">
              <v:path arrowok="t"/>
              <v:fill type="solid"/>
            </v:shape>
            <v:shape style="position:absolute;left:7059;top:3662;width:2758;height:222" coordorigin="7059,3662" coordsize="2758,222" path="m7145,3797l7116,3797,7116,3662,7087,3662,7087,3797,7059,3797,7102,3884,7137,3812,7145,3797m9788,3779l9768,3779,9768,3799,9788,3799,9788,3779m9788,3740l9768,3740,9768,3760,9788,3760,9788,3740m9788,3701l9768,3701,9768,3721,9788,3721,9788,3701m9788,3662l9768,3662,9768,3682,9788,3682,9788,3662m9816,3807l9740,3807,9778,3884,9810,3820,9811,3818,9816,3807e" filled="true" fillcolor="#000000" stroked="false">
              <v:path arrowok="t"/>
              <v:fill type="solid"/>
            </v:shape>
            <v:rect style="position:absolute;left:4352;top:5943;width:1592;height:574" filled="true" fillcolor="#a6a6a6" stroked="false">
              <v:fill type="solid"/>
            </v:rect>
            <v:rect style="position:absolute;left:4352;top:5943;width:1592;height:574" filled="false" stroked="true" strokeweight=".647047pt" strokecolor="#000000"/>
            <v:shape style="position:absolute;left:5109;top:5721;width:77;height:221" coordorigin="5109,5721" coordsize="77,221" path="m5154,5721l5141,5721,5141,5773,5154,5773,5154,5721xm5186,5863l5109,5863,5148,5941,5186,5863xm5154,5811l5141,5811,5141,5863,5154,5863,5154,5811xe" filled="true" fillcolor="#000000" stroked="false">
              <v:path arrowok="t"/>
              <v:fill type="solid"/>
            </v:shape>
            <v:rect style="position:absolute;left:4352;top:6604;width:1592;height:418" filled="true" fillcolor="#a6a6a6" stroked="false">
              <v:fill type="solid"/>
            </v:rect>
            <v:shape style="position:absolute;left:5119;top:6455;width:77;height:221" coordorigin="5119,6455" coordsize="77,221" path="m5164,6455l5151,6455,5151,6507,5164,6507,5164,6455xm5196,6597l5119,6597,5157,6675,5196,6597xm5164,6545l5151,6545,5151,6597,5164,6597,5164,6545xe" filled="true" fillcolor="#000000" stroked="false">
              <v:path arrowok="t"/>
              <v:fill type="solid"/>
            </v:shape>
            <v:rect style="position:absolute;left:4352;top:7265;width:1593;height:263" filled="true" fillcolor="#a6a6a6" stroked="false">
              <v:fill type="solid"/>
            </v:rect>
            <v:rect style="position:absolute;left:4352;top:7265;width:1593;height:263" filled="false" stroked="true" strokeweight=".647953pt" strokecolor="#000000"/>
            <v:shape style="position:absolute;left:5109;top:7045;width:77;height:221" coordorigin="5109,7045" coordsize="77,221" path="m5154,7045l5141,7045,5141,7096,5154,7096,5154,7045xm5186,7187l5109,7187,5148,7265,5186,7187xm5154,7135l5141,7135,5141,7187,5154,7187,5154,7135xe" filled="true" fillcolor="#000000" stroked="false">
              <v:path arrowok="t"/>
              <v:fill type="solid"/>
            </v:shape>
            <v:shape style="position:absolute;left:2692;top:12536;width:2893;height:398" coordorigin="2692,12536" coordsize="2893,398" path="m5148,7558l5148,8074m5148,8074l8839,8074e" filled="false" stroked="true" strokeweight=".643107pt" strokecolor="#000000">
              <v:path arrowok="t"/>
              <v:stroke dashstyle="dash"/>
            </v:shape>
            <v:shape style="position:absolute;left:7059;top:4178;width:86;height:221" coordorigin="7059,4178" coordsize="86,221" path="m7087,4311l7059,4311,7102,4398,7137,4325,7087,4325,7087,4311xm7116,4178l7087,4178,7087,4325,7116,4325,7116,4178xm7145,4311l7116,4311,7116,4325,7137,4325,7145,4311xe" filled="true" fillcolor="#000000" stroked="false">
              <v:path arrowok="t"/>
              <v:fill type="solid"/>
            </v:shape>
            <v:rect style="position:absolute;left:6234;top:4398;width:1880;height:1040" filled="true" fillcolor="#d9d9d9" stroked="false">
              <v:fill type="solid"/>
            </v:rect>
            <v:rect style="position:absolute;left:6234;top:4398;width:1880;height:1040" filled="false" stroked="true" strokeweight=".645825pt" strokecolor="#000000"/>
            <v:rect style="position:absolute;left:6306;top:5500;width:1737;height:574" filled="true" fillcolor="#d9d9d9" stroked="false">
              <v:fill type="solid"/>
            </v:rect>
            <v:rect style="position:absolute;left:6306;top:5500;width:1737;height:574" filled="false" stroked="true" strokeweight=".647217pt" strokecolor="#000000"/>
            <v:shape style="position:absolute;left:7387;top:6417;width:77;height:78" coordorigin="7387,6417" coordsize="77,78" path="m7387,6417l7387,6495,7464,6456,7387,6417xe" filled="true" fillcolor="#000000" stroked="false">
              <v:path arrowok="t"/>
              <v:fill type="solid"/>
            </v:shape>
            <v:line style="position:absolute" from="7464,6236" to="7464,7338" stroked="true" strokeweight="1.435477pt" strokecolor="#000000"/>
            <v:shape style="position:absolute;left:7464;top:6192;width:144;height:1190" coordorigin="7464,6192" coordsize="144,1190" path="m7607,7338l7578,7323,7521,7294,7521,7323,7464,7323,7464,7352,7521,7352,7521,7382,7578,7352,7607,7338m7607,6972l7578,6957,7521,6928,7521,6957,7464,6957,7464,6986,7521,6986,7521,7015,7578,6986,7607,6972m7607,6604l7579,6589,7521,6560,7521,6589,7464,6589,7464,6618,7521,6618,7521,6648,7579,6618,7607,6604m7607,6236l7579,6221,7521,6192,7521,6221,7464,6221,7464,6250,7521,6250,7521,6280,7579,6250,7607,6236e" filled="true" fillcolor="#000000" stroked="false">
              <v:path arrowok="t"/>
              <v:fill type="solid"/>
            </v:shape>
            <v:rect style="position:absolute;left:7607;top:6119;width:434;height:232" filled="true" fillcolor="#d9d9d9" stroked="false">
              <v:fill type="solid"/>
            </v:rect>
            <v:rect style="position:absolute;left:7607;top:6119;width:434;height:232" filled="false" stroked="true" strokeweight=".645952pt" strokecolor="#000000"/>
            <v:shape style="position:absolute;left:6089;top:4795;width:217;height:1117" coordorigin="6089,4795" coordsize="217,1117" path="m6234,4824l6175,4824,6175,4795,6089,4839,6175,4883,6175,4854,6234,4854,6234,4824m6306,5853l6175,5853,6175,5824,6089,5868,6175,5912,6175,5883,6306,5883,6306,5853e" filled="true" fillcolor="#000000" stroked="false">
              <v:path arrowok="t"/>
              <v:fill type="solid"/>
            </v:shape>
            <v:line style="position:absolute" from="6089,4839" to="6089,6529" stroked="true" strokeweight="1.435477pt" strokecolor="#000000"/>
            <v:shape style="position:absolute;left:6089;top:6486;width:289;height:88" coordorigin="6089,6486" coordsize="289,88" path="m6291,6486l6291,6573,6348,6544,6306,6544,6306,6515,6349,6515,6291,6486xm6291,6515l6089,6515,6089,6544,6291,6544,6291,6515xm6349,6515l6306,6515,6306,6544,6348,6544,6377,6529,6349,6515xe" filled="true" fillcolor="#000000" stroked="false">
              <v:path arrowok="t"/>
              <v:fill type="solid"/>
            </v:shape>
            <v:shape style="position:absolute;left:8043;top:6192;width:144;height:88" coordorigin="8043,6192" coordsize="144,88" path="m8100,6192l8100,6280,8158,6250,8114,6250,8114,6221,8158,6221,8100,6192xm8100,6221l8043,6221,8043,6250,8100,6250,8100,6221xm8158,6221l8114,6221,8114,6250,8158,6250,8186,6236,8158,6221xe" filled="true" fillcolor="#000000" stroked="false">
              <v:path arrowok="t"/>
              <v:fill type="solid"/>
            </v:shape>
            <v:line style="position:absolute" from="8186,6236" to="8186,7780" stroked="true" strokeweight="1.435477pt" strokecolor="#000000"/>
            <v:shape style="position:absolute;left:8043;top:7737;width:144;height:88" coordorigin="8043,7737" coordsize="144,88" path="m8129,7737l8043,7780,8129,7824,8129,7795,8114,7795,8114,7766,8129,7766,8129,7737xm8129,7766l8114,7766,8114,7795,8129,7795,8129,7766xm8186,7766l8129,7766,8129,7795,8186,7795,8186,7766xe" filled="true" fillcolor="#000000" stroked="false">
              <v:path arrowok="t"/>
              <v:fill type="solid"/>
            </v:shape>
            <v:line style="position:absolute" from="8693,6236" to="8693,4546" stroked="true" strokeweight="1.435477pt" strokecolor="#000000"/>
            <v:shape style="position:absolute;left:8043;top:4502;width:1013;height:1778" coordorigin="8043,4502" coordsize="1013,1778" path="m8693,6236l8665,6221,8607,6192,8607,6221,8186,6221,8186,6250,8607,6250,8607,6280,8665,6250,8693,6236m8693,5868l8665,5853,8607,5824,8607,5853,8043,5853,8043,5883,8607,5883,8607,5912,8664,5883,8693,5868m9055,4546l9027,4531,8969,4502,8969,4531,8693,4531,8693,4560,8969,4560,8969,4589,9026,4560,9055,4546e" filled="true" fillcolor="#000000" stroked="false">
              <v:path arrowok="t"/>
              <v:fill type="solid"/>
            </v:shape>
            <v:line style="position:absolute" from="8839,8074" to="8839,5280" stroked="true" strokeweight=".637990pt" strokecolor="#000000">
              <v:stroke dashstyle="dash"/>
            </v:line>
            <v:shape style="position:absolute;left:6017;top:4580;width:3039;height:739" coordorigin="6017,4580" coordsize="3039,739" path="m6068,4612l6017,4612,6017,4625,6068,4625,6068,4612m6234,4619l6157,4580,6157,4612,6106,4612,6106,4625,6157,4625,6157,4658,6234,4619m8890,5273l8839,5273,8839,5286,8890,5286,8890,5273m9055,5280l8979,5241,8979,5273,8928,5273,8928,5286,8979,5286,8979,5319,9055,5280e" filled="true" fillcolor="#000000" stroked="false">
              <v:path arrowok="t"/>
              <v:fill type="solid"/>
            </v:shape>
            <v:shape style="position:absolute;left:1843;top:10268;width:1532;height:2382" coordorigin="1843,10268" coordsize="1532,2382" path="m6017,4619l6017,7706m4063,4692l4063,7706m4063,7706l6017,7706e" filled="false" stroked="true" strokeweight=".643107pt" strokecolor="#000000">
              <v:path arrowok="t"/>
              <v:stroke dashstyle="dash"/>
            </v:shape>
            <v:shape style="position:absolute;left:3773;top:4653;width:291;height:2584" coordorigin="3773,4653" coordsize="291,2584" path="m3824,5273l3773,5273,3773,5286,3824,5286,3824,5273m3897,4685l3846,4685,3846,4698,3897,4698,3897,4685m3913,5273l3862,5273,3862,5286,3913,5286,3913,5273m4063,7192l4035,7177,3977,7148,3977,7177,3773,7177,3773,7207,3977,7207,3977,7236,4034,7207,4063,7192m4063,6529l4034,6515,3977,6486,3977,6515,3773,6515,3773,6544,3977,6544,3977,6573,4034,6544,4063,6529m4063,5868l4034,5853,3977,5824,3977,5853,3773,5853,3773,5883,3977,5883,3977,5912,4034,5883,4063,5868m4063,5280l4050,5273,3987,5241,3987,5273,3952,5273,3952,5286,3987,5286,3987,5319,4050,5286,4063,5280m4063,4692l3987,4653,3987,4685,3936,4685,3936,4698,3987,4698,3987,4730,4063,4692e" filled="true" fillcolor="#000000" stroked="false">
              <v:path arrowok="t"/>
              <v:fill type="solid"/>
            </v:shape>
            <v:line style="position:absolute" from="5944,6236" to="6451,6236" stroked="true" strokeweight=".648224pt" strokecolor="#000000">
              <v:stroke dashstyle="dash"/>
            </v:line>
            <v:shape style="position:absolute;left:6413;top:6088;width:77;height:148" coordorigin="6413,6088" coordsize="77,148" path="m6457,6184l6445,6184,6445,6236,6457,6236,6457,6184xm6451,6088l6413,6166,6489,6166,6451,6088xe" filled="true" fillcolor="#000000" stroked="false">
              <v:path arrowok="t"/>
              <v:fill type="solid"/>
            </v:shape>
            <v:shape style="position:absolute;left:1956;top:11402;width:3685;height:1588" coordorigin="1956,11402" coordsize="3685,1588" path="m4208,6088l4352,6088m4208,6088l4208,8147m4208,8147l8910,8147m8910,6751l8910,8147e" filled="false" stroked="true" strokeweight=".643107pt" strokecolor="#000000">
              <v:path arrowok="t"/>
              <v:stroke dashstyle="dash"/>
            </v:shape>
            <v:shape style="position:absolute;left:8910;top:6712;width:146;height:78" coordorigin="8910,6712" coordsize="146,78" path="m8961,6745l8910,6745,8910,6758,8961,6758,8961,6745xm8979,6712l8979,6790,9055,6751,8979,6712xe" filled="true" fillcolor="#000000" stroked="false">
              <v:path arrowok="t"/>
              <v:fill type="solid"/>
            </v:shape>
            <v:shape style="position:absolute;left:879;top:9644;width:5557;height:3515" coordorigin="879,9644" coordsize="5557,3515" path="m2833,8367l4135,8367m4135,8367l4135,3810m4135,3810l9923,3810e" filled="false" stroked="true" strokeweight=".643107pt" strokecolor="#000000">
              <v:path arrowok="t"/>
              <v:stroke dashstyle="dash"/>
            </v:shape>
            <v:shape style="position:absolute;left:2795;top:3807;width:7167;height:4561" coordorigin="2795,3807" coordsize="7167,4561" path="m2840,8221l2827,8221,2827,8273,2840,8273,2840,8221m2872,8289l2795,8289,2833,8367,2872,8289m5403,3807l5326,3807,5365,3884,5403,3807m7429,3807l7352,3807,7390,3884,7429,3807m9961,3807l9885,3807,9923,3884,9961,3807e" filled="true" fillcolor="#000000" stroked="false">
              <v:path arrowok="t"/>
              <v:fill type="solid"/>
            </v:shape>
            <v:shape style="position:absolute;left:1806;top:8427;width:3718;height:902" coordorigin="1806,8427" coordsize="3718,902" path="m5524,8427l1806,8427,1806,9328,5524,9328,5524,9313,1835,9313,1821,9299,1835,9299,1835,8456,1821,8456,1835,8442,5524,8442,5524,8427xm1835,9299l1821,9299,1835,9313,1835,9299xm5495,9299l1835,9299,1835,9313,5495,9313,5495,9299xm5495,8442l5495,9313,5510,9299,5524,9299,5524,8456,5510,8456,5495,8442xm5524,9299l5510,9299,5495,9313,5524,9313,5524,9299xm1835,8442l1821,8456,1835,8456,1835,8442xm5495,8442l1835,8442,1835,8456,5495,8456,5495,8442xm5524,8442l5495,8442,5510,8456,5524,8456,5524,8442xe" filled="true" fillcolor="#000000" stroked="false">
              <v:path arrowok="t"/>
              <v:fill type="solid"/>
            </v:shape>
            <v:line style="position:absolute" from="3629,2928" to="1821,2928" stroked="true" strokeweight="1.458504pt" strokecolor="#000000">
              <v:stroke dashstyle="longDash"/>
            </v:line>
            <v:shape style="position:absolute;left:1778;top:2928;width:7205;height:6287" coordorigin="1778,2928" coordsize="7205,6287" path="m1835,8062l1806,8062,1806,8091,1835,8091,1835,8062m1835,7741l1806,7741,1806,7975,1835,7975,1835,7741m1835,7625l1806,7625,1806,7654,1835,7654,1835,7625m1835,7304l1806,7304,1806,7537,1835,7537,1835,7304m1835,7187l1806,7187,1806,7216,1835,7216,1835,7187m1835,6866l1806,6866,1806,7100,1835,7100,1835,6866m1835,6750l1806,6750,1806,6779,1835,6779,1835,6750m1835,6429l1806,6429,1806,6662,1835,6662,1835,6429m1835,6312l1806,6312,1806,6341,1835,6341,1835,6312m1835,5991l1806,5991,1806,6224,1835,6224,1835,5991m1835,5874l1806,5874,1806,5904,1835,5904,1835,5874m1835,5554l1806,5554,1806,5787,1835,5787,1835,5554m1835,5437l1806,5437,1806,5466,1835,5466,1835,5437m1835,5116l1806,5116,1806,5349,1835,5349,1835,5116m1835,4999l1806,4999,1806,5029,1835,5029,1835,4999m1835,4679l1806,4679,1806,4912,1835,4912,1835,4679m1835,4562l1806,4562,1806,4591,1835,4591,1835,4562m1835,4241l1806,4241,1806,4474,1835,4474,1835,4241m1835,4124l1806,4124,1806,4154,1835,4154,1835,4124m1835,3803l1806,3803,1806,4037,1835,4037,1835,3803m1835,3687l1806,3687,1806,3716,1835,3716,1835,3687m1835,3366l1806,3366,1806,3599,1835,3599,1835,3366m1835,3249l1806,3249,1806,3278,1835,3278,1835,3249m1835,2928l1806,2928,1806,3162,1835,3162,1835,2928m1864,8354l1835,8354,1835,8179,1806,8179,1806,8354,1778,8354,1821,8442,1857,8369,1864,8354m8637,9166l8625,9166,8625,9137,8548,9176,8625,9215,8625,9185,8637,9185,8637,9166m8637,8432l8625,8432,8625,8403,8548,8442,8625,8480,8625,8451,8637,8451,8637,8432m8676,9166l8657,9166,8657,9185,8676,9185,8676,9166m8676,8432l8657,8432,8657,8451,8676,8451,8676,8432m8714,9166l8695,9166,8695,9185,8714,9185,8714,9166m8714,8432l8695,8432,8695,8451,8714,8451,8714,8432m8752,9166l8733,9166,8733,9185,8752,9185,8752,9166m8752,8432l8733,8432,8733,8451,8752,8451,8752,8432m8791,9166l8771,9166,8771,9185,8791,9185,8791,9166m8791,8432l8771,8432,8771,8451,8791,8451,8791,8432m8829,9166l8810,9166,8810,9185,8829,9185,8829,9166m8829,8432l8810,8432,8810,8451,8829,8451,8829,8432m8867,9166l8848,9166,8848,9185,8867,9185,8867,9166m8867,8432l8848,8432,8848,8451,8867,8451,8867,8432m8905,9166l8886,9166,8886,9185,8905,9185,8905,9166m8905,8432l8886,8432,8886,8451,8905,8451,8905,8432m8944,9166l8925,9166,8925,9185,8944,9185,8944,9166m8944,8432l8925,8432,8925,8451,8944,8451,8944,8432m8982,9166l8963,9166,8963,9185,8982,9185,8982,9166m8982,8432l8963,8432,8963,8451,8982,8451,8982,8432e" filled="true" fillcolor="#000000" stroked="false">
              <v:path arrowok="t"/>
              <v:fill type="solid"/>
            </v:shape>
            <v:shape style="position:absolute;left:3339;top:3369;width:1230;height:368" type="#_x0000_t202" filled="false" stroked="false">
              <v:textbox inset="0,0,0,0">
                <w:txbxContent>
                  <w:p>
                    <w:pPr>
                      <w:spacing w:before="59"/>
                      <w:ind w:left="166" w:right="0" w:firstLine="0"/>
                      <w:jc w:val="left"/>
                      <w:rPr>
                        <w:b/>
                        <w:sz w:val="15"/>
                      </w:rPr>
                    </w:pPr>
                    <w:r>
                      <w:rPr>
                        <w:b/>
                        <w:sz w:val="15"/>
                      </w:rPr>
                      <w:t>ETAPAS I - II</w:t>
                    </w:r>
                  </w:p>
                </w:txbxContent>
              </v:textbox>
              <w10:wrap type="none"/>
            </v:shape>
            <v:shape style="position:absolute;left:6234;top:4398;width:1845;height:1072" type="#_x0000_t202" filled="false" stroked="false">
              <v:textbox inset="0,0,0,0">
                <w:txbxContent>
                  <w:p>
                    <w:pPr>
                      <w:spacing w:line="249" w:lineRule="auto" w:before="53"/>
                      <w:ind w:left="124" w:right="88" w:firstLine="3"/>
                      <w:jc w:val="center"/>
                      <w:rPr>
                        <w:b/>
                        <w:sz w:val="13"/>
                      </w:rPr>
                    </w:pPr>
                    <w:r>
                      <w:rPr>
                        <w:b/>
                        <w:sz w:val="13"/>
                      </w:rPr>
                      <w:t>Escenario contextual (Estado actual del medio ambiente: 18 variables biofísicas,</w:t>
                    </w:r>
                    <w:r>
                      <w:rPr>
                        <w:b/>
                        <w:spacing w:val="-26"/>
                        <w:sz w:val="13"/>
                      </w:rPr>
                      <w:t> </w:t>
                    </w:r>
                    <w:r>
                      <w:rPr>
                        <w:b/>
                        <w:sz w:val="13"/>
                      </w:rPr>
                      <w:t>de</w:t>
                    </w:r>
                    <w:r>
                      <w:rPr>
                        <w:b/>
                        <w:spacing w:val="-21"/>
                        <w:sz w:val="13"/>
                      </w:rPr>
                      <w:t> </w:t>
                    </w:r>
                    <w:r>
                      <w:rPr>
                        <w:b/>
                        <w:sz w:val="13"/>
                      </w:rPr>
                      <w:t>modificación antropogénica y socioeconómicas)</w:t>
                    </w:r>
                  </w:p>
                </w:txbxContent>
              </v:textbox>
              <w10:wrap type="none"/>
            </v:shape>
            <v:shape style="position:absolute;left:6234;top:5469;width:1845;height:605" type="#_x0000_t202" filled="false" stroked="false">
              <v:textbox inset="0,0,0,0">
                <w:txbxContent>
                  <w:p>
                    <w:pPr>
                      <w:spacing w:line="249" w:lineRule="auto" w:before="84"/>
                      <w:ind w:left="235" w:right="199" w:firstLine="3"/>
                      <w:jc w:val="center"/>
                      <w:rPr>
                        <w:b/>
                        <w:sz w:val="13"/>
                      </w:rPr>
                    </w:pPr>
                    <w:r>
                      <w:rPr>
                        <w:b/>
                        <w:sz w:val="13"/>
                      </w:rPr>
                      <w:t>Talleres regionales: Análisis</w:t>
                    </w:r>
                    <w:r>
                      <w:rPr>
                        <w:b/>
                        <w:spacing w:val="-18"/>
                        <w:sz w:val="13"/>
                      </w:rPr>
                      <w:t> </w:t>
                    </w:r>
                    <w:r>
                      <w:rPr>
                        <w:b/>
                        <w:sz w:val="13"/>
                      </w:rPr>
                      <w:t>de</w:t>
                    </w:r>
                    <w:r>
                      <w:rPr>
                        <w:b/>
                        <w:spacing w:val="-14"/>
                        <w:sz w:val="13"/>
                      </w:rPr>
                      <w:t> </w:t>
                    </w:r>
                    <w:r>
                      <w:rPr>
                        <w:b/>
                        <w:sz w:val="13"/>
                      </w:rPr>
                      <w:t>conflictos</w:t>
                    </w:r>
                    <w:r>
                      <w:rPr>
                        <w:b/>
                        <w:spacing w:val="-18"/>
                        <w:sz w:val="13"/>
                      </w:rPr>
                      <w:t> </w:t>
                    </w:r>
                    <w:r>
                      <w:rPr>
                        <w:b/>
                        <w:sz w:val="13"/>
                      </w:rPr>
                      <w:t>y </w:t>
                    </w:r>
                    <w:r>
                      <w:rPr>
                        <w:b/>
                        <w:spacing w:val="-1"/>
                        <w:w w:val="95"/>
                        <w:sz w:val="13"/>
                      </w:rPr>
                      <w:t>sinergias</w:t>
                    </w:r>
                    <w:r>
                      <w:rPr>
                        <w:b/>
                        <w:spacing w:val="26"/>
                        <w:w w:val="95"/>
                        <w:sz w:val="13"/>
                      </w:rPr>
                      <w:t> </w:t>
                    </w:r>
                    <w:r>
                      <w:rPr>
                        <w:b/>
                        <w:w w:val="95"/>
                        <w:sz w:val="13"/>
                      </w:rPr>
                      <w:t>sectoriales</w:t>
                    </w:r>
                  </w:p>
                </w:txbxContent>
              </v:textbox>
              <w10:wrap type="none"/>
            </v:shape>
            <v:shape style="position:absolute;left:7607;top:6074;width:472;height:278" type="#_x0000_t202" filled="false" stroked="false">
              <v:textbox inset="0,0,0,0">
                <w:txbxContent>
                  <w:p>
                    <w:pPr>
                      <w:spacing w:line="240" w:lineRule="auto" w:before="7"/>
                      <w:rPr>
                        <w:sz w:val="8"/>
                      </w:rPr>
                    </w:pPr>
                  </w:p>
                  <w:p>
                    <w:pPr>
                      <w:spacing w:before="0"/>
                      <w:ind w:left="106" w:right="0" w:firstLine="0"/>
                      <w:jc w:val="left"/>
                      <w:rPr>
                        <w:b/>
                        <w:sz w:val="10"/>
                      </w:rPr>
                    </w:pPr>
                    <w:r>
                      <w:rPr>
                        <w:b/>
                        <w:sz w:val="10"/>
                      </w:rPr>
                      <w:t>2008</w:t>
                    </w:r>
                  </w:p>
                </w:txbxContent>
              </v:textbox>
              <w10:wrap type="none"/>
            </v:shape>
            <v:shape style="position:absolute;left:4352;top:5943;width:1666;height:574" type="#_x0000_t202" filled="false" stroked="false">
              <v:textbox inset="0,0,0,0">
                <w:txbxContent>
                  <w:p>
                    <w:pPr>
                      <w:spacing w:line="249" w:lineRule="auto" w:before="54"/>
                      <w:ind w:left="187" w:right="251" w:firstLine="0"/>
                      <w:jc w:val="center"/>
                      <w:rPr>
                        <w:b/>
                        <w:sz w:val="13"/>
                      </w:rPr>
                    </w:pPr>
                    <w:r>
                      <w:rPr>
                        <w:b/>
                        <w:w w:val="95"/>
                        <w:sz w:val="13"/>
                      </w:rPr>
                      <w:t>Talleres sectoriales: </w:t>
                    </w:r>
                    <w:r>
                      <w:rPr>
                        <w:b/>
                        <w:sz w:val="13"/>
                      </w:rPr>
                      <w:t>Áreas de interés sectorial</w:t>
                    </w:r>
                  </w:p>
                </w:txbxContent>
              </v:textbox>
              <w10:wrap type="none"/>
            </v:shape>
            <v:shape style="position:absolute;left:4352;top:7265;width:1666;height:263" type="#_x0000_t202" filled="false" stroked="false">
              <v:textbox inset="0,0,0,0">
                <w:txbxContent>
                  <w:p>
                    <w:pPr>
                      <w:spacing w:before="54"/>
                      <w:ind w:left="292" w:right="0" w:firstLine="0"/>
                      <w:jc w:val="left"/>
                      <w:rPr>
                        <w:b/>
                        <w:sz w:val="13"/>
                      </w:rPr>
                    </w:pPr>
                    <w:r>
                      <w:rPr>
                        <w:b/>
                        <w:w w:val="95"/>
                        <w:sz w:val="13"/>
                      </w:rPr>
                      <w:t>Aptitud sectorial</w:t>
                    </w:r>
                  </w:p>
                </w:txbxContent>
              </v:textbox>
              <w10:wrap type="none"/>
            </v:shape>
            <v:shape style="position:absolute;left:3664;top:2898;width:5282;height:156" type="#_x0000_t202" filled="false" stroked="false">
              <v:textbox inset="0,0,0,0">
                <w:txbxContent>
                  <w:p>
                    <w:pPr>
                      <w:tabs>
                        <w:tab w:pos="396" w:val="left" w:leader="none"/>
                        <w:tab w:pos="5280" w:val="left" w:leader="none"/>
                      </w:tabs>
                      <w:spacing w:line="156" w:lineRule="exact" w:before="0"/>
                      <w:ind w:left="0" w:right="0" w:firstLine="0"/>
                      <w:jc w:val="left"/>
                      <w:rPr>
                        <w:b/>
                        <w:sz w:val="15"/>
                      </w:rPr>
                    </w:pPr>
                    <w:r>
                      <w:rPr>
                        <w:b/>
                        <w:color w:val="FFFFFF"/>
                        <w:w w:val="102"/>
                        <w:sz w:val="15"/>
                        <w:shd w:fill="585858" w:color="auto" w:val="clear"/>
                      </w:rPr>
                      <w:t> </w:t>
                    </w:r>
                    <w:r>
                      <w:rPr>
                        <w:b/>
                        <w:color w:val="FFFFFF"/>
                        <w:sz w:val="15"/>
                        <w:shd w:fill="585858" w:color="auto" w:val="clear"/>
                      </w:rPr>
                      <w:tab/>
                      <w:t>FLUJOGRAMA DEL PROCESO  METODOLÓGICO  DEL</w:t>
                    </w:r>
                    <w:r>
                      <w:rPr>
                        <w:b/>
                        <w:color w:val="FFFFFF"/>
                        <w:spacing w:val="15"/>
                        <w:sz w:val="15"/>
                        <w:shd w:fill="585858" w:color="auto" w:val="clear"/>
                      </w:rPr>
                      <w:t> </w:t>
                    </w:r>
                    <w:r>
                      <w:rPr>
                        <w:b/>
                        <w:color w:val="FFFFFF"/>
                        <w:sz w:val="15"/>
                        <w:shd w:fill="585858" w:color="auto" w:val="clear"/>
                      </w:rPr>
                      <w:t>POEGT</w:t>
                      <w:tab/>
                    </w:r>
                  </w:p>
                </w:txbxContent>
              </v:textbox>
              <w10:wrap type="none"/>
            </v:shape>
            <v:shape style="position:absolute;left:6523;top:3369;width:1230;height:294" type="#_x0000_t202" filled="true" fillcolor="#d9d9d9" stroked="true" strokeweight=".647689pt" strokecolor="#000000">
              <v:textbox inset="0,0,0,0">
                <w:txbxContent>
                  <w:p>
                    <w:pPr>
                      <w:spacing w:before="52"/>
                      <w:ind w:left="231" w:right="0" w:firstLine="0"/>
                      <w:jc w:val="left"/>
                      <w:rPr>
                        <w:b/>
                        <w:sz w:val="15"/>
                      </w:rPr>
                    </w:pPr>
                    <w:r>
                      <w:rPr>
                        <w:b/>
                        <w:sz w:val="15"/>
                      </w:rPr>
                      <w:t>ETAPAS III</w:t>
                    </w:r>
                  </w:p>
                </w:txbxContent>
              </v:textbox>
              <v:fill type="solid"/>
              <w10:wrap type="none"/>
            </v:shape>
            <v:shape style="position:absolute;left:9127;top:3369;width:1230;height:294" type="#_x0000_t202" filled="true" fillcolor="#f1f1f1" stroked="true" strokeweight=".647689pt" strokecolor="#000000">
              <v:textbox inset="0,0,0,0">
                <w:txbxContent>
                  <w:p>
                    <w:pPr>
                      <w:spacing w:before="52"/>
                      <w:ind w:left="220" w:right="0" w:firstLine="0"/>
                      <w:jc w:val="left"/>
                      <w:rPr>
                        <w:b/>
                        <w:sz w:val="15"/>
                      </w:rPr>
                    </w:pPr>
                    <w:r>
                      <w:rPr>
                        <w:b/>
                        <w:sz w:val="15"/>
                      </w:rPr>
                      <w:t>ETAPAS IV</w:t>
                    </w:r>
                  </w:p>
                </w:txbxContent>
              </v:textbox>
              <v:fill type="solid"/>
              <w10:wrap type="none"/>
            </v:shape>
            <v:shape style="position:absolute;left:4280;top:3885;width:1664;height:419" type="#_x0000_t202" filled="true" fillcolor="#a6a6a6" stroked="true" strokeweight=".647634pt" strokecolor="#000000">
              <v:textbox inset="0,0,0,0">
                <w:txbxContent>
                  <w:p>
                    <w:pPr>
                      <w:spacing w:line="249" w:lineRule="auto" w:before="46"/>
                      <w:ind w:left="454" w:right="0" w:hanging="80"/>
                      <w:jc w:val="left"/>
                      <w:rPr>
                        <w:b/>
                        <w:i/>
                        <w:sz w:val="13"/>
                      </w:rPr>
                    </w:pPr>
                    <w:r>
                      <w:rPr>
                        <w:b/>
                        <w:i/>
                        <w:w w:val="95"/>
                        <w:sz w:val="13"/>
                      </w:rPr>
                      <w:t>DIAGNÓSTICO </w:t>
                    </w:r>
                    <w:r>
                      <w:rPr>
                        <w:b/>
                        <w:i/>
                        <w:sz w:val="13"/>
                      </w:rPr>
                      <w:t>SECTORIAL</w:t>
                    </w:r>
                  </w:p>
                </w:txbxContent>
              </v:textbox>
              <v:fill type="solid"/>
              <w10:wrap type="none"/>
            </v:shape>
            <v:shape style="position:absolute;left:6161;top:3885;width:1954;height:263" type="#_x0000_t202" filled="true" fillcolor="#d9d9d9" stroked="true" strokeweight=".648048pt" strokecolor="#000000">
              <v:textbox inset="0,0,0,0">
                <w:txbxContent>
                  <w:p>
                    <w:pPr>
                      <w:spacing w:before="46"/>
                      <w:ind w:left="541" w:right="0" w:firstLine="0"/>
                      <w:jc w:val="left"/>
                      <w:rPr>
                        <w:b/>
                        <w:i/>
                        <w:sz w:val="13"/>
                      </w:rPr>
                    </w:pPr>
                    <w:r>
                      <w:rPr>
                        <w:b/>
                        <w:i/>
                        <w:sz w:val="13"/>
                      </w:rPr>
                      <w:t>PRONÓSTICO</w:t>
                    </w:r>
                  </w:p>
                </w:txbxContent>
              </v:textbox>
              <v:fill type="solid"/>
              <w10:wrap type="none"/>
            </v:shape>
            <v:shape style="position:absolute;left:4352;top:4471;width:1520;height:419" type="#_x0000_t202" filled="true" fillcolor="#a6a6a6" stroked="true" strokeweight=".647525pt" strokecolor="#000000">
              <v:textbox inset="0,0,0,0">
                <w:txbxContent>
                  <w:p>
                    <w:pPr>
                      <w:spacing w:line="249" w:lineRule="auto" w:before="46"/>
                      <w:ind w:left="187" w:right="0" w:hanging="16"/>
                      <w:jc w:val="left"/>
                      <w:rPr>
                        <w:b/>
                        <w:sz w:val="13"/>
                      </w:rPr>
                    </w:pPr>
                    <w:r>
                      <w:rPr>
                        <w:b/>
                        <w:sz w:val="13"/>
                      </w:rPr>
                      <w:t>Entrevistas con los sectores de la APF</w:t>
                    </w:r>
                  </w:p>
                </w:txbxContent>
              </v:textbox>
              <v:fill type="solid"/>
              <w10:wrap type="none"/>
            </v:shape>
            <v:shape style="position:absolute;left:4352;top:5134;width:1592;height:574" type="#_x0000_t202" filled="true" fillcolor="#a6a6a6" stroked="true" strokeweight=".64708pt" strokecolor="#000000">
              <v:textbox inset="0,0,0,0">
                <w:txbxContent>
                  <w:p>
                    <w:pPr>
                      <w:spacing w:line="249" w:lineRule="auto" w:before="47"/>
                      <w:ind w:left="98" w:right="88" w:hanging="5"/>
                      <w:jc w:val="center"/>
                      <w:rPr>
                        <w:b/>
                        <w:sz w:val="13"/>
                      </w:rPr>
                    </w:pPr>
                    <w:r>
                      <w:rPr>
                        <w:b/>
                        <w:sz w:val="13"/>
                      </w:rPr>
                      <w:t>Políticas públicas (programas,</w:t>
                    </w:r>
                    <w:r>
                      <w:rPr>
                        <w:b/>
                        <w:spacing w:val="-23"/>
                        <w:sz w:val="13"/>
                      </w:rPr>
                      <w:t> </w:t>
                    </w:r>
                    <w:r>
                      <w:rPr>
                        <w:b/>
                        <w:sz w:val="13"/>
                      </w:rPr>
                      <w:t>proyectos y</w:t>
                    </w:r>
                    <w:r>
                      <w:rPr>
                        <w:b/>
                        <w:spacing w:val="-11"/>
                        <w:sz w:val="13"/>
                      </w:rPr>
                      <w:t> </w:t>
                    </w:r>
                    <w:r>
                      <w:rPr>
                        <w:b/>
                        <w:sz w:val="13"/>
                      </w:rPr>
                      <w:t>acciones</w:t>
                    </w:r>
                    <w:r>
                      <w:rPr>
                        <w:b/>
                        <w:spacing w:val="-11"/>
                        <w:sz w:val="13"/>
                      </w:rPr>
                      <w:t> </w:t>
                    </w:r>
                    <w:r>
                      <w:rPr>
                        <w:b/>
                        <w:sz w:val="13"/>
                      </w:rPr>
                      <w:t>de</w:t>
                    </w:r>
                    <w:r>
                      <w:rPr>
                        <w:b/>
                        <w:spacing w:val="-8"/>
                        <w:sz w:val="13"/>
                      </w:rPr>
                      <w:t> </w:t>
                    </w:r>
                    <w:r>
                      <w:rPr>
                        <w:b/>
                        <w:sz w:val="13"/>
                      </w:rPr>
                      <w:t>la</w:t>
                    </w:r>
                    <w:r>
                      <w:rPr>
                        <w:b/>
                        <w:spacing w:val="-8"/>
                        <w:sz w:val="13"/>
                      </w:rPr>
                      <w:t> </w:t>
                    </w:r>
                    <w:r>
                      <w:rPr>
                        <w:b/>
                        <w:sz w:val="13"/>
                      </w:rPr>
                      <w:t>APF)</w:t>
                    </w:r>
                  </w:p>
                </w:txbxContent>
              </v:textbox>
              <v:fill type="solid"/>
              <w10:wrap type="none"/>
            </v:shape>
            <v:shape style="position:absolute;left:6377;top:6309;width:1013;height:419" type="#_x0000_t202" filled="true" fillcolor="#d9d9d9" stroked="true" strokeweight=".646774pt" strokecolor="#000000">
              <v:textbox inset="0,0,0,0">
                <w:txbxContent>
                  <w:p>
                    <w:pPr>
                      <w:spacing w:line="249" w:lineRule="auto" w:before="47"/>
                      <w:ind w:left="112" w:right="0" w:firstLine="45"/>
                      <w:jc w:val="left"/>
                      <w:rPr>
                        <w:b/>
                        <w:sz w:val="13"/>
                      </w:rPr>
                    </w:pPr>
                    <w:r>
                      <w:rPr>
                        <w:b/>
                        <w:sz w:val="13"/>
                      </w:rPr>
                      <w:t>Escenarios </w:t>
                    </w:r>
                    <w:r>
                      <w:rPr>
                        <w:b/>
                        <w:w w:val="95"/>
                        <w:sz w:val="13"/>
                      </w:rPr>
                      <w:t>tendenciales</w:t>
                    </w:r>
                  </w:p>
                </w:txbxContent>
              </v:textbox>
              <v:fill type="solid"/>
              <w10:wrap type="none"/>
            </v:shape>
            <v:shape style="position:absolute;left:7607;top:6456;width:434;height:232" type="#_x0000_t202" filled="true" fillcolor="#d9d9d9" stroked="true" strokeweight=".646008pt" strokecolor="#000000">
              <v:textbox inset="0,0,0,0">
                <w:txbxContent>
                  <w:p>
                    <w:pPr>
                      <w:spacing w:before="47"/>
                      <w:ind w:left="100" w:right="0" w:firstLine="0"/>
                      <w:jc w:val="left"/>
                      <w:rPr>
                        <w:b/>
                        <w:sz w:val="10"/>
                      </w:rPr>
                    </w:pPr>
                    <w:r>
                      <w:rPr>
                        <w:b/>
                        <w:sz w:val="10"/>
                      </w:rPr>
                      <w:t>2012</w:t>
                    </w:r>
                  </w:p>
                </w:txbxContent>
              </v:textbox>
              <v:fill type="solid"/>
              <w10:wrap type="none"/>
            </v:shape>
            <v:shape style="position:absolute;left:4352;top:6604;width:1592;height:419" type="#_x0000_t202" filled="false" stroked="true" strokeweight=".647583pt" strokecolor="#000000">
              <v:textbox inset="0,0,0,0">
                <w:txbxContent>
                  <w:p>
                    <w:pPr>
                      <w:spacing w:line="249" w:lineRule="auto" w:before="47"/>
                      <w:ind w:left="454" w:right="90" w:hanging="338"/>
                      <w:jc w:val="left"/>
                      <w:rPr>
                        <w:b/>
                        <w:sz w:val="13"/>
                      </w:rPr>
                    </w:pPr>
                    <w:r>
                      <w:rPr>
                        <w:b/>
                        <w:sz w:val="13"/>
                      </w:rPr>
                      <w:t>Atributos ambientales sectoriales</w:t>
                    </w:r>
                  </w:p>
                </w:txbxContent>
              </v:textbox>
              <w10:wrap type="none"/>
            </v:shape>
            <v:shape style="position:absolute;left:7607;top:6824;width:434;height:232" type="#_x0000_t202" filled="true" fillcolor="#d9d9d9" stroked="true" strokeweight=".646008pt" strokecolor="#000000">
              <v:textbox inset="0,0,0,0">
                <w:txbxContent>
                  <w:p>
                    <w:pPr>
                      <w:spacing w:before="47"/>
                      <w:ind w:left="100" w:right="0" w:firstLine="0"/>
                      <w:jc w:val="left"/>
                      <w:rPr>
                        <w:b/>
                        <w:sz w:val="10"/>
                      </w:rPr>
                    </w:pPr>
                    <w:r>
                      <w:rPr>
                        <w:b/>
                        <w:sz w:val="10"/>
                      </w:rPr>
                      <w:t>2023</w:t>
                    </w:r>
                  </w:p>
                </w:txbxContent>
              </v:textbox>
              <v:fill type="solid"/>
              <w10:wrap type="none"/>
            </v:shape>
            <v:shape style="position:absolute;left:7607;top:7192;width:434;height:232" type="#_x0000_t202" filled="true" fillcolor="#d9d9d9" stroked="true" strokeweight=".646008pt" strokecolor="#000000">
              <v:textbox inset="0,0,0,0">
                <w:txbxContent>
                  <w:p>
                    <w:pPr>
                      <w:spacing w:before="48"/>
                      <w:ind w:left="100" w:right="0" w:firstLine="0"/>
                      <w:jc w:val="left"/>
                      <w:rPr>
                        <w:b/>
                        <w:sz w:val="10"/>
                      </w:rPr>
                    </w:pPr>
                    <w:r>
                      <w:rPr>
                        <w:b/>
                        <w:sz w:val="10"/>
                      </w:rPr>
                      <w:t>2033</w:t>
                    </w:r>
                  </w:p>
                </w:txbxContent>
              </v:textbox>
              <v:fill type="solid"/>
              <w10:wrap type="none"/>
            </v:shape>
            <v:shape style="position:absolute;left:6234;top:7558;width:1809;height:419" type="#_x0000_t202" filled="true" fillcolor="#d9d9d9" stroked="true" strokeweight=".647720pt" strokecolor="#000000">
              <v:textbox inset="0,0,0,0">
                <w:txbxContent>
                  <w:p>
                    <w:pPr>
                      <w:spacing w:line="249" w:lineRule="auto" w:before="47"/>
                      <w:ind w:left="102" w:right="0" w:firstLine="134"/>
                      <w:jc w:val="left"/>
                      <w:rPr>
                        <w:b/>
                        <w:sz w:val="13"/>
                      </w:rPr>
                    </w:pPr>
                    <w:r>
                      <w:rPr>
                        <w:b/>
                        <w:sz w:val="13"/>
                      </w:rPr>
                      <w:t>Escenario estratégico </w:t>
                    </w:r>
                    <w:r>
                      <w:rPr>
                        <w:b/>
                        <w:w w:val="95"/>
                        <w:sz w:val="13"/>
                      </w:rPr>
                      <w:t>(Políticas ambientales: 18)</w:t>
                    </w:r>
                  </w:p>
                </w:txbxContent>
              </v:textbox>
              <v:fill type="solid"/>
              <w10:wrap type="none"/>
            </v:shape>
            <v:shape style="position:absolute;left:1892;top:3885;width:2099;height:419" type="#_x0000_t202" filled="true" fillcolor="#a6a6a6" stroked="true" strokeweight=".647845pt" strokecolor="#000000">
              <v:textbox inset="0,0,0,0">
                <w:txbxContent>
                  <w:p>
                    <w:pPr>
                      <w:spacing w:line="249" w:lineRule="auto" w:before="46"/>
                      <w:ind w:left="147" w:right="0" w:firstLine="214"/>
                      <w:jc w:val="left"/>
                      <w:rPr>
                        <w:b/>
                        <w:i/>
                        <w:sz w:val="13"/>
                      </w:rPr>
                    </w:pPr>
                    <w:r>
                      <w:rPr>
                        <w:b/>
                        <w:i/>
                        <w:sz w:val="13"/>
                      </w:rPr>
                      <w:t>CARACTERIZACIÓN Y </w:t>
                    </w:r>
                    <w:r>
                      <w:rPr>
                        <w:b/>
                        <w:i/>
                        <w:w w:val="95"/>
                        <w:sz w:val="13"/>
                      </w:rPr>
                      <w:t>DIAGNÓSTICO  TERRITORIAL</w:t>
                    </w:r>
                  </w:p>
                </w:txbxContent>
              </v:textbox>
              <v:fill type="solid"/>
              <w10:wrap type="none"/>
            </v:shape>
            <v:shape style="position:absolute;left:8910;top:3885;width:1664;height:263" type="#_x0000_t202" filled="true" fillcolor="#f1f1f1" stroked="true" strokeweight=".647983pt" strokecolor="#000000">
              <v:textbox inset="0,0,0,0">
                <w:txbxContent>
                  <w:p>
                    <w:pPr>
                      <w:spacing w:before="46"/>
                      <w:ind w:left="131" w:right="0" w:firstLine="0"/>
                      <w:jc w:val="left"/>
                      <w:rPr>
                        <w:b/>
                        <w:i/>
                        <w:sz w:val="13"/>
                      </w:rPr>
                    </w:pPr>
                    <w:r>
                      <w:rPr>
                        <w:b/>
                        <w:i/>
                        <w:w w:val="95"/>
                        <w:sz w:val="13"/>
                      </w:rPr>
                      <w:t>PROPUESTA  (MOEGT)</w:t>
                    </w:r>
                  </w:p>
                </w:txbxContent>
              </v:textbox>
              <v:fill type="solid"/>
              <w10:wrap type="none"/>
            </v:shape>
            <v:shape style="position:absolute;left:9055;top:4325;width:1447;height:419" type="#_x0000_t202" filled="true" fillcolor="#f1f1f1" stroked="true" strokeweight=".647458pt" strokecolor="#000000">
              <v:textbox inset="0,0,0,0">
                <w:txbxContent>
                  <w:p>
                    <w:pPr>
                      <w:spacing w:line="249" w:lineRule="auto" w:before="46"/>
                      <w:ind w:left="419" w:right="84" w:hanging="249"/>
                      <w:jc w:val="left"/>
                      <w:rPr>
                        <w:b/>
                        <w:sz w:val="13"/>
                      </w:rPr>
                    </w:pPr>
                    <w:r>
                      <w:rPr>
                        <w:b/>
                        <w:sz w:val="13"/>
                      </w:rPr>
                      <w:t>Áreas de atención prioritaria</w:t>
                    </w:r>
                  </w:p>
                </w:txbxContent>
              </v:textbox>
              <v:fill type="solid"/>
              <w10:wrap type="none"/>
            </v:shape>
            <v:shape style="position:absolute;left:2038;top:4471;width:1809;height:419" type="#_x0000_t202" filled="true" fillcolor="#a6a6a6" stroked="true" strokeweight=".647720pt" strokecolor="#000000">
              <v:textbox inset="0,0,0,0">
                <w:txbxContent>
                  <w:p>
                    <w:pPr>
                      <w:spacing w:line="249" w:lineRule="auto" w:before="46"/>
                      <w:ind w:left="597" w:right="0" w:hanging="478"/>
                      <w:jc w:val="left"/>
                      <w:rPr>
                        <w:b/>
                        <w:sz w:val="13"/>
                      </w:rPr>
                    </w:pPr>
                    <w:r>
                      <w:rPr>
                        <w:b/>
                        <w:sz w:val="13"/>
                      </w:rPr>
                      <w:t>Procesos de degradación ambiental</w:t>
                    </w:r>
                  </w:p>
                </w:txbxContent>
              </v:textbox>
              <v:fill type="solid"/>
              <w10:wrap type="none"/>
            </v:shape>
            <v:shape style="position:absolute;left:9055;top:4914;width:1447;height:730" type="#_x0000_t202" filled="true" fillcolor="#f1f1f1" stroked="true" strokeweight=".646202pt" strokecolor="#000000">
              <v:textbox inset="0,0,0,0">
                <w:txbxContent>
                  <w:p>
                    <w:pPr>
                      <w:spacing w:line="249" w:lineRule="auto" w:before="47"/>
                      <w:ind w:left="192" w:right="191" w:firstLine="0"/>
                      <w:jc w:val="center"/>
                      <w:rPr>
                        <w:b/>
                        <w:sz w:val="13"/>
                      </w:rPr>
                    </w:pPr>
                    <w:r>
                      <w:rPr>
                        <w:b/>
                        <w:sz w:val="13"/>
                      </w:rPr>
                      <w:t>Aptitud sectorial predominante, secundaria y/o terciaria</w:t>
                    </w:r>
                  </w:p>
                </w:txbxContent>
              </v:textbox>
              <v:fill type="solid"/>
              <w10:wrap type="none"/>
            </v:shape>
            <v:shape style="position:absolute;left:2038;top:5134;width:1736;height:263" type="#_x0000_t202" filled="true" fillcolor="#a6a6a6" stroked="true" strokeweight=".648002pt" strokecolor="#000000">
              <v:textbox inset="0,0,0,0">
                <w:txbxContent>
                  <w:p>
                    <w:pPr>
                      <w:spacing w:before="47"/>
                      <w:ind w:left="85" w:right="0" w:firstLine="0"/>
                      <w:jc w:val="left"/>
                      <w:rPr>
                        <w:b/>
                        <w:sz w:val="13"/>
                      </w:rPr>
                    </w:pPr>
                    <w:r>
                      <w:rPr>
                        <w:b/>
                        <w:w w:val="95"/>
                        <w:sz w:val="13"/>
                      </w:rPr>
                      <w:t>Vulnerabilidad  territorial</w:t>
                    </w:r>
                  </w:p>
                </w:txbxContent>
              </v:textbox>
              <v:fill type="solid"/>
              <w10:wrap type="none"/>
            </v:shape>
            <v:shape style="position:absolute;left:2038;top:5648;width:1736;height:419" type="#_x0000_t202" filled="true" fillcolor="#a6a6a6" stroked="true" strokeweight=".647679pt" strokecolor="#000000">
              <v:textbox inset="0,0,0,0">
                <w:txbxContent>
                  <w:p>
                    <w:pPr>
                      <w:spacing w:line="249" w:lineRule="auto" w:before="47"/>
                      <w:ind w:left="205" w:right="0" w:hanging="92"/>
                      <w:jc w:val="left"/>
                      <w:rPr>
                        <w:b/>
                        <w:sz w:val="13"/>
                      </w:rPr>
                    </w:pPr>
                    <w:r>
                      <w:rPr>
                        <w:b/>
                        <w:sz w:val="13"/>
                      </w:rPr>
                      <w:t>Áreas prioritarias para la </w:t>
                    </w:r>
                    <w:r>
                      <w:rPr>
                        <w:b/>
                        <w:w w:val="95"/>
                        <w:sz w:val="13"/>
                      </w:rPr>
                      <w:t>Protección  Ambiental</w:t>
                    </w:r>
                  </w:p>
                </w:txbxContent>
              </v:textbox>
              <v:fill type="solid"/>
              <w10:wrap type="none"/>
            </v:shape>
            <v:shape style="position:absolute;left:9055;top:5818;width:1447;height:574" type="#_x0000_t202" filled="true" fillcolor="#f1f1f1" stroked="true" strokeweight=".646871pt" strokecolor="#000000">
              <v:textbox inset="0,0,0,0">
                <w:txbxContent>
                  <w:p>
                    <w:pPr>
                      <w:tabs>
                        <w:tab w:pos="1346" w:val="right" w:leader="none"/>
                      </w:tabs>
                      <w:spacing w:line="249" w:lineRule="auto" w:before="47"/>
                      <w:ind w:left="88" w:right="84" w:firstLine="140"/>
                      <w:jc w:val="left"/>
                      <w:rPr>
                        <w:b/>
                        <w:sz w:val="13"/>
                      </w:rPr>
                    </w:pPr>
                    <w:r>
                      <w:rPr>
                        <w:b/>
                        <w:sz w:val="13"/>
                      </w:rPr>
                      <w:t>Regionalización ecológica:</w:t>
                      <w:tab/>
                      <w:t>62</w:t>
                    </w:r>
                  </w:p>
                  <w:p>
                    <w:pPr>
                      <w:spacing w:before="1"/>
                      <w:ind w:left="192" w:right="189" w:firstLine="0"/>
                      <w:jc w:val="center"/>
                      <w:rPr>
                        <w:b/>
                        <w:sz w:val="13"/>
                      </w:rPr>
                    </w:pPr>
                    <w:r>
                      <w:rPr>
                        <w:b/>
                        <w:sz w:val="13"/>
                      </w:rPr>
                      <w:t>regiones</w:t>
                    </w:r>
                  </w:p>
                </w:txbxContent>
              </v:textbox>
              <v:fill type="solid"/>
              <w10:wrap type="none"/>
            </v:shape>
            <v:shape style="position:absolute;left:2038;top:6309;width:1736;height:419" type="#_x0000_t202" filled="true" fillcolor="#a6a6a6" stroked="true" strokeweight=".647679pt" strokecolor="#000000">
              <v:textbox inset="0,0,0,0">
                <w:txbxContent>
                  <w:p>
                    <w:pPr>
                      <w:spacing w:line="249" w:lineRule="auto" w:before="47"/>
                      <w:ind w:left="138" w:right="0" w:hanging="25"/>
                      <w:jc w:val="left"/>
                      <w:rPr>
                        <w:b/>
                        <w:sz w:val="13"/>
                      </w:rPr>
                    </w:pPr>
                    <w:r>
                      <w:rPr>
                        <w:b/>
                        <w:sz w:val="13"/>
                      </w:rPr>
                      <w:t>Áreas prioritarias para la </w:t>
                    </w:r>
                    <w:r>
                      <w:rPr>
                        <w:b/>
                        <w:w w:val="95"/>
                        <w:sz w:val="13"/>
                      </w:rPr>
                      <w:t>Preservación  Ambiental</w:t>
                    </w:r>
                  </w:p>
                </w:txbxContent>
              </v:textbox>
              <v:fill type="solid"/>
              <w10:wrap type="none"/>
            </v:shape>
            <v:shape style="position:absolute;left:9055;top:6529;width:1447;height:419" type="#_x0000_t202" filled="true" fillcolor="#f1f1f1" stroked="true" strokeweight=".647458pt" strokecolor="#000000">
              <v:textbox inset="0,0,0,0">
                <w:txbxContent>
                  <w:p>
                    <w:pPr>
                      <w:spacing w:line="249" w:lineRule="auto" w:before="47"/>
                      <w:ind w:left="456" w:right="84" w:hanging="230"/>
                      <w:jc w:val="left"/>
                      <w:rPr>
                        <w:b/>
                        <w:sz w:val="13"/>
                      </w:rPr>
                    </w:pPr>
                    <w:r>
                      <w:rPr>
                        <w:b/>
                        <w:sz w:val="13"/>
                      </w:rPr>
                      <w:t>Áreas de interés sectorial</w:t>
                    </w:r>
                  </w:p>
                </w:txbxContent>
              </v:textbox>
              <v:fill type="solid"/>
              <w10:wrap type="none"/>
            </v:shape>
            <v:shape style="position:absolute;left:2038;top:6972;width:1736;height:419" type="#_x0000_t202" filled="true" fillcolor="#a6a6a6" stroked="true" strokeweight=".647679pt" strokecolor="#000000">
              <v:textbox inset="0,0,0,0">
                <w:txbxContent>
                  <w:p>
                    <w:pPr>
                      <w:spacing w:line="249" w:lineRule="auto" w:before="47"/>
                      <w:ind w:left="132" w:right="0" w:hanging="19"/>
                      <w:jc w:val="left"/>
                      <w:rPr>
                        <w:b/>
                        <w:sz w:val="13"/>
                      </w:rPr>
                    </w:pPr>
                    <w:r>
                      <w:rPr>
                        <w:b/>
                        <w:sz w:val="13"/>
                      </w:rPr>
                      <w:t>Áreas prioritarias para la </w:t>
                    </w:r>
                    <w:r>
                      <w:rPr>
                        <w:b/>
                        <w:w w:val="95"/>
                        <w:sz w:val="13"/>
                      </w:rPr>
                      <w:t>Restauración  Ambiental</w:t>
                    </w:r>
                  </w:p>
                </w:txbxContent>
              </v:textbox>
              <v:fill type="solid"/>
              <w10:wrap type="none"/>
            </v:shape>
            <v:shape style="position:absolute;left:2038;top:7633;width:1736;height:574" type="#_x0000_t202" filled="true" fillcolor="#a6a6a6" stroked="true" strokeweight=".647244pt" strokecolor="#000000">
              <v:textbox inset="0,0,0,0">
                <w:txbxContent>
                  <w:p>
                    <w:pPr>
                      <w:spacing w:line="249" w:lineRule="auto" w:before="48"/>
                      <w:ind w:left="285" w:right="286" w:firstLine="1"/>
                      <w:jc w:val="center"/>
                      <w:rPr>
                        <w:b/>
                        <w:sz w:val="13"/>
                      </w:rPr>
                    </w:pPr>
                    <w:r>
                      <w:rPr>
                        <w:b/>
                        <w:sz w:val="13"/>
                      </w:rPr>
                      <w:t>Regionalización ambiental</w:t>
                    </w:r>
                    <w:r>
                      <w:rPr>
                        <w:b/>
                        <w:spacing w:val="-27"/>
                        <w:sz w:val="13"/>
                      </w:rPr>
                      <w:t> </w:t>
                    </w:r>
                    <w:r>
                      <w:rPr>
                        <w:b/>
                        <w:sz w:val="13"/>
                      </w:rPr>
                      <w:t>biofísica (145</w:t>
                    </w:r>
                    <w:r>
                      <w:rPr>
                        <w:b/>
                        <w:spacing w:val="-15"/>
                        <w:sz w:val="13"/>
                      </w:rPr>
                      <w:t> </w:t>
                    </w:r>
                    <w:r>
                      <w:rPr>
                        <w:b/>
                        <w:spacing w:val="-3"/>
                        <w:sz w:val="13"/>
                      </w:rPr>
                      <w:t>UAB)</w:t>
                    </w:r>
                  </w:p>
                </w:txbxContent>
              </v:textbox>
              <v:fill type="solid"/>
              <w10:wrap type="none"/>
            </v:shape>
            <v:shape style="position:absolute;left:8982;top:7926;width:1666;height:853" type="#_x0000_t202" filled="true" fillcolor="#f1f1f1" stroked="true" strokeweight=".646152pt" strokecolor="#000000">
              <v:textbox inset="0,0,0,0">
                <w:txbxContent>
                  <w:p>
                    <w:pPr>
                      <w:spacing w:line="259" w:lineRule="auto" w:before="54"/>
                      <w:ind w:left="187" w:right="186" w:firstLine="0"/>
                      <w:jc w:val="center"/>
                      <w:rPr>
                        <w:b/>
                        <w:sz w:val="15"/>
                      </w:rPr>
                    </w:pPr>
                    <w:r>
                      <w:rPr>
                        <w:b/>
                        <w:sz w:val="15"/>
                      </w:rPr>
                      <w:t>Propuesta de actividades sectoriales (MOEGT)</w:t>
                    </w:r>
                  </w:p>
                </w:txbxContent>
              </v:textbox>
              <v:fill type="solid"/>
              <w10:wrap type="none"/>
            </v:shape>
            <v:shape style="position:absolute;left:6017;top:8221;width:2533;height:1417" type="#_x0000_t202" filled="true" fillcolor="#f1f1f1" stroked="true" strokeweight=".968767pt" strokecolor="#000000">
              <v:textbox inset="0,0,0,0">
                <w:txbxContent>
                  <w:p>
                    <w:pPr>
                      <w:spacing w:before="45"/>
                      <w:ind w:left="179" w:right="176" w:firstLine="0"/>
                      <w:jc w:val="center"/>
                      <w:rPr>
                        <w:b/>
                        <w:sz w:val="13"/>
                      </w:rPr>
                    </w:pPr>
                    <w:r>
                      <w:rPr>
                        <w:b/>
                        <w:sz w:val="13"/>
                      </w:rPr>
                      <w:t>ETAPA DE VALIDACIÓN: Consulta</w:t>
                    </w:r>
                  </w:p>
                  <w:p>
                    <w:pPr>
                      <w:spacing w:line="242" w:lineRule="auto" w:before="6"/>
                      <w:ind w:left="313" w:right="310" w:hanging="3"/>
                      <w:jc w:val="center"/>
                      <w:rPr>
                        <w:b/>
                        <w:sz w:val="12"/>
                      </w:rPr>
                    </w:pPr>
                    <w:r>
                      <w:rPr>
                        <w:b/>
                        <w:sz w:val="13"/>
                      </w:rPr>
                      <w:t>pública</w:t>
                    </w:r>
                    <w:r>
                      <w:rPr>
                        <w:b/>
                        <w:spacing w:val="-18"/>
                        <w:sz w:val="13"/>
                      </w:rPr>
                      <w:t> </w:t>
                    </w:r>
                    <w:r>
                      <w:rPr>
                        <w:b/>
                        <w:sz w:val="13"/>
                      </w:rPr>
                      <w:t>y</w:t>
                    </w:r>
                    <w:r>
                      <w:rPr>
                        <w:b/>
                        <w:spacing w:val="-11"/>
                        <w:sz w:val="13"/>
                      </w:rPr>
                      <w:t> </w:t>
                    </w:r>
                    <w:r>
                      <w:rPr>
                        <w:b/>
                        <w:sz w:val="13"/>
                      </w:rPr>
                      <w:t>Talleres</w:t>
                    </w:r>
                    <w:r>
                      <w:rPr>
                        <w:b/>
                        <w:spacing w:val="-16"/>
                        <w:sz w:val="13"/>
                      </w:rPr>
                      <w:t> </w:t>
                    </w:r>
                    <w:r>
                      <w:rPr>
                        <w:b/>
                        <w:sz w:val="13"/>
                      </w:rPr>
                      <w:t>de</w:t>
                    </w:r>
                    <w:r>
                      <w:rPr>
                        <w:b/>
                        <w:spacing w:val="-11"/>
                        <w:sz w:val="13"/>
                      </w:rPr>
                      <w:t> </w:t>
                    </w:r>
                    <w:r>
                      <w:rPr>
                        <w:b/>
                        <w:sz w:val="13"/>
                      </w:rPr>
                      <w:t>Consulta: </w:t>
                    </w:r>
                    <w:r>
                      <w:rPr>
                        <w:b/>
                        <w:w w:val="95"/>
                        <w:sz w:val="12"/>
                      </w:rPr>
                      <w:t>Grupo Intersecretarial (19.06.2009) </w:t>
                    </w:r>
                    <w:r>
                      <w:rPr>
                        <w:b/>
                        <w:sz w:val="12"/>
                      </w:rPr>
                      <w:t>Taller</w:t>
                    </w:r>
                    <w:r>
                      <w:rPr>
                        <w:b/>
                        <w:spacing w:val="-25"/>
                        <w:sz w:val="12"/>
                      </w:rPr>
                      <w:t> </w:t>
                    </w:r>
                    <w:r>
                      <w:rPr>
                        <w:b/>
                        <w:sz w:val="12"/>
                      </w:rPr>
                      <w:t>de</w:t>
                    </w:r>
                    <w:r>
                      <w:rPr>
                        <w:b/>
                        <w:spacing w:val="-21"/>
                        <w:sz w:val="12"/>
                      </w:rPr>
                      <w:t> </w:t>
                    </w:r>
                    <w:r>
                      <w:rPr>
                        <w:b/>
                        <w:sz w:val="12"/>
                      </w:rPr>
                      <w:t>Guadalajara</w:t>
                    </w:r>
                    <w:r>
                      <w:rPr>
                        <w:b/>
                        <w:spacing w:val="-26"/>
                        <w:sz w:val="12"/>
                      </w:rPr>
                      <w:t> </w:t>
                    </w:r>
                    <w:r>
                      <w:rPr>
                        <w:b/>
                        <w:sz w:val="12"/>
                      </w:rPr>
                      <w:t>(14.07.2009) Taller</w:t>
                    </w:r>
                    <w:r>
                      <w:rPr>
                        <w:b/>
                        <w:spacing w:val="-22"/>
                        <w:sz w:val="12"/>
                      </w:rPr>
                      <w:t> </w:t>
                    </w:r>
                    <w:r>
                      <w:rPr>
                        <w:b/>
                        <w:sz w:val="12"/>
                      </w:rPr>
                      <w:t>de</w:t>
                    </w:r>
                    <w:r>
                      <w:rPr>
                        <w:b/>
                        <w:spacing w:val="-16"/>
                        <w:sz w:val="12"/>
                      </w:rPr>
                      <w:t> </w:t>
                    </w:r>
                    <w:r>
                      <w:rPr>
                        <w:b/>
                        <w:sz w:val="12"/>
                      </w:rPr>
                      <w:t>Hermosillo</w:t>
                    </w:r>
                    <w:r>
                      <w:rPr>
                        <w:b/>
                        <w:spacing w:val="-22"/>
                        <w:sz w:val="12"/>
                      </w:rPr>
                      <w:t> </w:t>
                    </w:r>
                    <w:r>
                      <w:rPr>
                        <w:b/>
                        <w:sz w:val="12"/>
                      </w:rPr>
                      <w:t>(15.07.2009) Taller de Oaxaca (21.07.2009) </w:t>
                    </w:r>
                    <w:r>
                      <w:rPr>
                        <w:b/>
                        <w:w w:val="95"/>
                        <w:sz w:val="12"/>
                      </w:rPr>
                      <w:t>Taller de Mérida</w:t>
                    </w:r>
                    <w:r>
                      <w:rPr>
                        <w:b/>
                        <w:spacing w:val="2"/>
                        <w:w w:val="95"/>
                        <w:sz w:val="12"/>
                      </w:rPr>
                      <w:t> </w:t>
                    </w:r>
                    <w:r>
                      <w:rPr>
                        <w:b/>
                        <w:w w:val="95"/>
                        <w:sz w:val="12"/>
                      </w:rPr>
                      <w:t>(23.07.2009)</w:t>
                    </w:r>
                  </w:p>
                  <w:p>
                    <w:pPr>
                      <w:spacing w:before="17"/>
                      <w:ind w:left="178" w:right="176" w:firstLine="0"/>
                      <w:jc w:val="center"/>
                      <w:rPr>
                        <w:b/>
                        <w:sz w:val="12"/>
                      </w:rPr>
                    </w:pPr>
                    <w:r>
                      <w:rPr>
                        <w:b/>
                        <w:w w:val="95"/>
                        <w:sz w:val="12"/>
                      </w:rPr>
                      <w:t>Taller de Monterrey (29.07.2009)</w:t>
                    </w:r>
                  </w:p>
                  <w:p>
                    <w:pPr>
                      <w:spacing w:before="2"/>
                      <w:ind w:left="175" w:right="176" w:firstLine="0"/>
                      <w:jc w:val="center"/>
                      <w:rPr>
                        <w:b/>
                        <w:sz w:val="12"/>
                      </w:rPr>
                    </w:pPr>
                    <w:r>
                      <w:rPr>
                        <w:b/>
                        <w:sz w:val="12"/>
                      </w:rPr>
                      <w:t>Taller del D. F. (18.08.2009)</w:t>
                    </w:r>
                  </w:p>
                </w:txbxContent>
              </v:textbox>
              <v:fill type="solid"/>
              <w10:wrap type="none"/>
            </v:shape>
            <v:shape style="position:absolute;left:1821;top:8442;width:3690;height:872" type="#_x0000_t202" filled="true" fillcolor="#7e7e7e" stroked="false">
              <v:textbox inset="0,0,0,0">
                <w:txbxContent>
                  <w:p>
                    <w:pPr>
                      <w:spacing w:line="367" w:lineRule="auto" w:before="48"/>
                      <w:ind w:left="395" w:right="397" w:firstLine="0"/>
                      <w:jc w:val="center"/>
                      <w:rPr>
                        <w:b/>
                        <w:sz w:val="12"/>
                      </w:rPr>
                    </w:pPr>
                    <w:r>
                      <w:rPr>
                        <w:b/>
                        <w:color w:val="FFFFFF"/>
                        <w:w w:val="95"/>
                        <w:sz w:val="12"/>
                      </w:rPr>
                      <w:t>PRODUCTOS FINALES DEL PROYECTO DEL POEGT </w:t>
                    </w:r>
                    <w:r>
                      <w:rPr>
                        <w:b/>
                        <w:color w:val="FFFFFF"/>
                        <w:sz w:val="12"/>
                      </w:rPr>
                      <w:t>4 TOMOS, 1 POR CADA ETAPA</w:t>
                    </w:r>
                  </w:p>
                  <w:p>
                    <w:pPr>
                      <w:spacing w:line="137" w:lineRule="exact" w:before="0"/>
                      <w:ind w:left="395" w:right="395" w:firstLine="0"/>
                      <w:jc w:val="center"/>
                      <w:rPr>
                        <w:b/>
                        <w:sz w:val="12"/>
                      </w:rPr>
                    </w:pPr>
                    <w:r>
                      <w:rPr>
                        <w:b/>
                        <w:color w:val="FFFFFF"/>
                        <w:sz w:val="12"/>
                      </w:rPr>
                      <w:t>43 MAPAS A ESCALA 1:2 000 000</w:t>
                    </w:r>
                  </w:p>
                  <w:p>
                    <w:pPr>
                      <w:spacing w:before="74"/>
                      <w:ind w:left="395" w:right="395" w:firstLine="0"/>
                      <w:jc w:val="center"/>
                      <w:rPr>
                        <w:b/>
                        <w:sz w:val="12"/>
                      </w:rPr>
                    </w:pPr>
                    <w:r>
                      <w:rPr>
                        <w:b/>
                        <w:color w:val="FFFFFF"/>
                        <w:w w:val="95"/>
                        <w:sz w:val="12"/>
                      </w:rPr>
                      <w:t>22 ESQUEMAS DE INTERÉS SECTORIAL</w:t>
                    </w:r>
                  </w:p>
                </w:txbxContent>
              </v:textbox>
              <v:fill type="solid"/>
              <w10:wrap type="none"/>
            </v:shape>
            <v:shape style="position:absolute;left:8982;top:8955;width:1664;height:574" type="#_x0000_t202" filled="true" fillcolor="#f1f1f1" stroked="true" strokeweight=".647167pt" strokecolor="#000000">
              <v:textbox inset="0,0,0,0">
                <w:txbxContent>
                  <w:p>
                    <w:pPr>
                      <w:spacing w:line="249" w:lineRule="auto" w:before="48"/>
                      <w:ind w:left="129" w:right="121" w:firstLine="0"/>
                      <w:jc w:val="center"/>
                      <w:rPr>
                        <w:b/>
                        <w:sz w:val="13"/>
                      </w:rPr>
                    </w:pPr>
                    <w:r>
                      <w:rPr>
                        <w:b/>
                        <w:sz w:val="13"/>
                      </w:rPr>
                      <w:t>Lineamientos </w:t>
                    </w:r>
                    <w:r>
                      <w:rPr>
                        <w:b/>
                        <w:w w:val="95"/>
                        <w:sz w:val="13"/>
                      </w:rPr>
                      <w:t>ecológicos, estrategias </w:t>
                    </w:r>
                    <w:r>
                      <w:rPr>
                        <w:b/>
                        <w:sz w:val="13"/>
                      </w:rPr>
                      <w:t>ecológicas y acciones</w:t>
                    </w:r>
                  </w:p>
                </w:txbxContent>
              </v:textbox>
              <v:fill type="solid"/>
              <w10:wrap type="none"/>
            </v:shape>
            <w10:wrap type="none"/>
          </v:group>
        </w:pict>
      </w:r>
      <w:r>
        <w:rPr/>
        <w:pict>
          <v:shape style="position:absolute;margin-left:139.76004pt;margin-top:216.259262pt;width:3.85pt;height:7.4pt;mso-position-horizontal-relative:page;mso-position-vertical-relative:paragraph;z-index:-25336" coordorigin="2795,4325" coordsize="77,148" path="m2840,4325l2827,4325,2827,4377,2840,4377,2840,4325xm2872,4395l2795,4395,2833,4473,2872,4395xe" filled="true" fillcolor="#000000" stroked="false">
            <v:path arrowok="t"/>
            <v:fill type="solid"/>
            <w10:wrap type="none"/>
          </v:shape>
        </w:pict>
      </w:r>
      <w:r>
        <w:rPr/>
        <w:pict>
          <v:shape style="position:absolute;margin-left:255.468445pt;margin-top:216.259262pt;width:3.85pt;height:7.3pt;mso-position-horizontal-relative:page;mso-position-vertical-relative:paragraph;z-index:-25168" coordorigin="5109,4325" coordsize="77,146" path="m5154,4325l5141,4325,5141,4377,5154,4377,5154,4325xm5186,4393l5109,4393,5148,4471,5186,4393xe" filled="true" fillcolor="#000000" stroked="false">
            <v:path arrowok="t"/>
            <v:fill type="solid"/>
            <w10:wrap type="none"/>
          </v:shape>
        </w:pict>
      </w:r>
      <w:r>
        <w:rPr/>
        <w:pict>
          <v:shape style="position:absolute;margin-left:486.982269pt;margin-top:208.895432pt;width:3.85pt;height:7.4pt;mso-position-horizontal-relative:page;mso-position-vertical-relative:paragraph;z-index:-25144" coordorigin="9740,4178" coordsize="77,148" path="m9788,4178l9768,4178,9768,4197,9788,4197,9788,4178xm9788,4217l9768,4217,9768,4236,9788,4236,9788,4217xm9816,4247l9740,4247,9778,4325,9810,4260,9768,4260,9768,4256,9812,4256,9816,4247xm9788,4256l9768,4256,9768,4260,9788,4260,9788,4256xm9812,4256l9788,4256,9788,4260,9810,4260,9812,4256xe" filled="true" fillcolor="#000000" stroked="false">
            <v:path arrowok="t"/>
            <v:fill type="solid"/>
            <w10:wrap type="none"/>
          </v:shape>
        </w:pict>
      </w:r>
      <w:r>
        <w:rPr/>
        <w:pict>
          <v:group style="position:absolute;margin-left:448.773407pt;margin-top:225.334396pt;width:91.3pt;height:163.7pt;mso-position-horizontal-relative:page;mso-position-vertical-relative:paragraph;z-index:-25072" coordorigin="8975,4507" coordsize="1826,3274">
            <v:shape style="position:absolute;left:10502;top:4507;width:217;height:78" coordorigin="10502,4507" coordsize="217,78" path="m10521,4536l10502,4536,10502,4555,10521,4555,10521,4536xm10560,4536l10540,4536,10540,4555,10560,4555,10560,4536xm10598,4536l10579,4536,10579,4555,10598,4555,10598,4536xm10636,4536l10617,4536,10617,4555,10636,4555,10636,4536xm10643,4507l10643,4584,10719,4546,10643,4507xe" filled="true" fillcolor="#000000" stroked="false">
              <v:path arrowok="t"/>
              <v:fill type="solid"/>
            </v:shape>
            <v:line style="position:absolute" from="10719,4546" to="10719,6088" stroked="true" strokeweight=".956985pt" strokecolor="#000000">
              <v:stroke dashstyle="dash"/>
            </v:line>
            <v:shape style="position:absolute;left:10502;top:5241;width:289;height:1034" coordorigin="10502,5241" coordsize="289,1034" path="m10521,6226l10502,6226,10502,6246,10521,6246,10521,6226m10521,5270l10502,5270,10502,5289,10521,5289,10521,5270m10560,6226l10540,6226,10540,6246,10560,6246,10560,6226m10560,5270l10540,5270,10540,5289,10560,5289,10560,5270m10579,6049l10502,6088,10579,6127,10579,6049m10598,6226l10579,6226,10579,6246,10598,6246,10598,6226m10598,5270l10579,5270,10579,5289,10598,5289,10598,5270m10604,6079l10585,6079,10585,6098,10604,6098,10604,6079m10636,6226l10617,6226,10617,6246,10636,6246,10636,6226m10636,5270l10617,5270,10617,5289,10636,5289,10636,5270m10643,6079l10623,6079,10623,6098,10643,6098,10643,6079m10674,6226l10655,6226,10655,6246,10674,6246,10674,6226m10681,6079l10662,6079,10662,6098,10681,6098,10681,6079m10713,6226l10694,6226,10694,6246,10713,6246,10713,6226m10719,6079l10700,6079,10700,6098,10719,6098,10719,6079m10719,5280l10643,5241,10643,5319,10719,5280m10791,6236l10714,6197,10714,6275,10791,6236e" filled="true" fillcolor="#000000" stroked="false">
              <v:path arrowok="t"/>
              <v:fill type="solid"/>
            </v:shape>
            <v:line style="position:absolute" from="10791,5500" to="10791,7412" stroked="true" strokeweight=".956985pt" strokecolor="#000000">
              <v:stroke dashstyle="dash"/>
            </v:line>
            <v:shape style="position:absolute;left:10502;top:5461;width:289;height:1990" coordorigin="10502,5461" coordsize="289,1990" path="m10521,6742l10502,6742,10502,6761,10521,6761,10521,6742m10521,5490l10502,5490,10502,5510,10521,5510,10521,5490m10560,6742l10540,6742,10540,6761,10560,6761,10560,6742m10560,5490l10540,5490,10540,5510,10560,5510,10560,5490m10598,6742l10579,6742,10579,6761,10598,6761,10598,6742m10598,5490l10579,5490,10579,5510,10598,5510,10598,5490m10636,6742l10617,6742,10617,6761,10636,6761,10636,6742m10636,5490l10617,5490,10617,5510,10636,5510,10636,5490m10650,7374l10574,7412,10650,7451,10650,7374m10674,6742l10655,6742,10655,6761,10674,6761,10674,6742m10674,5490l10655,5490,10655,5510,10674,5510,10674,5490m10676,7403l10657,7403,10657,7422,10676,7422,10676,7403m10713,6742l10694,6742,10694,6761,10713,6761,10713,6742m10713,5490l10694,5490,10694,5510,10713,5510,10713,5490m10714,7403l10695,7403,10695,7422,10714,7422,10714,7403m10753,7403l10733,7403,10733,7422,10753,7422,10753,7403m10791,7403l10772,7403,10772,7422,10791,7422,10791,7403m10791,6751l10714,6712,10714,6790,10791,6751m10791,5500l10714,5461,10714,5539,10791,5500e" filled="true" fillcolor="#000000" stroked="false">
              <v:path arrowok="t"/>
              <v:fill type="solid"/>
            </v:shape>
            <v:shape style="position:absolute;left:8982;top:7045;width:1592;height:730" type="#_x0000_t202" filled="true" fillcolor="#f1f1f1" stroked="true" strokeweight=".646495pt" strokecolor="#000000">
              <v:textbox inset="0,0,0,0">
                <w:txbxContent>
                  <w:p>
                    <w:pPr>
                      <w:spacing w:line="249" w:lineRule="auto" w:before="47"/>
                      <w:ind w:left="63" w:right="59" w:firstLine="0"/>
                      <w:jc w:val="center"/>
                      <w:rPr>
                        <w:b/>
                        <w:sz w:val="13"/>
                      </w:rPr>
                    </w:pPr>
                    <w:r>
                      <w:rPr>
                        <w:b/>
                        <w:sz w:val="13"/>
                      </w:rPr>
                      <w:t>Compatibilidad entre el Interés sectorial y la Aptitud sectorial predominante</w:t>
                    </w:r>
                  </w:p>
                </w:txbxContent>
              </v:textbox>
              <v:fill type="solid"/>
              <w10:wrap type="none"/>
            </v:shape>
            <w10:wrap type="none"/>
          </v:group>
        </w:pict>
      </w:r>
      <w:r>
        <w:rPr/>
        <w:t>escenario estratégico territorial (políticas ambientales) y elaboración del informe técnico final de la etapa de pronóstico (etapa III). En el flujograma metodológico del programa de ordenamiento ecológico general del territorio (Figura 1) se aprecian los pasos para alcanzar los escenarios contextual (2008), tendenciales (2012, 2023 y 2033) y estratégico (políticas ambientales, 18 en total), en la etapa III de Pronóstico.</w:t>
      </w:r>
    </w:p>
    <w:p>
      <w:pPr>
        <w:pStyle w:val="BodyText"/>
        <w:rPr>
          <w:sz w:val="20"/>
        </w:rPr>
      </w:pPr>
    </w:p>
    <w:p>
      <w:pPr>
        <w:pStyle w:val="BodyText"/>
        <w:rPr>
          <w:sz w:val="20"/>
        </w:rPr>
      </w:pPr>
    </w:p>
    <w:p>
      <w:pPr>
        <w:pStyle w:val="BodyText"/>
        <w:spacing w:before="6"/>
        <w:rPr>
          <w:sz w:val="18"/>
        </w:rPr>
      </w:pPr>
    </w:p>
    <w:p>
      <w:pPr>
        <w:spacing w:before="0"/>
        <w:ind w:left="3217" w:right="501" w:hanging="2799"/>
        <w:jc w:val="left"/>
        <w:rPr>
          <w:b/>
          <w:sz w:val="20"/>
        </w:rPr>
      </w:pPr>
      <w:r>
        <w:rPr/>
        <w:pict>
          <v:shape style="position:absolute;margin-left:490.657074pt;margin-top:-82.239792pt;width:3.85pt;height:7.3pt;mso-position-horizontal-relative:page;mso-position-vertical-relative:paragraph;z-index:-25024" coordorigin="9813,-1645" coordsize="77,146" path="m9861,-1645l9842,-1645,9842,-1625,9861,-1625,9861,-1645xm9861,-1606l9842,-1606,9842,-1586,9861,-1586,9861,-1606xm9890,-1577l9813,-1577,9851,-1499,9883,-1564,9842,-1564,9842,-1567,9885,-1567,9890,-1577xm9861,-1567l9842,-1567,9842,-1564,9861,-1564,9861,-1567xm9885,-1567l9861,-1567,9861,-1564,9883,-1564,9885,-1567xe" filled="true" fillcolor="#000000" stroked="false">
            <v:path arrowok="t"/>
            <v:fill type="solid"/>
            <w10:wrap type="none"/>
          </v:shape>
        </w:pict>
      </w:r>
      <w:r>
        <w:rPr>
          <w:b/>
          <w:sz w:val="20"/>
        </w:rPr>
        <w:t>Figura 1. Flujograma del proceso metodológico del programa de ordenamiento ecológico general del territorio (POEGT).</w:t>
      </w:r>
    </w:p>
    <w:p>
      <w:pPr>
        <w:pStyle w:val="BodyText"/>
        <w:rPr>
          <w:b/>
          <w:sz w:val="20"/>
        </w:rPr>
      </w:pPr>
    </w:p>
    <w:p>
      <w:pPr>
        <w:pStyle w:val="BodyText"/>
        <w:rPr>
          <w:b/>
          <w:sz w:val="20"/>
        </w:rPr>
      </w:pPr>
    </w:p>
    <w:p>
      <w:pPr>
        <w:pStyle w:val="BodyText"/>
        <w:spacing w:before="11"/>
        <w:rPr>
          <w:b/>
          <w:sz w:val="24"/>
        </w:rPr>
      </w:pPr>
    </w:p>
    <w:p>
      <w:pPr>
        <w:pStyle w:val="BodyText"/>
        <w:spacing w:line="480" w:lineRule="auto"/>
        <w:ind w:left="102" w:right="196" w:firstLine="707"/>
      </w:pPr>
      <w:r>
        <w:rPr/>
        <w:t>Para la determinación del escenario contextual de la etapa de pronóstico, se aplicó la metodología  de  evaluación  geoecológica del  estado  del medio  ambiente  de  los sistemas</w:t>
      </w:r>
    </w:p>
    <w:p>
      <w:pPr>
        <w:spacing w:after="0" w:line="480" w:lineRule="auto"/>
        <w:sectPr>
          <w:pgSz w:w="12250" w:h="15850"/>
          <w:pgMar w:header="0" w:footer="759" w:top="1500" w:bottom="940" w:left="1600" w:right="1220"/>
        </w:sectPr>
      </w:pPr>
    </w:p>
    <w:p>
      <w:pPr>
        <w:pStyle w:val="BodyText"/>
        <w:spacing w:before="9"/>
        <w:rPr>
          <w:sz w:val="10"/>
        </w:rPr>
      </w:pPr>
    </w:p>
    <w:p>
      <w:pPr>
        <w:pStyle w:val="BodyText"/>
        <w:spacing w:line="480" w:lineRule="auto" w:before="73"/>
        <w:ind w:right="111"/>
        <w:jc w:val="right"/>
      </w:pPr>
      <w:r>
        <w:rPr/>
        <w:t>naturales</w:t>
      </w:r>
      <w:r>
        <w:rPr>
          <w:spacing w:val="49"/>
        </w:rPr>
        <w:t> </w:t>
      </w:r>
      <w:r>
        <w:rPr/>
        <w:t>(Mateo,</w:t>
      </w:r>
      <w:r>
        <w:rPr>
          <w:spacing w:val="53"/>
        </w:rPr>
        <w:t> </w:t>
      </w:r>
      <w:r>
        <w:rPr/>
        <w:t>1994;</w:t>
      </w:r>
      <w:r>
        <w:rPr>
          <w:spacing w:val="51"/>
        </w:rPr>
        <w:t> </w:t>
      </w:r>
      <w:r>
        <w:rPr/>
        <w:t>Mateo</w:t>
      </w:r>
      <w:r>
        <w:rPr>
          <w:spacing w:val="54"/>
        </w:rPr>
        <w:t> </w:t>
      </w:r>
      <w:r>
        <w:rPr>
          <w:i/>
        </w:rPr>
        <w:t>et</w:t>
      </w:r>
      <w:r>
        <w:rPr>
          <w:i/>
          <w:spacing w:val="51"/>
        </w:rPr>
        <w:t> </w:t>
      </w:r>
      <w:r>
        <w:rPr>
          <w:i/>
        </w:rPr>
        <w:t>al.,</w:t>
      </w:r>
      <w:r>
        <w:rPr>
          <w:i/>
          <w:spacing w:val="51"/>
        </w:rPr>
        <w:t> </w:t>
      </w:r>
      <w:r>
        <w:rPr/>
        <w:t>2001),</w:t>
      </w:r>
      <w:r>
        <w:rPr>
          <w:spacing w:val="51"/>
        </w:rPr>
        <w:t> </w:t>
      </w:r>
      <w:r>
        <w:rPr/>
        <w:t>en</w:t>
      </w:r>
      <w:r>
        <w:rPr>
          <w:spacing w:val="52"/>
        </w:rPr>
        <w:t> </w:t>
      </w:r>
      <w:r>
        <w:rPr/>
        <w:t>este</w:t>
      </w:r>
      <w:r>
        <w:rPr>
          <w:spacing w:val="50"/>
        </w:rPr>
        <w:t> </w:t>
      </w:r>
      <w:r>
        <w:rPr/>
        <w:t>caso</w:t>
      </w:r>
      <w:r>
        <w:rPr>
          <w:spacing w:val="49"/>
        </w:rPr>
        <w:t> </w:t>
      </w:r>
      <w:r>
        <w:rPr/>
        <w:t>de</w:t>
      </w:r>
      <w:r>
        <w:rPr>
          <w:spacing w:val="49"/>
        </w:rPr>
        <w:t> </w:t>
      </w:r>
      <w:r>
        <w:rPr/>
        <w:t>las</w:t>
      </w:r>
      <w:r>
        <w:rPr>
          <w:spacing w:val="52"/>
        </w:rPr>
        <w:t> </w:t>
      </w:r>
      <w:r>
        <w:rPr/>
        <w:t>unidades</w:t>
      </w:r>
      <w:r>
        <w:rPr>
          <w:spacing w:val="52"/>
        </w:rPr>
        <w:t> </w:t>
      </w:r>
      <w:r>
        <w:rPr/>
        <w:t>ambientales</w:t>
      </w:r>
      <w:r>
        <w:rPr>
          <w:w w:val="100"/>
        </w:rPr>
        <w:t> </w:t>
      </w:r>
      <w:r>
        <w:rPr/>
        <w:t>biofísicas, con vistas a conocer su situación contextual actual y los</w:t>
      </w:r>
      <w:r>
        <w:rPr>
          <w:spacing w:val="45"/>
        </w:rPr>
        <w:t> </w:t>
      </w:r>
      <w:r>
        <w:rPr/>
        <w:t>escenarios</w:t>
      </w:r>
      <w:r>
        <w:rPr>
          <w:spacing w:val="15"/>
        </w:rPr>
        <w:t> </w:t>
      </w:r>
      <w:r>
        <w:rPr/>
        <w:t>tendenciales</w:t>
      </w:r>
      <w:r>
        <w:rPr>
          <w:w w:val="100"/>
        </w:rPr>
        <w:t> </w:t>
      </w:r>
      <w:r>
        <w:rPr/>
        <w:t>futuros, en función de las relaciones intersectoriales de la APF y sus</w:t>
      </w:r>
      <w:r>
        <w:rPr>
          <w:spacing w:val="17"/>
        </w:rPr>
        <w:t> </w:t>
      </w:r>
      <w:r>
        <w:rPr/>
        <w:t>manifestaciones</w:t>
      </w:r>
      <w:r>
        <w:rPr>
          <w:spacing w:val="38"/>
        </w:rPr>
        <w:t> </w:t>
      </w:r>
      <w:r>
        <w:rPr/>
        <w:t>de</w:t>
      </w:r>
      <w:r>
        <w:rPr>
          <w:w w:val="100"/>
        </w:rPr>
        <w:t> </w:t>
      </w:r>
      <w:r>
        <w:rPr/>
        <w:t>sinergia o de conflicto. Además, fueron tomados en consideración criterios</w:t>
      </w:r>
      <w:r>
        <w:rPr>
          <w:spacing w:val="18"/>
        </w:rPr>
        <w:t> </w:t>
      </w:r>
      <w:r>
        <w:rPr/>
        <w:t>prospectivos</w:t>
      </w:r>
      <w:r>
        <w:rPr>
          <w:spacing w:val="22"/>
        </w:rPr>
        <w:t> </w:t>
      </w:r>
      <w:r>
        <w:rPr/>
        <w:t>de</w:t>
      </w:r>
      <w:r>
        <w:rPr>
          <w:w w:val="100"/>
        </w:rPr>
        <w:t> </w:t>
      </w:r>
      <w:r>
        <w:rPr/>
        <w:t>otros</w:t>
      </w:r>
      <w:r>
        <w:rPr>
          <w:spacing w:val="-19"/>
        </w:rPr>
        <w:t> </w:t>
      </w:r>
      <w:r>
        <w:rPr/>
        <w:t>autores</w:t>
      </w:r>
      <w:r>
        <w:rPr>
          <w:spacing w:val="-18"/>
        </w:rPr>
        <w:t> </w:t>
      </w:r>
      <w:r>
        <w:rPr/>
        <w:t>(SEMARNAP</w:t>
      </w:r>
      <w:r>
        <w:rPr>
          <w:spacing w:val="-17"/>
        </w:rPr>
        <w:t> </w:t>
      </w:r>
      <w:r>
        <w:rPr/>
        <w:t>y</w:t>
      </w:r>
      <w:r>
        <w:rPr>
          <w:spacing w:val="-18"/>
        </w:rPr>
        <w:t> </w:t>
      </w:r>
      <w:r>
        <w:rPr/>
        <w:t>Analítica</w:t>
      </w:r>
      <w:r>
        <w:rPr>
          <w:spacing w:val="-16"/>
        </w:rPr>
        <w:t> </w:t>
      </w:r>
      <w:r>
        <w:rPr/>
        <w:t>Consultores</w:t>
      </w:r>
      <w:r>
        <w:rPr>
          <w:spacing w:val="-15"/>
        </w:rPr>
        <w:t> </w:t>
      </w:r>
      <w:r>
        <w:rPr/>
        <w:t>y</w:t>
      </w:r>
      <w:r>
        <w:rPr>
          <w:spacing w:val="-18"/>
        </w:rPr>
        <w:t> </w:t>
      </w:r>
      <w:r>
        <w:rPr/>
        <w:t>Consultores</w:t>
      </w:r>
      <w:r>
        <w:rPr>
          <w:spacing w:val="-18"/>
        </w:rPr>
        <w:t> </w:t>
      </w:r>
      <w:r>
        <w:rPr/>
        <w:t>Internacionales,</w:t>
      </w:r>
      <w:r>
        <w:rPr>
          <w:spacing w:val="-15"/>
        </w:rPr>
        <w:t> </w:t>
      </w:r>
      <w:r>
        <w:rPr/>
        <w:t>S.</w:t>
      </w:r>
      <w:r>
        <w:rPr>
          <w:spacing w:val="-17"/>
        </w:rPr>
        <w:t> </w:t>
      </w:r>
      <w:r>
        <w:rPr/>
        <w:t>C.,</w:t>
      </w:r>
      <w:r>
        <w:rPr>
          <w:spacing w:val="-15"/>
        </w:rPr>
        <w:t> </w:t>
      </w:r>
      <w:r>
        <w:rPr/>
        <w:t>2000).</w:t>
      </w:r>
    </w:p>
    <w:p>
      <w:pPr>
        <w:pStyle w:val="BodyText"/>
        <w:spacing w:line="480" w:lineRule="auto" w:before="127"/>
        <w:ind w:left="102" w:right="112" w:firstLine="707"/>
        <w:jc w:val="right"/>
      </w:pPr>
      <w:r>
        <w:rPr/>
        <w:t>El estado del medio ambiente es el grado de conservación del potencial</w:t>
      </w:r>
      <w:r>
        <w:rPr>
          <w:spacing w:val="43"/>
        </w:rPr>
        <w:t> </w:t>
      </w:r>
      <w:r>
        <w:rPr/>
        <w:t>de</w:t>
      </w:r>
      <w:r>
        <w:rPr>
          <w:spacing w:val="13"/>
        </w:rPr>
        <w:t> </w:t>
      </w:r>
      <w:r>
        <w:rPr/>
        <w:t>recursos</w:t>
      </w:r>
      <w:r>
        <w:rPr>
          <w:w w:val="100"/>
        </w:rPr>
        <w:t> </w:t>
      </w:r>
      <w:r>
        <w:rPr/>
        <w:t>naturales y ambientales de los sistemas naturales para la actividad productiva, en</w:t>
      </w:r>
      <w:r>
        <w:rPr>
          <w:spacing w:val="50"/>
        </w:rPr>
        <w:t> </w:t>
      </w:r>
      <w:r>
        <w:rPr/>
        <w:t>este</w:t>
      </w:r>
      <w:r>
        <w:rPr>
          <w:spacing w:val="8"/>
        </w:rPr>
        <w:t> </w:t>
      </w:r>
      <w:r>
        <w:rPr/>
        <w:t>caso</w:t>
      </w:r>
      <w:r>
        <w:rPr>
          <w:w w:val="100"/>
        </w:rPr>
        <w:t> </w:t>
      </w:r>
      <w:r>
        <w:rPr/>
        <w:t>de</w:t>
      </w:r>
      <w:r>
        <w:rPr>
          <w:spacing w:val="-9"/>
        </w:rPr>
        <w:t> </w:t>
      </w:r>
      <w:r>
        <w:rPr/>
        <w:t>las</w:t>
      </w:r>
      <w:r>
        <w:rPr>
          <w:spacing w:val="-9"/>
        </w:rPr>
        <w:t> </w:t>
      </w:r>
      <w:r>
        <w:rPr/>
        <w:t>unidades</w:t>
      </w:r>
      <w:r>
        <w:rPr>
          <w:spacing w:val="-8"/>
        </w:rPr>
        <w:t> </w:t>
      </w:r>
      <w:r>
        <w:rPr/>
        <w:t>ambientales</w:t>
      </w:r>
      <w:r>
        <w:rPr>
          <w:spacing w:val="-9"/>
        </w:rPr>
        <w:t> </w:t>
      </w:r>
      <w:r>
        <w:rPr/>
        <w:t>biofísicas</w:t>
      </w:r>
      <w:r>
        <w:rPr>
          <w:spacing w:val="-9"/>
        </w:rPr>
        <w:t> </w:t>
      </w:r>
      <w:r>
        <w:rPr/>
        <w:t>(UAB),</w:t>
      </w:r>
      <w:r>
        <w:rPr>
          <w:spacing w:val="-10"/>
        </w:rPr>
        <w:t> </w:t>
      </w:r>
      <w:r>
        <w:rPr/>
        <w:t>que</w:t>
      </w:r>
      <w:r>
        <w:rPr>
          <w:spacing w:val="-9"/>
        </w:rPr>
        <w:t> </w:t>
      </w:r>
      <w:r>
        <w:rPr/>
        <w:t>permiten</w:t>
      </w:r>
      <w:r>
        <w:rPr>
          <w:spacing w:val="-11"/>
        </w:rPr>
        <w:t> </w:t>
      </w:r>
      <w:r>
        <w:rPr/>
        <w:t>asegurar</w:t>
      </w:r>
      <w:r>
        <w:rPr>
          <w:spacing w:val="-8"/>
        </w:rPr>
        <w:t> </w:t>
      </w:r>
      <w:r>
        <w:rPr/>
        <w:t>un</w:t>
      </w:r>
      <w:r>
        <w:rPr>
          <w:spacing w:val="43"/>
        </w:rPr>
        <w:t> </w:t>
      </w:r>
      <w:r>
        <w:rPr/>
        <w:t>nivel</w:t>
      </w:r>
      <w:r>
        <w:rPr>
          <w:spacing w:val="-10"/>
        </w:rPr>
        <w:t> </w:t>
      </w:r>
      <w:r>
        <w:rPr/>
        <w:t>de</w:t>
      </w:r>
      <w:r>
        <w:rPr>
          <w:spacing w:val="-9"/>
        </w:rPr>
        <w:t> </w:t>
      </w:r>
      <w:r>
        <w:rPr/>
        <w:t>calidad</w:t>
      </w:r>
      <w:r>
        <w:rPr>
          <w:spacing w:val="-9"/>
        </w:rPr>
        <w:t> </w:t>
      </w:r>
      <w:r>
        <w:rPr/>
        <w:t>para</w:t>
      </w:r>
      <w:r>
        <w:rPr>
          <w:w w:val="100"/>
        </w:rPr>
        <w:t> </w:t>
      </w:r>
      <w:r>
        <w:rPr/>
        <w:t>la</w:t>
      </w:r>
      <w:r>
        <w:rPr>
          <w:spacing w:val="-6"/>
        </w:rPr>
        <w:t> </w:t>
      </w:r>
      <w:r>
        <w:rPr/>
        <w:t>satisfacción</w:t>
      </w:r>
      <w:r>
        <w:rPr>
          <w:spacing w:val="-7"/>
        </w:rPr>
        <w:t> </w:t>
      </w:r>
      <w:r>
        <w:rPr/>
        <w:t>de</w:t>
      </w:r>
      <w:r>
        <w:rPr>
          <w:spacing w:val="-7"/>
        </w:rPr>
        <w:t> </w:t>
      </w:r>
      <w:r>
        <w:rPr/>
        <w:t>las</w:t>
      </w:r>
      <w:r>
        <w:rPr>
          <w:spacing w:val="-6"/>
        </w:rPr>
        <w:t> </w:t>
      </w:r>
      <w:r>
        <w:rPr/>
        <w:t>necesidades</w:t>
      </w:r>
      <w:r>
        <w:rPr>
          <w:spacing w:val="-6"/>
        </w:rPr>
        <w:t> </w:t>
      </w:r>
      <w:r>
        <w:rPr/>
        <w:t>humanas</w:t>
      </w:r>
      <w:r>
        <w:rPr>
          <w:spacing w:val="-9"/>
        </w:rPr>
        <w:t> </w:t>
      </w:r>
      <w:r>
        <w:rPr/>
        <w:t>(Mateo</w:t>
      </w:r>
      <w:r>
        <w:rPr>
          <w:spacing w:val="-5"/>
        </w:rPr>
        <w:t> </w:t>
      </w:r>
      <w:r>
        <w:rPr>
          <w:i/>
        </w:rPr>
        <w:t>et</w:t>
      </w:r>
      <w:r>
        <w:rPr>
          <w:i/>
          <w:spacing w:val="-5"/>
        </w:rPr>
        <w:t> </w:t>
      </w:r>
      <w:r>
        <w:rPr>
          <w:i/>
        </w:rPr>
        <w:t>al</w:t>
      </w:r>
      <w:r>
        <w:rPr/>
        <w:t>.,</w:t>
      </w:r>
      <w:r>
        <w:rPr>
          <w:spacing w:val="-5"/>
        </w:rPr>
        <w:t> </w:t>
      </w:r>
      <w:r>
        <w:rPr/>
        <w:t>1994;</w:t>
      </w:r>
      <w:r>
        <w:rPr>
          <w:spacing w:val="-5"/>
        </w:rPr>
        <w:t> </w:t>
      </w:r>
      <w:r>
        <w:rPr/>
        <w:t>Mateo</w:t>
      </w:r>
      <w:r>
        <w:rPr>
          <w:spacing w:val="-6"/>
        </w:rPr>
        <w:t> </w:t>
      </w:r>
      <w:r>
        <w:rPr>
          <w:i/>
        </w:rPr>
        <w:t>et</w:t>
      </w:r>
      <w:r>
        <w:rPr>
          <w:i/>
          <w:spacing w:val="-8"/>
        </w:rPr>
        <w:t> </w:t>
      </w:r>
      <w:r>
        <w:rPr>
          <w:i/>
        </w:rPr>
        <w:t>al</w:t>
      </w:r>
      <w:r>
        <w:rPr/>
        <w:t>.,</w:t>
      </w:r>
      <w:r>
        <w:rPr>
          <w:spacing w:val="-5"/>
        </w:rPr>
        <w:t> </w:t>
      </w:r>
      <w:r>
        <w:rPr/>
        <w:t>2001).</w:t>
      </w:r>
      <w:r>
        <w:rPr>
          <w:spacing w:val="-5"/>
        </w:rPr>
        <w:t> </w:t>
      </w:r>
      <w:r>
        <w:rPr/>
        <w:t>El</w:t>
      </w:r>
      <w:r>
        <w:rPr>
          <w:spacing w:val="-7"/>
        </w:rPr>
        <w:t> </w:t>
      </w:r>
      <w:r>
        <w:rPr/>
        <w:t>estado</w:t>
      </w:r>
      <w:r>
        <w:rPr>
          <w:w w:val="100"/>
        </w:rPr>
        <w:t> </w:t>
      </w:r>
      <w:r>
        <w:rPr/>
        <w:t>del</w:t>
      </w:r>
      <w:r>
        <w:rPr>
          <w:spacing w:val="-9"/>
        </w:rPr>
        <w:t> </w:t>
      </w:r>
      <w:r>
        <w:rPr/>
        <w:t>medio</w:t>
      </w:r>
      <w:r>
        <w:rPr>
          <w:spacing w:val="-10"/>
        </w:rPr>
        <w:t> </w:t>
      </w:r>
      <w:r>
        <w:rPr/>
        <w:t>ambiente</w:t>
      </w:r>
      <w:r>
        <w:rPr>
          <w:spacing w:val="-13"/>
        </w:rPr>
        <w:t> </w:t>
      </w:r>
      <w:r>
        <w:rPr/>
        <w:t>tiene</w:t>
      </w:r>
      <w:r>
        <w:rPr>
          <w:spacing w:val="-10"/>
        </w:rPr>
        <w:t> </w:t>
      </w:r>
      <w:r>
        <w:rPr/>
        <w:t>una</w:t>
      </w:r>
      <w:r>
        <w:rPr>
          <w:spacing w:val="-10"/>
        </w:rPr>
        <w:t> </w:t>
      </w:r>
      <w:r>
        <w:rPr/>
        <w:t>clara</w:t>
      </w:r>
      <w:r>
        <w:rPr>
          <w:spacing w:val="-10"/>
        </w:rPr>
        <w:t> </w:t>
      </w:r>
      <w:r>
        <w:rPr/>
        <w:t>manifestación</w:t>
      </w:r>
      <w:r>
        <w:rPr>
          <w:spacing w:val="-10"/>
        </w:rPr>
        <w:t> </w:t>
      </w:r>
      <w:r>
        <w:rPr/>
        <w:t>espacial,</w:t>
      </w:r>
      <w:r>
        <w:rPr>
          <w:spacing w:val="-8"/>
        </w:rPr>
        <w:t> </w:t>
      </w:r>
      <w:r>
        <w:rPr/>
        <w:t>el</w:t>
      </w:r>
      <w:r>
        <w:rPr>
          <w:spacing w:val="-11"/>
        </w:rPr>
        <w:t> </w:t>
      </w:r>
      <w:r>
        <w:rPr/>
        <w:t>mismo</w:t>
      </w:r>
      <w:r>
        <w:rPr>
          <w:spacing w:val="-9"/>
        </w:rPr>
        <w:t> </w:t>
      </w:r>
      <w:r>
        <w:rPr/>
        <w:t>depende,</w:t>
      </w:r>
      <w:r>
        <w:rPr>
          <w:spacing w:val="-8"/>
        </w:rPr>
        <w:t> </w:t>
      </w:r>
      <w:r>
        <w:rPr/>
        <w:t>no</w:t>
      </w:r>
      <w:r>
        <w:rPr>
          <w:spacing w:val="-10"/>
        </w:rPr>
        <w:t> </w:t>
      </w:r>
      <w:r>
        <w:rPr/>
        <w:t>sólo</w:t>
      </w:r>
      <w:r>
        <w:rPr>
          <w:spacing w:val="-10"/>
        </w:rPr>
        <w:t> </w:t>
      </w:r>
      <w:r>
        <w:rPr/>
        <w:t>del</w:t>
      </w:r>
      <w:r>
        <w:rPr>
          <w:spacing w:val="-11"/>
        </w:rPr>
        <w:t> </w:t>
      </w:r>
      <w:r>
        <w:rPr/>
        <w:t>tipo</w:t>
      </w:r>
      <w:r>
        <w:rPr>
          <w:w w:val="100"/>
        </w:rPr>
        <w:t> </w:t>
      </w:r>
      <w:r>
        <w:rPr/>
        <w:t>y</w:t>
      </w:r>
      <w:r>
        <w:rPr>
          <w:spacing w:val="49"/>
        </w:rPr>
        <w:t> </w:t>
      </w:r>
      <w:r>
        <w:rPr/>
        <w:t>grado</w:t>
      </w:r>
      <w:r>
        <w:rPr>
          <w:spacing w:val="48"/>
        </w:rPr>
        <w:t> </w:t>
      </w:r>
      <w:r>
        <w:rPr/>
        <w:t>de</w:t>
      </w:r>
      <w:r>
        <w:rPr>
          <w:spacing w:val="48"/>
        </w:rPr>
        <w:t> </w:t>
      </w:r>
      <w:r>
        <w:rPr/>
        <w:t>acción</w:t>
      </w:r>
      <w:r>
        <w:rPr>
          <w:spacing w:val="48"/>
        </w:rPr>
        <w:t> </w:t>
      </w:r>
      <w:r>
        <w:rPr/>
        <w:t>humana,</w:t>
      </w:r>
      <w:r>
        <w:rPr>
          <w:spacing w:val="50"/>
        </w:rPr>
        <w:t> </w:t>
      </w:r>
      <w:r>
        <w:rPr/>
        <w:t>sino</w:t>
      </w:r>
      <w:r>
        <w:rPr>
          <w:spacing w:val="48"/>
        </w:rPr>
        <w:t> </w:t>
      </w:r>
      <w:r>
        <w:rPr/>
        <w:t>también</w:t>
      </w:r>
      <w:r>
        <w:rPr>
          <w:spacing w:val="51"/>
        </w:rPr>
        <w:t> </w:t>
      </w:r>
      <w:r>
        <w:rPr/>
        <w:t>de</w:t>
      </w:r>
      <w:r>
        <w:rPr>
          <w:spacing w:val="48"/>
        </w:rPr>
        <w:t> </w:t>
      </w:r>
      <w:r>
        <w:rPr/>
        <w:t>las</w:t>
      </w:r>
      <w:r>
        <w:rPr>
          <w:spacing w:val="51"/>
        </w:rPr>
        <w:t> </w:t>
      </w:r>
      <w:r>
        <w:rPr/>
        <w:t>características</w:t>
      </w:r>
      <w:r>
        <w:rPr>
          <w:spacing w:val="51"/>
        </w:rPr>
        <w:t> </w:t>
      </w:r>
      <w:r>
        <w:rPr/>
        <w:t>propias</w:t>
      </w:r>
      <w:r>
        <w:rPr>
          <w:spacing w:val="51"/>
        </w:rPr>
        <w:t> </w:t>
      </w:r>
      <w:r>
        <w:rPr/>
        <w:t>de</w:t>
      </w:r>
      <w:r>
        <w:rPr>
          <w:spacing w:val="48"/>
        </w:rPr>
        <w:t> </w:t>
      </w:r>
      <w:r>
        <w:rPr/>
        <w:t>los</w:t>
      </w:r>
      <w:r>
        <w:rPr>
          <w:spacing w:val="48"/>
        </w:rPr>
        <w:t> </w:t>
      </w:r>
      <w:r>
        <w:rPr/>
        <w:t>sistemas</w:t>
      </w:r>
      <w:r>
        <w:rPr>
          <w:w w:val="100"/>
        </w:rPr>
        <w:t> </w:t>
      </w:r>
      <w:r>
        <w:rPr/>
        <w:t>naturales</w:t>
      </w:r>
      <w:r>
        <w:rPr>
          <w:spacing w:val="-18"/>
        </w:rPr>
        <w:t> </w:t>
      </w:r>
      <w:r>
        <w:rPr/>
        <w:t>que</w:t>
      </w:r>
      <w:r>
        <w:rPr>
          <w:spacing w:val="-13"/>
        </w:rPr>
        <w:t> </w:t>
      </w:r>
      <w:r>
        <w:rPr/>
        <w:t>experimentan</w:t>
      </w:r>
      <w:r>
        <w:rPr>
          <w:spacing w:val="-13"/>
        </w:rPr>
        <w:t> </w:t>
      </w:r>
      <w:r>
        <w:rPr/>
        <w:t>dichas</w:t>
      </w:r>
      <w:r>
        <w:rPr>
          <w:spacing w:val="-15"/>
        </w:rPr>
        <w:t> </w:t>
      </w:r>
      <w:r>
        <w:rPr/>
        <w:t>acciones.</w:t>
      </w:r>
      <w:r>
        <w:rPr>
          <w:spacing w:val="-11"/>
        </w:rPr>
        <w:t> </w:t>
      </w:r>
      <w:r>
        <w:rPr/>
        <w:t>De</w:t>
      </w:r>
      <w:r>
        <w:rPr>
          <w:spacing w:val="-15"/>
        </w:rPr>
        <w:t> </w:t>
      </w:r>
      <w:r>
        <w:rPr/>
        <w:t>tal</w:t>
      </w:r>
      <w:r>
        <w:rPr>
          <w:spacing w:val="-14"/>
        </w:rPr>
        <w:t> </w:t>
      </w:r>
      <w:r>
        <w:rPr/>
        <w:t>manera,</w:t>
      </w:r>
      <w:r>
        <w:rPr>
          <w:spacing w:val="-16"/>
        </w:rPr>
        <w:t> </w:t>
      </w:r>
      <w:r>
        <w:rPr/>
        <w:t>que</w:t>
      </w:r>
      <w:r>
        <w:rPr>
          <w:spacing w:val="-13"/>
        </w:rPr>
        <w:t> </w:t>
      </w:r>
      <w:r>
        <w:rPr/>
        <w:t>el</w:t>
      </w:r>
      <w:r>
        <w:rPr>
          <w:spacing w:val="-16"/>
        </w:rPr>
        <w:t> </w:t>
      </w:r>
      <w:r>
        <w:rPr/>
        <w:t>estado</w:t>
      </w:r>
      <w:r>
        <w:rPr>
          <w:spacing w:val="-18"/>
        </w:rPr>
        <w:t> </w:t>
      </w:r>
      <w:r>
        <w:rPr/>
        <w:t>del</w:t>
      </w:r>
      <w:r>
        <w:rPr>
          <w:spacing w:val="-13"/>
        </w:rPr>
        <w:t> </w:t>
      </w:r>
      <w:r>
        <w:rPr/>
        <w:t>medio</w:t>
      </w:r>
      <w:r>
        <w:rPr>
          <w:spacing w:val="-12"/>
        </w:rPr>
        <w:t> </w:t>
      </w:r>
      <w:r>
        <w:rPr/>
        <w:t>ambiente</w:t>
      </w:r>
      <w:r>
        <w:rPr>
          <w:w w:val="100"/>
        </w:rPr>
        <w:t> </w:t>
      </w:r>
      <w:r>
        <w:rPr/>
        <w:t>es</w:t>
      </w:r>
      <w:r>
        <w:rPr>
          <w:spacing w:val="-13"/>
        </w:rPr>
        <w:t> </w:t>
      </w:r>
      <w:r>
        <w:rPr/>
        <w:t>una</w:t>
      </w:r>
      <w:r>
        <w:rPr>
          <w:spacing w:val="-16"/>
        </w:rPr>
        <w:t> </w:t>
      </w:r>
      <w:r>
        <w:rPr/>
        <w:t>propiedad</w:t>
      </w:r>
      <w:r>
        <w:rPr>
          <w:spacing w:val="-14"/>
        </w:rPr>
        <w:t> </w:t>
      </w:r>
      <w:r>
        <w:rPr/>
        <w:t>de</w:t>
      </w:r>
      <w:r>
        <w:rPr>
          <w:spacing w:val="-19"/>
        </w:rPr>
        <w:t> </w:t>
      </w:r>
      <w:r>
        <w:rPr/>
        <w:t>formaciones</w:t>
      </w:r>
      <w:r>
        <w:rPr>
          <w:spacing w:val="33"/>
        </w:rPr>
        <w:t> </w:t>
      </w:r>
      <w:r>
        <w:rPr/>
        <w:t>naturales</w:t>
      </w:r>
      <w:r>
        <w:rPr>
          <w:spacing w:val="-16"/>
        </w:rPr>
        <w:t> </w:t>
      </w:r>
      <w:r>
        <w:rPr/>
        <w:t>modificadas</w:t>
      </w:r>
      <w:r>
        <w:rPr>
          <w:spacing w:val="-13"/>
        </w:rPr>
        <w:t> </w:t>
      </w:r>
      <w:r>
        <w:rPr/>
        <w:t>por</w:t>
      </w:r>
      <w:r>
        <w:rPr>
          <w:spacing w:val="-15"/>
        </w:rPr>
        <w:t> </w:t>
      </w:r>
      <w:r>
        <w:rPr/>
        <w:t>la</w:t>
      </w:r>
      <w:r>
        <w:rPr>
          <w:spacing w:val="-13"/>
        </w:rPr>
        <w:t> </w:t>
      </w:r>
      <w:r>
        <w:rPr/>
        <w:t>acción</w:t>
      </w:r>
      <w:r>
        <w:rPr>
          <w:spacing w:val="-14"/>
        </w:rPr>
        <w:t> </w:t>
      </w:r>
      <w:r>
        <w:rPr/>
        <w:t>del</w:t>
      </w:r>
      <w:r>
        <w:rPr>
          <w:spacing w:val="-17"/>
        </w:rPr>
        <w:t> </w:t>
      </w:r>
      <w:r>
        <w:rPr/>
        <w:t>hombre</w:t>
      </w:r>
      <w:r>
        <w:rPr>
          <w:spacing w:val="-16"/>
        </w:rPr>
        <w:t> </w:t>
      </w:r>
      <w:r>
        <w:rPr/>
        <w:t>en</w:t>
      </w:r>
      <w:r>
        <w:rPr>
          <w:spacing w:val="-16"/>
        </w:rPr>
        <w:t> </w:t>
      </w:r>
      <w:r>
        <w:rPr/>
        <w:t>el</w:t>
      </w:r>
      <w:r>
        <w:rPr>
          <w:spacing w:val="-17"/>
        </w:rPr>
        <w:t> </w:t>
      </w:r>
      <w:r>
        <w:rPr/>
        <w:t>tiempo.</w:t>
      </w:r>
    </w:p>
    <w:p>
      <w:pPr>
        <w:pStyle w:val="BodyText"/>
        <w:spacing w:line="480" w:lineRule="auto" w:before="125"/>
        <w:ind w:left="102" w:right="116" w:firstLine="707"/>
        <w:jc w:val="both"/>
      </w:pPr>
      <w:r>
        <w:rPr/>
        <w:t>La intensidad de los problemas ambientales (biofísicos, sociales y económicos) que presentaron las unidades ambientales biofísicas fueron evaluadas cualitativamente en las siguientes categorías: muy alta, alta, media, baja y muy baja.</w:t>
      </w:r>
    </w:p>
    <w:p>
      <w:pPr>
        <w:pStyle w:val="BodyText"/>
        <w:spacing w:line="480" w:lineRule="auto" w:before="127"/>
        <w:ind w:left="102" w:right="114" w:firstLine="707"/>
        <w:jc w:val="both"/>
      </w:pPr>
      <w:r>
        <w:rPr/>
        <w:t>En el programa de ordenamiento ecológico general del territorio, se abordó la evaluación del estado del medio ambiente, sobre la base de los problemas de la gestión de los recursos, tales como la pérdida de potenciales naturales, el grado de deterioro de la vegetación (Sánchez Colón </w:t>
      </w:r>
      <w:r>
        <w:rPr>
          <w:i/>
        </w:rPr>
        <w:t>et al</w:t>
      </w:r>
      <w:r>
        <w:rPr/>
        <w:t>., 2008a, 2008b); la pérdida y degradación de los suelos (López García, 2008a, 2008b y 2008c); la extensión y distribución de los procesos de desertificación (Hernández Cerda, 2008a); y otros procesos degradantes. Además, se consideraron los problemas de integridad de la unidad regional (UAB), teniendo en cuenta el grado</w:t>
      </w:r>
      <w:r>
        <w:rPr>
          <w:spacing w:val="-12"/>
        </w:rPr>
        <w:t> </w:t>
      </w:r>
      <w:r>
        <w:rPr/>
        <w:t>de</w:t>
      </w:r>
      <w:r>
        <w:rPr>
          <w:spacing w:val="-15"/>
        </w:rPr>
        <w:t> </w:t>
      </w:r>
      <w:r>
        <w:rPr/>
        <w:t>desarticulación</w:t>
      </w:r>
      <w:r>
        <w:rPr>
          <w:spacing w:val="-15"/>
        </w:rPr>
        <w:t> </w:t>
      </w:r>
      <w:r>
        <w:rPr/>
        <w:t>de</w:t>
      </w:r>
      <w:r>
        <w:rPr>
          <w:spacing w:val="-12"/>
        </w:rPr>
        <w:t> </w:t>
      </w:r>
      <w:r>
        <w:rPr/>
        <w:t>la</w:t>
      </w:r>
      <w:r>
        <w:rPr>
          <w:spacing w:val="-12"/>
        </w:rPr>
        <w:t> </w:t>
      </w:r>
      <w:r>
        <w:rPr/>
        <w:t>estructura</w:t>
      </w:r>
      <w:r>
        <w:rPr>
          <w:spacing w:val="-14"/>
        </w:rPr>
        <w:t> </w:t>
      </w:r>
      <w:r>
        <w:rPr/>
        <w:t>y</w:t>
      </w:r>
      <w:r>
        <w:rPr>
          <w:spacing w:val="-15"/>
        </w:rPr>
        <w:t> </w:t>
      </w:r>
      <w:r>
        <w:rPr/>
        <w:t>del</w:t>
      </w:r>
      <w:r>
        <w:rPr>
          <w:spacing w:val="-16"/>
        </w:rPr>
        <w:t> </w:t>
      </w:r>
      <w:r>
        <w:rPr/>
        <w:t>funcionamiento</w:t>
      </w:r>
      <w:r>
        <w:rPr>
          <w:spacing w:val="-12"/>
        </w:rPr>
        <w:t> </w:t>
      </w:r>
      <w:r>
        <w:rPr/>
        <w:t>de</w:t>
      </w:r>
      <w:r>
        <w:rPr>
          <w:spacing w:val="-15"/>
        </w:rPr>
        <w:t> </w:t>
      </w:r>
      <w:r>
        <w:rPr/>
        <w:t>las</w:t>
      </w:r>
      <w:r>
        <w:rPr>
          <w:spacing w:val="-15"/>
        </w:rPr>
        <w:t> </w:t>
      </w:r>
      <w:r>
        <w:rPr/>
        <w:t>mismas,</w:t>
      </w:r>
      <w:r>
        <w:rPr>
          <w:spacing w:val="-12"/>
        </w:rPr>
        <w:t> </w:t>
      </w:r>
      <w:r>
        <w:rPr/>
        <w:t>y</w:t>
      </w:r>
      <w:r>
        <w:rPr>
          <w:spacing w:val="-15"/>
        </w:rPr>
        <w:t> </w:t>
      </w:r>
      <w:r>
        <w:rPr/>
        <w:t>de</w:t>
      </w:r>
      <w:r>
        <w:rPr>
          <w:spacing w:val="-15"/>
        </w:rPr>
        <w:t> </w:t>
      </w:r>
      <w:r>
        <w:rPr/>
        <w:t>la</w:t>
      </w:r>
      <w:r>
        <w:rPr>
          <w:spacing w:val="-12"/>
        </w:rPr>
        <w:t> </w:t>
      </w:r>
      <w:r>
        <w:rPr/>
        <w:t>alteración</w:t>
      </w:r>
    </w:p>
    <w:p>
      <w:pPr>
        <w:spacing w:after="0" w:line="480" w:lineRule="auto"/>
        <w:jc w:val="both"/>
        <w:sectPr>
          <w:pgSz w:w="12250" w:h="15850"/>
          <w:pgMar w:header="0" w:footer="759" w:top="1500" w:bottom="940" w:left="1600" w:right="1300"/>
        </w:sectPr>
      </w:pPr>
    </w:p>
    <w:p>
      <w:pPr>
        <w:pStyle w:val="BodyText"/>
        <w:spacing w:before="9"/>
        <w:rPr>
          <w:sz w:val="10"/>
        </w:rPr>
      </w:pPr>
    </w:p>
    <w:p>
      <w:pPr>
        <w:pStyle w:val="BodyText"/>
        <w:spacing w:line="480" w:lineRule="auto" w:before="73"/>
        <w:ind w:left="102" w:right="117"/>
        <w:jc w:val="both"/>
      </w:pPr>
      <w:r>
        <w:rPr/>
        <w:t>de su estructura territorial, que determinan el incumplimiento de sus funciones ambientales. En este sentido, el estado del medio ambiente determinó la clasificación de las UAB en las categorías siguientes:</w:t>
      </w:r>
    </w:p>
    <w:p>
      <w:pPr>
        <w:pStyle w:val="ListParagraph"/>
        <w:numPr>
          <w:ilvl w:val="0"/>
          <w:numId w:val="1"/>
        </w:numPr>
        <w:tabs>
          <w:tab w:pos="1067" w:val="left" w:leader="none"/>
        </w:tabs>
        <w:spacing w:line="480" w:lineRule="auto" w:before="127" w:after="0"/>
        <w:ind w:left="102" w:right="111" w:firstLine="708"/>
        <w:jc w:val="both"/>
        <w:rPr>
          <w:sz w:val="22"/>
        </w:rPr>
      </w:pPr>
      <w:r>
        <w:rPr>
          <w:sz w:val="22"/>
        </w:rPr>
        <w:t>Regiones (UAB) en estado estable: Aquellas que cumplen sus funciones socioeconómicas, conservando sus potencialidades naturales, sin pérdida o degradación de los componentes, manteniendo su estructura y funcionamiento, que permiten el aumento del nivel y la calidad de vida de la</w:t>
      </w:r>
      <w:r>
        <w:rPr>
          <w:spacing w:val="-13"/>
          <w:sz w:val="22"/>
        </w:rPr>
        <w:t> </w:t>
      </w:r>
      <w:r>
        <w:rPr>
          <w:sz w:val="22"/>
        </w:rPr>
        <w:t>población.</w:t>
      </w:r>
    </w:p>
    <w:p>
      <w:pPr>
        <w:pStyle w:val="ListParagraph"/>
        <w:numPr>
          <w:ilvl w:val="0"/>
          <w:numId w:val="1"/>
        </w:numPr>
        <w:tabs>
          <w:tab w:pos="1017" w:val="left" w:leader="none"/>
        </w:tabs>
        <w:spacing w:line="480" w:lineRule="auto" w:before="125" w:after="0"/>
        <w:ind w:left="102" w:right="112" w:firstLine="708"/>
        <w:jc w:val="both"/>
        <w:rPr>
          <w:sz w:val="22"/>
        </w:rPr>
      </w:pPr>
      <w:r>
        <w:rPr>
          <w:sz w:val="22"/>
        </w:rPr>
        <w:t>Regiones (UAB) en estado medianamente estable: Aquellas que cumplen sus funciones socioeconómicas, pero presentan evidencias de pérdida de sus potencialidades naturales y degradación de alguno de sus componentes, manteniendo su estructura y funcionamiento sin afectar el nivel y calidad de vida de la</w:t>
      </w:r>
      <w:r>
        <w:rPr>
          <w:spacing w:val="-16"/>
          <w:sz w:val="22"/>
        </w:rPr>
        <w:t> </w:t>
      </w:r>
      <w:r>
        <w:rPr>
          <w:sz w:val="22"/>
        </w:rPr>
        <w:t>población.</w:t>
      </w:r>
    </w:p>
    <w:p>
      <w:pPr>
        <w:pStyle w:val="ListParagraph"/>
        <w:numPr>
          <w:ilvl w:val="0"/>
          <w:numId w:val="1"/>
        </w:numPr>
        <w:tabs>
          <w:tab w:pos="981" w:val="left" w:leader="none"/>
        </w:tabs>
        <w:spacing w:line="480" w:lineRule="auto" w:before="127" w:after="0"/>
        <w:ind w:left="102" w:right="110" w:firstLine="708"/>
        <w:jc w:val="both"/>
        <w:rPr>
          <w:sz w:val="22"/>
        </w:rPr>
      </w:pPr>
      <w:r>
        <w:rPr>
          <w:sz w:val="22"/>
        </w:rPr>
        <w:t>Regiones (UAB) en estado inestable: Aquellas que comienzan a dejar de cumplir funciones socioeconómicas, con pérdida evidente de sus potencialidades naturales y presencia de procesos de degradación medios, con amenaza a la estabilidad de la estructura y funcionamiento, y afectaciones a la calidad y el nivel de vida de la</w:t>
      </w:r>
      <w:r>
        <w:rPr>
          <w:spacing w:val="-22"/>
          <w:sz w:val="22"/>
        </w:rPr>
        <w:t> </w:t>
      </w:r>
      <w:r>
        <w:rPr>
          <w:sz w:val="22"/>
        </w:rPr>
        <w:t>población.</w:t>
      </w:r>
    </w:p>
    <w:p>
      <w:pPr>
        <w:pStyle w:val="ListParagraph"/>
        <w:numPr>
          <w:ilvl w:val="0"/>
          <w:numId w:val="1"/>
        </w:numPr>
        <w:tabs>
          <w:tab w:pos="947" w:val="left" w:leader="none"/>
        </w:tabs>
        <w:spacing w:line="480" w:lineRule="auto" w:before="127" w:after="0"/>
        <w:ind w:left="102" w:right="112" w:firstLine="708"/>
        <w:jc w:val="both"/>
        <w:rPr>
          <w:sz w:val="22"/>
        </w:rPr>
      </w:pPr>
      <w:r>
        <w:rPr>
          <w:sz w:val="22"/>
        </w:rPr>
        <w:t>Regiones (UAB) en estado crítico: Aquellas que han dejado de cumplir sus</w:t>
      </w:r>
      <w:r>
        <w:rPr>
          <w:spacing w:val="-33"/>
          <w:sz w:val="22"/>
        </w:rPr>
        <w:t> </w:t>
      </w:r>
      <w:r>
        <w:rPr>
          <w:sz w:val="22"/>
        </w:rPr>
        <w:t>funciones socio económicas, con pérdida de las potencialidades naturales y presencia de intensos procesos de degradación de los componentes, aunque mantienen aun su estructura y funcionamiento, pero ha disminuido la calidad y el nivel de vida de la</w:t>
      </w:r>
      <w:r>
        <w:rPr>
          <w:spacing w:val="-20"/>
          <w:sz w:val="22"/>
        </w:rPr>
        <w:t> </w:t>
      </w:r>
      <w:r>
        <w:rPr>
          <w:sz w:val="22"/>
        </w:rPr>
        <w:t>población.</w:t>
      </w:r>
    </w:p>
    <w:p>
      <w:pPr>
        <w:pStyle w:val="ListParagraph"/>
        <w:numPr>
          <w:ilvl w:val="0"/>
          <w:numId w:val="1"/>
        </w:numPr>
        <w:tabs>
          <w:tab w:pos="938" w:val="left" w:leader="none"/>
        </w:tabs>
        <w:spacing w:line="480" w:lineRule="auto" w:before="127" w:after="0"/>
        <w:ind w:left="102" w:right="113" w:firstLine="708"/>
        <w:jc w:val="both"/>
        <w:rPr>
          <w:sz w:val="22"/>
        </w:rPr>
      </w:pPr>
      <w:r>
        <w:rPr>
          <w:sz w:val="22"/>
        </w:rPr>
        <w:t>Regiones</w:t>
      </w:r>
      <w:r>
        <w:rPr>
          <w:spacing w:val="-12"/>
          <w:sz w:val="22"/>
        </w:rPr>
        <w:t> </w:t>
      </w:r>
      <w:r>
        <w:rPr>
          <w:sz w:val="22"/>
        </w:rPr>
        <w:t>(UAB)</w:t>
      </w:r>
      <w:r>
        <w:rPr>
          <w:spacing w:val="-9"/>
          <w:sz w:val="22"/>
        </w:rPr>
        <w:t> </w:t>
      </w:r>
      <w:r>
        <w:rPr>
          <w:sz w:val="22"/>
        </w:rPr>
        <w:t>en</w:t>
      </w:r>
      <w:r>
        <w:rPr>
          <w:spacing w:val="-10"/>
          <w:sz w:val="22"/>
        </w:rPr>
        <w:t> </w:t>
      </w:r>
      <w:r>
        <w:rPr>
          <w:sz w:val="22"/>
        </w:rPr>
        <w:t>estado</w:t>
      </w:r>
      <w:r>
        <w:rPr>
          <w:spacing w:val="-10"/>
          <w:sz w:val="22"/>
        </w:rPr>
        <w:t> </w:t>
      </w:r>
      <w:r>
        <w:rPr>
          <w:sz w:val="22"/>
        </w:rPr>
        <w:t>muy</w:t>
      </w:r>
      <w:r>
        <w:rPr>
          <w:spacing w:val="-13"/>
          <w:sz w:val="22"/>
        </w:rPr>
        <w:t> </w:t>
      </w:r>
      <w:r>
        <w:rPr>
          <w:sz w:val="22"/>
        </w:rPr>
        <w:t>crítico:</w:t>
      </w:r>
      <w:r>
        <w:rPr>
          <w:spacing w:val="-9"/>
          <w:sz w:val="22"/>
        </w:rPr>
        <w:t> </w:t>
      </w:r>
      <w:r>
        <w:rPr>
          <w:sz w:val="22"/>
        </w:rPr>
        <w:t>Aquellas</w:t>
      </w:r>
      <w:r>
        <w:rPr>
          <w:spacing w:val="-13"/>
          <w:sz w:val="22"/>
        </w:rPr>
        <w:t> </w:t>
      </w:r>
      <w:r>
        <w:rPr>
          <w:sz w:val="22"/>
        </w:rPr>
        <w:t>en</w:t>
      </w:r>
      <w:r>
        <w:rPr>
          <w:spacing w:val="-10"/>
          <w:sz w:val="22"/>
        </w:rPr>
        <w:t> </w:t>
      </w:r>
      <w:r>
        <w:rPr>
          <w:sz w:val="22"/>
        </w:rPr>
        <w:t>que</w:t>
      </w:r>
      <w:r>
        <w:rPr>
          <w:spacing w:val="-13"/>
          <w:sz w:val="22"/>
        </w:rPr>
        <w:t> </w:t>
      </w:r>
      <w:r>
        <w:rPr>
          <w:sz w:val="22"/>
        </w:rPr>
        <w:t>ha</w:t>
      </w:r>
      <w:r>
        <w:rPr>
          <w:spacing w:val="-10"/>
          <w:sz w:val="22"/>
        </w:rPr>
        <w:t> </w:t>
      </w:r>
      <w:r>
        <w:rPr>
          <w:sz w:val="22"/>
        </w:rPr>
        <w:t>sido</w:t>
      </w:r>
      <w:r>
        <w:rPr>
          <w:spacing w:val="-10"/>
          <w:sz w:val="22"/>
        </w:rPr>
        <w:t> </w:t>
      </w:r>
      <w:r>
        <w:rPr>
          <w:sz w:val="22"/>
        </w:rPr>
        <w:t>alterada</w:t>
      </w:r>
      <w:r>
        <w:rPr>
          <w:spacing w:val="-15"/>
          <w:sz w:val="22"/>
        </w:rPr>
        <w:t> </w:t>
      </w:r>
      <w:r>
        <w:rPr>
          <w:sz w:val="22"/>
        </w:rPr>
        <w:t>su</w:t>
      </w:r>
      <w:r>
        <w:rPr>
          <w:spacing w:val="-10"/>
          <w:sz w:val="22"/>
        </w:rPr>
        <w:t> </w:t>
      </w:r>
      <w:r>
        <w:rPr>
          <w:sz w:val="22"/>
        </w:rPr>
        <w:t>estructura y funcionamiento, con pérdida de sus potencialidades naturales, degradación de sus componentes, de manera tal, que no pueden cumplir las funciones socioeconómicas asignadas, ni permiten sostener la calidad de vida de la</w:t>
      </w:r>
      <w:r>
        <w:rPr>
          <w:spacing w:val="-16"/>
          <w:sz w:val="22"/>
        </w:rPr>
        <w:t> </w:t>
      </w:r>
      <w:r>
        <w:rPr>
          <w:sz w:val="22"/>
        </w:rPr>
        <w:t>población.</w:t>
      </w:r>
    </w:p>
    <w:p>
      <w:pPr>
        <w:spacing w:after="0" w:line="480" w:lineRule="auto"/>
        <w:jc w:val="both"/>
        <w:rPr>
          <w:sz w:val="22"/>
        </w:rPr>
        <w:sectPr>
          <w:pgSz w:w="12250" w:h="15850"/>
          <w:pgMar w:header="0" w:footer="759" w:top="1500" w:bottom="940" w:left="1600" w:right="1300"/>
        </w:sectPr>
      </w:pPr>
    </w:p>
    <w:p>
      <w:pPr>
        <w:pStyle w:val="BodyText"/>
        <w:spacing w:before="9"/>
        <w:rPr>
          <w:sz w:val="10"/>
        </w:rPr>
      </w:pPr>
    </w:p>
    <w:p>
      <w:pPr>
        <w:pStyle w:val="BodyText"/>
        <w:spacing w:line="480" w:lineRule="auto" w:before="73"/>
        <w:ind w:left="102" w:right="112" w:firstLine="707"/>
        <w:jc w:val="both"/>
      </w:pPr>
      <w:r>
        <w:rPr/>
        <w:t>Para este fin, uno de los análisis empleados para la determinación del escenario contextual (estado actual del medio ambiente) fue la interpretación espacial de diferentes indicadores biofísicos (4), de modificación antropogénica (4), sociales (5) y económicos (3), obtenidos en las etapas I y II del presente proyecto del Programa de Ordenamiento Ecológico General del Territorio (POEGT) y del Nuevo Atlas Nacional de México (2007). Estos indicadores, con expresión cartográfica a nivel de unidad ambiental biofísica (145 unidades) fueron obtenidos de los cruces automatizados de los mapas temáticos con las unidades mencionadas, con el empleo del SIG Arc Gis, v. 9.3. La selección de los valores de los indicadores para cada unidad ambiental biofísica partió, en general, del valor espacialmente preponderante del indicador en dicha unidad. En algunos casos, el análisis incluyó una interpretación valorativa con respecto a la influencia de una cualidad social o económica y el peso que pudiera tener o no dentro de cada una de las 145 unidades ambientales biofísicas. A continuación se presentan los indicadores más representativos utilizados para el análisis geoecológico del estado actual del medio ambiente (escenario contextual):</w:t>
      </w:r>
    </w:p>
    <w:p>
      <w:pPr>
        <w:pStyle w:val="ListParagraph"/>
        <w:numPr>
          <w:ilvl w:val="0"/>
          <w:numId w:val="1"/>
        </w:numPr>
        <w:tabs>
          <w:tab w:pos="947" w:val="left" w:leader="none"/>
        </w:tabs>
        <w:spacing w:line="240" w:lineRule="auto" w:before="127" w:after="0"/>
        <w:ind w:left="946" w:right="0" w:hanging="136"/>
        <w:jc w:val="left"/>
        <w:rPr>
          <w:sz w:val="22"/>
        </w:rPr>
      </w:pPr>
      <w:r>
        <w:rPr>
          <w:sz w:val="22"/>
          <w:u w:val="single"/>
        </w:rPr>
        <w:t>Uso de suelo</w:t>
      </w:r>
      <w:r>
        <w:rPr>
          <w:sz w:val="22"/>
        </w:rPr>
        <w:t>: Para la caracterización de este indicador se tomó la información</w:t>
      </w:r>
      <w:r>
        <w:rPr>
          <w:spacing w:val="-11"/>
          <w:sz w:val="22"/>
        </w:rPr>
        <w:t> </w:t>
      </w:r>
      <w:r>
        <w:rPr>
          <w:sz w:val="22"/>
        </w:rPr>
        <w:t>sobre</w:t>
      </w:r>
    </w:p>
    <w:p>
      <w:pPr>
        <w:pStyle w:val="BodyText"/>
        <w:spacing w:before="8"/>
        <w:rPr>
          <w:sz w:val="15"/>
        </w:rPr>
      </w:pPr>
    </w:p>
    <w:p>
      <w:pPr>
        <w:pStyle w:val="BodyText"/>
        <w:spacing w:line="480" w:lineRule="auto" w:before="73"/>
        <w:ind w:left="102" w:right="112"/>
        <w:jc w:val="both"/>
      </w:pPr>
      <w:r>
        <w:rPr/>
        <w:t>uso de suelo, de los mapas “Grados de deterioro de la vegetación” (Sánchez Colón </w:t>
      </w:r>
      <w:r>
        <w:rPr>
          <w:i/>
        </w:rPr>
        <w:t>et al</w:t>
      </w:r>
      <w:r>
        <w:rPr/>
        <w:t>., 2008a) y “Áreas con degradación de la cubierta vegetal” (Sánchez Colón </w:t>
      </w:r>
      <w:r>
        <w:rPr>
          <w:i/>
        </w:rPr>
        <w:t>et al</w:t>
      </w:r>
      <w:r>
        <w:rPr/>
        <w:t>., 2008b), los cuales fueron correlacionados con el mapa de unidades ambientales biofísicas (145 UAB) y se reclasificó su leyenda, quedando agrupada de la manera siguiente (Tabla 1).</w:t>
      </w:r>
    </w:p>
    <w:p>
      <w:pPr>
        <w:spacing w:before="125"/>
        <w:ind w:left="1911" w:right="13" w:firstLine="0"/>
        <w:jc w:val="left"/>
        <w:rPr>
          <w:b/>
          <w:sz w:val="20"/>
        </w:rPr>
      </w:pPr>
      <w:r>
        <w:rPr>
          <w:b/>
          <w:sz w:val="20"/>
        </w:rPr>
        <w:t>Tabla 1. Leyenda original y reclasificada del uso del suelo</w:t>
      </w:r>
    </w:p>
    <w:p>
      <w:pPr>
        <w:pStyle w:val="BodyText"/>
        <w:spacing w:before="10"/>
        <w:rPr>
          <w:b/>
          <w:sz w:val="10"/>
        </w:rPr>
      </w:pPr>
    </w:p>
    <w:tbl>
      <w:tblPr>
        <w:tblW w:w="0" w:type="auto"/>
        <w:jc w:val="left"/>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74"/>
        <w:gridCol w:w="3591"/>
        <w:gridCol w:w="1217"/>
      </w:tblGrid>
      <w:tr>
        <w:trPr>
          <w:trHeight w:val="931" w:hRule="exact"/>
        </w:trPr>
        <w:tc>
          <w:tcPr>
            <w:tcW w:w="3874" w:type="dxa"/>
          </w:tcPr>
          <w:p>
            <w:pPr>
              <w:pStyle w:val="TableParagraph"/>
              <w:spacing w:line="240" w:lineRule="auto"/>
              <w:ind w:left="1281" w:right="69" w:hanging="1196"/>
              <w:rPr>
                <w:b/>
                <w:sz w:val="20"/>
              </w:rPr>
            </w:pPr>
            <w:r>
              <w:rPr>
                <w:b/>
                <w:sz w:val="20"/>
              </w:rPr>
              <w:t>Leyenda original (Sánchez Colón </w:t>
            </w:r>
            <w:r>
              <w:rPr>
                <w:i/>
                <w:sz w:val="20"/>
              </w:rPr>
              <w:t>et al</w:t>
            </w:r>
            <w:r>
              <w:rPr>
                <w:b/>
                <w:sz w:val="20"/>
              </w:rPr>
              <w:t>., 2008a, 2008b)</w:t>
            </w:r>
          </w:p>
        </w:tc>
        <w:tc>
          <w:tcPr>
            <w:tcW w:w="3591" w:type="dxa"/>
          </w:tcPr>
          <w:p>
            <w:pPr>
              <w:pStyle w:val="TableParagraph"/>
              <w:spacing w:line="240" w:lineRule="auto"/>
              <w:ind w:left="261" w:right="265" w:firstLine="1"/>
              <w:jc w:val="center"/>
              <w:rPr>
                <w:b/>
                <w:sz w:val="20"/>
              </w:rPr>
            </w:pPr>
            <w:r>
              <w:rPr>
                <w:b/>
                <w:sz w:val="20"/>
              </w:rPr>
              <w:t>Leyenda reclasificada para la evaluación del estado actual</w:t>
            </w:r>
            <w:r>
              <w:rPr>
                <w:b/>
                <w:spacing w:val="-9"/>
                <w:sz w:val="20"/>
              </w:rPr>
              <w:t> </w:t>
            </w:r>
            <w:r>
              <w:rPr>
                <w:b/>
                <w:sz w:val="20"/>
              </w:rPr>
              <w:t>del medio</w:t>
            </w:r>
            <w:r>
              <w:rPr>
                <w:b/>
                <w:spacing w:val="-7"/>
                <w:sz w:val="20"/>
              </w:rPr>
              <w:t> </w:t>
            </w:r>
            <w:r>
              <w:rPr>
                <w:b/>
                <w:sz w:val="20"/>
              </w:rPr>
              <w:t>ambiente</w:t>
            </w:r>
          </w:p>
        </w:tc>
        <w:tc>
          <w:tcPr>
            <w:tcW w:w="1217" w:type="dxa"/>
          </w:tcPr>
          <w:p>
            <w:pPr>
              <w:pStyle w:val="TableParagraph"/>
              <w:spacing w:line="225" w:lineRule="exact"/>
              <w:ind w:left="44" w:right="44"/>
              <w:jc w:val="center"/>
              <w:rPr>
                <w:b/>
                <w:sz w:val="20"/>
              </w:rPr>
            </w:pPr>
            <w:r>
              <w:rPr>
                <w:b/>
                <w:sz w:val="20"/>
              </w:rPr>
              <w:t>Simbología</w:t>
            </w:r>
          </w:p>
        </w:tc>
      </w:tr>
      <w:tr>
        <w:trPr>
          <w:trHeight w:val="324" w:hRule="exact"/>
        </w:trPr>
        <w:tc>
          <w:tcPr>
            <w:tcW w:w="3874" w:type="dxa"/>
          </w:tcPr>
          <w:p>
            <w:pPr>
              <w:pStyle w:val="TableParagraph"/>
              <w:spacing w:line="240" w:lineRule="auto" w:before="81"/>
              <w:ind w:left="64" w:right="69"/>
              <w:rPr>
                <w:sz w:val="20"/>
              </w:rPr>
            </w:pPr>
            <w:r>
              <w:rPr>
                <w:sz w:val="20"/>
              </w:rPr>
              <w:t>AG= Agricultura</w:t>
            </w:r>
          </w:p>
        </w:tc>
        <w:tc>
          <w:tcPr>
            <w:tcW w:w="3591" w:type="dxa"/>
          </w:tcPr>
          <w:p>
            <w:pPr>
              <w:pStyle w:val="TableParagraph"/>
              <w:spacing w:line="240" w:lineRule="auto" w:before="81"/>
              <w:ind w:left="64" w:right="240"/>
              <w:rPr>
                <w:sz w:val="20"/>
              </w:rPr>
            </w:pPr>
            <w:r>
              <w:rPr>
                <w:sz w:val="20"/>
              </w:rPr>
              <w:t>Agricultura: AG</w:t>
            </w:r>
          </w:p>
        </w:tc>
        <w:tc>
          <w:tcPr>
            <w:tcW w:w="1217" w:type="dxa"/>
          </w:tcPr>
          <w:p>
            <w:pPr>
              <w:pStyle w:val="TableParagraph"/>
              <w:spacing w:line="240" w:lineRule="auto" w:before="81"/>
              <w:ind w:left="42" w:right="44"/>
              <w:jc w:val="center"/>
              <w:rPr>
                <w:sz w:val="20"/>
              </w:rPr>
            </w:pPr>
            <w:r>
              <w:rPr>
                <w:sz w:val="20"/>
              </w:rPr>
              <w:t>AG</w:t>
            </w:r>
          </w:p>
        </w:tc>
      </w:tr>
      <w:tr>
        <w:trPr>
          <w:trHeight w:val="324" w:hRule="exact"/>
        </w:trPr>
        <w:tc>
          <w:tcPr>
            <w:tcW w:w="3874" w:type="dxa"/>
          </w:tcPr>
          <w:p>
            <w:pPr>
              <w:pStyle w:val="TableParagraph"/>
              <w:spacing w:line="240" w:lineRule="auto" w:before="83"/>
              <w:ind w:left="64" w:right="69"/>
              <w:rPr>
                <w:sz w:val="20"/>
              </w:rPr>
            </w:pPr>
            <w:r>
              <w:rPr>
                <w:sz w:val="20"/>
              </w:rPr>
              <w:t>BC= Bosque de coníferas</w:t>
            </w:r>
          </w:p>
        </w:tc>
        <w:tc>
          <w:tcPr>
            <w:tcW w:w="3591" w:type="dxa"/>
          </w:tcPr>
          <w:p>
            <w:pPr>
              <w:pStyle w:val="TableParagraph"/>
              <w:spacing w:line="240" w:lineRule="auto" w:before="83"/>
              <w:ind w:left="64" w:right="240"/>
              <w:rPr>
                <w:sz w:val="20"/>
              </w:rPr>
            </w:pPr>
            <w:r>
              <w:rPr>
                <w:sz w:val="20"/>
              </w:rPr>
              <w:t>Forestal: BC, BT, SH, SSH</w:t>
            </w:r>
          </w:p>
        </w:tc>
        <w:tc>
          <w:tcPr>
            <w:tcW w:w="1217" w:type="dxa"/>
          </w:tcPr>
          <w:p>
            <w:pPr>
              <w:pStyle w:val="TableParagraph"/>
              <w:spacing w:line="240" w:lineRule="auto" w:before="83"/>
              <w:jc w:val="center"/>
              <w:rPr>
                <w:sz w:val="20"/>
              </w:rPr>
            </w:pPr>
            <w:r>
              <w:rPr>
                <w:w w:val="99"/>
                <w:sz w:val="20"/>
              </w:rPr>
              <w:t>F</w:t>
            </w:r>
          </w:p>
        </w:tc>
      </w:tr>
      <w:tr>
        <w:trPr>
          <w:trHeight w:val="326" w:hRule="exact"/>
        </w:trPr>
        <w:tc>
          <w:tcPr>
            <w:tcW w:w="3874" w:type="dxa"/>
          </w:tcPr>
          <w:p>
            <w:pPr>
              <w:pStyle w:val="TableParagraph"/>
              <w:spacing w:line="240" w:lineRule="auto" w:before="83"/>
              <w:ind w:left="64" w:right="69"/>
              <w:rPr>
                <w:sz w:val="20"/>
              </w:rPr>
            </w:pPr>
            <w:r>
              <w:rPr>
                <w:sz w:val="20"/>
              </w:rPr>
              <w:t>BT= Bosque templado</w:t>
            </w:r>
          </w:p>
        </w:tc>
        <w:tc>
          <w:tcPr>
            <w:tcW w:w="3591" w:type="dxa"/>
          </w:tcPr>
          <w:p>
            <w:pPr>
              <w:pStyle w:val="TableParagraph"/>
              <w:spacing w:line="240" w:lineRule="auto" w:before="83"/>
              <w:ind w:left="64" w:right="240"/>
              <w:rPr>
                <w:sz w:val="20"/>
              </w:rPr>
            </w:pPr>
            <w:r>
              <w:rPr>
                <w:sz w:val="20"/>
              </w:rPr>
              <w:t>Pecuario: PC, PI, AC</w:t>
            </w:r>
          </w:p>
        </w:tc>
        <w:tc>
          <w:tcPr>
            <w:tcW w:w="1217" w:type="dxa"/>
          </w:tcPr>
          <w:p>
            <w:pPr>
              <w:pStyle w:val="TableParagraph"/>
              <w:spacing w:line="240" w:lineRule="auto" w:before="83"/>
              <w:ind w:right="1"/>
              <w:jc w:val="center"/>
              <w:rPr>
                <w:sz w:val="20"/>
              </w:rPr>
            </w:pPr>
            <w:r>
              <w:rPr>
                <w:w w:val="99"/>
                <w:sz w:val="20"/>
              </w:rPr>
              <w:t>P</w:t>
            </w:r>
          </w:p>
        </w:tc>
      </w:tr>
      <w:tr>
        <w:trPr>
          <w:trHeight w:val="470" w:hRule="exact"/>
        </w:trPr>
        <w:tc>
          <w:tcPr>
            <w:tcW w:w="3874" w:type="dxa"/>
          </w:tcPr>
          <w:p>
            <w:pPr>
              <w:pStyle w:val="TableParagraph"/>
              <w:spacing w:line="240" w:lineRule="auto" w:before="9"/>
              <w:rPr>
                <w:b/>
                <w:sz w:val="19"/>
              </w:rPr>
            </w:pPr>
          </w:p>
          <w:p>
            <w:pPr>
              <w:pStyle w:val="TableParagraph"/>
              <w:spacing w:line="240" w:lineRule="auto"/>
              <w:ind w:left="64" w:right="69"/>
              <w:rPr>
                <w:sz w:val="20"/>
              </w:rPr>
            </w:pPr>
            <w:r>
              <w:rPr>
                <w:sz w:val="20"/>
              </w:rPr>
              <w:t>AC= Agricultura con actividad pecuaria</w:t>
            </w:r>
          </w:p>
        </w:tc>
        <w:tc>
          <w:tcPr>
            <w:tcW w:w="3591" w:type="dxa"/>
          </w:tcPr>
          <w:p>
            <w:pPr>
              <w:pStyle w:val="TableParagraph"/>
              <w:spacing w:line="240" w:lineRule="auto"/>
              <w:ind w:left="64" w:right="240"/>
              <w:rPr>
                <w:sz w:val="20"/>
              </w:rPr>
            </w:pPr>
            <w:r>
              <w:rPr>
                <w:sz w:val="20"/>
              </w:rPr>
              <w:t>Otros tipos de vegetación: OTV, MX. PZ</w:t>
            </w:r>
          </w:p>
        </w:tc>
        <w:tc>
          <w:tcPr>
            <w:tcW w:w="1217" w:type="dxa"/>
          </w:tcPr>
          <w:p>
            <w:pPr>
              <w:pStyle w:val="TableParagraph"/>
              <w:spacing w:line="240" w:lineRule="auto" w:before="9"/>
              <w:rPr>
                <w:b/>
                <w:sz w:val="19"/>
              </w:rPr>
            </w:pPr>
          </w:p>
          <w:p>
            <w:pPr>
              <w:pStyle w:val="TableParagraph"/>
              <w:spacing w:line="240" w:lineRule="auto"/>
              <w:ind w:left="44" w:right="42"/>
              <w:jc w:val="center"/>
              <w:rPr>
                <w:sz w:val="20"/>
              </w:rPr>
            </w:pPr>
            <w:r>
              <w:rPr>
                <w:sz w:val="20"/>
              </w:rPr>
              <w:t>OTV</w:t>
            </w:r>
          </w:p>
        </w:tc>
      </w:tr>
    </w:tbl>
    <w:p>
      <w:pPr>
        <w:spacing w:after="0" w:line="240" w:lineRule="auto"/>
        <w:jc w:val="center"/>
        <w:rPr>
          <w:sz w:val="20"/>
        </w:rPr>
        <w:sectPr>
          <w:pgSz w:w="12250" w:h="15850"/>
          <w:pgMar w:header="0" w:footer="759" w:top="1500" w:bottom="940" w:left="1600" w:right="1300"/>
        </w:sectPr>
      </w:pPr>
    </w:p>
    <w:p>
      <w:pPr>
        <w:pStyle w:val="BodyText"/>
        <w:spacing w:before="10" w:after="1"/>
        <w:rPr>
          <w:b/>
          <w:sz w:val="16"/>
        </w:rPr>
      </w:pPr>
    </w:p>
    <w:tbl>
      <w:tblPr>
        <w:tblW w:w="0" w:type="auto"/>
        <w:jc w:val="left"/>
        <w:tblInd w:w="3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74"/>
        <w:gridCol w:w="3591"/>
        <w:gridCol w:w="1217"/>
      </w:tblGrid>
      <w:tr>
        <w:trPr>
          <w:trHeight w:val="319" w:hRule="exact"/>
        </w:trPr>
        <w:tc>
          <w:tcPr>
            <w:tcW w:w="3874" w:type="dxa"/>
            <w:tcBorders>
              <w:left w:val="single" w:sz="4" w:space="0" w:color="000000"/>
              <w:bottom w:val="single" w:sz="4" w:space="0" w:color="000000"/>
              <w:right w:val="single" w:sz="4" w:space="0" w:color="000000"/>
            </w:tcBorders>
          </w:tcPr>
          <w:p>
            <w:pPr>
              <w:pStyle w:val="TableParagraph"/>
              <w:spacing w:line="240" w:lineRule="auto" w:before="81"/>
              <w:ind w:left="64" w:right="69"/>
              <w:rPr>
                <w:sz w:val="20"/>
              </w:rPr>
            </w:pPr>
            <w:r>
              <w:rPr>
                <w:sz w:val="20"/>
              </w:rPr>
              <w:t>MX= Matorral Xerófilo</w:t>
            </w:r>
          </w:p>
        </w:tc>
        <w:tc>
          <w:tcPr>
            <w:tcW w:w="3591" w:type="dxa"/>
            <w:tcBorders>
              <w:left w:val="single" w:sz="4" w:space="0" w:color="000000"/>
              <w:bottom w:val="single" w:sz="4" w:space="0" w:color="000000"/>
              <w:right w:val="single" w:sz="4" w:space="0" w:color="000000"/>
            </w:tcBorders>
          </w:tcPr>
          <w:p>
            <w:pPr/>
          </w:p>
        </w:tc>
        <w:tc>
          <w:tcPr>
            <w:tcW w:w="1217" w:type="dxa"/>
            <w:tcBorders>
              <w:left w:val="single" w:sz="4" w:space="0" w:color="000000"/>
              <w:bottom w:val="single" w:sz="4" w:space="0" w:color="000000"/>
              <w:right w:val="single" w:sz="4" w:space="0" w:color="000000"/>
            </w:tcBorders>
          </w:tcPr>
          <w:p>
            <w:pPr/>
          </w:p>
        </w:tc>
      </w:tr>
      <w:tr>
        <w:trPr>
          <w:trHeight w:val="324" w:hRule="exact"/>
        </w:trPr>
        <w:tc>
          <w:tcPr>
            <w:tcW w:w="387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83"/>
              <w:ind w:left="64" w:right="69"/>
              <w:rPr>
                <w:sz w:val="20"/>
              </w:rPr>
            </w:pPr>
            <w:r>
              <w:rPr>
                <w:sz w:val="20"/>
              </w:rPr>
              <w:t>OTV= Otros tipos de Vegetación</w:t>
            </w:r>
          </w:p>
        </w:tc>
        <w:tc>
          <w:tcPr>
            <w:tcW w:w="3591" w:type="dxa"/>
            <w:tcBorders>
              <w:top w:val="single" w:sz="4" w:space="0" w:color="000000"/>
              <w:left w:val="single" w:sz="4" w:space="0" w:color="000000"/>
              <w:bottom w:val="single" w:sz="4" w:space="0" w:color="000000"/>
              <w:right w:val="single" w:sz="4" w:space="0" w:color="000000"/>
            </w:tcBorders>
          </w:tcPr>
          <w:p>
            <w:pPr/>
          </w:p>
        </w:tc>
        <w:tc>
          <w:tcPr>
            <w:tcW w:w="1217" w:type="dxa"/>
            <w:tcBorders>
              <w:top w:val="single" w:sz="4" w:space="0" w:color="000000"/>
              <w:left w:val="single" w:sz="4" w:space="0" w:color="000000"/>
              <w:bottom w:val="single" w:sz="4" w:space="0" w:color="000000"/>
              <w:right w:val="single" w:sz="4" w:space="0" w:color="000000"/>
            </w:tcBorders>
          </w:tcPr>
          <w:p>
            <w:pPr/>
          </w:p>
        </w:tc>
      </w:tr>
      <w:tr>
        <w:trPr>
          <w:trHeight w:val="326" w:hRule="exact"/>
        </w:trPr>
        <w:tc>
          <w:tcPr>
            <w:tcW w:w="387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83"/>
              <w:ind w:left="64" w:right="69"/>
              <w:rPr>
                <w:sz w:val="20"/>
              </w:rPr>
            </w:pPr>
            <w:r>
              <w:rPr>
                <w:sz w:val="20"/>
              </w:rPr>
              <w:t>PC= Pastizal Cultivado</w:t>
            </w:r>
          </w:p>
        </w:tc>
        <w:tc>
          <w:tcPr>
            <w:tcW w:w="3591" w:type="dxa"/>
            <w:tcBorders>
              <w:top w:val="single" w:sz="4" w:space="0" w:color="000000"/>
              <w:left w:val="single" w:sz="4" w:space="0" w:color="000000"/>
              <w:bottom w:val="single" w:sz="4" w:space="0" w:color="000000"/>
              <w:right w:val="single" w:sz="4" w:space="0" w:color="000000"/>
            </w:tcBorders>
          </w:tcPr>
          <w:p>
            <w:pPr/>
          </w:p>
        </w:tc>
        <w:tc>
          <w:tcPr>
            <w:tcW w:w="1217" w:type="dxa"/>
            <w:tcBorders>
              <w:top w:val="single" w:sz="4" w:space="0" w:color="000000"/>
              <w:left w:val="single" w:sz="4" w:space="0" w:color="000000"/>
              <w:bottom w:val="single" w:sz="4" w:space="0" w:color="000000"/>
              <w:right w:val="single" w:sz="4" w:space="0" w:color="000000"/>
            </w:tcBorders>
          </w:tcPr>
          <w:p>
            <w:pPr/>
          </w:p>
        </w:tc>
      </w:tr>
      <w:tr>
        <w:trPr>
          <w:trHeight w:val="341" w:hRule="exact"/>
        </w:trPr>
        <w:tc>
          <w:tcPr>
            <w:tcW w:w="387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98"/>
              <w:ind w:left="64" w:right="69"/>
              <w:rPr>
                <w:sz w:val="20"/>
              </w:rPr>
            </w:pPr>
            <w:r>
              <w:rPr>
                <w:sz w:val="20"/>
              </w:rPr>
              <w:t>PI= Pastizal Inducido</w:t>
            </w:r>
          </w:p>
        </w:tc>
        <w:tc>
          <w:tcPr>
            <w:tcW w:w="3591" w:type="dxa"/>
            <w:tcBorders>
              <w:top w:val="single" w:sz="4" w:space="0" w:color="000000"/>
              <w:left w:val="single" w:sz="4" w:space="0" w:color="000000"/>
              <w:bottom w:val="single" w:sz="4" w:space="0" w:color="000000"/>
              <w:right w:val="single" w:sz="4" w:space="0" w:color="000000"/>
            </w:tcBorders>
          </w:tcPr>
          <w:p>
            <w:pPr/>
          </w:p>
        </w:tc>
        <w:tc>
          <w:tcPr>
            <w:tcW w:w="1217" w:type="dxa"/>
            <w:tcBorders>
              <w:top w:val="single" w:sz="4" w:space="0" w:color="000000"/>
              <w:left w:val="single" w:sz="4" w:space="0" w:color="000000"/>
              <w:bottom w:val="single" w:sz="4" w:space="0" w:color="000000"/>
              <w:right w:val="single" w:sz="4" w:space="0" w:color="000000"/>
            </w:tcBorders>
          </w:tcPr>
          <w:p>
            <w:pPr/>
          </w:p>
        </w:tc>
      </w:tr>
      <w:tr>
        <w:trPr>
          <w:trHeight w:val="324" w:hRule="exact"/>
        </w:trPr>
        <w:tc>
          <w:tcPr>
            <w:tcW w:w="387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81"/>
              <w:ind w:left="64" w:right="69"/>
              <w:rPr>
                <w:sz w:val="20"/>
              </w:rPr>
            </w:pPr>
            <w:r>
              <w:rPr>
                <w:sz w:val="20"/>
              </w:rPr>
              <w:t>PZ= Pastizales</w:t>
            </w:r>
          </w:p>
        </w:tc>
        <w:tc>
          <w:tcPr>
            <w:tcW w:w="3591" w:type="dxa"/>
            <w:tcBorders>
              <w:top w:val="single" w:sz="4" w:space="0" w:color="000000"/>
              <w:left w:val="single" w:sz="4" w:space="0" w:color="000000"/>
              <w:bottom w:val="single" w:sz="4" w:space="0" w:color="000000"/>
              <w:right w:val="single" w:sz="4" w:space="0" w:color="000000"/>
            </w:tcBorders>
          </w:tcPr>
          <w:p>
            <w:pPr/>
          </w:p>
        </w:tc>
        <w:tc>
          <w:tcPr>
            <w:tcW w:w="1217" w:type="dxa"/>
            <w:tcBorders>
              <w:top w:val="single" w:sz="4" w:space="0" w:color="000000"/>
              <w:left w:val="single" w:sz="4" w:space="0" w:color="000000"/>
              <w:bottom w:val="single" w:sz="4" w:space="0" w:color="000000"/>
              <w:right w:val="single" w:sz="4" w:space="0" w:color="000000"/>
            </w:tcBorders>
          </w:tcPr>
          <w:p>
            <w:pPr/>
          </w:p>
        </w:tc>
      </w:tr>
      <w:tr>
        <w:trPr>
          <w:trHeight w:val="324" w:hRule="exact"/>
        </w:trPr>
        <w:tc>
          <w:tcPr>
            <w:tcW w:w="387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83"/>
              <w:ind w:left="64" w:right="69"/>
              <w:rPr>
                <w:sz w:val="20"/>
              </w:rPr>
            </w:pPr>
            <w:r>
              <w:rPr>
                <w:sz w:val="20"/>
              </w:rPr>
              <w:t>SH= Selva Húmeda</w:t>
            </w:r>
          </w:p>
        </w:tc>
        <w:tc>
          <w:tcPr>
            <w:tcW w:w="3591" w:type="dxa"/>
            <w:tcBorders>
              <w:top w:val="single" w:sz="4" w:space="0" w:color="000000"/>
              <w:left w:val="single" w:sz="4" w:space="0" w:color="000000"/>
              <w:bottom w:val="single" w:sz="4" w:space="0" w:color="000000"/>
              <w:right w:val="single" w:sz="4" w:space="0" w:color="000000"/>
            </w:tcBorders>
          </w:tcPr>
          <w:p>
            <w:pPr/>
          </w:p>
        </w:tc>
        <w:tc>
          <w:tcPr>
            <w:tcW w:w="1217" w:type="dxa"/>
            <w:tcBorders>
              <w:top w:val="single" w:sz="4" w:space="0" w:color="000000"/>
              <w:left w:val="single" w:sz="4" w:space="0" w:color="000000"/>
              <w:bottom w:val="single" w:sz="4" w:space="0" w:color="000000"/>
              <w:right w:val="single" w:sz="4" w:space="0" w:color="000000"/>
            </w:tcBorders>
          </w:tcPr>
          <w:p>
            <w:pPr/>
          </w:p>
        </w:tc>
      </w:tr>
      <w:tr>
        <w:trPr>
          <w:trHeight w:val="326" w:hRule="exact"/>
        </w:trPr>
        <w:tc>
          <w:tcPr>
            <w:tcW w:w="387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83"/>
              <w:ind w:left="64" w:right="69"/>
              <w:rPr>
                <w:sz w:val="20"/>
              </w:rPr>
            </w:pPr>
            <w:r>
              <w:rPr>
                <w:sz w:val="20"/>
              </w:rPr>
              <w:t>SSH= Selva Subhúmeda</w:t>
            </w:r>
          </w:p>
        </w:tc>
        <w:tc>
          <w:tcPr>
            <w:tcW w:w="3591" w:type="dxa"/>
            <w:tcBorders>
              <w:top w:val="single" w:sz="4" w:space="0" w:color="000000"/>
              <w:left w:val="single" w:sz="4" w:space="0" w:color="000000"/>
              <w:bottom w:val="single" w:sz="4" w:space="0" w:color="000000"/>
              <w:right w:val="single" w:sz="4" w:space="0" w:color="000000"/>
            </w:tcBorders>
          </w:tcPr>
          <w:p>
            <w:pPr/>
          </w:p>
        </w:tc>
        <w:tc>
          <w:tcPr>
            <w:tcW w:w="1217" w:type="dxa"/>
            <w:tcBorders>
              <w:top w:val="single" w:sz="4" w:space="0" w:color="000000"/>
              <w:left w:val="single" w:sz="4" w:space="0" w:color="000000"/>
              <w:bottom w:val="single" w:sz="4" w:space="0" w:color="000000"/>
              <w:right w:val="single" w:sz="4" w:space="0" w:color="000000"/>
            </w:tcBorders>
          </w:tcPr>
          <w:p>
            <w:pPr/>
          </w:p>
        </w:tc>
      </w:tr>
      <w:tr>
        <w:trPr>
          <w:trHeight w:val="341" w:hRule="exact"/>
        </w:trPr>
        <w:tc>
          <w:tcPr>
            <w:tcW w:w="387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98"/>
              <w:ind w:left="64" w:right="69"/>
              <w:rPr>
                <w:sz w:val="20"/>
              </w:rPr>
            </w:pPr>
            <w:r>
              <w:rPr>
                <w:sz w:val="20"/>
              </w:rPr>
              <w:t>SVA= Sin Vegetación Aparente</w:t>
            </w:r>
          </w:p>
        </w:tc>
        <w:tc>
          <w:tcPr>
            <w:tcW w:w="3591" w:type="dxa"/>
            <w:tcBorders>
              <w:top w:val="single" w:sz="4" w:space="0" w:color="000000"/>
              <w:left w:val="single" w:sz="4" w:space="0" w:color="000000"/>
              <w:bottom w:val="single" w:sz="4" w:space="0" w:color="000000"/>
              <w:right w:val="single" w:sz="4" w:space="0" w:color="000000"/>
            </w:tcBorders>
          </w:tcPr>
          <w:p>
            <w:pPr/>
          </w:p>
        </w:tc>
        <w:tc>
          <w:tcPr>
            <w:tcW w:w="1217" w:type="dxa"/>
            <w:tcBorders>
              <w:top w:val="single" w:sz="4" w:space="0" w:color="000000"/>
              <w:left w:val="single" w:sz="4" w:space="0" w:color="000000"/>
              <w:bottom w:val="single" w:sz="4" w:space="0" w:color="000000"/>
              <w:right w:val="single" w:sz="4" w:space="0" w:color="000000"/>
            </w:tcBorders>
          </w:tcPr>
          <w:p>
            <w:pPr/>
          </w:p>
        </w:tc>
      </w:tr>
    </w:tbl>
    <w:p>
      <w:pPr>
        <w:pStyle w:val="BodyText"/>
        <w:rPr>
          <w:b/>
          <w:sz w:val="20"/>
        </w:rPr>
      </w:pPr>
    </w:p>
    <w:p>
      <w:pPr>
        <w:pStyle w:val="BodyText"/>
        <w:spacing w:before="9"/>
        <w:rPr>
          <w:b/>
          <w:sz w:val="27"/>
        </w:rPr>
      </w:pPr>
    </w:p>
    <w:p>
      <w:pPr>
        <w:pStyle w:val="ListParagraph"/>
        <w:numPr>
          <w:ilvl w:val="0"/>
          <w:numId w:val="2"/>
        </w:numPr>
        <w:tabs>
          <w:tab w:pos="940" w:val="left" w:leader="none"/>
        </w:tabs>
        <w:spacing w:line="240" w:lineRule="auto" w:before="72" w:after="0"/>
        <w:ind w:left="939" w:right="0" w:hanging="129"/>
        <w:jc w:val="left"/>
        <w:rPr>
          <w:sz w:val="22"/>
        </w:rPr>
      </w:pPr>
      <w:r>
        <w:rPr>
          <w:sz w:val="22"/>
          <w:u w:val="single"/>
        </w:rPr>
        <w:t>Degradación</w:t>
      </w:r>
      <w:r>
        <w:rPr>
          <w:spacing w:val="-8"/>
          <w:sz w:val="22"/>
          <w:u w:val="single"/>
        </w:rPr>
        <w:t> </w:t>
      </w:r>
      <w:r>
        <w:rPr>
          <w:sz w:val="22"/>
          <w:u w:val="single"/>
        </w:rPr>
        <w:t>de</w:t>
      </w:r>
      <w:r>
        <w:rPr>
          <w:spacing w:val="-8"/>
          <w:sz w:val="22"/>
          <w:u w:val="single"/>
        </w:rPr>
        <w:t> </w:t>
      </w:r>
      <w:r>
        <w:rPr>
          <w:sz w:val="22"/>
          <w:u w:val="single"/>
        </w:rPr>
        <w:t>suelos</w:t>
      </w:r>
      <w:r>
        <w:rPr>
          <w:sz w:val="22"/>
        </w:rPr>
        <w:t>:</w:t>
      </w:r>
      <w:r>
        <w:rPr>
          <w:spacing w:val="-9"/>
          <w:sz w:val="22"/>
        </w:rPr>
        <w:t> </w:t>
      </w:r>
      <w:r>
        <w:rPr>
          <w:sz w:val="22"/>
        </w:rPr>
        <w:t>Para</w:t>
      </w:r>
      <w:r>
        <w:rPr>
          <w:spacing w:val="-7"/>
          <w:sz w:val="22"/>
        </w:rPr>
        <w:t> </w:t>
      </w:r>
      <w:r>
        <w:rPr>
          <w:sz w:val="22"/>
        </w:rPr>
        <w:t>el</w:t>
      </w:r>
      <w:r>
        <w:rPr>
          <w:spacing w:val="-9"/>
          <w:sz w:val="22"/>
        </w:rPr>
        <w:t> </w:t>
      </w:r>
      <w:r>
        <w:rPr>
          <w:sz w:val="22"/>
        </w:rPr>
        <w:t>análisis</w:t>
      </w:r>
      <w:r>
        <w:rPr>
          <w:spacing w:val="-7"/>
          <w:sz w:val="22"/>
        </w:rPr>
        <w:t> </w:t>
      </w:r>
      <w:r>
        <w:rPr>
          <w:sz w:val="22"/>
        </w:rPr>
        <w:t>de</w:t>
      </w:r>
      <w:r>
        <w:rPr>
          <w:spacing w:val="-8"/>
          <w:sz w:val="22"/>
        </w:rPr>
        <w:t> </w:t>
      </w:r>
      <w:r>
        <w:rPr>
          <w:sz w:val="22"/>
        </w:rPr>
        <w:t>este</w:t>
      </w:r>
      <w:r>
        <w:rPr>
          <w:spacing w:val="-7"/>
          <w:sz w:val="22"/>
        </w:rPr>
        <w:t> </w:t>
      </w:r>
      <w:r>
        <w:rPr>
          <w:sz w:val="22"/>
        </w:rPr>
        <w:t>indicador</w:t>
      </w:r>
      <w:r>
        <w:rPr>
          <w:spacing w:val="-7"/>
          <w:sz w:val="22"/>
        </w:rPr>
        <w:t> </w:t>
      </w:r>
      <w:r>
        <w:rPr>
          <w:sz w:val="22"/>
        </w:rPr>
        <w:t>se</w:t>
      </w:r>
      <w:r>
        <w:rPr>
          <w:spacing w:val="-8"/>
          <w:sz w:val="22"/>
        </w:rPr>
        <w:t> </w:t>
      </w:r>
      <w:r>
        <w:rPr>
          <w:sz w:val="22"/>
        </w:rPr>
        <w:t>establecieron</w:t>
      </w:r>
      <w:r>
        <w:rPr>
          <w:spacing w:val="-8"/>
          <w:sz w:val="22"/>
        </w:rPr>
        <w:t> </w:t>
      </w:r>
      <w:r>
        <w:rPr>
          <w:sz w:val="22"/>
        </w:rPr>
        <w:t>categorías</w:t>
      </w:r>
    </w:p>
    <w:p>
      <w:pPr>
        <w:pStyle w:val="BodyText"/>
        <w:spacing w:before="8"/>
        <w:rPr>
          <w:sz w:val="15"/>
        </w:rPr>
      </w:pPr>
    </w:p>
    <w:p>
      <w:pPr>
        <w:pStyle w:val="BodyText"/>
        <w:spacing w:line="480" w:lineRule="auto" w:before="73"/>
        <w:ind w:left="102" w:right="110"/>
        <w:jc w:val="both"/>
      </w:pPr>
      <w:r>
        <w:rPr/>
        <w:t>de degradación de suelos, a partir de los mapas “Tipos de degradación de suelos” (López García, 2008a) y “Áreas con suelos degradados” (López García, 2008c). Se tomó en cuenta la</w:t>
      </w:r>
      <w:r>
        <w:rPr>
          <w:spacing w:val="-6"/>
        </w:rPr>
        <w:t> </w:t>
      </w:r>
      <w:r>
        <w:rPr/>
        <w:t>intensidad</w:t>
      </w:r>
      <w:r>
        <w:rPr>
          <w:spacing w:val="-6"/>
        </w:rPr>
        <w:t> </w:t>
      </w:r>
      <w:r>
        <w:rPr/>
        <w:t>de</w:t>
      </w:r>
      <w:r>
        <w:rPr>
          <w:spacing w:val="-9"/>
        </w:rPr>
        <w:t> </w:t>
      </w:r>
      <w:r>
        <w:rPr/>
        <w:t>la</w:t>
      </w:r>
      <w:r>
        <w:rPr>
          <w:spacing w:val="-6"/>
        </w:rPr>
        <w:t> </w:t>
      </w:r>
      <w:r>
        <w:rPr/>
        <w:t>degradación</w:t>
      </w:r>
      <w:r>
        <w:rPr>
          <w:spacing w:val="-7"/>
        </w:rPr>
        <w:t> </w:t>
      </w:r>
      <w:r>
        <w:rPr/>
        <w:t>del</w:t>
      </w:r>
      <w:r>
        <w:rPr>
          <w:spacing w:val="-7"/>
        </w:rPr>
        <w:t> </w:t>
      </w:r>
      <w:r>
        <w:rPr/>
        <w:t>suelo</w:t>
      </w:r>
      <w:r>
        <w:rPr>
          <w:spacing w:val="-9"/>
        </w:rPr>
        <w:t> </w:t>
      </w:r>
      <w:r>
        <w:rPr/>
        <w:t>y</w:t>
      </w:r>
      <w:r>
        <w:rPr>
          <w:spacing w:val="-8"/>
        </w:rPr>
        <w:t> </w:t>
      </w:r>
      <w:r>
        <w:rPr/>
        <w:t>el</w:t>
      </w:r>
      <w:r>
        <w:rPr>
          <w:spacing w:val="-7"/>
        </w:rPr>
        <w:t> </w:t>
      </w:r>
      <w:r>
        <w:rPr/>
        <w:t>porcentaje</w:t>
      </w:r>
      <w:r>
        <w:rPr>
          <w:spacing w:val="-9"/>
        </w:rPr>
        <w:t> </w:t>
      </w:r>
      <w:r>
        <w:rPr/>
        <w:t>de</w:t>
      </w:r>
      <w:r>
        <w:rPr>
          <w:spacing w:val="-9"/>
        </w:rPr>
        <w:t> </w:t>
      </w:r>
      <w:r>
        <w:rPr/>
        <w:t>superficie</w:t>
      </w:r>
      <w:r>
        <w:rPr>
          <w:spacing w:val="-6"/>
        </w:rPr>
        <w:t> </w:t>
      </w:r>
      <w:r>
        <w:rPr/>
        <w:t>sometido</w:t>
      </w:r>
      <w:r>
        <w:rPr>
          <w:spacing w:val="-6"/>
        </w:rPr>
        <w:t> </w:t>
      </w:r>
      <w:r>
        <w:rPr/>
        <w:t>a</w:t>
      </w:r>
      <w:r>
        <w:rPr>
          <w:spacing w:val="-9"/>
        </w:rPr>
        <w:t> </w:t>
      </w:r>
      <w:r>
        <w:rPr/>
        <w:t>degradación en cada unidad ambiental biofísica (145 UAB). Los resultados se calificaron numéricamente y se agruparon en intervalos cuantitativos, con el establecimiento de cinco categorías cualitativas, a saber: degradación muy baja o nula, baja, media, alta y muy</w:t>
      </w:r>
      <w:r>
        <w:rPr>
          <w:spacing w:val="-24"/>
        </w:rPr>
        <w:t> </w:t>
      </w:r>
      <w:r>
        <w:rPr/>
        <w:t>alta.</w:t>
      </w:r>
    </w:p>
    <w:p>
      <w:pPr>
        <w:pStyle w:val="ListParagraph"/>
        <w:numPr>
          <w:ilvl w:val="0"/>
          <w:numId w:val="2"/>
        </w:numPr>
        <w:tabs>
          <w:tab w:pos="933" w:val="left" w:leader="none"/>
        </w:tabs>
        <w:spacing w:line="240" w:lineRule="auto" w:before="127" w:after="0"/>
        <w:ind w:left="932" w:right="0" w:hanging="122"/>
        <w:jc w:val="left"/>
        <w:rPr>
          <w:sz w:val="22"/>
        </w:rPr>
      </w:pPr>
      <w:r>
        <w:rPr>
          <w:sz w:val="22"/>
          <w:u w:val="single"/>
        </w:rPr>
        <w:t>Degradación</w:t>
      </w:r>
      <w:r>
        <w:rPr>
          <w:spacing w:val="-16"/>
          <w:sz w:val="22"/>
          <w:u w:val="single"/>
        </w:rPr>
        <w:t> </w:t>
      </w:r>
      <w:r>
        <w:rPr>
          <w:sz w:val="22"/>
          <w:u w:val="single"/>
        </w:rPr>
        <w:t>de</w:t>
      </w:r>
      <w:r>
        <w:rPr>
          <w:spacing w:val="-19"/>
          <w:sz w:val="22"/>
          <w:u w:val="single"/>
        </w:rPr>
        <w:t> </w:t>
      </w:r>
      <w:r>
        <w:rPr>
          <w:sz w:val="22"/>
          <w:u w:val="single"/>
        </w:rPr>
        <w:t>la</w:t>
      </w:r>
      <w:r>
        <w:rPr>
          <w:spacing w:val="-19"/>
          <w:sz w:val="22"/>
          <w:u w:val="single"/>
        </w:rPr>
        <w:t> </w:t>
      </w:r>
      <w:r>
        <w:rPr>
          <w:sz w:val="22"/>
          <w:u w:val="single"/>
        </w:rPr>
        <w:t>cobertura</w:t>
      </w:r>
      <w:r>
        <w:rPr>
          <w:spacing w:val="-16"/>
          <w:sz w:val="22"/>
          <w:u w:val="single"/>
        </w:rPr>
        <w:t> </w:t>
      </w:r>
      <w:r>
        <w:rPr>
          <w:sz w:val="22"/>
          <w:u w:val="single"/>
        </w:rPr>
        <w:t>vegetal</w:t>
      </w:r>
      <w:r>
        <w:rPr>
          <w:sz w:val="22"/>
        </w:rPr>
        <w:t>:</w:t>
      </w:r>
      <w:r>
        <w:rPr>
          <w:spacing w:val="-17"/>
          <w:sz w:val="22"/>
        </w:rPr>
        <w:t> </w:t>
      </w:r>
      <w:r>
        <w:rPr>
          <w:sz w:val="22"/>
        </w:rPr>
        <w:t>Para</w:t>
      </w:r>
      <w:r>
        <w:rPr>
          <w:spacing w:val="-18"/>
          <w:sz w:val="22"/>
        </w:rPr>
        <w:t> </w:t>
      </w:r>
      <w:r>
        <w:rPr>
          <w:sz w:val="22"/>
        </w:rPr>
        <w:t>el</w:t>
      </w:r>
      <w:r>
        <w:rPr>
          <w:spacing w:val="-19"/>
          <w:sz w:val="22"/>
        </w:rPr>
        <w:t> </w:t>
      </w:r>
      <w:r>
        <w:rPr>
          <w:sz w:val="22"/>
        </w:rPr>
        <w:t>análisis</w:t>
      </w:r>
      <w:r>
        <w:rPr>
          <w:spacing w:val="-16"/>
          <w:sz w:val="22"/>
        </w:rPr>
        <w:t> </w:t>
      </w:r>
      <w:r>
        <w:rPr>
          <w:sz w:val="22"/>
        </w:rPr>
        <w:t>de</w:t>
      </w:r>
      <w:r>
        <w:rPr>
          <w:spacing w:val="-16"/>
          <w:sz w:val="22"/>
        </w:rPr>
        <w:t> </w:t>
      </w:r>
      <w:r>
        <w:rPr>
          <w:sz w:val="22"/>
        </w:rPr>
        <w:t>las</w:t>
      </w:r>
      <w:r>
        <w:rPr>
          <w:spacing w:val="-18"/>
          <w:sz w:val="22"/>
        </w:rPr>
        <w:t> </w:t>
      </w:r>
      <w:r>
        <w:rPr>
          <w:sz w:val="22"/>
        </w:rPr>
        <w:t>categorías</w:t>
      </w:r>
      <w:r>
        <w:rPr>
          <w:spacing w:val="-16"/>
          <w:sz w:val="22"/>
        </w:rPr>
        <w:t> </w:t>
      </w:r>
      <w:r>
        <w:rPr>
          <w:sz w:val="22"/>
        </w:rPr>
        <w:t>de</w:t>
      </w:r>
      <w:r>
        <w:rPr>
          <w:spacing w:val="-19"/>
          <w:sz w:val="22"/>
        </w:rPr>
        <w:t> </w:t>
      </w:r>
      <w:r>
        <w:rPr>
          <w:sz w:val="22"/>
        </w:rPr>
        <w:t>degradación</w:t>
      </w:r>
    </w:p>
    <w:p>
      <w:pPr>
        <w:pStyle w:val="BodyText"/>
        <w:spacing w:before="8"/>
        <w:rPr>
          <w:sz w:val="15"/>
        </w:rPr>
      </w:pPr>
    </w:p>
    <w:p>
      <w:pPr>
        <w:pStyle w:val="BodyText"/>
        <w:spacing w:line="480" w:lineRule="auto" w:before="73"/>
        <w:ind w:left="102" w:right="114"/>
        <w:jc w:val="both"/>
      </w:pPr>
      <w:r>
        <w:rPr/>
        <w:t>de la cobertura vegetal, se utilizaron como fuente los mapas “Grados de deterioro de la vegetación” (Sánchez Colón </w:t>
      </w:r>
      <w:r>
        <w:rPr>
          <w:i/>
        </w:rPr>
        <w:t>et al</w:t>
      </w:r>
      <w:r>
        <w:rPr/>
        <w:t>., 2008a) y “Áreas con degradación de la cubierta vegetal” (Sánchez Colón </w:t>
      </w:r>
      <w:r>
        <w:rPr>
          <w:i/>
        </w:rPr>
        <w:t>et al</w:t>
      </w:r>
      <w:r>
        <w:rPr/>
        <w:t>., 2008b). Se asumió para esta categorización, que la superficie de cobertura</w:t>
      </w:r>
      <w:r>
        <w:rPr>
          <w:spacing w:val="-6"/>
        </w:rPr>
        <w:t> </w:t>
      </w:r>
      <w:r>
        <w:rPr/>
        <w:t>degradada</w:t>
      </w:r>
      <w:r>
        <w:rPr>
          <w:spacing w:val="-6"/>
        </w:rPr>
        <w:t> </w:t>
      </w:r>
      <w:r>
        <w:rPr/>
        <w:t>era</w:t>
      </w:r>
      <w:r>
        <w:rPr>
          <w:spacing w:val="-6"/>
        </w:rPr>
        <w:t> </w:t>
      </w:r>
      <w:r>
        <w:rPr/>
        <w:t>la</w:t>
      </w:r>
      <w:r>
        <w:rPr>
          <w:spacing w:val="-4"/>
        </w:rPr>
        <w:t> </w:t>
      </w:r>
      <w:r>
        <w:rPr/>
        <w:t>ocupada</w:t>
      </w:r>
      <w:r>
        <w:rPr>
          <w:spacing w:val="-4"/>
        </w:rPr>
        <w:t> </w:t>
      </w:r>
      <w:r>
        <w:rPr/>
        <w:t>por</w:t>
      </w:r>
      <w:r>
        <w:rPr>
          <w:spacing w:val="-5"/>
        </w:rPr>
        <w:t> </w:t>
      </w:r>
      <w:r>
        <w:rPr/>
        <w:t>la</w:t>
      </w:r>
      <w:r>
        <w:rPr>
          <w:spacing w:val="-4"/>
        </w:rPr>
        <w:t> </w:t>
      </w:r>
      <w:r>
        <w:rPr/>
        <w:t>vegetación</w:t>
      </w:r>
      <w:r>
        <w:rPr>
          <w:spacing w:val="-4"/>
        </w:rPr>
        <w:t> </w:t>
      </w:r>
      <w:r>
        <w:rPr/>
        <w:t>secundaria,</w:t>
      </w:r>
      <w:r>
        <w:rPr>
          <w:spacing w:val="-5"/>
        </w:rPr>
        <w:t> </w:t>
      </w:r>
      <w:r>
        <w:rPr/>
        <w:t>la</w:t>
      </w:r>
      <w:r>
        <w:rPr>
          <w:spacing w:val="-4"/>
        </w:rPr>
        <w:t> </w:t>
      </w:r>
      <w:r>
        <w:rPr/>
        <w:t>agricultura,</w:t>
      </w:r>
      <w:r>
        <w:rPr>
          <w:spacing w:val="-5"/>
        </w:rPr>
        <w:t> </w:t>
      </w:r>
      <w:r>
        <w:rPr/>
        <w:t>la</w:t>
      </w:r>
      <w:r>
        <w:rPr>
          <w:spacing w:val="-9"/>
        </w:rPr>
        <w:t> </w:t>
      </w:r>
      <w:r>
        <w:rPr/>
        <w:t>ganadería y otras actividades; se determinaron los porcentajes de dicha superficie en las 145 UAB y se agruparon en las cinco categorías (Tabla</w:t>
      </w:r>
      <w:r>
        <w:rPr>
          <w:spacing w:val="-10"/>
        </w:rPr>
        <w:t> </w:t>
      </w:r>
      <w:r>
        <w:rPr/>
        <w:t>2).</w:t>
      </w:r>
    </w:p>
    <w:p>
      <w:pPr>
        <w:spacing w:before="125"/>
        <w:ind w:left="1861" w:right="13" w:firstLine="0"/>
        <w:jc w:val="left"/>
        <w:rPr>
          <w:b/>
          <w:sz w:val="20"/>
        </w:rPr>
      </w:pPr>
      <w:r>
        <w:rPr>
          <w:b/>
          <w:sz w:val="20"/>
        </w:rPr>
        <w:t>Tabla 2. Categorías de degradación de la cobertura vegetal</w:t>
      </w:r>
    </w:p>
    <w:p>
      <w:pPr>
        <w:pStyle w:val="BodyText"/>
        <w:spacing w:before="10"/>
        <w:rPr>
          <w:b/>
          <w:sz w:val="10"/>
        </w:rPr>
      </w:pPr>
    </w:p>
    <w:tbl>
      <w:tblPr>
        <w:tblW w:w="0" w:type="auto"/>
        <w:jc w:val="left"/>
        <w:tblInd w:w="12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83"/>
        <w:gridCol w:w="3887"/>
      </w:tblGrid>
      <w:tr>
        <w:trPr>
          <w:trHeight w:val="355" w:hRule="exact"/>
        </w:trPr>
        <w:tc>
          <w:tcPr>
            <w:tcW w:w="6770" w:type="dxa"/>
            <w:gridSpan w:val="2"/>
          </w:tcPr>
          <w:p>
            <w:pPr>
              <w:pStyle w:val="TableParagraph"/>
              <w:spacing w:line="225" w:lineRule="exact"/>
              <w:ind w:left="977"/>
              <w:rPr>
                <w:b/>
                <w:sz w:val="20"/>
              </w:rPr>
            </w:pPr>
            <w:r>
              <w:rPr>
                <w:b/>
                <w:sz w:val="20"/>
              </w:rPr>
              <w:t>Categorías de degradación de la cobertura vegetal</w:t>
            </w:r>
          </w:p>
        </w:tc>
      </w:tr>
      <w:tr>
        <w:trPr>
          <w:trHeight w:val="468" w:hRule="exact"/>
        </w:trPr>
        <w:tc>
          <w:tcPr>
            <w:tcW w:w="2883" w:type="dxa"/>
          </w:tcPr>
          <w:p>
            <w:pPr>
              <w:pStyle w:val="TableParagraph"/>
              <w:ind w:left="103"/>
              <w:rPr>
                <w:sz w:val="20"/>
              </w:rPr>
            </w:pPr>
            <w:r>
              <w:rPr>
                <w:sz w:val="20"/>
              </w:rPr>
              <w:t>Muy alta degradación</w:t>
            </w:r>
          </w:p>
        </w:tc>
        <w:tc>
          <w:tcPr>
            <w:tcW w:w="3887" w:type="dxa"/>
          </w:tcPr>
          <w:p>
            <w:pPr>
              <w:pStyle w:val="TableParagraph"/>
              <w:tabs>
                <w:tab w:pos="738" w:val="left" w:leader="none"/>
                <w:tab w:pos="1261" w:val="left" w:leader="none"/>
                <w:tab w:pos="1743" w:val="left" w:leader="none"/>
                <w:tab w:pos="2180" w:val="left" w:leader="none"/>
                <w:tab w:pos="2659" w:val="left" w:leader="none"/>
              </w:tabs>
              <w:spacing w:line="240" w:lineRule="auto"/>
              <w:ind w:left="103" w:right="104"/>
              <w:rPr>
                <w:sz w:val="20"/>
              </w:rPr>
            </w:pPr>
            <w:r>
              <w:rPr>
                <w:sz w:val="20"/>
              </w:rPr>
              <w:t>Más</w:t>
              <w:tab/>
              <w:t>del</w:t>
              <w:tab/>
              <w:t>75</w:t>
              <w:tab/>
              <w:t>%</w:t>
              <w:tab/>
              <w:t>de</w:t>
              <w:tab/>
              <w:t>modificación antropogénica de la cobertura</w:t>
            </w:r>
            <w:r>
              <w:rPr>
                <w:spacing w:val="-14"/>
                <w:sz w:val="20"/>
              </w:rPr>
              <w:t> </w:t>
            </w:r>
            <w:r>
              <w:rPr>
                <w:sz w:val="20"/>
              </w:rPr>
              <w:t>original</w:t>
            </w:r>
          </w:p>
        </w:tc>
      </w:tr>
      <w:tr>
        <w:trPr>
          <w:trHeight w:val="470" w:hRule="exact"/>
        </w:trPr>
        <w:tc>
          <w:tcPr>
            <w:tcW w:w="2883" w:type="dxa"/>
          </w:tcPr>
          <w:p>
            <w:pPr>
              <w:pStyle w:val="TableParagraph"/>
              <w:spacing w:line="230" w:lineRule="exact"/>
              <w:ind w:left="103"/>
              <w:rPr>
                <w:sz w:val="20"/>
              </w:rPr>
            </w:pPr>
            <w:r>
              <w:rPr>
                <w:sz w:val="20"/>
              </w:rPr>
              <w:t>Alta degradación</w:t>
            </w:r>
          </w:p>
        </w:tc>
        <w:tc>
          <w:tcPr>
            <w:tcW w:w="3887" w:type="dxa"/>
          </w:tcPr>
          <w:p>
            <w:pPr>
              <w:pStyle w:val="TableParagraph"/>
              <w:spacing w:line="228" w:lineRule="exact" w:before="5"/>
              <w:ind w:left="103" w:right="104"/>
              <w:rPr>
                <w:sz w:val="20"/>
              </w:rPr>
            </w:pPr>
            <w:r>
              <w:rPr>
                <w:sz w:val="20"/>
              </w:rPr>
              <w:t>Entre el 50 % y el 75 % de modificación antropogénica de la cobertura original</w:t>
            </w:r>
          </w:p>
        </w:tc>
      </w:tr>
      <w:tr>
        <w:trPr>
          <w:trHeight w:val="470" w:hRule="exact"/>
        </w:trPr>
        <w:tc>
          <w:tcPr>
            <w:tcW w:w="2883" w:type="dxa"/>
          </w:tcPr>
          <w:p>
            <w:pPr>
              <w:pStyle w:val="TableParagraph"/>
              <w:ind w:left="103"/>
              <w:rPr>
                <w:sz w:val="20"/>
              </w:rPr>
            </w:pPr>
            <w:r>
              <w:rPr>
                <w:sz w:val="20"/>
              </w:rPr>
              <w:t>Media degradación</w:t>
            </w:r>
          </w:p>
        </w:tc>
        <w:tc>
          <w:tcPr>
            <w:tcW w:w="3887" w:type="dxa"/>
          </w:tcPr>
          <w:p>
            <w:pPr>
              <w:pStyle w:val="TableParagraph"/>
              <w:spacing w:line="240" w:lineRule="auto"/>
              <w:ind w:left="259" w:right="104" w:hanging="82"/>
              <w:rPr>
                <w:sz w:val="20"/>
              </w:rPr>
            </w:pPr>
            <w:r>
              <w:rPr>
                <w:sz w:val="20"/>
              </w:rPr>
              <w:t>Entre el 25 % y el 50 % de modificación antropogénica de la cobertura original</w:t>
            </w:r>
          </w:p>
        </w:tc>
      </w:tr>
    </w:tbl>
    <w:p>
      <w:pPr>
        <w:spacing w:after="0" w:line="240" w:lineRule="auto"/>
        <w:rPr>
          <w:sz w:val="20"/>
        </w:rPr>
        <w:sectPr>
          <w:pgSz w:w="12250" w:h="15850"/>
          <w:pgMar w:header="0" w:footer="759" w:top="1500" w:bottom="940" w:left="1600" w:right="1300"/>
        </w:sectPr>
      </w:pPr>
    </w:p>
    <w:p>
      <w:pPr>
        <w:pStyle w:val="BodyText"/>
        <w:spacing w:before="4"/>
        <w:rPr>
          <w:b/>
          <w:sz w:val="17"/>
        </w:rPr>
      </w:pPr>
    </w:p>
    <w:tbl>
      <w:tblPr>
        <w:tblW w:w="0" w:type="auto"/>
        <w:jc w:val="left"/>
        <w:tblInd w:w="12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83"/>
        <w:gridCol w:w="3887"/>
      </w:tblGrid>
      <w:tr>
        <w:trPr>
          <w:trHeight w:val="470" w:hRule="exact"/>
        </w:trPr>
        <w:tc>
          <w:tcPr>
            <w:tcW w:w="2883" w:type="dxa"/>
          </w:tcPr>
          <w:p>
            <w:pPr>
              <w:pStyle w:val="TableParagraph"/>
              <w:ind w:left="103"/>
              <w:rPr>
                <w:sz w:val="20"/>
              </w:rPr>
            </w:pPr>
            <w:r>
              <w:rPr>
                <w:sz w:val="20"/>
              </w:rPr>
              <w:t>Baja degradación</w:t>
            </w:r>
          </w:p>
        </w:tc>
        <w:tc>
          <w:tcPr>
            <w:tcW w:w="3887" w:type="dxa"/>
          </w:tcPr>
          <w:p>
            <w:pPr>
              <w:pStyle w:val="TableParagraph"/>
              <w:spacing w:line="240" w:lineRule="auto"/>
              <w:ind w:left="103" w:right="104"/>
              <w:rPr>
                <w:sz w:val="20"/>
              </w:rPr>
            </w:pPr>
            <w:r>
              <w:rPr>
                <w:sz w:val="20"/>
              </w:rPr>
              <w:t>Entre el 10% y el 25 % de modificación antropogénica de la cobertura original</w:t>
            </w:r>
          </w:p>
        </w:tc>
      </w:tr>
      <w:tr>
        <w:trPr>
          <w:trHeight w:val="470" w:hRule="exact"/>
        </w:trPr>
        <w:tc>
          <w:tcPr>
            <w:tcW w:w="2883" w:type="dxa"/>
          </w:tcPr>
          <w:p>
            <w:pPr>
              <w:pStyle w:val="TableParagraph"/>
              <w:ind w:left="103"/>
              <w:rPr>
                <w:sz w:val="20"/>
              </w:rPr>
            </w:pPr>
            <w:r>
              <w:rPr>
                <w:sz w:val="20"/>
              </w:rPr>
              <w:t>Sin degradación</w:t>
            </w:r>
          </w:p>
        </w:tc>
        <w:tc>
          <w:tcPr>
            <w:tcW w:w="3887" w:type="dxa"/>
          </w:tcPr>
          <w:p>
            <w:pPr>
              <w:pStyle w:val="TableParagraph"/>
              <w:tabs>
                <w:tab w:pos="916" w:val="left" w:leader="none"/>
                <w:tab w:pos="1395" w:val="left" w:leader="none"/>
                <w:tab w:pos="1832" w:val="left" w:leader="none"/>
                <w:tab w:pos="2223" w:val="left" w:leader="none"/>
                <w:tab w:pos="2659" w:val="left" w:leader="none"/>
              </w:tabs>
              <w:spacing w:line="240" w:lineRule="auto"/>
              <w:ind w:left="103" w:right="104"/>
              <w:rPr>
                <w:sz w:val="20"/>
              </w:rPr>
            </w:pPr>
            <w:r>
              <w:rPr>
                <w:sz w:val="20"/>
              </w:rPr>
              <w:t>Menos</w:t>
              <w:tab/>
              <w:t>del</w:t>
              <w:tab/>
              <w:t>10</w:t>
              <w:tab/>
              <w:t>%</w:t>
              <w:tab/>
              <w:t>de</w:t>
              <w:tab/>
              <w:t>modificación antropogénica de la cobertura</w:t>
            </w:r>
            <w:r>
              <w:rPr>
                <w:spacing w:val="-14"/>
                <w:sz w:val="20"/>
              </w:rPr>
              <w:t> </w:t>
            </w:r>
            <w:r>
              <w:rPr>
                <w:sz w:val="20"/>
              </w:rPr>
              <w:t>original</w:t>
            </w:r>
          </w:p>
        </w:tc>
      </w:tr>
    </w:tbl>
    <w:p>
      <w:pPr>
        <w:pStyle w:val="BodyText"/>
        <w:rPr>
          <w:b/>
          <w:sz w:val="20"/>
        </w:rPr>
      </w:pPr>
    </w:p>
    <w:p>
      <w:pPr>
        <w:pStyle w:val="BodyText"/>
        <w:spacing w:before="10"/>
        <w:rPr>
          <w:b/>
          <w:sz w:val="16"/>
        </w:rPr>
      </w:pPr>
    </w:p>
    <w:p>
      <w:pPr>
        <w:pStyle w:val="BodyText"/>
        <w:spacing w:line="480" w:lineRule="auto" w:before="73"/>
        <w:ind w:left="102" w:right="111" w:firstLine="707"/>
        <w:jc w:val="both"/>
      </w:pPr>
      <w:r>
        <w:rPr/>
        <w:t>Como comentario general, a nivel nacional el 47.99 % de su superficie presenta degradación de la cobertura vegetal, de ellos, el 22. 27 % está afectado por una muy alta degradación, el 14.26 % por alta degradación, el 6.75 % con degradación media y el 4.31 % con baja degradación, y con menos del 10 % de modificación antropogénica de la cobertura original, el 0.4 % de toda la superficie.</w:t>
      </w:r>
    </w:p>
    <w:p>
      <w:pPr>
        <w:pStyle w:val="BodyText"/>
        <w:spacing w:before="127"/>
        <w:ind w:left="810" w:right="13"/>
      </w:pPr>
      <w:r>
        <w:rPr/>
        <w:t>- </w:t>
      </w:r>
      <w:r>
        <w:rPr>
          <w:u w:val="single"/>
        </w:rPr>
        <w:t>Proceso de desertificación</w:t>
      </w:r>
      <w:r>
        <w:rPr/>
        <w:t>:</w:t>
      </w:r>
    </w:p>
    <w:p>
      <w:pPr>
        <w:pStyle w:val="BodyText"/>
        <w:spacing w:before="1"/>
        <w:rPr>
          <w:sz w:val="26"/>
        </w:rPr>
      </w:pPr>
    </w:p>
    <w:p>
      <w:pPr>
        <w:pStyle w:val="BodyText"/>
        <w:spacing w:line="480" w:lineRule="auto" w:before="73"/>
        <w:ind w:left="102" w:right="112" w:firstLine="707"/>
        <w:jc w:val="both"/>
      </w:pPr>
      <w:r>
        <w:rPr/>
        <w:t>Para el análisis de este indicador se determinaron las categorías de degradación por desertificación,</w:t>
      </w:r>
      <w:r>
        <w:rPr>
          <w:spacing w:val="-5"/>
        </w:rPr>
        <w:t> </w:t>
      </w:r>
      <w:r>
        <w:rPr/>
        <w:t>utilizando</w:t>
      </w:r>
      <w:r>
        <w:rPr>
          <w:spacing w:val="-4"/>
        </w:rPr>
        <w:t> </w:t>
      </w:r>
      <w:r>
        <w:rPr/>
        <w:t>como</w:t>
      </w:r>
      <w:r>
        <w:rPr>
          <w:spacing w:val="-6"/>
        </w:rPr>
        <w:t> </w:t>
      </w:r>
      <w:r>
        <w:rPr/>
        <w:t>base</w:t>
      </w:r>
      <w:r>
        <w:rPr>
          <w:spacing w:val="-6"/>
        </w:rPr>
        <w:t> </w:t>
      </w:r>
      <w:r>
        <w:rPr/>
        <w:t>el</w:t>
      </w:r>
      <w:r>
        <w:rPr>
          <w:spacing w:val="-7"/>
        </w:rPr>
        <w:t> </w:t>
      </w:r>
      <w:r>
        <w:rPr/>
        <w:t>mapa</w:t>
      </w:r>
      <w:r>
        <w:rPr>
          <w:spacing w:val="-6"/>
        </w:rPr>
        <w:t> </w:t>
      </w:r>
      <w:r>
        <w:rPr/>
        <w:t>“Proceso</w:t>
      </w:r>
      <w:r>
        <w:rPr>
          <w:spacing w:val="-7"/>
        </w:rPr>
        <w:t> </w:t>
      </w:r>
      <w:r>
        <w:rPr/>
        <w:t>de</w:t>
      </w:r>
      <w:r>
        <w:rPr>
          <w:spacing w:val="-7"/>
        </w:rPr>
        <w:t> </w:t>
      </w:r>
      <w:r>
        <w:rPr/>
        <w:t>desertificación”</w:t>
      </w:r>
      <w:r>
        <w:rPr>
          <w:spacing w:val="-5"/>
        </w:rPr>
        <w:t> </w:t>
      </w:r>
      <w:r>
        <w:rPr/>
        <w:t>(Hernández</w:t>
      </w:r>
      <w:r>
        <w:rPr>
          <w:spacing w:val="-9"/>
        </w:rPr>
        <w:t> </w:t>
      </w:r>
      <w:r>
        <w:rPr/>
        <w:t>Cerda, 2008a).</w:t>
      </w:r>
      <w:r>
        <w:rPr>
          <w:spacing w:val="-8"/>
        </w:rPr>
        <w:t> </w:t>
      </w:r>
      <w:r>
        <w:rPr/>
        <w:t>Se</w:t>
      </w:r>
      <w:r>
        <w:rPr>
          <w:spacing w:val="-10"/>
        </w:rPr>
        <w:t> </w:t>
      </w:r>
      <w:r>
        <w:rPr/>
        <w:t>realizó</w:t>
      </w:r>
      <w:r>
        <w:rPr>
          <w:spacing w:val="-8"/>
        </w:rPr>
        <w:t> </w:t>
      </w:r>
      <w:r>
        <w:rPr/>
        <w:t>el</w:t>
      </w:r>
      <w:r>
        <w:rPr>
          <w:spacing w:val="-9"/>
        </w:rPr>
        <w:t> </w:t>
      </w:r>
      <w:r>
        <w:rPr/>
        <w:t>cálculo</w:t>
      </w:r>
      <w:r>
        <w:rPr>
          <w:spacing w:val="-8"/>
        </w:rPr>
        <w:t> </w:t>
      </w:r>
      <w:r>
        <w:rPr/>
        <w:t>de</w:t>
      </w:r>
      <w:r>
        <w:rPr>
          <w:spacing w:val="-8"/>
        </w:rPr>
        <w:t> </w:t>
      </w:r>
      <w:r>
        <w:rPr/>
        <w:t>la</w:t>
      </w:r>
      <w:r>
        <w:rPr>
          <w:spacing w:val="-8"/>
        </w:rPr>
        <w:t> </w:t>
      </w:r>
      <w:r>
        <w:rPr/>
        <w:t>superficie</w:t>
      </w:r>
      <w:r>
        <w:rPr>
          <w:spacing w:val="-10"/>
        </w:rPr>
        <w:t> </w:t>
      </w:r>
      <w:r>
        <w:rPr/>
        <w:t>que</w:t>
      </w:r>
      <w:r>
        <w:rPr>
          <w:spacing w:val="-10"/>
        </w:rPr>
        <w:t> </w:t>
      </w:r>
      <w:r>
        <w:rPr/>
        <w:t>ocupan</w:t>
      </w:r>
      <w:r>
        <w:rPr>
          <w:spacing w:val="-8"/>
        </w:rPr>
        <w:t> </w:t>
      </w:r>
      <w:r>
        <w:rPr/>
        <w:t>los</w:t>
      </w:r>
      <w:r>
        <w:rPr>
          <w:spacing w:val="-8"/>
        </w:rPr>
        <w:t> </w:t>
      </w:r>
      <w:r>
        <w:rPr/>
        <w:t>procesos</w:t>
      </w:r>
      <w:r>
        <w:rPr>
          <w:spacing w:val="-10"/>
        </w:rPr>
        <w:t> </w:t>
      </w:r>
      <w:r>
        <w:rPr/>
        <w:t>de</w:t>
      </w:r>
      <w:r>
        <w:rPr>
          <w:spacing w:val="-8"/>
        </w:rPr>
        <w:t> </w:t>
      </w:r>
      <w:r>
        <w:rPr/>
        <w:t>desertificación</w:t>
      </w:r>
      <w:r>
        <w:rPr>
          <w:spacing w:val="-10"/>
        </w:rPr>
        <w:t> </w:t>
      </w:r>
      <w:r>
        <w:rPr/>
        <w:t>en</w:t>
      </w:r>
      <w:r>
        <w:rPr>
          <w:spacing w:val="-8"/>
        </w:rPr>
        <w:t> </w:t>
      </w:r>
      <w:r>
        <w:rPr/>
        <w:t>las 145 UAB, sin tener en cuenta su intensidad, basado en el criterio de que la presencia de la desertificación en cualquier magnitud representa un fenómeno de degradación. Se establecieron las categorías que se presentan en la Tabla 3. Por otra parte, no se tomaron</w:t>
      </w:r>
      <w:r>
        <w:rPr>
          <w:spacing w:val="-32"/>
        </w:rPr>
        <w:t> </w:t>
      </w:r>
      <w:r>
        <w:rPr/>
        <w:t>en cuenta los desiertos naturales, sólo aquellos territorios donde el proceso de desertificación es provocado por la actividad</w:t>
      </w:r>
      <w:r>
        <w:rPr>
          <w:spacing w:val="-7"/>
        </w:rPr>
        <w:t> </w:t>
      </w:r>
      <w:r>
        <w:rPr/>
        <w:t>humana.</w:t>
      </w:r>
    </w:p>
    <w:p>
      <w:pPr>
        <w:pStyle w:val="BodyText"/>
      </w:pPr>
    </w:p>
    <w:p>
      <w:pPr>
        <w:pStyle w:val="BodyText"/>
        <w:spacing w:before="10"/>
        <w:rPr>
          <w:sz w:val="28"/>
        </w:rPr>
      </w:pPr>
    </w:p>
    <w:p>
      <w:pPr>
        <w:spacing w:before="0"/>
        <w:ind w:left="375" w:right="13" w:firstLine="0"/>
        <w:jc w:val="left"/>
        <w:rPr>
          <w:b/>
          <w:sz w:val="20"/>
        </w:rPr>
      </w:pPr>
      <w:r>
        <w:rPr>
          <w:b/>
          <w:sz w:val="20"/>
        </w:rPr>
        <w:t>Tabla 3. Categorías de degradación por presencia de procesos de desertificación</w:t>
      </w:r>
    </w:p>
    <w:p>
      <w:pPr>
        <w:pStyle w:val="BodyText"/>
        <w:spacing w:before="5"/>
        <w:rPr>
          <w:b/>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33"/>
        <w:gridCol w:w="6282"/>
      </w:tblGrid>
      <w:tr>
        <w:trPr>
          <w:trHeight w:val="355" w:hRule="exact"/>
        </w:trPr>
        <w:tc>
          <w:tcPr>
            <w:tcW w:w="9114" w:type="dxa"/>
            <w:gridSpan w:val="2"/>
          </w:tcPr>
          <w:p>
            <w:pPr>
              <w:pStyle w:val="TableParagraph"/>
              <w:spacing w:line="225" w:lineRule="exact"/>
              <w:ind w:left="2345"/>
              <w:rPr>
                <w:b/>
                <w:sz w:val="20"/>
              </w:rPr>
            </w:pPr>
            <w:r>
              <w:rPr>
                <w:b/>
                <w:sz w:val="20"/>
              </w:rPr>
              <w:t>Categorías de degradación por desertificación</w:t>
            </w:r>
          </w:p>
        </w:tc>
      </w:tr>
      <w:tr>
        <w:trPr>
          <w:trHeight w:val="701" w:hRule="exact"/>
        </w:trPr>
        <w:tc>
          <w:tcPr>
            <w:tcW w:w="2833" w:type="dxa"/>
          </w:tcPr>
          <w:p>
            <w:pPr>
              <w:pStyle w:val="TableParagraph"/>
              <w:ind w:left="103"/>
              <w:rPr>
                <w:sz w:val="20"/>
              </w:rPr>
            </w:pPr>
            <w:r>
              <w:rPr>
                <w:sz w:val="20"/>
              </w:rPr>
              <w:t>Muy alta desertificación</w:t>
            </w:r>
          </w:p>
        </w:tc>
        <w:tc>
          <w:tcPr>
            <w:tcW w:w="6282" w:type="dxa"/>
          </w:tcPr>
          <w:p>
            <w:pPr>
              <w:pStyle w:val="TableParagraph"/>
              <w:spacing w:line="240" w:lineRule="auto"/>
              <w:ind w:left="100" w:right="109"/>
              <w:jc w:val="both"/>
              <w:rPr>
                <w:sz w:val="20"/>
              </w:rPr>
            </w:pPr>
            <w:r>
              <w:rPr>
                <w:sz w:val="20"/>
              </w:rPr>
              <w:t>Unidades criticas por la superficie que ocupan los procesos de desertificación,</w:t>
            </w:r>
            <w:r>
              <w:rPr>
                <w:spacing w:val="-8"/>
                <w:sz w:val="20"/>
              </w:rPr>
              <w:t> </w:t>
            </w:r>
            <w:r>
              <w:rPr>
                <w:sz w:val="20"/>
              </w:rPr>
              <w:t>más</w:t>
            </w:r>
            <w:r>
              <w:rPr>
                <w:spacing w:val="-7"/>
                <w:sz w:val="20"/>
              </w:rPr>
              <w:t> </w:t>
            </w:r>
            <w:r>
              <w:rPr>
                <w:sz w:val="20"/>
              </w:rPr>
              <w:t>del</w:t>
            </w:r>
            <w:r>
              <w:rPr>
                <w:spacing w:val="-6"/>
                <w:sz w:val="20"/>
              </w:rPr>
              <w:t> </w:t>
            </w:r>
            <w:r>
              <w:rPr>
                <w:sz w:val="20"/>
              </w:rPr>
              <w:t>10</w:t>
            </w:r>
            <w:r>
              <w:rPr>
                <w:spacing w:val="-4"/>
                <w:sz w:val="20"/>
              </w:rPr>
              <w:t> </w:t>
            </w:r>
            <w:r>
              <w:rPr>
                <w:sz w:val="20"/>
              </w:rPr>
              <w:t>%</w:t>
            </w:r>
            <w:r>
              <w:rPr>
                <w:spacing w:val="-7"/>
                <w:sz w:val="20"/>
              </w:rPr>
              <w:t> </w:t>
            </w:r>
            <w:r>
              <w:rPr>
                <w:sz w:val="20"/>
              </w:rPr>
              <w:t>de</w:t>
            </w:r>
            <w:r>
              <w:rPr>
                <w:spacing w:val="-6"/>
                <w:sz w:val="20"/>
              </w:rPr>
              <w:t> </w:t>
            </w:r>
            <w:r>
              <w:rPr>
                <w:sz w:val="20"/>
              </w:rPr>
              <w:t>superficie</w:t>
            </w:r>
            <w:r>
              <w:rPr>
                <w:spacing w:val="-6"/>
                <w:sz w:val="20"/>
              </w:rPr>
              <w:t> </w:t>
            </w:r>
            <w:r>
              <w:rPr>
                <w:sz w:val="20"/>
              </w:rPr>
              <w:t>ocupada</w:t>
            </w:r>
            <w:r>
              <w:rPr>
                <w:spacing w:val="-6"/>
                <w:sz w:val="20"/>
              </w:rPr>
              <w:t> </w:t>
            </w:r>
            <w:r>
              <w:rPr>
                <w:sz w:val="20"/>
              </w:rPr>
              <w:t>por</w:t>
            </w:r>
            <w:r>
              <w:rPr>
                <w:spacing w:val="-7"/>
                <w:sz w:val="20"/>
              </w:rPr>
              <w:t> </w:t>
            </w:r>
            <w:r>
              <w:rPr>
                <w:sz w:val="20"/>
              </w:rPr>
              <w:t>procesos</w:t>
            </w:r>
            <w:r>
              <w:rPr>
                <w:spacing w:val="-7"/>
                <w:sz w:val="20"/>
              </w:rPr>
              <w:t> </w:t>
            </w:r>
            <w:r>
              <w:rPr>
                <w:sz w:val="20"/>
              </w:rPr>
              <w:t>de desertificación.</w:t>
            </w:r>
          </w:p>
        </w:tc>
      </w:tr>
      <w:tr>
        <w:trPr>
          <w:trHeight w:val="468" w:hRule="exact"/>
        </w:trPr>
        <w:tc>
          <w:tcPr>
            <w:tcW w:w="2833" w:type="dxa"/>
          </w:tcPr>
          <w:p>
            <w:pPr>
              <w:pStyle w:val="TableParagraph"/>
              <w:ind w:left="103"/>
              <w:rPr>
                <w:sz w:val="20"/>
              </w:rPr>
            </w:pPr>
            <w:r>
              <w:rPr>
                <w:sz w:val="20"/>
              </w:rPr>
              <w:t>Alta desertificación</w:t>
            </w:r>
          </w:p>
        </w:tc>
        <w:tc>
          <w:tcPr>
            <w:tcW w:w="6282" w:type="dxa"/>
          </w:tcPr>
          <w:p>
            <w:pPr>
              <w:pStyle w:val="TableParagraph"/>
              <w:spacing w:line="240" w:lineRule="auto"/>
              <w:ind w:left="100" w:right="33"/>
              <w:rPr>
                <w:sz w:val="20"/>
              </w:rPr>
            </w:pPr>
            <w:r>
              <w:rPr>
                <w:sz w:val="20"/>
              </w:rPr>
              <w:t>Unidades afectadas por los procesos de desertificación, entre el 5 y el 10 % de superficie ocupada por procesos de desertificación.</w:t>
            </w:r>
          </w:p>
        </w:tc>
      </w:tr>
      <w:tr>
        <w:trPr>
          <w:trHeight w:val="701" w:hRule="exact"/>
        </w:trPr>
        <w:tc>
          <w:tcPr>
            <w:tcW w:w="2833" w:type="dxa"/>
          </w:tcPr>
          <w:p>
            <w:pPr>
              <w:pStyle w:val="TableParagraph"/>
              <w:ind w:left="103"/>
              <w:rPr>
                <w:sz w:val="20"/>
              </w:rPr>
            </w:pPr>
            <w:r>
              <w:rPr>
                <w:sz w:val="20"/>
              </w:rPr>
              <w:t>Media desertificación</w:t>
            </w:r>
          </w:p>
        </w:tc>
        <w:tc>
          <w:tcPr>
            <w:tcW w:w="6282" w:type="dxa"/>
          </w:tcPr>
          <w:p>
            <w:pPr>
              <w:pStyle w:val="TableParagraph"/>
              <w:spacing w:line="240" w:lineRule="auto"/>
              <w:ind w:left="100" w:right="109"/>
              <w:jc w:val="both"/>
              <w:rPr>
                <w:sz w:val="20"/>
              </w:rPr>
            </w:pPr>
            <w:r>
              <w:rPr>
                <w:sz w:val="20"/>
              </w:rPr>
              <w:t>Unidades donde se comienzan a manifestar los procesos de desertificación,</w:t>
            </w:r>
            <w:r>
              <w:rPr>
                <w:spacing w:val="-15"/>
                <w:sz w:val="20"/>
              </w:rPr>
              <w:t> </w:t>
            </w:r>
            <w:r>
              <w:rPr>
                <w:sz w:val="20"/>
              </w:rPr>
              <w:t>entre</w:t>
            </w:r>
            <w:r>
              <w:rPr>
                <w:spacing w:val="-15"/>
                <w:sz w:val="20"/>
              </w:rPr>
              <w:t> </w:t>
            </w:r>
            <w:r>
              <w:rPr>
                <w:sz w:val="20"/>
              </w:rPr>
              <w:t>el</w:t>
            </w:r>
            <w:r>
              <w:rPr>
                <w:spacing w:val="-16"/>
                <w:sz w:val="20"/>
              </w:rPr>
              <w:t> </w:t>
            </w:r>
            <w:r>
              <w:rPr>
                <w:sz w:val="20"/>
              </w:rPr>
              <w:t>2</w:t>
            </w:r>
            <w:r>
              <w:rPr>
                <w:spacing w:val="-10"/>
                <w:sz w:val="20"/>
              </w:rPr>
              <w:t> </w:t>
            </w:r>
            <w:r>
              <w:rPr>
                <w:sz w:val="20"/>
              </w:rPr>
              <w:t>y</w:t>
            </w:r>
            <w:r>
              <w:rPr>
                <w:spacing w:val="-16"/>
                <w:sz w:val="20"/>
              </w:rPr>
              <w:t> </w:t>
            </w:r>
            <w:r>
              <w:rPr>
                <w:sz w:val="20"/>
              </w:rPr>
              <w:t>el</w:t>
            </w:r>
            <w:r>
              <w:rPr>
                <w:spacing w:val="-16"/>
                <w:sz w:val="20"/>
              </w:rPr>
              <w:t> </w:t>
            </w:r>
            <w:r>
              <w:rPr>
                <w:sz w:val="20"/>
              </w:rPr>
              <w:t>5</w:t>
            </w:r>
            <w:r>
              <w:rPr>
                <w:spacing w:val="-15"/>
                <w:sz w:val="20"/>
              </w:rPr>
              <w:t> </w:t>
            </w:r>
            <w:r>
              <w:rPr>
                <w:sz w:val="20"/>
              </w:rPr>
              <w:t>%</w:t>
            </w:r>
            <w:r>
              <w:rPr>
                <w:spacing w:val="-12"/>
                <w:sz w:val="20"/>
              </w:rPr>
              <w:t> </w:t>
            </w:r>
            <w:r>
              <w:rPr>
                <w:sz w:val="20"/>
              </w:rPr>
              <w:t>de</w:t>
            </w:r>
            <w:r>
              <w:rPr>
                <w:spacing w:val="-16"/>
                <w:sz w:val="20"/>
              </w:rPr>
              <w:t> </w:t>
            </w:r>
            <w:r>
              <w:rPr>
                <w:sz w:val="20"/>
              </w:rPr>
              <w:t>superficie</w:t>
            </w:r>
            <w:r>
              <w:rPr>
                <w:spacing w:val="-15"/>
                <w:sz w:val="20"/>
              </w:rPr>
              <w:t> </w:t>
            </w:r>
            <w:r>
              <w:rPr>
                <w:sz w:val="20"/>
              </w:rPr>
              <w:t>ocupada</w:t>
            </w:r>
            <w:r>
              <w:rPr>
                <w:spacing w:val="-15"/>
                <w:sz w:val="20"/>
              </w:rPr>
              <w:t> </w:t>
            </w:r>
            <w:r>
              <w:rPr>
                <w:sz w:val="20"/>
              </w:rPr>
              <w:t>por</w:t>
            </w:r>
            <w:r>
              <w:rPr>
                <w:spacing w:val="-14"/>
                <w:sz w:val="20"/>
              </w:rPr>
              <w:t> </w:t>
            </w:r>
            <w:r>
              <w:rPr>
                <w:sz w:val="20"/>
              </w:rPr>
              <w:t>procesos de</w:t>
            </w:r>
            <w:r>
              <w:rPr>
                <w:spacing w:val="-6"/>
                <w:sz w:val="20"/>
              </w:rPr>
              <w:t> </w:t>
            </w:r>
            <w:r>
              <w:rPr>
                <w:sz w:val="20"/>
              </w:rPr>
              <w:t>desertificación.</w:t>
            </w:r>
          </w:p>
        </w:tc>
      </w:tr>
    </w:tbl>
    <w:p>
      <w:pPr>
        <w:spacing w:after="0" w:line="240" w:lineRule="auto"/>
        <w:jc w:val="both"/>
        <w:rPr>
          <w:sz w:val="20"/>
        </w:rPr>
        <w:sectPr>
          <w:pgSz w:w="12250" w:h="15850"/>
          <w:pgMar w:header="0" w:footer="759" w:top="1500" w:bottom="940" w:left="1600" w:right="1300"/>
        </w:sectPr>
      </w:pPr>
    </w:p>
    <w:p>
      <w:pPr>
        <w:pStyle w:val="BodyText"/>
        <w:spacing w:before="4"/>
        <w:rPr>
          <w:b/>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33"/>
        <w:gridCol w:w="6282"/>
      </w:tblGrid>
      <w:tr>
        <w:trPr>
          <w:trHeight w:val="698" w:hRule="exact"/>
        </w:trPr>
        <w:tc>
          <w:tcPr>
            <w:tcW w:w="2833" w:type="dxa"/>
          </w:tcPr>
          <w:p>
            <w:pPr>
              <w:pStyle w:val="TableParagraph"/>
              <w:ind w:left="103"/>
              <w:rPr>
                <w:sz w:val="20"/>
              </w:rPr>
            </w:pPr>
            <w:r>
              <w:rPr>
                <w:sz w:val="20"/>
              </w:rPr>
              <w:t>Baja desertificación</w:t>
            </w:r>
          </w:p>
        </w:tc>
        <w:tc>
          <w:tcPr>
            <w:tcW w:w="6282" w:type="dxa"/>
          </w:tcPr>
          <w:p>
            <w:pPr>
              <w:pStyle w:val="TableParagraph"/>
              <w:spacing w:line="240" w:lineRule="auto"/>
              <w:ind w:left="100" w:right="109"/>
              <w:jc w:val="both"/>
              <w:rPr>
                <w:sz w:val="20"/>
              </w:rPr>
            </w:pPr>
            <w:r>
              <w:rPr>
                <w:sz w:val="20"/>
              </w:rPr>
              <w:t>Unidades donde es leve la manifestación de los procesos de desertificación, menos del 2 % de superficie ocupada por procesos de desertificación.</w:t>
            </w:r>
          </w:p>
        </w:tc>
      </w:tr>
      <w:tr>
        <w:trPr>
          <w:trHeight w:val="355" w:hRule="exact"/>
        </w:trPr>
        <w:tc>
          <w:tcPr>
            <w:tcW w:w="2833" w:type="dxa"/>
          </w:tcPr>
          <w:p>
            <w:pPr>
              <w:pStyle w:val="TableParagraph"/>
              <w:spacing w:line="230" w:lineRule="exact"/>
              <w:ind w:left="103"/>
              <w:rPr>
                <w:sz w:val="20"/>
              </w:rPr>
            </w:pPr>
            <w:r>
              <w:rPr>
                <w:sz w:val="20"/>
              </w:rPr>
              <w:t>Sin desertificación</w:t>
            </w:r>
          </w:p>
        </w:tc>
        <w:tc>
          <w:tcPr>
            <w:tcW w:w="6282" w:type="dxa"/>
          </w:tcPr>
          <w:p>
            <w:pPr>
              <w:pStyle w:val="TableParagraph"/>
              <w:spacing w:line="230" w:lineRule="exact"/>
              <w:ind w:left="100" w:right="33"/>
              <w:rPr>
                <w:sz w:val="20"/>
              </w:rPr>
            </w:pPr>
            <w:r>
              <w:rPr>
                <w:sz w:val="20"/>
              </w:rPr>
              <w:t>Unidades donde no se manifiestan los procesos de desertificación.</w:t>
            </w:r>
          </w:p>
        </w:tc>
      </w:tr>
    </w:tbl>
    <w:p>
      <w:pPr>
        <w:pStyle w:val="BodyText"/>
        <w:rPr>
          <w:b/>
          <w:sz w:val="20"/>
        </w:rPr>
      </w:pPr>
    </w:p>
    <w:p>
      <w:pPr>
        <w:pStyle w:val="BodyText"/>
        <w:spacing w:before="11"/>
        <w:rPr>
          <w:b/>
          <w:sz w:val="27"/>
        </w:rPr>
      </w:pPr>
    </w:p>
    <w:p>
      <w:pPr>
        <w:pStyle w:val="BodyText"/>
        <w:spacing w:line="475" w:lineRule="auto" w:before="72"/>
        <w:ind w:left="102" w:right="13" w:firstLine="707"/>
      </w:pPr>
      <w:r>
        <w:rPr/>
        <w:t>Para México, la superficie con procesos de desertificación, provocados por el hombre, es de 27 641.36 km</w:t>
      </w:r>
      <w:r>
        <w:rPr>
          <w:position w:val="8"/>
          <w:sz w:val="14"/>
        </w:rPr>
        <w:t>2</w:t>
      </w:r>
      <w:r>
        <w:rPr/>
        <w:t>, de ellas 7 430.19 km</w:t>
      </w:r>
      <w:r>
        <w:rPr>
          <w:position w:val="8"/>
          <w:sz w:val="14"/>
        </w:rPr>
        <w:t>2 </w:t>
      </w:r>
      <w:r>
        <w:rPr/>
        <w:t>con muy alta desertificación, 3 722.26 km</w:t>
      </w:r>
      <w:r>
        <w:rPr>
          <w:position w:val="8"/>
          <w:sz w:val="14"/>
        </w:rPr>
        <w:t>2 </w:t>
      </w:r>
      <w:r>
        <w:rPr/>
        <w:t>con alta</w:t>
      </w:r>
    </w:p>
    <w:p>
      <w:pPr>
        <w:pStyle w:val="BodyText"/>
        <w:spacing w:line="480" w:lineRule="auto"/>
        <w:ind w:left="102" w:right="13"/>
      </w:pPr>
      <w:r>
        <w:rPr/>
        <w:t>desertificación, 14 260.30 km</w:t>
      </w:r>
      <w:r>
        <w:rPr>
          <w:position w:val="8"/>
          <w:sz w:val="14"/>
        </w:rPr>
        <w:t>2 </w:t>
      </w:r>
      <w:r>
        <w:rPr/>
        <w:t>con media desertificación y 2 228.61 km</w:t>
      </w:r>
      <w:r>
        <w:rPr>
          <w:position w:val="8"/>
          <w:sz w:val="14"/>
        </w:rPr>
        <w:t>2 </w:t>
      </w:r>
      <w:r>
        <w:rPr/>
        <w:t>con baja desertificación (Hernández Cerda, 2008a).</w:t>
      </w:r>
    </w:p>
    <w:p>
      <w:pPr>
        <w:pStyle w:val="ListParagraph"/>
        <w:numPr>
          <w:ilvl w:val="0"/>
          <w:numId w:val="3"/>
        </w:numPr>
        <w:tabs>
          <w:tab w:pos="933" w:val="left" w:leader="none"/>
        </w:tabs>
        <w:spacing w:line="240" w:lineRule="auto" w:before="127" w:after="0"/>
        <w:ind w:left="932" w:right="0" w:hanging="122"/>
        <w:jc w:val="left"/>
        <w:rPr>
          <w:sz w:val="22"/>
        </w:rPr>
      </w:pPr>
      <w:r>
        <w:rPr>
          <w:sz w:val="22"/>
          <w:u w:val="single"/>
        </w:rPr>
        <w:t>Modificación</w:t>
      </w:r>
      <w:r>
        <w:rPr>
          <w:spacing w:val="-16"/>
          <w:sz w:val="22"/>
          <w:u w:val="single"/>
        </w:rPr>
        <w:t> </w:t>
      </w:r>
      <w:r>
        <w:rPr>
          <w:sz w:val="22"/>
          <w:u w:val="single"/>
        </w:rPr>
        <w:t>antropogénica</w:t>
      </w:r>
      <w:r>
        <w:rPr>
          <w:spacing w:val="-16"/>
          <w:sz w:val="22"/>
          <w:u w:val="single"/>
        </w:rPr>
        <w:t> </w:t>
      </w:r>
      <w:r>
        <w:rPr>
          <w:sz w:val="22"/>
          <w:u w:val="single"/>
        </w:rPr>
        <w:t>provocada</w:t>
      </w:r>
      <w:r>
        <w:rPr>
          <w:spacing w:val="-16"/>
          <w:sz w:val="22"/>
          <w:u w:val="single"/>
        </w:rPr>
        <w:t> </w:t>
      </w:r>
      <w:r>
        <w:rPr>
          <w:sz w:val="22"/>
          <w:u w:val="single"/>
        </w:rPr>
        <w:t>por</w:t>
      </w:r>
      <w:r>
        <w:rPr>
          <w:spacing w:val="-15"/>
          <w:sz w:val="22"/>
          <w:u w:val="single"/>
        </w:rPr>
        <w:t> </w:t>
      </w:r>
      <w:r>
        <w:rPr>
          <w:sz w:val="22"/>
          <w:u w:val="single"/>
        </w:rPr>
        <w:t>carreteras</w:t>
      </w:r>
      <w:r>
        <w:rPr>
          <w:spacing w:val="-15"/>
          <w:sz w:val="22"/>
          <w:u w:val="single"/>
        </w:rPr>
        <w:t> </w:t>
      </w:r>
      <w:r>
        <w:rPr>
          <w:sz w:val="22"/>
          <w:u w:val="single"/>
        </w:rPr>
        <w:t>de</w:t>
      </w:r>
      <w:r>
        <w:rPr>
          <w:spacing w:val="-16"/>
          <w:sz w:val="22"/>
          <w:u w:val="single"/>
        </w:rPr>
        <w:t> </w:t>
      </w:r>
      <w:r>
        <w:rPr>
          <w:sz w:val="22"/>
          <w:u w:val="single"/>
        </w:rPr>
        <w:t>primer</w:t>
      </w:r>
      <w:r>
        <w:rPr>
          <w:spacing w:val="-15"/>
          <w:sz w:val="22"/>
          <w:u w:val="single"/>
        </w:rPr>
        <w:t> </w:t>
      </w:r>
      <w:r>
        <w:rPr>
          <w:sz w:val="22"/>
          <w:u w:val="single"/>
        </w:rPr>
        <w:t>orden</w:t>
      </w:r>
      <w:r>
        <w:rPr>
          <w:sz w:val="22"/>
        </w:rPr>
        <w:t>:</w:t>
      </w:r>
      <w:r>
        <w:rPr>
          <w:spacing w:val="-15"/>
          <w:sz w:val="22"/>
        </w:rPr>
        <w:t> </w:t>
      </w:r>
      <w:r>
        <w:rPr>
          <w:sz w:val="22"/>
        </w:rPr>
        <w:t>Se</w:t>
      </w:r>
      <w:r>
        <w:rPr>
          <w:spacing w:val="-18"/>
          <w:sz w:val="22"/>
        </w:rPr>
        <w:t> </w:t>
      </w:r>
      <w:r>
        <w:rPr>
          <w:sz w:val="22"/>
        </w:rPr>
        <w:t>utilizó</w:t>
      </w:r>
      <w:r>
        <w:rPr>
          <w:spacing w:val="-16"/>
          <w:sz w:val="22"/>
        </w:rPr>
        <w:t> </w:t>
      </w:r>
      <w:r>
        <w:rPr>
          <w:sz w:val="22"/>
        </w:rPr>
        <w:t>como</w:t>
      </w:r>
    </w:p>
    <w:p>
      <w:pPr>
        <w:pStyle w:val="BodyText"/>
        <w:spacing w:before="5"/>
        <w:rPr>
          <w:sz w:val="15"/>
        </w:rPr>
      </w:pPr>
    </w:p>
    <w:p>
      <w:pPr>
        <w:pStyle w:val="BodyText"/>
        <w:spacing w:line="480" w:lineRule="auto" w:before="73"/>
        <w:ind w:left="102" w:right="113"/>
        <w:jc w:val="both"/>
      </w:pPr>
      <w:r>
        <w:rPr/>
        <w:t>indicador de la modificación antropogénica provocada por la degradación de la longitud de carreteras</w:t>
      </w:r>
      <w:r>
        <w:rPr>
          <w:spacing w:val="-10"/>
        </w:rPr>
        <w:t> </w:t>
      </w:r>
      <w:r>
        <w:rPr/>
        <w:t>de</w:t>
      </w:r>
      <w:r>
        <w:rPr>
          <w:spacing w:val="-10"/>
        </w:rPr>
        <w:t> </w:t>
      </w:r>
      <w:r>
        <w:rPr/>
        <w:t>primer</w:t>
      </w:r>
      <w:r>
        <w:rPr>
          <w:spacing w:val="-9"/>
        </w:rPr>
        <w:t> </w:t>
      </w:r>
      <w:r>
        <w:rPr/>
        <w:t>orden</w:t>
      </w:r>
      <w:r>
        <w:rPr>
          <w:spacing w:val="-8"/>
        </w:rPr>
        <w:t> </w:t>
      </w:r>
      <w:r>
        <w:rPr/>
        <w:t>(federal</w:t>
      </w:r>
      <w:r>
        <w:rPr>
          <w:spacing w:val="-8"/>
        </w:rPr>
        <w:t> </w:t>
      </w:r>
      <w:r>
        <w:rPr/>
        <w:t>y</w:t>
      </w:r>
      <w:r>
        <w:rPr>
          <w:spacing w:val="-10"/>
        </w:rPr>
        <w:t> </w:t>
      </w:r>
      <w:r>
        <w:rPr/>
        <w:t>cuota)</w:t>
      </w:r>
      <w:r>
        <w:rPr>
          <w:spacing w:val="-9"/>
        </w:rPr>
        <w:t> </w:t>
      </w:r>
      <w:r>
        <w:rPr/>
        <w:t>para</w:t>
      </w:r>
      <w:r>
        <w:rPr>
          <w:spacing w:val="-10"/>
        </w:rPr>
        <w:t> </w:t>
      </w:r>
      <w:r>
        <w:rPr/>
        <w:t>las</w:t>
      </w:r>
      <w:r>
        <w:rPr>
          <w:spacing w:val="-8"/>
        </w:rPr>
        <w:t> </w:t>
      </w:r>
      <w:r>
        <w:rPr/>
        <w:t>145</w:t>
      </w:r>
      <w:r>
        <w:rPr>
          <w:spacing w:val="-8"/>
        </w:rPr>
        <w:t> </w:t>
      </w:r>
      <w:r>
        <w:rPr/>
        <w:t>UAB,</w:t>
      </w:r>
      <w:r>
        <w:rPr>
          <w:spacing w:val="-9"/>
        </w:rPr>
        <w:t> </w:t>
      </w:r>
      <w:r>
        <w:rPr/>
        <w:t>lo</w:t>
      </w:r>
      <w:r>
        <w:rPr>
          <w:spacing w:val="-10"/>
        </w:rPr>
        <w:t> </w:t>
      </w:r>
      <w:r>
        <w:rPr/>
        <w:t>que</w:t>
      </w:r>
      <w:r>
        <w:rPr>
          <w:spacing w:val="-10"/>
        </w:rPr>
        <w:t> </w:t>
      </w:r>
      <w:r>
        <w:rPr/>
        <w:t>a</w:t>
      </w:r>
      <w:r>
        <w:rPr>
          <w:spacing w:val="-10"/>
        </w:rPr>
        <w:t> </w:t>
      </w:r>
      <w:r>
        <w:rPr/>
        <w:t>su</w:t>
      </w:r>
      <w:r>
        <w:rPr>
          <w:spacing w:val="-10"/>
        </w:rPr>
        <w:t> </w:t>
      </w:r>
      <w:r>
        <w:rPr/>
        <w:t>vez,</w:t>
      </w:r>
      <w:r>
        <w:rPr>
          <w:spacing w:val="-7"/>
        </w:rPr>
        <w:t> </w:t>
      </w:r>
      <w:r>
        <w:rPr/>
        <w:t>refleja</w:t>
      </w:r>
      <w:r>
        <w:rPr>
          <w:spacing w:val="-8"/>
        </w:rPr>
        <w:t> </w:t>
      </w:r>
      <w:r>
        <w:rPr/>
        <w:t>el</w:t>
      </w:r>
      <w:r>
        <w:rPr>
          <w:spacing w:val="-11"/>
        </w:rPr>
        <w:t> </w:t>
      </w:r>
      <w:r>
        <w:rPr/>
        <w:t>riesgo de accesibilidad a los recursos naturales. Para dicha categorización se siguieron los criterios: Menos de 100 km (muy baja), de 101 a 700 km (baja), de 701 a 1 300 (media), 1 301 a 1 900 km</w:t>
      </w:r>
      <w:r>
        <w:rPr>
          <w:spacing w:val="-4"/>
        </w:rPr>
        <w:t> </w:t>
      </w:r>
      <w:r>
        <w:rPr/>
        <w:t>(alta)</w:t>
      </w:r>
      <w:r>
        <w:rPr>
          <w:spacing w:val="-2"/>
        </w:rPr>
        <w:t> </w:t>
      </w:r>
      <w:r>
        <w:rPr/>
        <w:t>y</w:t>
      </w:r>
      <w:r>
        <w:rPr>
          <w:spacing w:val="-5"/>
        </w:rPr>
        <w:t> </w:t>
      </w:r>
      <w:r>
        <w:rPr/>
        <w:t>mayor</w:t>
      </w:r>
      <w:r>
        <w:rPr>
          <w:spacing w:val="-5"/>
        </w:rPr>
        <w:t> </w:t>
      </w:r>
      <w:r>
        <w:rPr/>
        <w:t>de</w:t>
      </w:r>
      <w:r>
        <w:rPr>
          <w:spacing w:val="-3"/>
        </w:rPr>
        <w:t> </w:t>
      </w:r>
      <w:r>
        <w:rPr/>
        <w:t>1</w:t>
      </w:r>
      <w:r>
        <w:rPr>
          <w:spacing w:val="-5"/>
        </w:rPr>
        <w:t> </w:t>
      </w:r>
      <w:r>
        <w:rPr/>
        <w:t>900</w:t>
      </w:r>
      <w:r>
        <w:rPr>
          <w:spacing w:val="-6"/>
        </w:rPr>
        <w:t> </w:t>
      </w:r>
      <w:r>
        <w:rPr/>
        <w:t>km</w:t>
      </w:r>
      <w:r>
        <w:rPr>
          <w:spacing w:val="-4"/>
        </w:rPr>
        <w:t> </w:t>
      </w:r>
      <w:r>
        <w:rPr/>
        <w:t>(muy</w:t>
      </w:r>
      <w:r>
        <w:rPr>
          <w:spacing w:val="-5"/>
        </w:rPr>
        <w:t> </w:t>
      </w:r>
      <w:r>
        <w:rPr/>
        <w:t>alta).</w:t>
      </w:r>
      <w:r>
        <w:rPr>
          <w:spacing w:val="-4"/>
        </w:rPr>
        <w:t> </w:t>
      </w:r>
      <w:r>
        <w:rPr/>
        <w:t>La</w:t>
      </w:r>
      <w:r>
        <w:rPr>
          <w:spacing w:val="-3"/>
        </w:rPr>
        <w:t> </w:t>
      </w:r>
      <w:r>
        <w:rPr/>
        <w:t>suma</w:t>
      </w:r>
      <w:r>
        <w:rPr>
          <w:spacing w:val="-3"/>
        </w:rPr>
        <w:t> </w:t>
      </w:r>
      <w:r>
        <w:rPr/>
        <w:t>de</w:t>
      </w:r>
      <w:r>
        <w:rPr>
          <w:spacing w:val="-6"/>
        </w:rPr>
        <w:t> </w:t>
      </w:r>
      <w:r>
        <w:rPr/>
        <w:t>la</w:t>
      </w:r>
      <w:r>
        <w:rPr>
          <w:spacing w:val="-3"/>
        </w:rPr>
        <w:t> </w:t>
      </w:r>
      <w:r>
        <w:rPr/>
        <w:t>longitud</w:t>
      </w:r>
      <w:r>
        <w:rPr>
          <w:spacing w:val="-6"/>
        </w:rPr>
        <w:t> </w:t>
      </w:r>
      <w:r>
        <w:rPr/>
        <w:t>total</w:t>
      </w:r>
      <w:r>
        <w:rPr>
          <w:spacing w:val="-4"/>
        </w:rPr>
        <w:t> </w:t>
      </w:r>
      <w:r>
        <w:rPr/>
        <w:t>de</w:t>
      </w:r>
      <w:r>
        <w:rPr>
          <w:spacing w:val="-6"/>
        </w:rPr>
        <w:t> </w:t>
      </w:r>
      <w:r>
        <w:rPr/>
        <w:t>carreteras</w:t>
      </w:r>
      <w:r>
        <w:rPr>
          <w:spacing w:val="-3"/>
        </w:rPr>
        <w:t> </w:t>
      </w:r>
      <w:r>
        <w:rPr/>
        <w:t>de</w:t>
      </w:r>
      <w:r>
        <w:rPr>
          <w:spacing w:val="-3"/>
        </w:rPr>
        <w:t> </w:t>
      </w:r>
      <w:r>
        <w:rPr/>
        <w:t>primer orden para el país es de 86 462.69</w:t>
      </w:r>
      <w:r>
        <w:rPr>
          <w:spacing w:val="-4"/>
        </w:rPr>
        <w:t> </w:t>
      </w:r>
      <w:r>
        <w:rPr/>
        <w:t>km.</w:t>
      </w:r>
    </w:p>
    <w:p>
      <w:pPr>
        <w:pStyle w:val="ListParagraph"/>
        <w:numPr>
          <w:ilvl w:val="0"/>
          <w:numId w:val="3"/>
        </w:numPr>
        <w:tabs>
          <w:tab w:pos="1031" w:val="left" w:leader="none"/>
        </w:tabs>
        <w:spacing w:line="240" w:lineRule="auto" w:before="127" w:after="0"/>
        <w:ind w:left="1030" w:right="0" w:hanging="220"/>
        <w:jc w:val="left"/>
        <w:rPr>
          <w:sz w:val="22"/>
        </w:rPr>
      </w:pPr>
      <w:r>
        <w:rPr>
          <w:sz w:val="22"/>
          <w:u w:val="single"/>
        </w:rPr>
        <w:t>Modificación  provocada  por  urbanización</w:t>
      </w:r>
      <w:r>
        <w:rPr>
          <w:sz w:val="22"/>
        </w:rPr>
        <w:t>:  Para  el  análisis  de  la    </w:t>
      </w:r>
      <w:r>
        <w:rPr>
          <w:spacing w:val="9"/>
          <w:sz w:val="22"/>
        </w:rPr>
        <w:t> </w:t>
      </w:r>
      <w:r>
        <w:rPr>
          <w:sz w:val="22"/>
        </w:rPr>
        <w:t>modificación</w:t>
      </w:r>
    </w:p>
    <w:p>
      <w:pPr>
        <w:pStyle w:val="BodyText"/>
        <w:spacing w:before="8"/>
        <w:rPr>
          <w:sz w:val="15"/>
        </w:rPr>
      </w:pPr>
    </w:p>
    <w:p>
      <w:pPr>
        <w:pStyle w:val="BodyText"/>
        <w:spacing w:line="480" w:lineRule="auto" w:before="73"/>
        <w:ind w:left="102" w:right="111"/>
        <w:jc w:val="both"/>
      </w:pPr>
      <w:r>
        <w:rPr/>
        <w:t>provocada por los procesos de urbanización se utilizó como fuente de información el mapa “Áreas</w:t>
      </w:r>
      <w:r>
        <w:rPr>
          <w:spacing w:val="-7"/>
        </w:rPr>
        <w:t> </w:t>
      </w:r>
      <w:r>
        <w:rPr/>
        <w:t>con</w:t>
      </w:r>
      <w:r>
        <w:rPr>
          <w:spacing w:val="-6"/>
        </w:rPr>
        <w:t> </w:t>
      </w:r>
      <w:r>
        <w:rPr/>
        <w:t>degradación</w:t>
      </w:r>
      <w:r>
        <w:rPr>
          <w:spacing w:val="-8"/>
        </w:rPr>
        <w:t> </w:t>
      </w:r>
      <w:r>
        <w:rPr/>
        <w:t>de</w:t>
      </w:r>
      <w:r>
        <w:rPr>
          <w:spacing w:val="-6"/>
        </w:rPr>
        <w:t> </w:t>
      </w:r>
      <w:r>
        <w:rPr/>
        <w:t>la</w:t>
      </w:r>
      <w:r>
        <w:rPr>
          <w:spacing w:val="-5"/>
        </w:rPr>
        <w:t> </w:t>
      </w:r>
      <w:r>
        <w:rPr/>
        <w:t>cubierta</w:t>
      </w:r>
      <w:r>
        <w:rPr>
          <w:spacing w:val="-8"/>
        </w:rPr>
        <w:t> </w:t>
      </w:r>
      <w:r>
        <w:rPr/>
        <w:t>vegetal”</w:t>
      </w:r>
      <w:r>
        <w:rPr>
          <w:spacing w:val="-7"/>
        </w:rPr>
        <w:t> </w:t>
      </w:r>
      <w:r>
        <w:rPr/>
        <w:t>(Sánchez</w:t>
      </w:r>
      <w:r>
        <w:rPr>
          <w:spacing w:val="-7"/>
        </w:rPr>
        <w:t> </w:t>
      </w:r>
      <w:r>
        <w:rPr/>
        <w:t>Colón</w:t>
      </w:r>
      <w:r>
        <w:rPr>
          <w:spacing w:val="-3"/>
        </w:rPr>
        <w:t> </w:t>
      </w:r>
      <w:r>
        <w:rPr>
          <w:i/>
        </w:rPr>
        <w:t>et</w:t>
      </w:r>
      <w:r>
        <w:rPr>
          <w:i/>
          <w:spacing w:val="-4"/>
        </w:rPr>
        <w:t> </w:t>
      </w:r>
      <w:r>
        <w:rPr>
          <w:i/>
        </w:rPr>
        <w:t>al</w:t>
      </w:r>
      <w:r>
        <w:rPr/>
        <w:t>.,</w:t>
      </w:r>
      <w:r>
        <w:rPr>
          <w:spacing w:val="-6"/>
        </w:rPr>
        <w:t> </w:t>
      </w:r>
      <w:r>
        <w:rPr/>
        <w:t>2008b),</w:t>
      </w:r>
      <w:r>
        <w:rPr>
          <w:spacing w:val="-4"/>
        </w:rPr>
        <w:t> </w:t>
      </w:r>
      <w:r>
        <w:rPr/>
        <w:t>el</w:t>
      </w:r>
      <w:r>
        <w:rPr>
          <w:spacing w:val="-9"/>
        </w:rPr>
        <w:t> </w:t>
      </w:r>
      <w:r>
        <w:rPr/>
        <w:t>cual</w:t>
      </w:r>
      <w:r>
        <w:rPr>
          <w:spacing w:val="-6"/>
        </w:rPr>
        <w:t> </w:t>
      </w:r>
      <w:r>
        <w:rPr/>
        <w:t>contiene información</w:t>
      </w:r>
      <w:r>
        <w:rPr>
          <w:spacing w:val="-19"/>
        </w:rPr>
        <w:t> </w:t>
      </w:r>
      <w:r>
        <w:rPr/>
        <w:t>sobre</w:t>
      </w:r>
      <w:r>
        <w:rPr>
          <w:spacing w:val="-19"/>
        </w:rPr>
        <w:t> </w:t>
      </w:r>
      <w:r>
        <w:rPr/>
        <w:t>los</w:t>
      </w:r>
      <w:r>
        <w:rPr>
          <w:spacing w:val="-16"/>
        </w:rPr>
        <w:t> </w:t>
      </w:r>
      <w:r>
        <w:rPr/>
        <w:t>usos</w:t>
      </w:r>
      <w:r>
        <w:rPr>
          <w:spacing w:val="-16"/>
        </w:rPr>
        <w:t> </w:t>
      </w:r>
      <w:r>
        <w:rPr/>
        <w:t>de</w:t>
      </w:r>
      <w:r>
        <w:rPr>
          <w:spacing w:val="-16"/>
        </w:rPr>
        <w:t> </w:t>
      </w:r>
      <w:r>
        <w:rPr/>
        <w:t>suelo.</w:t>
      </w:r>
      <w:r>
        <w:rPr>
          <w:spacing w:val="-17"/>
        </w:rPr>
        <w:t> </w:t>
      </w:r>
      <w:r>
        <w:rPr/>
        <w:t>La</w:t>
      </w:r>
      <w:r>
        <w:rPr>
          <w:spacing w:val="-16"/>
        </w:rPr>
        <w:t> </w:t>
      </w:r>
      <w:r>
        <w:rPr/>
        <w:t>categorización</w:t>
      </w:r>
      <w:r>
        <w:rPr>
          <w:spacing w:val="-16"/>
        </w:rPr>
        <w:t> </w:t>
      </w:r>
      <w:r>
        <w:rPr/>
        <w:t>se</w:t>
      </w:r>
      <w:r>
        <w:rPr>
          <w:spacing w:val="-16"/>
        </w:rPr>
        <w:t> </w:t>
      </w:r>
      <w:r>
        <w:rPr/>
        <w:t>dividió</w:t>
      </w:r>
      <w:r>
        <w:rPr>
          <w:spacing w:val="-16"/>
        </w:rPr>
        <w:t> </w:t>
      </w:r>
      <w:r>
        <w:rPr/>
        <w:t>en</w:t>
      </w:r>
      <w:r>
        <w:rPr>
          <w:spacing w:val="-16"/>
        </w:rPr>
        <w:t> </w:t>
      </w:r>
      <w:r>
        <w:rPr/>
        <w:t>cinco</w:t>
      </w:r>
      <w:r>
        <w:rPr>
          <w:spacing w:val="-16"/>
        </w:rPr>
        <w:t> </w:t>
      </w:r>
      <w:r>
        <w:rPr/>
        <w:t>intervalos,</w:t>
      </w:r>
      <w:r>
        <w:rPr>
          <w:spacing w:val="-15"/>
        </w:rPr>
        <w:t> </w:t>
      </w:r>
      <w:r>
        <w:rPr/>
        <w:t>tendiendo en cuenta el porcentaje de superficie urbanizada de cada unidad ambiental biofísica (UAB): menos de 0,9 %, muy baja; 1,0 a 1,9 %, baja;  2,0 a 2,9 %, media; 3,0 a 3,9, alta; y mayor</w:t>
      </w:r>
      <w:r>
        <w:rPr>
          <w:spacing w:val="38"/>
        </w:rPr>
        <w:t> </w:t>
      </w:r>
      <w:r>
        <w:rPr/>
        <w:t>de</w:t>
      </w:r>
    </w:p>
    <w:p>
      <w:pPr>
        <w:pStyle w:val="BodyText"/>
        <w:spacing w:before="7"/>
        <w:ind w:left="102"/>
        <w:jc w:val="both"/>
      </w:pPr>
      <w:r>
        <w:rPr/>
        <w:t>4,0, muy alta.</w:t>
      </w:r>
    </w:p>
    <w:p>
      <w:pPr>
        <w:pStyle w:val="BodyText"/>
        <w:spacing w:before="5"/>
        <w:rPr>
          <w:sz w:val="32"/>
        </w:rPr>
      </w:pPr>
    </w:p>
    <w:p>
      <w:pPr>
        <w:pStyle w:val="ListParagraph"/>
        <w:numPr>
          <w:ilvl w:val="0"/>
          <w:numId w:val="3"/>
        </w:numPr>
        <w:tabs>
          <w:tab w:pos="981" w:val="left" w:leader="none"/>
        </w:tabs>
        <w:spacing w:line="240" w:lineRule="auto" w:before="0" w:after="0"/>
        <w:ind w:left="980" w:right="0" w:hanging="170"/>
        <w:jc w:val="left"/>
        <w:rPr>
          <w:sz w:val="22"/>
        </w:rPr>
      </w:pPr>
      <w:r>
        <w:rPr>
          <w:sz w:val="22"/>
          <w:u w:val="single"/>
        </w:rPr>
        <w:t>Modificación</w:t>
      </w:r>
      <w:r>
        <w:rPr>
          <w:spacing w:val="29"/>
          <w:sz w:val="22"/>
          <w:u w:val="single"/>
        </w:rPr>
        <w:t> </w:t>
      </w:r>
      <w:r>
        <w:rPr>
          <w:sz w:val="22"/>
          <w:u w:val="single"/>
        </w:rPr>
        <w:t>provocada</w:t>
      </w:r>
      <w:r>
        <w:rPr>
          <w:spacing w:val="31"/>
          <w:sz w:val="22"/>
          <w:u w:val="single"/>
        </w:rPr>
        <w:t> </w:t>
      </w:r>
      <w:r>
        <w:rPr>
          <w:sz w:val="22"/>
          <w:u w:val="single"/>
        </w:rPr>
        <w:t>por</w:t>
      </w:r>
      <w:r>
        <w:rPr>
          <w:spacing w:val="31"/>
          <w:sz w:val="22"/>
          <w:u w:val="single"/>
        </w:rPr>
        <w:t> </w:t>
      </w:r>
      <w:r>
        <w:rPr>
          <w:sz w:val="22"/>
          <w:u w:val="single"/>
        </w:rPr>
        <w:t>superficie</w:t>
      </w:r>
      <w:r>
        <w:rPr>
          <w:spacing w:val="29"/>
          <w:sz w:val="22"/>
          <w:u w:val="single"/>
        </w:rPr>
        <w:t> </w:t>
      </w:r>
      <w:r>
        <w:rPr>
          <w:sz w:val="22"/>
          <w:u w:val="single"/>
        </w:rPr>
        <w:t>de</w:t>
      </w:r>
      <w:r>
        <w:rPr>
          <w:spacing w:val="29"/>
          <w:sz w:val="22"/>
          <w:u w:val="single"/>
        </w:rPr>
        <w:t> </w:t>
      </w:r>
      <w:r>
        <w:rPr>
          <w:sz w:val="22"/>
          <w:u w:val="single"/>
        </w:rPr>
        <w:t>cuerpos</w:t>
      </w:r>
      <w:r>
        <w:rPr>
          <w:spacing w:val="32"/>
          <w:sz w:val="22"/>
          <w:u w:val="single"/>
        </w:rPr>
        <w:t> </w:t>
      </w:r>
      <w:r>
        <w:rPr>
          <w:sz w:val="22"/>
          <w:u w:val="single"/>
        </w:rPr>
        <w:t>de</w:t>
      </w:r>
      <w:r>
        <w:rPr>
          <w:spacing w:val="32"/>
          <w:sz w:val="22"/>
          <w:u w:val="single"/>
        </w:rPr>
        <w:t> </w:t>
      </w:r>
      <w:r>
        <w:rPr>
          <w:sz w:val="22"/>
          <w:u w:val="single"/>
        </w:rPr>
        <w:t>agua</w:t>
      </w:r>
      <w:r>
        <w:rPr>
          <w:sz w:val="22"/>
        </w:rPr>
        <w:t>:</w:t>
      </w:r>
      <w:r>
        <w:rPr>
          <w:spacing w:val="31"/>
          <w:sz w:val="22"/>
        </w:rPr>
        <w:t> </w:t>
      </w:r>
      <w:r>
        <w:rPr>
          <w:sz w:val="22"/>
        </w:rPr>
        <w:t>Para</w:t>
      </w:r>
      <w:r>
        <w:rPr>
          <w:spacing w:val="32"/>
          <w:sz w:val="22"/>
        </w:rPr>
        <w:t> </w:t>
      </w:r>
      <w:r>
        <w:rPr>
          <w:sz w:val="22"/>
        </w:rPr>
        <w:t>el</w:t>
      </w:r>
      <w:r>
        <w:rPr>
          <w:spacing w:val="28"/>
          <w:sz w:val="22"/>
        </w:rPr>
        <w:t> </w:t>
      </w:r>
      <w:r>
        <w:rPr>
          <w:sz w:val="22"/>
        </w:rPr>
        <w:t>análisis</w:t>
      </w:r>
      <w:r>
        <w:rPr>
          <w:spacing w:val="32"/>
          <w:sz w:val="22"/>
        </w:rPr>
        <w:t> </w:t>
      </w:r>
      <w:r>
        <w:rPr>
          <w:sz w:val="22"/>
        </w:rPr>
        <w:t>de</w:t>
      </w:r>
      <w:r>
        <w:rPr>
          <w:spacing w:val="31"/>
          <w:sz w:val="22"/>
        </w:rPr>
        <w:t> </w:t>
      </w:r>
      <w:r>
        <w:rPr>
          <w:sz w:val="22"/>
        </w:rPr>
        <w:t>la</w:t>
      </w:r>
    </w:p>
    <w:p>
      <w:pPr>
        <w:pStyle w:val="BodyText"/>
        <w:spacing w:before="8"/>
        <w:rPr>
          <w:sz w:val="15"/>
        </w:rPr>
      </w:pPr>
    </w:p>
    <w:p>
      <w:pPr>
        <w:pStyle w:val="BodyText"/>
        <w:spacing w:line="480" w:lineRule="auto" w:before="73"/>
        <w:ind w:left="102" w:right="13"/>
      </w:pPr>
      <w:r>
        <w:rPr/>
        <w:t>modificación</w:t>
      </w:r>
      <w:r>
        <w:rPr>
          <w:spacing w:val="-15"/>
        </w:rPr>
        <w:t> </w:t>
      </w:r>
      <w:r>
        <w:rPr/>
        <w:t>provocada</w:t>
      </w:r>
      <w:r>
        <w:rPr>
          <w:spacing w:val="-18"/>
        </w:rPr>
        <w:t> </w:t>
      </w:r>
      <w:r>
        <w:rPr/>
        <w:t>por</w:t>
      </w:r>
      <w:r>
        <w:rPr>
          <w:spacing w:val="-15"/>
        </w:rPr>
        <w:t> </w:t>
      </w:r>
      <w:r>
        <w:rPr/>
        <w:t>los</w:t>
      </w:r>
      <w:r>
        <w:rPr>
          <w:spacing w:val="-18"/>
        </w:rPr>
        <w:t> </w:t>
      </w:r>
      <w:r>
        <w:rPr/>
        <w:t>cuerpos</w:t>
      </w:r>
      <w:r>
        <w:rPr>
          <w:spacing w:val="-15"/>
        </w:rPr>
        <w:t> </w:t>
      </w:r>
      <w:r>
        <w:rPr/>
        <w:t>de</w:t>
      </w:r>
      <w:r>
        <w:rPr>
          <w:spacing w:val="-18"/>
        </w:rPr>
        <w:t> </w:t>
      </w:r>
      <w:r>
        <w:rPr/>
        <w:t>agua,</w:t>
      </w:r>
      <w:r>
        <w:rPr>
          <w:spacing w:val="-16"/>
        </w:rPr>
        <w:t> </w:t>
      </w:r>
      <w:r>
        <w:rPr/>
        <w:t>se</w:t>
      </w:r>
      <w:r>
        <w:rPr>
          <w:spacing w:val="-15"/>
        </w:rPr>
        <w:t> </w:t>
      </w:r>
      <w:r>
        <w:rPr/>
        <w:t>utilizó</w:t>
      </w:r>
      <w:r>
        <w:rPr>
          <w:spacing w:val="-15"/>
        </w:rPr>
        <w:t> </w:t>
      </w:r>
      <w:r>
        <w:rPr/>
        <w:t>como</w:t>
      </w:r>
      <w:r>
        <w:rPr>
          <w:spacing w:val="-19"/>
        </w:rPr>
        <w:t> </w:t>
      </w:r>
      <w:r>
        <w:rPr/>
        <w:t>fuente</w:t>
      </w:r>
      <w:r>
        <w:rPr>
          <w:spacing w:val="-18"/>
        </w:rPr>
        <w:t> </w:t>
      </w:r>
      <w:r>
        <w:rPr/>
        <w:t>de</w:t>
      </w:r>
      <w:r>
        <w:rPr>
          <w:spacing w:val="-18"/>
        </w:rPr>
        <w:t> </w:t>
      </w:r>
      <w:r>
        <w:rPr/>
        <w:t>información</w:t>
      </w:r>
      <w:r>
        <w:rPr>
          <w:spacing w:val="-18"/>
        </w:rPr>
        <w:t> </w:t>
      </w:r>
      <w:r>
        <w:rPr/>
        <w:t>el</w:t>
      </w:r>
      <w:r>
        <w:rPr>
          <w:spacing w:val="-18"/>
        </w:rPr>
        <w:t> </w:t>
      </w:r>
      <w:r>
        <w:rPr/>
        <w:t>mapa “Áreas</w:t>
      </w:r>
      <w:r>
        <w:rPr>
          <w:spacing w:val="-7"/>
        </w:rPr>
        <w:t> </w:t>
      </w:r>
      <w:r>
        <w:rPr/>
        <w:t>con</w:t>
      </w:r>
      <w:r>
        <w:rPr>
          <w:spacing w:val="-6"/>
        </w:rPr>
        <w:t> </w:t>
      </w:r>
      <w:r>
        <w:rPr/>
        <w:t>degradación</w:t>
      </w:r>
      <w:r>
        <w:rPr>
          <w:spacing w:val="-8"/>
        </w:rPr>
        <w:t> </w:t>
      </w:r>
      <w:r>
        <w:rPr/>
        <w:t>de</w:t>
      </w:r>
      <w:r>
        <w:rPr>
          <w:spacing w:val="-6"/>
        </w:rPr>
        <w:t> </w:t>
      </w:r>
      <w:r>
        <w:rPr/>
        <w:t>la</w:t>
      </w:r>
      <w:r>
        <w:rPr>
          <w:spacing w:val="-5"/>
        </w:rPr>
        <w:t> </w:t>
      </w:r>
      <w:r>
        <w:rPr/>
        <w:t>cubierta</w:t>
      </w:r>
      <w:r>
        <w:rPr>
          <w:spacing w:val="-8"/>
        </w:rPr>
        <w:t> </w:t>
      </w:r>
      <w:r>
        <w:rPr/>
        <w:t>vegetal”</w:t>
      </w:r>
      <w:r>
        <w:rPr>
          <w:spacing w:val="-7"/>
        </w:rPr>
        <w:t> </w:t>
      </w:r>
      <w:r>
        <w:rPr/>
        <w:t>(Sánchez</w:t>
      </w:r>
      <w:r>
        <w:rPr>
          <w:spacing w:val="-7"/>
        </w:rPr>
        <w:t> </w:t>
      </w:r>
      <w:r>
        <w:rPr/>
        <w:t>Colón</w:t>
      </w:r>
      <w:r>
        <w:rPr>
          <w:spacing w:val="-3"/>
        </w:rPr>
        <w:t> </w:t>
      </w:r>
      <w:r>
        <w:rPr>
          <w:i/>
        </w:rPr>
        <w:t>et</w:t>
      </w:r>
      <w:r>
        <w:rPr>
          <w:i/>
          <w:spacing w:val="-4"/>
        </w:rPr>
        <w:t> </w:t>
      </w:r>
      <w:r>
        <w:rPr>
          <w:i/>
        </w:rPr>
        <w:t>al</w:t>
      </w:r>
      <w:r>
        <w:rPr/>
        <w:t>.,</w:t>
      </w:r>
      <w:r>
        <w:rPr>
          <w:spacing w:val="-6"/>
        </w:rPr>
        <w:t> </w:t>
      </w:r>
      <w:r>
        <w:rPr/>
        <w:t>2008b),</w:t>
      </w:r>
      <w:r>
        <w:rPr>
          <w:spacing w:val="-4"/>
        </w:rPr>
        <w:t> </w:t>
      </w:r>
      <w:r>
        <w:rPr/>
        <w:t>el</w:t>
      </w:r>
      <w:r>
        <w:rPr>
          <w:spacing w:val="-9"/>
        </w:rPr>
        <w:t> </w:t>
      </w:r>
      <w:r>
        <w:rPr/>
        <w:t>cual</w:t>
      </w:r>
      <w:r>
        <w:rPr>
          <w:spacing w:val="-6"/>
        </w:rPr>
        <w:t> </w:t>
      </w:r>
      <w:r>
        <w:rPr/>
        <w:t>contiene</w:t>
      </w:r>
    </w:p>
    <w:p>
      <w:pPr>
        <w:spacing w:after="0" w:line="480" w:lineRule="auto"/>
        <w:sectPr>
          <w:pgSz w:w="12250" w:h="15850"/>
          <w:pgMar w:header="0" w:footer="759" w:top="1500" w:bottom="940" w:left="1600" w:right="1300"/>
        </w:sectPr>
      </w:pPr>
    </w:p>
    <w:p>
      <w:pPr>
        <w:pStyle w:val="BodyText"/>
        <w:spacing w:before="9"/>
        <w:rPr>
          <w:sz w:val="10"/>
        </w:rPr>
      </w:pPr>
    </w:p>
    <w:p>
      <w:pPr>
        <w:pStyle w:val="BodyText"/>
        <w:spacing w:line="480" w:lineRule="auto" w:before="73"/>
        <w:ind w:left="102" w:right="114"/>
        <w:jc w:val="both"/>
      </w:pPr>
      <w:r>
        <w:rPr/>
        <w:t>información</w:t>
      </w:r>
      <w:r>
        <w:rPr>
          <w:spacing w:val="-9"/>
        </w:rPr>
        <w:t> </w:t>
      </w:r>
      <w:r>
        <w:rPr/>
        <w:t>sobre</w:t>
      </w:r>
      <w:r>
        <w:rPr>
          <w:spacing w:val="-9"/>
        </w:rPr>
        <w:t> </w:t>
      </w:r>
      <w:r>
        <w:rPr/>
        <w:t>los</w:t>
      </w:r>
      <w:r>
        <w:rPr>
          <w:spacing w:val="-6"/>
        </w:rPr>
        <w:t> </w:t>
      </w:r>
      <w:r>
        <w:rPr/>
        <w:t>usos</w:t>
      </w:r>
      <w:r>
        <w:rPr>
          <w:spacing w:val="-6"/>
        </w:rPr>
        <w:t> </w:t>
      </w:r>
      <w:r>
        <w:rPr/>
        <w:t>de</w:t>
      </w:r>
      <w:r>
        <w:rPr>
          <w:spacing w:val="-9"/>
        </w:rPr>
        <w:t> </w:t>
      </w:r>
      <w:r>
        <w:rPr/>
        <w:t>suelo</w:t>
      </w:r>
      <w:r>
        <w:rPr>
          <w:spacing w:val="-9"/>
        </w:rPr>
        <w:t> </w:t>
      </w:r>
      <w:r>
        <w:rPr/>
        <w:t>y</w:t>
      </w:r>
      <w:r>
        <w:rPr>
          <w:spacing w:val="-7"/>
        </w:rPr>
        <w:t> </w:t>
      </w:r>
      <w:r>
        <w:rPr/>
        <w:t>otras</w:t>
      </w:r>
      <w:r>
        <w:rPr>
          <w:spacing w:val="-9"/>
        </w:rPr>
        <w:t> </w:t>
      </w:r>
      <w:r>
        <w:rPr/>
        <w:t>coberturas.</w:t>
      </w:r>
      <w:r>
        <w:rPr>
          <w:spacing w:val="-7"/>
        </w:rPr>
        <w:t> </w:t>
      </w:r>
      <w:r>
        <w:rPr/>
        <w:t>La</w:t>
      </w:r>
      <w:r>
        <w:rPr>
          <w:spacing w:val="-9"/>
        </w:rPr>
        <w:t> </w:t>
      </w:r>
      <w:r>
        <w:rPr/>
        <w:t>categorización</w:t>
      </w:r>
      <w:r>
        <w:rPr>
          <w:spacing w:val="-7"/>
        </w:rPr>
        <w:t> </w:t>
      </w:r>
      <w:r>
        <w:rPr/>
        <w:t>se</w:t>
      </w:r>
      <w:r>
        <w:rPr>
          <w:spacing w:val="-9"/>
        </w:rPr>
        <w:t> </w:t>
      </w:r>
      <w:r>
        <w:rPr/>
        <w:t>redividió</w:t>
      </w:r>
      <w:r>
        <w:rPr>
          <w:spacing w:val="-6"/>
        </w:rPr>
        <w:t> </w:t>
      </w:r>
      <w:r>
        <w:rPr/>
        <w:t>también en cinco intervalos, tendiendo en cuenta el porcentaje de superficie de cuerpos de agua en cada una de las 145 UAB: menos de 0,9 %, muy baja; 1,0 a 1,9 %, baja; 2,0 a 2,9 %, media; 3,0 a 3,9, alta; y mayor de 4,0, muy</w:t>
      </w:r>
      <w:r>
        <w:rPr>
          <w:spacing w:val="-9"/>
        </w:rPr>
        <w:t> </w:t>
      </w:r>
      <w:r>
        <w:rPr/>
        <w:t>alta.</w:t>
      </w:r>
    </w:p>
    <w:p>
      <w:pPr>
        <w:pStyle w:val="ListParagraph"/>
        <w:numPr>
          <w:ilvl w:val="0"/>
          <w:numId w:val="3"/>
        </w:numPr>
        <w:tabs>
          <w:tab w:pos="964" w:val="left" w:leader="none"/>
        </w:tabs>
        <w:spacing w:line="240" w:lineRule="auto" w:before="127" w:after="0"/>
        <w:ind w:left="963" w:right="0" w:hanging="153"/>
        <w:jc w:val="left"/>
        <w:rPr>
          <w:sz w:val="22"/>
        </w:rPr>
      </w:pPr>
      <w:r>
        <w:rPr>
          <w:sz w:val="22"/>
          <w:u w:val="single"/>
        </w:rPr>
        <w:t>Modificación provocada por la concentración de la población</w:t>
      </w:r>
      <w:r>
        <w:rPr>
          <w:sz w:val="22"/>
        </w:rPr>
        <w:t>: Para el análisis de   </w:t>
      </w:r>
      <w:r>
        <w:rPr>
          <w:spacing w:val="6"/>
          <w:sz w:val="22"/>
        </w:rPr>
        <w:t> </w:t>
      </w:r>
      <w:r>
        <w:rPr>
          <w:sz w:val="22"/>
        </w:rPr>
        <w:t>la</w:t>
      </w:r>
    </w:p>
    <w:p>
      <w:pPr>
        <w:pStyle w:val="BodyText"/>
        <w:spacing w:before="8"/>
        <w:rPr>
          <w:sz w:val="15"/>
        </w:rPr>
      </w:pPr>
    </w:p>
    <w:p>
      <w:pPr>
        <w:pStyle w:val="BodyText"/>
        <w:spacing w:line="480" w:lineRule="auto" w:before="73"/>
        <w:ind w:left="102" w:right="112"/>
        <w:jc w:val="both"/>
      </w:pPr>
      <w:r>
        <w:rPr/>
        <w:t>modificación provocada por la concentración de la población, se utilizó como fuente de información “Distribución y dinámica de a población por localidad, 1990-2005” (Casado Izquierdo, 2008b), el cual expresa los asentamientos urbanos y su población por localidades clasificadas,</w:t>
      </w:r>
      <w:r>
        <w:rPr>
          <w:spacing w:val="-12"/>
        </w:rPr>
        <w:t> </w:t>
      </w:r>
      <w:r>
        <w:rPr/>
        <w:t>según</w:t>
      </w:r>
      <w:r>
        <w:rPr>
          <w:spacing w:val="-14"/>
        </w:rPr>
        <w:t> </w:t>
      </w:r>
      <w:r>
        <w:rPr/>
        <w:t>el</w:t>
      </w:r>
      <w:r>
        <w:rPr>
          <w:spacing w:val="-15"/>
        </w:rPr>
        <w:t> </w:t>
      </w:r>
      <w:r>
        <w:rPr/>
        <w:t>número</w:t>
      </w:r>
      <w:r>
        <w:rPr>
          <w:spacing w:val="-13"/>
        </w:rPr>
        <w:t> </w:t>
      </w:r>
      <w:r>
        <w:rPr/>
        <w:t>de</w:t>
      </w:r>
      <w:r>
        <w:rPr>
          <w:spacing w:val="-16"/>
        </w:rPr>
        <w:t> </w:t>
      </w:r>
      <w:r>
        <w:rPr/>
        <w:t>habitantes.</w:t>
      </w:r>
      <w:r>
        <w:rPr>
          <w:spacing w:val="-12"/>
        </w:rPr>
        <w:t> </w:t>
      </w:r>
      <w:r>
        <w:rPr/>
        <w:t>Para</w:t>
      </w:r>
      <w:r>
        <w:rPr>
          <w:spacing w:val="-16"/>
        </w:rPr>
        <w:t> </w:t>
      </w:r>
      <w:r>
        <w:rPr/>
        <w:t>obtener</w:t>
      </w:r>
      <w:r>
        <w:rPr>
          <w:spacing w:val="-15"/>
        </w:rPr>
        <w:t> </w:t>
      </w:r>
      <w:r>
        <w:rPr/>
        <w:t>la</w:t>
      </w:r>
      <w:r>
        <w:rPr>
          <w:spacing w:val="-13"/>
        </w:rPr>
        <w:t> </w:t>
      </w:r>
      <w:r>
        <w:rPr/>
        <w:t>densidad</w:t>
      </w:r>
      <w:r>
        <w:rPr>
          <w:spacing w:val="-13"/>
        </w:rPr>
        <w:t> </w:t>
      </w:r>
      <w:r>
        <w:rPr/>
        <w:t>de</w:t>
      </w:r>
      <w:r>
        <w:rPr>
          <w:spacing w:val="-14"/>
        </w:rPr>
        <w:t> </w:t>
      </w:r>
      <w:r>
        <w:rPr/>
        <w:t>población</w:t>
      </w:r>
      <w:r>
        <w:rPr>
          <w:spacing w:val="-14"/>
        </w:rPr>
        <w:t> </w:t>
      </w:r>
      <w:r>
        <w:rPr/>
        <w:t>por</w:t>
      </w:r>
      <w:r>
        <w:rPr>
          <w:spacing w:val="-13"/>
        </w:rPr>
        <w:t> </w:t>
      </w:r>
      <w:r>
        <w:rPr/>
        <w:t>unidad ambiental biofísica (UAB), se sumó la población de todas las localidades contenidas en la unidad biofísica y se dividió entre la superficie de la unidad. De tal manera, se obtuvo la cantidad de habitantes por kilómetro cuadrado en cada unidad ambiental biofísica. A partir de esta</w:t>
      </w:r>
      <w:r>
        <w:rPr>
          <w:spacing w:val="-12"/>
        </w:rPr>
        <w:t> </w:t>
      </w:r>
      <w:r>
        <w:rPr/>
        <w:t>información,</w:t>
      </w:r>
      <w:r>
        <w:rPr>
          <w:spacing w:val="-14"/>
        </w:rPr>
        <w:t> </w:t>
      </w:r>
      <w:r>
        <w:rPr/>
        <w:t>se</w:t>
      </w:r>
      <w:r>
        <w:rPr>
          <w:spacing w:val="-14"/>
        </w:rPr>
        <w:t> </w:t>
      </w:r>
      <w:r>
        <w:rPr/>
        <w:t>reclasificaron</w:t>
      </w:r>
      <w:r>
        <w:rPr>
          <w:spacing w:val="-13"/>
        </w:rPr>
        <w:t> </w:t>
      </w:r>
      <w:r>
        <w:rPr/>
        <w:t>los</w:t>
      </w:r>
      <w:r>
        <w:rPr>
          <w:spacing w:val="-15"/>
        </w:rPr>
        <w:t> </w:t>
      </w:r>
      <w:r>
        <w:rPr/>
        <w:t>rangos</w:t>
      </w:r>
      <w:r>
        <w:rPr>
          <w:spacing w:val="-15"/>
        </w:rPr>
        <w:t> </w:t>
      </w:r>
      <w:r>
        <w:rPr/>
        <w:t>de</w:t>
      </w:r>
      <w:r>
        <w:rPr>
          <w:spacing w:val="-18"/>
        </w:rPr>
        <w:t> </w:t>
      </w:r>
      <w:r>
        <w:rPr/>
        <w:t>densidad</w:t>
      </w:r>
      <w:r>
        <w:rPr>
          <w:spacing w:val="-12"/>
        </w:rPr>
        <w:t> </w:t>
      </w:r>
      <w:r>
        <w:rPr/>
        <w:t>de</w:t>
      </w:r>
      <w:r>
        <w:rPr>
          <w:spacing w:val="-13"/>
        </w:rPr>
        <w:t> </w:t>
      </w:r>
      <w:r>
        <w:rPr/>
        <w:t>población</w:t>
      </w:r>
      <w:r>
        <w:rPr>
          <w:spacing w:val="-13"/>
        </w:rPr>
        <w:t> </w:t>
      </w:r>
      <w:r>
        <w:rPr/>
        <w:t>del</w:t>
      </w:r>
      <w:r>
        <w:rPr>
          <w:spacing w:val="-14"/>
        </w:rPr>
        <w:t> </w:t>
      </w:r>
      <w:r>
        <w:rPr/>
        <w:t>censo</w:t>
      </w:r>
      <w:r>
        <w:rPr>
          <w:spacing w:val="-12"/>
        </w:rPr>
        <w:t> </w:t>
      </w:r>
      <w:r>
        <w:rPr/>
        <w:t>de</w:t>
      </w:r>
      <w:r>
        <w:rPr>
          <w:spacing w:val="-15"/>
        </w:rPr>
        <w:t> </w:t>
      </w:r>
      <w:r>
        <w:rPr/>
        <w:t>población (INEGI,</w:t>
      </w:r>
      <w:r>
        <w:rPr>
          <w:spacing w:val="-7"/>
        </w:rPr>
        <w:t> </w:t>
      </w:r>
      <w:r>
        <w:rPr/>
        <w:t>2000).</w:t>
      </w:r>
      <w:r>
        <w:rPr>
          <w:spacing w:val="-5"/>
        </w:rPr>
        <w:t> </w:t>
      </w:r>
      <w:r>
        <w:rPr/>
        <w:t>La</w:t>
      </w:r>
      <w:r>
        <w:rPr>
          <w:spacing w:val="-9"/>
        </w:rPr>
        <w:t> </w:t>
      </w:r>
      <w:r>
        <w:rPr/>
        <w:t>reclasificación</w:t>
      </w:r>
      <w:r>
        <w:rPr>
          <w:spacing w:val="-7"/>
        </w:rPr>
        <w:t> </w:t>
      </w:r>
      <w:r>
        <w:rPr/>
        <w:t>tuvo</w:t>
      </w:r>
      <w:r>
        <w:rPr>
          <w:spacing w:val="-6"/>
        </w:rPr>
        <w:t> </w:t>
      </w:r>
      <w:r>
        <w:rPr/>
        <w:t>como</w:t>
      </w:r>
      <w:r>
        <w:rPr>
          <w:spacing w:val="-8"/>
        </w:rPr>
        <w:t> </w:t>
      </w:r>
      <w:r>
        <w:rPr/>
        <w:t>resultado</w:t>
      </w:r>
      <w:r>
        <w:rPr>
          <w:spacing w:val="-6"/>
        </w:rPr>
        <w:t> </w:t>
      </w:r>
      <w:r>
        <w:rPr/>
        <w:t>la</w:t>
      </w:r>
      <w:r>
        <w:rPr>
          <w:spacing w:val="-6"/>
        </w:rPr>
        <w:t> </w:t>
      </w:r>
      <w:r>
        <w:rPr/>
        <w:t>categorización</w:t>
      </w:r>
      <w:r>
        <w:rPr>
          <w:spacing w:val="-7"/>
        </w:rPr>
        <w:t> </w:t>
      </w:r>
      <w:r>
        <w:rPr/>
        <w:t>en</w:t>
      </w:r>
      <w:r>
        <w:rPr>
          <w:spacing w:val="-7"/>
        </w:rPr>
        <w:t> </w:t>
      </w:r>
      <w:r>
        <w:rPr/>
        <w:t>cinco</w:t>
      </w:r>
      <w:r>
        <w:rPr>
          <w:spacing w:val="-7"/>
        </w:rPr>
        <w:t> </w:t>
      </w:r>
      <w:r>
        <w:rPr/>
        <w:t>intervalos,</w:t>
      </w:r>
      <w:r>
        <w:rPr>
          <w:spacing w:val="-5"/>
        </w:rPr>
        <w:t> </w:t>
      </w:r>
      <w:r>
        <w:rPr/>
        <w:t>en km/km</w:t>
      </w:r>
      <w:r>
        <w:rPr>
          <w:position w:val="8"/>
          <w:sz w:val="14"/>
        </w:rPr>
        <w:t>2</w:t>
      </w:r>
      <w:r>
        <w:rPr/>
        <w:t>: menos de 15, muy baja; de 16 a 50, baja; de 51 a 100, media; de 101 a 400, alta; y más de 401, muy</w:t>
      </w:r>
      <w:r>
        <w:rPr>
          <w:spacing w:val="-4"/>
        </w:rPr>
        <w:t> </w:t>
      </w:r>
      <w:r>
        <w:rPr/>
        <w:t>alta.</w:t>
      </w:r>
    </w:p>
    <w:p>
      <w:pPr>
        <w:pStyle w:val="BodyText"/>
        <w:spacing w:before="125"/>
        <w:ind w:left="810" w:right="13"/>
      </w:pPr>
      <w:r>
        <w:rPr>
          <w:b/>
        </w:rPr>
        <w:t>- </w:t>
      </w:r>
      <w:r>
        <w:rPr>
          <w:u w:val="single"/>
        </w:rPr>
        <w:t>Marginación social</w:t>
      </w:r>
      <w:r>
        <w:rPr>
          <w:b/>
        </w:rPr>
        <w:t>: </w:t>
      </w:r>
      <w:r>
        <w:rPr/>
        <w:t>Para el análisis de la marginación social, se utilizó como   fuente</w:t>
      </w:r>
    </w:p>
    <w:p>
      <w:pPr>
        <w:pStyle w:val="BodyText"/>
        <w:spacing w:before="10"/>
        <w:rPr>
          <w:sz w:val="15"/>
        </w:rPr>
      </w:pPr>
    </w:p>
    <w:p>
      <w:pPr>
        <w:pStyle w:val="BodyText"/>
        <w:spacing w:line="480" w:lineRule="auto" w:before="73"/>
        <w:ind w:left="102" w:right="116"/>
        <w:jc w:val="both"/>
      </w:pPr>
      <w:r>
        <w:rPr/>
        <w:t>de información el mapa “Marginación municipal, 2005” (Casado Izquierdo, 2008a), el cual expresa el grado de marginalidad por municipios en cinco categorías: muy baja, baja, media, alta y muy alta.</w:t>
      </w:r>
    </w:p>
    <w:p>
      <w:pPr>
        <w:pStyle w:val="ListParagraph"/>
        <w:numPr>
          <w:ilvl w:val="0"/>
          <w:numId w:val="4"/>
        </w:numPr>
        <w:tabs>
          <w:tab w:pos="971" w:val="left" w:leader="none"/>
        </w:tabs>
        <w:spacing w:line="240" w:lineRule="auto" w:before="127" w:after="0"/>
        <w:ind w:left="970" w:right="0" w:hanging="160"/>
        <w:jc w:val="left"/>
        <w:rPr>
          <w:sz w:val="22"/>
        </w:rPr>
      </w:pPr>
      <w:r>
        <w:rPr>
          <w:sz w:val="22"/>
          <w:u w:val="single"/>
        </w:rPr>
        <w:t>Índice</w:t>
      </w:r>
      <w:r>
        <w:rPr>
          <w:spacing w:val="23"/>
          <w:sz w:val="22"/>
          <w:u w:val="single"/>
        </w:rPr>
        <w:t> </w:t>
      </w:r>
      <w:r>
        <w:rPr>
          <w:sz w:val="22"/>
          <w:u w:val="single"/>
        </w:rPr>
        <w:t>medio</w:t>
      </w:r>
      <w:r>
        <w:rPr>
          <w:spacing w:val="23"/>
          <w:sz w:val="22"/>
          <w:u w:val="single"/>
        </w:rPr>
        <w:t> </w:t>
      </w:r>
      <w:r>
        <w:rPr>
          <w:sz w:val="22"/>
          <w:u w:val="single"/>
        </w:rPr>
        <w:t>de</w:t>
      </w:r>
      <w:r>
        <w:rPr>
          <w:spacing w:val="23"/>
          <w:sz w:val="22"/>
          <w:u w:val="single"/>
        </w:rPr>
        <w:t> </w:t>
      </w:r>
      <w:r>
        <w:rPr>
          <w:sz w:val="22"/>
          <w:u w:val="single"/>
        </w:rPr>
        <w:t>educación</w:t>
      </w:r>
      <w:r>
        <w:rPr>
          <w:sz w:val="22"/>
        </w:rPr>
        <w:t>:</w:t>
      </w:r>
      <w:r>
        <w:rPr>
          <w:spacing w:val="27"/>
          <w:sz w:val="22"/>
        </w:rPr>
        <w:t> </w:t>
      </w:r>
      <w:r>
        <w:rPr>
          <w:sz w:val="22"/>
        </w:rPr>
        <w:t>Este</w:t>
      </w:r>
      <w:r>
        <w:rPr>
          <w:spacing w:val="23"/>
          <w:sz w:val="22"/>
        </w:rPr>
        <w:t> </w:t>
      </w:r>
      <w:r>
        <w:rPr>
          <w:sz w:val="22"/>
        </w:rPr>
        <w:t>indicador</w:t>
      </w:r>
      <w:r>
        <w:rPr>
          <w:spacing w:val="22"/>
          <w:sz w:val="22"/>
        </w:rPr>
        <w:t> </w:t>
      </w:r>
      <w:r>
        <w:rPr>
          <w:sz w:val="22"/>
        </w:rPr>
        <w:t>fue</w:t>
      </w:r>
      <w:r>
        <w:rPr>
          <w:spacing w:val="20"/>
          <w:sz w:val="22"/>
        </w:rPr>
        <w:t> </w:t>
      </w:r>
      <w:r>
        <w:rPr>
          <w:sz w:val="22"/>
        </w:rPr>
        <w:t>tomado</w:t>
      </w:r>
      <w:r>
        <w:rPr>
          <w:spacing w:val="23"/>
          <w:sz w:val="22"/>
        </w:rPr>
        <w:t> </w:t>
      </w:r>
      <w:r>
        <w:rPr>
          <w:sz w:val="22"/>
        </w:rPr>
        <w:t>del</w:t>
      </w:r>
      <w:r>
        <w:rPr>
          <w:spacing w:val="25"/>
          <w:sz w:val="22"/>
        </w:rPr>
        <w:t> </w:t>
      </w:r>
      <w:r>
        <w:rPr>
          <w:sz w:val="22"/>
        </w:rPr>
        <w:t>mapa</w:t>
      </w:r>
      <w:r>
        <w:rPr>
          <w:spacing w:val="21"/>
          <w:sz w:val="22"/>
        </w:rPr>
        <w:t> </w:t>
      </w:r>
      <w:r>
        <w:rPr>
          <w:sz w:val="22"/>
        </w:rPr>
        <w:t>“Índice</w:t>
      </w:r>
      <w:r>
        <w:rPr>
          <w:spacing w:val="23"/>
          <w:sz w:val="22"/>
        </w:rPr>
        <w:t> </w:t>
      </w:r>
      <w:r>
        <w:rPr>
          <w:sz w:val="22"/>
        </w:rPr>
        <w:t>medio</w:t>
      </w:r>
      <w:r>
        <w:rPr>
          <w:spacing w:val="26"/>
          <w:sz w:val="22"/>
        </w:rPr>
        <w:t> </w:t>
      </w:r>
      <w:r>
        <w:rPr>
          <w:sz w:val="22"/>
        </w:rPr>
        <w:t>de</w:t>
      </w:r>
    </w:p>
    <w:p>
      <w:pPr>
        <w:pStyle w:val="BodyText"/>
        <w:spacing w:before="8"/>
        <w:rPr>
          <w:sz w:val="15"/>
        </w:rPr>
      </w:pPr>
    </w:p>
    <w:p>
      <w:pPr>
        <w:pStyle w:val="BodyText"/>
        <w:spacing w:line="480" w:lineRule="auto" w:before="73"/>
        <w:ind w:left="102" w:right="114"/>
        <w:jc w:val="both"/>
      </w:pPr>
      <w:r>
        <w:rPr/>
        <w:t>educación” (Juárez Gutiérrez </w:t>
      </w:r>
      <w:r>
        <w:rPr>
          <w:i/>
        </w:rPr>
        <w:t>et al</w:t>
      </w:r>
      <w:r>
        <w:rPr/>
        <w:t>., 2007a) del Nuevo Atlas Nacional de México. La información</w:t>
      </w:r>
      <w:r>
        <w:rPr>
          <w:spacing w:val="-6"/>
        </w:rPr>
        <w:t> </w:t>
      </w:r>
      <w:r>
        <w:rPr/>
        <w:t>está</w:t>
      </w:r>
      <w:r>
        <w:rPr>
          <w:spacing w:val="-5"/>
        </w:rPr>
        <w:t> </w:t>
      </w:r>
      <w:r>
        <w:rPr/>
        <w:t>calculada</w:t>
      </w:r>
      <w:r>
        <w:rPr>
          <w:spacing w:val="-3"/>
        </w:rPr>
        <w:t> </w:t>
      </w:r>
      <w:r>
        <w:rPr/>
        <w:t>y</w:t>
      </w:r>
      <w:r>
        <w:rPr>
          <w:spacing w:val="-5"/>
        </w:rPr>
        <w:t> </w:t>
      </w:r>
      <w:r>
        <w:rPr/>
        <w:t>representada</w:t>
      </w:r>
      <w:r>
        <w:rPr>
          <w:spacing w:val="-3"/>
        </w:rPr>
        <w:t> </w:t>
      </w:r>
      <w:r>
        <w:rPr/>
        <w:t>en</w:t>
      </w:r>
      <w:r>
        <w:rPr>
          <w:spacing w:val="-3"/>
        </w:rPr>
        <w:t> </w:t>
      </w:r>
      <w:r>
        <w:rPr/>
        <w:t>un</w:t>
      </w:r>
      <w:r>
        <w:rPr>
          <w:spacing w:val="-5"/>
        </w:rPr>
        <w:t> </w:t>
      </w:r>
      <w:r>
        <w:rPr/>
        <w:t>cartograma</w:t>
      </w:r>
      <w:r>
        <w:rPr>
          <w:spacing w:val="-5"/>
        </w:rPr>
        <w:t> </w:t>
      </w:r>
      <w:r>
        <w:rPr/>
        <w:t>por</w:t>
      </w:r>
      <w:r>
        <w:rPr>
          <w:spacing w:val="-4"/>
        </w:rPr>
        <w:t> </w:t>
      </w:r>
      <w:r>
        <w:rPr/>
        <w:t>municipios</w:t>
      </w:r>
      <w:r>
        <w:rPr>
          <w:spacing w:val="-3"/>
        </w:rPr>
        <w:t> </w:t>
      </w:r>
      <w:r>
        <w:rPr/>
        <w:t>con</w:t>
      </w:r>
      <w:r>
        <w:rPr>
          <w:spacing w:val="-3"/>
        </w:rPr>
        <w:t> </w:t>
      </w:r>
      <w:r>
        <w:rPr/>
        <w:t>5</w:t>
      </w:r>
      <w:r>
        <w:rPr>
          <w:spacing w:val="-5"/>
        </w:rPr>
        <w:t> </w:t>
      </w:r>
      <w:r>
        <w:rPr/>
        <w:t>categorías: muy alto (6-6,9), alto (5-5,9), medio (4-4,9), bajo (3-3,9) y muy bajo</w:t>
      </w:r>
      <w:r>
        <w:rPr>
          <w:spacing w:val="-25"/>
        </w:rPr>
        <w:t> </w:t>
      </w:r>
      <w:r>
        <w:rPr/>
        <w:t>(2-2,9).</w:t>
      </w:r>
    </w:p>
    <w:p>
      <w:pPr>
        <w:spacing w:after="0" w:line="480" w:lineRule="auto"/>
        <w:jc w:val="both"/>
        <w:sectPr>
          <w:pgSz w:w="12250" w:h="15850"/>
          <w:pgMar w:header="0" w:footer="759" w:top="1500" w:bottom="940" w:left="1600" w:right="1300"/>
        </w:sectPr>
      </w:pPr>
    </w:p>
    <w:p>
      <w:pPr>
        <w:pStyle w:val="BodyText"/>
        <w:spacing w:before="9"/>
        <w:rPr>
          <w:sz w:val="10"/>
        </w:rPr>
      </w:pPr>
    </w:p>
    <w:p>
      <w:pPr>
        <w:pStyle w:val="ListParagraph"/>
        <w:numPr>
          <w:ilvl w:val="0"/>
          <w:numId w:val="4"/>
        </w:numPr>
        <w:tabs>
          <w:tab w:pos="957" w:val="left" w:leader="none"/>
        </w:tabs>
        <w:spacing w:line="240" w:lineRule="auto" w:before="73" w:after="0"/>
        <w:ind w:left="956" w:right="0" w:hanging="146"/>
        <w:jc w:val="left"/>
        <w:rPr>
          <w:sz w:val="22"/>
        </w:rPr>
      </w:pPr>
      <w:r>
        <w:rPr>
          <w:sz w:val="22"/>
          <w:u w:val="single"/>
        </w:rPr>
        <w:t>Índice medio de salud</w:t>
      </w:r>
      <w:r>
        <w:rPr>
          <w:sz w:val="22"/>
        </w:rPr>
        <w:t>: Este indicador fue tomado del mapa “Índice medio de </w:t>
      </w:r>
      <w:r>
        <w:rPr>
          <w:spacing w:val="52"/>
          <w:sz w:val="22"/>
        </w:rPr>
        <w:t> </w:t>
      </w:r>
      <w:r>
        <w:rPr>
          <w:sz w:val="22"/>
        </w:rPr>
        <w:t>salud”</w:t>
      </w:r>
    </w:p>
    <w:p>
      <w:pPr>
        <w:pStyle w:val="BodyText"/>
        <w:spacing w:before="8"/>
        <w:rPr>
          <w:sz w:val="15"/>
        </w:rPr>
      </w:pPr>
    </w:p>
    <w:p>
      <w:pPr>
        <w:pStyle w:val="BodyText"/>
        <w:spacing w:line="480" w:lineRule="auto" w:before="73"/>
        <w:ind w:left="102" w:right="113"/>
        <w:jc w:val="both"/>
      </w:pPr>
      <w:r>
        <w:rPr/>
        <w:t>(Juárez Gutiérrez </w:t>
      </w:r>
      <w:r>
        <w:rPr>
          <w:i/>
        </w:rPr>
        <w:t>et al</w:t>
      </w:r>
      <w:r>
        <w:rPr/>
        <w:t>., 2007b) del Nuevo Atlas Nacional de México. La información está calculada y representada en un cartograma por municipios con 5 categorías: muy alto (6-6,9), alto (5-5,9), medio (4-4,9), bajo (3-3,9) y muy bajo (2-2,9).</w:t>
      </w:r>
    </w:p>
    <w:p>
      <w:pPr>
        <w:pStyle w:val="ListParagraph"/>
        <w:numPr>
          <w:ilvl w:val="0"/>
          <w:numId w:val="4"/>
        </w:numPr>
        <w:tabs>
          <w:tab w:pos="954" w:val="left" w:leader="none"/>
        </w:tabs>
        <w:spacing w:line="240" w:lineRule="auto" w:before="127" w:after="0"/>
        <w:ind w:left="954" w:right="0" w:hanging="144"/>
        <w:jc w:val="left"/>
        <w:rPr>
          <w:sz w:val="22"/>
        </w:rPr>
      </w:pPr>
      <w:r>
        <w:rPr>
          <w:sz w:val="22"/>
          <w:u w:val="single"/>
        </w:rPr>
        <w:t>Hacinamiento de la vivienda</w:t>
      </w:r>
      <w:r>
        <w:rPr>
          <w:sz w:val="22"/>
        </w:rPr>
        <w:t>: Este indicador fue tomado del mapa “Hacinamiento </w:t>
      </w:r>
      <w:r>
        <w:rPr>
          <w:spacing w:val="7"/>
          <w:sz w:val="22"/>
        </w:rPr>
        <w:t> </w:t>
      </w:r>
      <w:r>
        <w:rPr>
          <w:sz w:val="22"/>
        </w:rPr>
        <w:t>de</w:t>
      </w:r>
    </w:p>
    <w:p>
      <w:pPr>
        <w:pStyle w:val="BodyText"/>
        <w:spacing w:before="8"/>
        <w:rPr>
          <w:sz w:val="15"/>
        </w:rPr>
      </w:pPr>
    </w:p>
    <w:p>
      <w:pPr>
        <w:pStyle w:val="BodyText"/>
        <w:spacing w:line="480" w:lineRule="auto" w:before="73"/>
        <w:ind w:left="102" w:right="114"/>
        <w:jc w:val="both"/>
      </w:pPr>
      <w:r>
        <w:rPr/>
        <w:t>la vivienda” (Juárez Gutiérrez </w:t>
      </w:r>
      <w:r>
        <w:rPr>
          <w:i/>
        </w:rPr>
        <w:t>et al</w:t>
      </w:r>
      <w:r>
        <w:rPr/>
        <w:t>., 2007c) del Nuevo Atlas Nacional de México. La información está calculada y representada en un cartograma por municipio con 5 rangos,  en</w:t>
      </w:r>
    </w:p>
    <w:p>
      <w:pPr>
        <w:pStyle w:val="BodyText"/>
        <w:spacing w:line="480" w:lineRule="auto" w:before="5"/>
        <w:ind w:left="102" w:right="110"/>
        <w:jc w:val="both"/>
      </w:pPr>
      <w:r>
        <w:rPr/>
        <w:t>%</w:t>
      </w:r>
      <w:r>
        <w:rPr>
          <w:spacing w:val="-5"/>
        </w:rPr>
        <w:t> </w:t>
      </w:r>
      <w:r>
        <w:rPr/>
        <w:t>(de</w:t>
      </w:r>
      <w:r>
        <w:rPr>
          <w:spacing w:val="-6"/>
        </w:rPr>
        <w:t> </w:t>
      </w:r>
      <w:r>
        <w:rPr/>
        <w:t>viviendas</w:t>
      </w:r>
      <w:r>
        <w:rPr>
          <w:spacing w:val="-3"/>
        </w:rPr>
        <w:t> </w:t>
      </w:r>
      <w:r>
        <w:rPr/>
        <w:t>con</w:t>
      </w:r>
      <w:r>
        <w:rPr>
          <w:spacing w:val="-6"/>
        </w:rPr>
        <w:t> </w:t>
      </w:r>
      <w:r>
        <w:rPr/>
        <w:t>menos</w:t>
      </w:r>
      <w:r>
        <w:rPr>
          <w:spacing w:val="-3"/>
        </w:rPr>
        <w:t> </w:t>
      </w:r>
      <w:r>
        <w:rPr/>
        <w:t>de</w:t>
      </w:r>
      <w:r>
        <w:rPr>
          <w:spacing w:val="-6"/>
        </w:rPr>
        <w:t> </w:t>
      </w:r>
      <w:r>
        <w:rPr/>
        <w:t>dos</w:t>
      </w:r>
      <w:r>
        <w:rPr>
          <w:spacing w:val="-5"/>
        </w:rPr>
        <w:t> </w:t>
      </w:r>
      <w:r>
        <w:rPr/>
        <w:t>habitaciones,</w:t>
      </w:r>
      <w:r>
        <w:rPr>
          <w:spacing w:val="-6"/>
        </w:rPr>
        <w:t> </w:t>
      </w:r>
      <w:r>
        <w:rPr/>
        <w:t>habitadas</w:t>
      </w:r>
      <w:r>
        <w:rPr>
          <w:spacing w:val="-3"/>
        </w:rPr>
        <w:t> </w:t>
      </w:r>
      <w:r>
        <w:rPr/>
        <w:t>por</w:t>
      </w:r>
      <w:r>
        <w:rPr>
          <w:spacing w:val="-4"/>
        </w:rPr>
        <w:t> </w:t>
      </w:r>
      <w:r>
        <w:rPr/>
        <w:t>más</w:t>
      </w:r>
      <w:r>
        <w:rPr>
          <w:spacing w:val="-3"/>
        </w:rPr>
        <w:t> </w:t>
      </w:r>
      <w:r>
        <w:rPr/>
        <w:t>de</w:t>
      </w:r>
      <w:r>
        <w:rPr>
          <w:spacing w:val="-6"/>
        </w:rPr>
        <w:t> </w:t>
      </w:r>
      <w:r>
        <w:rPr/>
        <w:t>6</w:t>
      </w:r>
      <w:r>
        <w:rPr>
          <w:spacing w:val="-8"/>
        </w:rPr>
        <w:t> </w:t>
      </w:r>
      <w:r>
        <w:rPr/>
        <w:t>personas):</w:t>
      </w:r>
      <w:r>
        <w:rPr>
          <w:spacing w:val="-4"/>
        </w:rPr>
        <w:t> </w:t>
      </w:r>
      <w:r>
        <w:rPr/>
        <w:t>1-15,</w:t>
      </w:r>
      <w:r>
        <w:rPr>
          <w:spacing w:val="-4"/>
        </w:rPr>
        <w:t> </w:t>
      </w:r>
      <w:r>
        <w:rPr/>
        <w:t>16- 30, 31-50, 51-70, 71-100. El cálculo para cada unidad ambiental biofísica fue realizado por medio de la sobreposición de la información municipal con respecto a las unidades mencionadas, tomándose como porcentaje de hacinamiento para cada UAB, el criterio del valor de la categoría predominante en la</w:t>
      </w:r>
      <w:r>
        <w:rPr>
          <w:spacing w:val="-14"/>
        </w:rPr>
        <w:t> </w:t>
      </w:r>
      <w:r>
        <w:rPr/>
        <w:t>misma.</w:t>
      </w:r>
    </w:p>
    <w:p>
      <w:pPr>
        <w:pStyle w:val="ListParagraph"/>
        <w:numPr>
          <w:ilvl w:val="0"/>
          <w:numId w:val="4"/>
        </w:numPr>
        <w:tabs>
          <w:tab w:pos="940" w:val="left" w:leader="none"/>
        </w:tabs>
        <w:spacing w:line="240" w:lineRule="auto" w:before="128" w:after="0"/>
        <w:ind w:left="939" w:right="0" w:hanging="129"/>
        <w:jc w:val="left"/>
        <w:rPr>
          <w:sz w:val="22"/>
        </w:rPr>
      </w:pPr>
      <w:r>
        <w:rPr>
          <w:sz w:val="22"/>
          <w:u w:val="single"/>
        </w:rPr>
        <w:t>Índice</w:t>
      </w:r>
      <w:r>
        <w:rPr>
          <w:spacing w:val="-8"/>
          <w:sz w:val="22"/>
          <w:u w:val="single"/>
        </w:rPr>
        <w:t> </w:t>
      </w:r>
      <w:r>
        <w:rPr>
          <w:sz w:val="22"/>
          <w:u w:val="single"/>
        </w:rPr>
        <w:t>de</w:t>
      </w:r>
      <w:r>
        <w:rPr>
          <w:spacing w:val="-8"/>
          <w:sz w:val="22"/>
          <w:u w:val="single"/>
        </w:rPr>
        <w:t> </w:t>
      </w:r>
      <w:r>
        <w:rPr>
          <w:sz w:val="22"/>
          <w:u w:val="single"/>
        </w:rPr>
        <w:t>consolidación</w:t>
      </w:r>
      <w:r>
        <w:rPr>
          <w:spacing w:val="-10"/>
          <w:sz w:val="22"/>
          <w:u w:val="single"/>
        </w:rPr>
        <w:t> </w:t>
      </w:r>
      <w:r>
        <w:rPr>
          <w:sz w:val="22"/>
          <w:u w:val="single"/>
        </w:rPr>
        <w:t>de</w:t>
      </w:r>
      <w:r>
        <w:rPr>
          <w:spacing w:val="-8"/>
          <w:sz w:val="22"/>
          <w:u w:val="single"/>
        </w:rPr>
        <w:t> </w:t>
      </w:r>
      <w:r>
        <w:rPr>
          <w:sz w:val="22"/>
          <w:u w:val="single"/>
        </w:rPr>
        <w:t>la</w:t>
      </w:r>
      <w:r>
        <w:rPr>
          <w:spacing w:val="-8"/>
          <w:sz w:val="22"/>
          <w:u w:val="single"/>
        </w:rPr>
        <w:t> </w:t>
      </w:r>
      <w:r>
        <w:rPr>
          <w:sz w:val="22"/>
          <w:u w:val="single"/>
        </w:rPr>
        <w:t>vivienda</w:t>
      </w:r>
      <w:r>
        <w:rPr>
          <w:sz w:val="22"/>
        </w:rPr>
        <w:t>:</w:t>
      </w:r>
      <w:r>
        <w:rPr>
          <w:spacing w:val="-6"/>
          <w:sz w:val="22"/>
        </w:rPr>
        <w:t> </w:t>
      </w:r>
      <w:r>
        <w:rPr>
          <w:sz w:val="22"/>
        </w:rPr>
        <w:t>Este</w:t>
      </w:r>
      <w:r>
        <w:rPr>
          <w:spacing w:val="-8"/>
          <w:sz w:val="22"/>
        </w:rPr>
        <w:t> </w:t>
      </w:r>
      <w:r>
        <w:rPr>
          <w:sz w:val="22"/>
        </w:rPr>
        <w:t>indicador</w:t>
      </w:r>
      <w:r>
        <w:rPr>
          <w:spacing w:val="-9"/>
          <w:sz w:val="22"/>
        </w:rPr>
        <w:t> </w:t>
      </w:r>
      <w:r>
        <w:rPr>
          <w:sz w:val="22"/>
        </w:rPr>
        <w:t>fue</w:t>
      </w:r>
      <w:r>
        <w:rPr>
          <w:spacing w:val="-10"/>
          <w:sz w:val="22"/>
        </w:rPr>
        <w:t> </w:t>
      </w:r>
      <w:r>
        <w:rPr>
          <w:sz w:val="22"/>
        </w:rPr>
        <w:t>tomado</w:t>
      </w:r>
      <w:r>
        <w:rPr>
          <w:spacing w:val="-10"/>
          <w:sz w:val="22"/>
        </w:rPr>
        <w:t> </w:t>
      </w:r>
      <w:r>
        <w:rPr>
          <w:sz w:val="22"/>
        </w:rPr>
        <w:t>del</w:t>
      </w:r>
      <w:r>
        <w:rPr>
          <w:spacing w:val="-7"/>
          <w:sz w:val="22"/>
        </w:rPr>
        <w:t> </w:t>
      </w:r>
      <w:r>
        <w:rPr>
          <w:sz w:val="22"/>
        </w:rPr>
        <w:t>mapa</w:t>
      </w:r>
      <w:r>
        <w:rPr>
          <w:spacing w:val="-8"/>
          <w:sz w:val="22"/>
        </w:rPr>
        <w:t> </w:t>
      </w:r>
      <w:r>
        <w:rPr>
          <w:sz w:val="22"/>
        </w:rPr>
        <w:t>“Índice</w:t>
      </w:r>
      <w:r>
        <w:rPr>
          <w:spacing w:val="-8"/>
          <w:sz w:val="22"/>
        </w:rPr>
        <w:t> </w:t>
      </w:r>
      <w:r>
        <w:rPr>
          <w:sz w:val="22"/>
        </w:rPr>
        <w:t>de</w:t>
      </w:r>
    </w:p>
    <w:p>
      <w:pPr>
        <w:pStyle w:val="BodyText"/>
        <w:spacing w:before="5"/>
        <w:rPr>
          <w:sz w:val="15"/>
        </w:rPr>
      </w:pPr>
    </w:p>
    <w:p>
      <w:pPr>
        <w:pStyle w:val="BodyText"/>
        <w:spacing w:line="480" w:lineRule="auto" w:before="73"/>
        <w:ind w:left="102" w:right="112"/>
        <w:jc w:val="both"/>
      </w:pPr>
      <w:r>
        <w:rPr/>
        <w:t>consolidación de la vivienda” (Juárez Gutiérrez </w:t>
      </w:r>
      <w:r>
        <w:rPr>
          <w:i/>
        </w:rPr>
        <w:t>et al</w:t>
      </w:r>
      <w:r>
        <w:rPr/>
        <w:t>., 2007d) del Nuevo Atlas Nacional de México.</w:t>
      </w:r>
      <w:r>
        <w:rPr>
          <w:spacing w:val="-10"/>
        </w:rPr>
        <w:t> </w:t>
      </w:r>
      <w:r>
        <w:rPr/>
        <w:t>El</w:t>
      </w:r>
      <w:r>
        <w:rPr>
          <w:spacing w:val="-12"/>
        </w:rPr>
        <w:t> </w:t>
      </w:r>
      <w:r>
        <w:rPr/>
        <w:t>índice</w:t>
      </w:r>
      <w:r>
        <w:rPr>
          <w:spacing w:val="-11"/>
        </w:rPr>
        <w:t> </w:t>
      </w:r>
      <w:r>
        <w:rPr/>
        <w:t>de</w:t>
      </w:r>
      <w:r>
        <w:rPr>
          <w:spacing w:val="-14"/>
        </w:rPr>
        <w:t> </w:t>
      </w:r>
      <w:r>
        <w:rPr/>
        <w:t>consolidación</w:t>
      </w:r>
      <w:r>
        <w:rPr>
          <w:spacing w:val="-11"/>
        </w:rPr>
        <w:t> </w:t>
      </w:r>
      <w:r>
        <w:rPr/>
        <w:t>es</w:t>
      </w:r>
      <w:r>
        <w:rPr>
          <w:spacing w:val="-11"/>
        </w:rPr>
        <w:t> </w:t>
      </w:r>
      <w:r>
        <w:rPr/>
        <w:t>la</w:t>
      </w:r>
      <w:r>
        <w:rPr>
          <w:spacing w:val="-14"/>
        </w:rPr>
        <w:t> </w:t>
      </w:r>
      <w:r>
        <w:rPr/>
        <w:t>combinación</w:t>
      </w:r>
      <w:r>
        <w:rPr>
          <w:spacing w:val="-11"/>
        </w:rPr>
        <w:t> </w:t>
      </w:r>
      <w:r>
        <w:rPr/>
        <w:t>de</w:t>
      </w:r>
      <w:r>
        <w:rPr>
          <w:spacing w:val="-14"/>
        </w:rPr>
        <w:t> </w:t>
      </w:r>
      <w:r>
        <w:rPr/>
        <w:t>3</w:t>
      </w:r>
      <w:r>
        <w:rPr>
          <w:spacing w:val="-14"/>
        </w:rPr>
        <w:t> </w:t>
      </w:r>
      <w:r>
        <w:rPr/>
        <w:t>variables</w:t>
      </w:r>
      <w:r>
        <w:rPr>
          <w:spacing w:val="-11"/>
        </w:rPr>
        <w:t> </w:t>
      </w:r>
      <w:r>
        <w:rPr/>
        <w:t>referentes</w:t>
      </w:r>
      <w:r>
        <w:rPr>
          <w:spacing w:val="-11"/>
        </w:rPr>
        <w:t> </w:t>
      </w:r>
      <w:r>
        <w:rPr/>
        <w:t>a</w:t>
      </w:r>
      <w:r>
        <w:rPr>
          <w:spacing w:val="-14"/>
        </w:rPr>
        <w:t> </w:t>
      </w:r>
      <w:r>
        <w:rPr/>
        <w:t>los</w:t>
      </w:r>
      <w:r>
        <w:rPr>
          <w:spacing w:val="-14"/>
        </w:rPr>
        <w:t> </w:t>
      </w:r>
      <w:r>
        <w:rPr/>
        <w:t>materiales de construcción: techos de concreto, pared de tabique y piso de cemento y firme. La información está calculada y representada en un cartograma por municipio, con 5 rangos </w:t>
      </w:r>
      <w:r>
        <w:rPr>
          <w:spacing w:val="50"/>
        </w:rPr>
        <w:t> </w:t>
      </w:r>
      <w:r>
        <w:rPr/>
        <w:t>en</w:t>
      </w:r>
    </w:p>
    <w:p>
      <w:pPr>
        <w:pStyle w:val="BodyText"/>
        <w:spacing w:before="7"/>
        <w:ind w:left="102"/>
        <w:jc w:val="both"/>
      </w:pPr>
      <w:r>
        <w:rPr/>
        <w:t>%: 0,1-14,9, muy bajo; 15,0-29,9 bajo; 30,0-49,9, medio; 50,0-69,9, alto; y 70,0-80,0, muy alto.</w:t>
      </w:r>
    </w:p>
    <w:p>
      <w:pPr>
        <w:pStyle w:val="BodyText"/>
        <w:spacing w:before="3"/>
        <w:rPr>
          <w:sz w:val="32"/>
        </w:rPr>
      </w:pPr>
    </w:p>
    <w:p>
      <w:pPr>
        <w:pStyle w:val="ListParagraph"/>
        <w:numPr>
          <w:ilvl w:val="0"/>
          <w:numId w:val="4"/>
        </w:numPr>
        <w:tabs>
          <w:tab w:pos="1058" w:val="left" w:leader="none"/>
        </w:tabs>
        <w:spacing w:line="240" w:lineRule="auto" w:before="0" w:after="0"/>
        <w:ind w:left="1057" w:right="0" w:hanging="247"/>
        <w:jc w:val="left"/>
        <w:rPr>
          <w:sz w:val="22"/>
        </w:rPr>
      </w:pPr>
      <w:r>
        <w:rPr>
          <w:sz w:val="22"/>
          <w:u w:val="single"/>
        </w:rPr>
        <w:t>Capitalización  de  la   industria,   2003</w:t>
      </w:r>
      <w:r>
        <w:rPr>
          <w:sz w:val="22"/>
        </w:rPr>
        <w:t>:   Este  indicador  fue  tomado  del     </w:t>
      </w:r>
      <w:r>
        <w:rPr>
          <w:spacing w:val="55"/>
          <w:sz w:val="22"/>
        </w:rPr>
        <w:t> </w:t>
      </w:r>
      <w:r>
        <w:rPr>
          <w:sz w:val="22"/>
        </w:rPr>
        <w:t>mapa</w:t>
      </w:r>
    </w:p>
    <w:p>
      <w:pPr>
        <w:pStyle w:val="BodyText"/>
        <w:spacing w:before="8"/>
        <w:rPr>
          <w:sz w:val="15"/>
        </w:rPr>
      </w:pPr>
    </w:p>
    <w:p>
      <w:pPr>
        <w:pStyle w:val="BodyText"/>
        <w:spacing w:line="480" w:lineRule="auto" w:before="73"/>
        <w:ind w:left="102" w:right="113"/>
        <w:jc w:val="both"/>
      </w:pPr>
      <w:r>
        <w:rPr/>
        <w:t>“Capitalización de la industria, 2003” (Morales </w:t>
      </w:r>
      <w:r>
        <w:rPr>
          <w:i/>
        </w:rPr>
        <w:t>et al</w:t>
      </w:r>
      <w:r>
        <w:rPr/>
        <w:t>., 2007) del Nuevo Atlas Nacional de México. La información está calculada y representada en un cartograma de activos fijos por establecimiento por unidad federativa, en miles de pesos, con la escala siguiente de categorías: menor de 2 500, muy bajo; 2 501-5 000, bajo; 5 001- 7 500, medio; 7 501-10 000, alto; y mayor de 10 000, muy alto.</w:t>
      </w:r>
    </w:p>
    <w:p>
      <w:pPr>
        <w:spacing w:after="0" w:line="480" w:lineRule="auto"/>
        <w:jc w:val="both"/>
        <w:sectPr>
          <w:pgSz w:w="12250" w:h="15850"/>
          <w:pgMar w:header="0" w:footer="759" w:top="1500" w:bottom="940" w:left="1600" w:right="1300"/>
        </w:sectPr>
      </w:pPr>
    </w:p>
    <w:p>
      <w:pPr>
        <w:pStyle w:val="BodyText"/>
        <w:spacing w:before="9"/>
        <w:rPr>
          <w:sz w:val="10"/>
        </w:rPr>
      </w:pPr>
    </w:p>
    <w:p>
      <w:pPr>
        <w:pStyle w:val="BodyText"/>
        <w:spacing w:line="480" w:lineRule="auto" w:before="73"/>
        <w:ind w:left="102" w:right="113" w:firstLine="707"/>
        <w:jc w:val="both"/>
      </w:pPr>
      <w:r>
        <w:rPr/>
        <w:t>En el caso de los indicadores del índice medio de educación, índice medio de salud, hacinamiento de la vivienda, consolidación de la vivienda y capitalización de la industria, el cálculo</w:t>
      </w:r>
      <w:r>
        <w:rPr>
          <w:spacing w:val="-5"/>
        </w:rPr>
        <w:t> </w:t>
      </w:r>
      <w:r>
        <w:rPr/>
        <w:t>para</w:t>
      </w:r>
      <w:r>
        <w:rPr>
          <w:spacing w:val="-5"/>
        </w:rPr>
        <w:t> </w:t>
      </w:r>
      <w:r>
        <w:rPr/>
        <w:t>cada</w:t>
      </w:r>
      <w:r>
        <w:rPr>
          <w:spacing w:val="-5"/>
        </w:rPr>
        <w:t> </w:t>
      </w:r>
      <w:r>
        <w:rPr/>
        <w:t>unidad</w:t>
      </w:r>
      <w:r>
        <w:rPr>
          <w:spacing w:val="-8"/>
        </w:rPr>
        <w:t> </w:t>
      </w:r>
      <w:r>
        <w:rPr/>
        <w:t>ambiental</w:t>
      </w:r>
      <w:r>
        <w:rPr>
          <w:spacing w:val="-6"/>
        </w:rPr>
        <w:t> </w:t>
      </w:r>
      <w:r>
        <w:rPr/>
        <w:t>biofísica</w:t>
      </w:r>
      <w:r>
        <w:rPr>
          <w:spacing w:val="-8"/>
        </w:rPr>
        <w:t> </w:t>
      </w:r>
      <w:r>
        <w:rPr/>
        <w:t>fue</w:t>
      </w:r>
      <w:r>
        <w:rPr>
          <w:spacing w:val="-8"/>
        </w:rPr>
        <w:t> </w:t>
      </w:r>
      <w:r>
        <w:rPr/>
        <w:t>realizado</w:t>
      </w:r>
      <w:r>
        <w:rPr>
          <w:spacing w:val="-5"/>
        </w:rPr>
        <w:t> </w:t>
      </w:r>
      <w:r>
        <w:rPr/>
        <w:t>por</w:t>
      </w:r>
      <w:r>
        <w:rPr>
          <w:spacing w:val="-4"/>
        </w:rPr>
        <w:t> </w:t>
      </w:r>
      <w:r>
        <w:rPr/>
        <w:t>medio</w:t>
      </w:r>
      <w:r>
        <w:rPr>
          <w:spacing w:val="-5"/>
        </w:rPr>
        <w:t> </w:t>
      </w:r>
      <w:r>
        <w:rPr/>
        <w:t>de</w:t>
      </w:r>
      <w:r>
        <w:rPr>
          <w:spacing w:val="-8"/>
        </w:rPr>
        <w:t> </w:t>
      </w:r>
      <w:r>
        <w:rPr/>
        <w:t>la</w:t>
      </w:r>
      <w:r>
        <w:rPr>
          <w:spacing w:val="-8"/>
        </w:rPr>
        <w:t> </w:t>
      </w:r>
      <w:r>
        <w:rPr/>
        <w:t>sobreposición</w:t>
      </w:r>
      <w:r>
        <w:rPr>
          <w:spacing w:val="-6"/>
        </w:rPr>
        <w:t> </w:t>
      </w:r>
      <w:r>
        <w:rPr/>
        <w:t>de</w:t>
      </w:r>
      <w:r>
        <w:rPr>
          <w:spacing w:val="-6"/>
        </w:rPr>
        <w:t> </w:t>
      </w:r>
      <w:r>
        <w:rPr/>
        <w:t>la información municipal con respecto a las unidades mencionadas, tomándose el criterio del valor de la categoría predominante en cada</w:t>
      </w:r>
      <w:r>
        <w:rPr>
          <w:spacing w:val="-11"/>
        </w:rPr>
        <w:t> </w:t>
      </w:r>
      <w:r>
        <w:rPr/>
        <w:t>unidad.</w:t>
      </w:r>
    </w:p>
    <w:p>
      <w:pPr>
        <w:pStyle w:val="ListParagraph"/>
        <w:numPr>
          <w:ilvl w:val="0"/>
          <w:numId w:val="4"/>
        </w:numPr>
        <w:tabs>
          <w:tab w:pos="969" w:val="left" w:leader="none"/>
        </w:tabs>
        <w:spacing w:line="240" w:lineRule="auto" w:before="127" w:after="0"/>
        <w:ind w:left="968" w:right="0" w:hanging="158"/>
        <w:jc w:val="left"/>
        <w:rPr>
          <w:sz w:val="22"/>
        </w:rPr>
      </w:pPr>
      <w:r>
        <w:rPr>
          <w:sz w:val="22"/>
          <w:u w:val="single"/>
        </w:rPr>
        <w:t>Tasa</w:t>
      </w:r>
      <w:r>
        <w:rPr>
          <w:spacing w:val="23"/>
          <w:sz w:val="22"/>
          <w:u w:val="single"/>
        </w:rPr>
        <w:t> </w:t>
      </w:r>
      <w:r>
        <w:rPr>
          <w:sz w:val="22"/>
          <w:u w:val="single"/>
        </w:rPr>
        <w:t>de</w:t>
      </w:r>
      <w:r>
        <w:rPr>
          <w:spacing w:val="20"/>
          <w:sz w:val="22"/>
          <w:u w:val="single"/>
        </w:rPr>
        <w:t> </w:t>
      </w:r>
      <w:r>
        <w:rPr>
          <w:sz w:val="22"/>
          <w:u w:val="single"/>
        </w:rPr>
        <w:t>dependencia</w:t>
      </w:r>
      <w:r>
        <w:rPr>
          <w:spacing w:val="21"/>
          <w:sz w:val="22"/>
          <w:u w:val="single"/>
        </w:rPr>
        <w:t> </w:t>
      </w:r>
      <w:r>
        <w:rPr>
          <w:sz w:val="22"/>
          <w:u w:val="single"/>
        </w:rPr>
        <w:t>económica</w:t>
      </w:r>
      <w:r>
        <w:rPr>
          <w:spacing w:val="21"/>
          <w:sz w:val="22"/>
          <w:u w:val="single"/>
        </w:rPr>
        <w:t> </w:t>
      </w:r>
      <w:r>
        <w:rPr>
          <w:sz w:val="22"/>
          <w:u w:val="single"/>
        </w:rPr>
        <w:t>municipal</w:t>
      </w:r>
      <w:r>
        <w:rPr>
          <w:sz w:val="22"/>
        </w:rPr>
        <w:t>:</w:t>
      </w:r>
      <w:r>
        <w:rPr>
          <w:spacing w:val="24"/>
          <w:sz w:val="22"/>
        </w:rPr>
        <w:t> </w:t>
      </w:r>
      <w:r>
        <w:rPr>
          <w:sz w:val="22"/>
        </w:rPr>
        <w:t>Expresa</w:t>
      </w:r>
      <w:r>
        <w:rPr>
          <w:spacing w:val="23"/>
          <w:sz w:val="22"/>
        </w:rPr>
        <w:t> </w:t>
      </w:r>
      <w:r>
        <w:rPr>
          <w:sz w:val="22"/>
        </w:rPr>
        <w:t>el</w:t>
      </w:r>
      <w:r>
        <w:rPr>
          <w:spacing w:val="22"/>
          <w:sz w:val="22"/>
        </w:rPr>
        <w:t> </w:t>
      </w:r>
      <w:r>
        <w:rPr>
          <w:sz w:val="22"/>
        </w:rPr>
        <w:t>número</w:t>
      </w:r>
      <w:r>
        <w:rPr>
          <w:spacing w:val="21"/>
          <w:sz w:val="22"/>
        </w:rPr>
        <w:t> </w:t>
      </w:r>
      <w:r>
        <w:rPr>
          <w:sz w:val="22"/>
        </w:rPr>
        <w:t>de</w:t>
      </w:r>
      <w:r>
        <w:rPr>
          <w:spacing w:val="23"/>
          <w:sz w:val="22"/>
        </w:rPr>
        <w:t> </w:t>
      </w:r>
      <w:r>
        <w:rPr>
          <w:sz w:val="22"/>
        </w:rPr>
        <w:t>habitantes</w:t>
      </w:r>
      <w:r>
        <w:rPr>
          <w:spacing w:val="21"/>
          <w:sz w:val="22"/>
        </w:rPr>
        <w:t> </w:t>
      </w:r>
      <w:r>
        <w:rPr>
          <w:sz w:val="22"/>
        </w:rPr>
        <w:t>que</w:t>
      </w:r>
    </w:p>
    <w:p>
      <w:pPr>
        <w:pStyle w:val="BodyText"/>
        <w:spacing w:before="8"/>
        <w:rPr>
          <w:sz w:val="15"/>
        </w:rPr>
      </w:pPr>
    </w:p>
    <w:p>
      <w:pPr>
        <w:pStyle w:val="BodyText"/>
        <w:spacing w:line="477" w:lineRule="auto" w:before="73"/>
        <w:ind w:left="102" w:right="13"/>
      </w:pPr>
      <w:r>
        <w:rPr/>
        <w:t>económicamente dependerían de cada 100 trabajadores. Los valores bajos son los más deseables (Casado Izquierdo, 2008c).</w:t>
      </w:r>
    </w:p>
    <w:p>
      <w:pPr>
        <w:spacing w:line="400" w:lineRule="exact" w:before="120"/>
        <w:ind w:left="3306" w:right="3304" w:firstLine="0"/>
        <w:jc w:val="center"/>
        <w:rPr>
          <w:rFonts w:ascii="Times New Roman" w:hAnsi="Times New Roman"/>
          <w:sz w:val="24"/>
        </w:rPr>
      </w:pPr>
      <w:r>
        <w:rPr/>
        <w:pict>
          <v:line style="position:absolute;mso-position-horizontal-relative:page;mso-position-vertical-relative:paragraph;z-index:-25000" from="276.821716pt,22.98172pt" to="353.526282pt,22.981751pt" stroked="true" strokeweight=".133907pt" strokecolor="#000000">
            <w10:wrap type="none"/>
          </v:line>
        </w:pict>
      </w:r>
      <w:r>
        <w:rPr>
          <w:rFonts w:ascii="Times New Roman" w:hAnsi="Times New Roman"/>
          <w:i/>
          <w:w w:val="105"/>
          <w:position w:val="-14"/>
          <w:sz w:val="24"/>
        </w:rPr>
        <w:t>RD </w:t>
      </w:r>
      <w:r>
        <w:rPr>
          <w:rFonts w:ascii="Symbol" w:hAnsi="Symbol"/>
          <w:w w:val="105"/>
          <w:position w:val="-14"/>
          <w:sz w:val="24"/>
        </w:rPr>
        <w:t></w:t>
      </w:r>
      <w:r>
        <w:rPr>
          <w:rFonts w:ascii="Times New Roman" w:hAnsi="Times New Roman"/>
          <w:w w:val="105"/>
          <w:position w:val="-14"/>
          <w:sz w:val="24"/>
        </w:rPr>
        <w:t> </w:t>
      </w:r>
      <w:r>
        <w:rPr>
          <w:rFonts w:ascii="Times New Roman" w:hAnsi="Times New Roman"/>
          <w:i/>
          <w:w w:val="105"/>
          <w:sz w:val="24"/>
        </w:rPr>
        <w:t>PobTot </w:t>
      </w:r>
      <w:r>
        <w:rPr>
          <w:rFonts w:ascii="Symbol" w:hAnsi="Symbol"/>
          <w:w w:val="105"/>
          <w:sz w:val="24"/>
        </w:rPr>
        <w:t></w:t>
      </w:r>
      <w:r>
        <w:rPr>
          <w:rFonts w:ascii="Times New Roman" w:hAnsi="Times New Roman"/>
          <w:w w:val="105"/>
          <w:sz w:val="24"/>
        </w:rPr>
        <w:t> </w:t>
      </w:r>
      <w:r>
        <w:rPr>
          <w:rFonts w:ascii="Times New Roman" w:hAnsi="Times New Roman"/>
          <w:i/>
          <w:w w:val="105"/>
          <w:sz w:val="24"/>
        </w:rPr>
        <w:t>PEAo</w:t>
      </w:r>
      <w:r>
        <w:rPr>
          <w:rFonts w:ascii="Times New Roman" w:hAnsi="Times New Roman"/>
          <w:w w:val="105"/>
          <w:position w:val="-14"/>
          <w:sz w:val="24"/>
        </w:rPr>
        <w:t>*100</w:t>
      </w:r>
    </w:p>
    <w:p>
      <w:pPr>
        <w:pStyle w:val="Heading1"/>
        <w:spacing w:line="232" w:lineRule="exact"/>
        <w:ind w:left="3306" w:right="3214"/>
        <w:jc w:val="center"/>
        <w:rPr>
          <w:i/>
        </w:rPr>
      </w:pPr>
      <w:r>
        <w:rPr>
          <w:i/>
          <w:w w:val="105"/>
        </w:rPr>
        <w:t>PEAo</w:t>
      </w:r>
    </w:p>
    <w:p>
      <w:pPr>
        <w:pStyle w:val="BodyText"/>
        <w:spacing w:before="7"/>
        <w:rPr>
          <w:rFonts w:ascii="Times New Roman"/>
          <w:i/>
          <w:sz w:val="14"/>
        </w:rPr>
      </w:pPr>
    </w:p>
    <w:p>
      <w:pPr>
        <w:spacing w:before="74"/>
        <w:ind w:left="102" w:right="13" w:firstLine="0"/>
        <w:jc w:val="left"/>
        <w:rPr>
          <w:sz w:val="20"/>
        </w:rPr>
      </w:pPr>
      <w:r>
        <w:rPr>
          <w:sz w:val="20"/>
        </w:rPr>
        <w:t>PobTot: Población total.</w:t>
      </w:r>
    </w:p>
    <w:p>
      <w:pPr>
        <w:pStyle w:val="BodyText"/>
        <w:rPr>
          <w:sz w:val="20"/>
        </w:rPr>
      </w:pPr>
    </w:p>
    <w:p>
      <w:pPr>
        <w:spacing w:before="1"/>
        <w:ind w:left="102" w:right="13" w:firstLine="0"/>
        <w:jc w:val="left"/>
        <w:rPr>
          <w:sz w:val="20"/>
        </w:rPr>
      </w:pPr>
      <w:r>
        <w:rPr>
          <w:sz w:val="20"/>
        </w:rPr>
        <w:t>PEAo: Población económicamente activa ocupada (trabajadores ocupados).</w:t>
      </w:r>
    </w:p>
    <w:p>
      <w:pPr>
        <w:pStyle w:val="BodyText"/>
        <w:rPr>
          <w:sz w:val="20"/>
        </w:rPr>
      </w:pPr>
    </w:p>
    <w:p>
      <w:pPr>
        <w:pStyle w:val="BodyText"/>
        <w:rPr>
          <w:sz w:val="20"/>
        </w:rPr>
      </w:pPr>
    </w:p>
    <w:p>
      <w:pPr>
        <w:pStyle w:val="BodyText"/>
        <w:rPr>
          <w:sz w:val="20"/>
        </w:rPr>
      </w:pPr>
    </w:p>
    <w:p>
      <w:pPr>
        <w:pStyle w:val="BodyText"/>
        <w:spacing w:line="477" w:lineRule="auto" w:before="168"/>
        <w:ind w:left="102" w:right="113" w:firstLine="707"/>
      </w:pPr>
      <w:r>
        <w:rPr/>
        <w:t>Los rangos de la categorización, empleados en el cartograma, son: 72-150, muy bajo; 151-200, bajo; 201-250, medio; 251-300, alta; y más de 300, muy alta.</w:t>
      </w:r>
    </w:p>
    <w:p>
      <w:pPr>
        <w:pStyle w:val="BodyText"/>
      </w:pPr>
    </w:p>
    <w:p>
      <w:pPr>
        <w:pStyle w:val="BodyText"/>
      </w:pPr>
    </w:p>
    <w:p>
      <w:pPr>
        <w:pStyle w:val="BodyText"/>
        <w:spacing w:before="9"/>
        <w:rPr>
          <w:sz w:val="21"/>
        </w:rPr>
      </w:pPr>
    </w:p>
    <w:p>
      <w:pPr>
        <w:pStyle w:val="BodyText"/>
        <w:ind w:left="810" w:right="13"/>
      </w:pPr>
      <w:r>
        <w:rPr/>
        <w:t>- </w:t>
      </w:r>
      <w:r>
        <w:rPr>
          <w:u w:val="single"/>
        </w:rPr>
        <w:t>Porcentaje de trabajadores por actividades remuneradas por municipios   (población</w:t>
      </w:r>
    </w:p>
    <w:p>
      <w:pPr>
        <w:pStyle w:val="BodyText"/>
        <w:spacing w:before="8"/>
        <w:rPr>
          <w:sz w:val="15"/>
        </w:rPr>
      </w:pPr>
    </w:p>
    <w:p>
      <w:pPr>
        <w:pStyle w:val="BodyText"/>
        <w:spacing w:before="73"/>
        <w:ind w:left="102" w:right="13"/>
      </w:pPr>
      <w:r>
        <w:rPr>
          <w:u w:val="single"/>
        </w:rPr>
        <w:t>económicamente  activa  ocupada  con  ingresos  mayores  a  2  salarios  mínimos,       2000</w:t>
      </w:r>
      <w:r>
        <w:rPr/>
        <w:t>:</w:t>
      </w:r>
    </w:p>
    <w:p>
      <w:pPr>
        <w:pStyle w:val="BodyText"/>
        <w:spacing w:before="8"/>
        <w:rPr>
          <w:sz w:val="15"/>
        </w:rPr>
      </w:pPr>
    </w:p>
    <w:p>
      <w:pPr>
        <w:pStyle w:val="BodyText"/>
        <w:spacing w:line="477" w:lineRule="auto" w:before="73"/>
        <w:ind w:left="102" w:right="19"/>
      </w:pPr>
      <w:r>
        <w:rPr/>
        <w:t>Porcentaje de trabajadores que reciben ingresos mayores a dos salarios mínimos. Los valores altos son deseables (Casado Izquierdo, 2008d).</w:t>
      </w:r>
    </w:p>
    <w:p>
      <w:pPr>
        <w:spacing w:after="0" w:line="477" w:lineRule="auto"/>
        <w:sectPr>
          <w:pgSz w:w="12250" w:h="15850"/>
          <w:pgMar w:header="0" w:footer="759" w:top="1500" w:bottom="940" w:left="1600" w:right="1300"/>
        </w:sectPr>
      </w:pPr>
    </w:p>
    <w:p>
      <w:pPr>
        <w:pStyle w:val="BodyText"/>
        <w:spacing w:before="1"/>
        <w:rPr>
          <w:sz w:val="26"/>
        </w:rPr>
      </w:pPr>
    </w:p>
    <w:p>
      <w:pPr>
        <w:spacing w:before="0"/>
        <w:ind w:left="2938" w:right="-10" w:firstLine="0"/>
        <w:jc w:val="left"/>
        <w:rPr>
          <w:rFonts w:ascii="Times New Roman" w:hAnsi="Times New Roman"/>
          <w:i/>
          <w:sz w:val="14"/>
        </w:rPr>
      </w:pPr>
      <w:r>
        <w:rPr>
          <w:rFonts w:ascii="Times New Roman" w:hAnsi="Times New Roman"/>
          <w:i/>
          <w:spacing w:val="-4"/>
          <w:w w:val="105"/>
          <w:sz w:val="24"/>
        </w:rPr>
        <w:t>Porc</w:t>
      </w:r>
      <w:r>
        <w:rPr>
          <w:rFonts w:ascii="Times New Roman" w:hAnsi="Times New Roman"/>
          <w:i/>
          <w:spacing w:val="-37"/>
          <w:w w:val="105"/>
          <w:sz w:val="24"/>
        </w:rPr>
        <w:t> </w:t>
      </w:r>
      <w:r>
        <w:rPr>
          <w:rFonts w:ascii="Times New Roman" w:hAnsi="Times New Roman"/>
          <w:w w:val="105"/>
          <w:sz w:val="24"/>
        </w:rPr>
        <w:t>_</w:t>
      </w:r>
      <w:r>
        <w:rPr>
          <w:rFonts w:ascii="Times New Roman" w:hAnsi="Times New Roman"/>
          <w:spacing w:val="-19"/>
          <w:w w:val="105"/>
          <w:sz w:val="24"/>
        </w:rPr>
        <w:t> </w:t>
      </w:r>
      <w:r>
        <w:rPr>
          <w:rFonts w:ascii="Times New Roman" w:hAnsi="Times New Roman"/>
          <w:i/>
          <w:w w:val="105"/>
          <w:sz w:val="24"/>
        </w:rPr>
        <w:t>PEAo</w:t>
      </w:r>
      <w:r>
        <w:rPr>
          <w:rFonts w:ascii="Symbol" w:hAnsi="Symbol"/>
          <w:w w:val="105"/>
          <w:position w:val="-5"/>
          <w:sz w:val="14"/>
        </w:rPr>
        <w:t></w:t>
      </w:r>
      <w:r>
        <w:rPr>
          <w:rFonts w:ascii="Times New Roman" w:hAnsi="Times New Roman"/>
          <w:w w:val="105"/>
          <w:position w:val="-5"/>
          <w:sz w:val="14"/>
        </w:rPr>
        <w:t>2</w:t>
      </w:r>
      <w:r>
        <w:rPr>
          <w:rFonts w:ascii="Times New Roman" w:hAnsi="Times New Roman"/>
          <w:i/>
          <w:w w:val="105"/>
          <w:position w:val="-5"/>
          <w:sz w:val="14"/>
        </w:rPr>
        <w:t>SM</w:t>
      </w:r>
    </w:p>
    <w:p>
      <w:pPr>
        <w:spacing w:line="391" w:lineRule="exact" w:before="140"/>
        <w:ind w:left="61" w:right="0" w:firstLine="0"/>
        <w:jc w:val="left"/>
        <w:rPr>
          <w:rFonts w:ascii="Times New Roman" w:hAnsi="Times New Roman"/>
          <w:sz w:val="24"/>
        </w:rPr>
      </w:pPr>
      <w:r>
        <w:rPr/>
        <w:br w:type="column"/>
      </w:r>
      <w:r>
        <w:rPr>
          <w:rFonts w:ascii="Symbol" w:hAnsi="Symbol"/>
          <w:w w:val="105"/>
          <w:sz w:val="24"/>
        </w:rPr>
        <w:t></w:t>
      </w:r>
      <w:r>
        <w:rPr>
          <w:rFonts w:ascii="Times New Roman" w:hAnsi="Times New Roman"/>
          <w:w w:val="105"/>
          <w:sz w:val="24"/>
        </w:rPr>
        <w:t> </w:t>
      </w:r>
      <w:r>
        <w:rPr>
          <w:rFonts w:ascii="Times New Roman" w:hAnsi="Times New Roman"/>
          <w:i/>
          <w:w w:val="105"/>
          <w:position w:val="16"/>
          <w:sz w:val="24"/>
        </w:rPr>
        <w:t>PEAo</w:t>
      </w:r>
      <w:r>
        <w:rPr>
          <w:rFonts w:ascii="Symbol" w:hAnsi="Symbol"/>
          <w:w w:val="105"/>
          <w:position w:val="10"/>
          <w:sz w:val="14"/>
        </w:rPr>
        <w:t></w:t>
      </w:r>
      <w:r>
        <w:rPr>
          <w:rFonts w:ascii="Times New Roman" w:hAnsi="Times New Roman"/>
          <w:w w:val="105"/>
          <w:position w:val="10"/>
          <w:sz w:val="14"/>
        </w:rPr>
        <w:t>2</w:t>
      </w:r>
      <w:r>
        <w:rPr>
          <w:rFonts w:ascii="Times New Roman" w:hAnsi="Times New Roman"/>
          <w:i/>
          <w:w w:val="105"/>
          <w:position w:val="10"/>
          <w:sz w:val="14"/>
        </w:rPr>
        <w:t>SM  </w:t>
      </w:r>
      <w:r>
        <w:rPr>
          <w:rFonts w:ascii="Times New Roman" w:hAnsi="Times New Roman"/>
          <w:w w:val="105"/>
          <w:sz w:val="24"/>
        </w:rPr>
        <w:t>*100</w:t>
      </w:r>
    </w:p>
    <w:p>
      <w:pPr>
        <w:pStyle w:val="Heading1"/>
        <w:rPr>
          <w:i/>
        </w:rPr>
      </w:pPr>
      <w:r>
        <w:rPr/>
        <w:pict>
          <v:line style="position:absolute;mso-position-horizontal-relative:page;mso-position-vertical-relative:paragraph;z-index:-24976" from="323.145355pt,-2.933737pt" to="373.570317pt,-2.933733pt" stroked="true" strokeweight=".133634pt" strokecolor="#000000">
            <w10:wrap type="none"/>
          </v:line>
        </w:pict>
      </w:r>
      <w:r>
        <w:rPr>
          <w:i/>
          <w:w w:val="105"/>
        </w:rPr>
        <w:t>PEAo</w:t>
      </w:r>
    </w:p>
    <w:p>
      <w:pPr>
        <w:spacing w:after="0"/>
        <w:sectPr>
          <w:type w:val="continuous"/>
          <w:pgSz w:w="12250" w:h="15850"/>
          <w:pgMar w:top="1500" w:bottom="940" w:left="1600" w:right="1300"/>
          <w:cols w:num="2" w:equalWidth="0">
            <w:col w:w="4556" w:space="40"/>
            <w:col w:w="4754"/>
          </w:cols>
        </w:sectPr>
      </w:pPr>
    </w:p>
    <w:p>
      <w:pPr>
        <w:pStyle w:val="BodyText"/>
        <w:spacing w:before="3"/>
        <w:rPr>
          <w:rFonts w:ascii="Times New Roman"/>
          <w:i/>
          <w:sz w:val="15"/>
        </w:rPr>
      </w:pPr>
    </w:p>
    <w:p>
      <w:pPr>
        <w:spacing w:line="477" w:lineRule="auto" w:before="73"/>
        <w:ind w:left="102" w:right="235" w:firstLine="0"/>
        <w:jc w:val="left"/>
        <w:rPr>
          <w:sz w:val="20"/>
        </w:rPr>
      </w:pPr>
      <w:r>
        <w:rPr>
          <w:position w:val="1"/>
          <w:sz w:val="20"/>
        </w:rPr>
        <w:t>PEAo</w:t>
      </w:r>
      <w:r>
        <w:rPr>
          <w:sz w:val="13"/>
        </w:rPr>
        <w:t>&gt;2SM</w:t>
      </w:r>
      <w:r>
        <w:rPr>
          <w:position w:val="1"/>
          <w:sz w:val="20"/>
        </w:rPr>
        <w:t>: Población económicamente activa ocupada con ingresos mayores a dos salarios mínimos. </w:t>
      </w:r>
      <w:r>
        <w:rPr>
          <w:sz w:val="20"/>
        </w:rPr>
        <w:t>PEAo: Población económicamente activa ocupada (trabajadores ocupados)</w:t>
      </w:r>
    </w:p>
    <w:p>
      <w:pPr>
        <w:spacing w:after="0" w:line="477" w:lineRule="auto"/>
        <w:jc w:val="left"/>
        <w:rPr>
          <w:sz w:val="20"/>
        </w:rPr>
        <w:sectPr>
          <w:type w:val="continuous"/>
          <w:pgSz w:w="12250" w:h="15850"/>
          <w:pgMar w:top="1500" w:bottom="940" w:left="1600" w:right="1300"/>
        </w:sectPr>
      </w:pPr>
    </w:p>
    <w:p>
      <w:pPr>
        <w:pStyle w:val="BodyText"/>
        <w:spacing w:before="9"/>
        <w:rPr>
          <w:sz w:val="10"/>
        </w:rPr>
      </w:pPr>
    </w:p>
    <w:p>
      <w:pPr>
        <w:pStyle w:val="BodyText"/>
        <w:spacing w:line="480" w:lineRule="auto" w:before="73"/>
        <w:ind w:left="102" w:right="115" w:firstLine="707"/>
        <w:jc w:val="both"/>
      </w:pPr>
      <w:r>
        <w:rPr/>
        <w:t>Los rangos fijados en el cartograma son los siguientes: 0.00-10.00, muy bajo; 10.01- 20.00, bajo; 20.01-30.00, medio; 30.01-50.00, alto; y 50.01-75.00, muy alto.</w:t>
      </w:r>
    </w:p>
    <w:p>
      <w:pPr>
        <w:pStyle w:val="BodyText"/>
        <w:spacing w:line="480" w:lineRule="auto" w:before="125"/>
        <w:ind w:left="102" w:right="112" w:firstLine="707"/>
        <w:jc w:val="both"/>
      </w:pPr>
      <w:r>
        <w:rPr/>
        <w:t>Los valores, rangos y categorías de estos 16 indicadores de degradación biofísica, de modificación antropogénica y socioeconómicos, fueron empleados en la evaluación geoecológica</w:t>
      </w:r>
      <w:r>
        <w:rPr>
          <w:spacing w:val="-3"/>
        </w:rPr>
        <w:t> </w:t>
      </w:r>
      <w:r>
        <w:rPr/>
        <w:t>del</w:t>
      </w:r>
      <w:r>
        <w:rPr>
          <w:spacing w:val="-4"/>
        </w:rPr>
        <w:t> </w:t>
      </w:r>
      <w:r>
        <w:rPr/>
        <w:t>estado</w:t>
      </w:r>
      <w:r>
        <w:rPr>
          <w:spacing w:val="-5"/>
        </w:rPr>
        <w:t> </w:t>
      </w:r>
      <w:r>
        <w:rPr/>
        <w:t>del</w:t>
      </w:r>
      <w:r>
        <w:rPr>
          <w:spacing w:val="-4"/>
        </w:rPr>
        <w:t> </w:t>
      </w:r>
      <w:r>
        <w:rPr/>
        <w:t>medio</w:t>
      </w:r>
      <w:r>
        <w:rPr>
          <w:spacing w:val="-3"/>
        </w:rPr>
        <w:t> </w:t>
      </w:r>
      <w:r>
        <w:rPr/>
        <w:t>ambiente</w:t>
      </w:r>
      <w:r>
        <w:rPr>
          <w:spacing w:val="-5"/>
        </w:rPr>
        <w:t> </w:t>
      </w:r>
      <w:r>
        <w:rPr/>
        <w:t>actual,</w:t>
      </w:r>
      <w:r>
        <w:rPr>
          <w:spacing w:val="-2"/>
        </w:rPr>
        <w:t> </w:t>
      </w:r>
      <w:r>
        <w:rPr/>
        <w:t>2008</w:t>
      </w:r>
      <w:r>
        <w:rPr>
          <w:spacing w:val="-3"/>
        </w:rPr>
        <w:t> </w:t>
      </w:r>
      <w:r>
        <w:rPr/>
        <w:t>(Fig.</w:t>
      </w:r>
      <w:r>
        <w:rPr>
          <w:spacing w:val="-4"/>
        </w:rPr>
        <w:t> </w:t>
      </w:r>
      <w:r>
        <w:rPr/>
        <w:t>2)</w:t>
      </w:r>
      <w:r>
        <w:rPr>
          <w:spacing w:val="-2"/>
        </w:rPr>
        <w:t> </w:t>
      </w:r>
      <w:r>
        <w:rPr/>
        <w:t>y</w:t>
      </w:r>
      <w:r>
        <w:rPr>
          <w:spacing w:val="-5"/>
        </w:rPr>
        <w:t> </w:t>
      </w:r>
      <w:r>
        <w:rPr/>
        <w:t>sus</w:t>
      </w:r>
      <w:r>
        <w:rPr>
          <w:spacing w:val="-5"/>
        </w:rPr>
        <w:t> </w:t>
      </w:r>
      <w:r>
        <w:rPr/>
        <w:t>proyecciones</w:t>
      </w:r>
      <w:r>
        <w:rPr>
          <w:spacing w:val="-3"/>
        </w:rPr>
        <w:t> </w:t>
      </w:r>
      <w:r>
        <w:rPr/>
        <w:t>al</w:t>
      </w:r>
      <w:r>
        <w:rPr>
          <w:spacing w:val="-4"/>
        </w:rPr>
        <w:t> </w:t>
      </w:r>
      <w:r>
        <w:rPr/>
        <w:t>2012, 2023</w:t>
      </w:r>
      <w:r>
        <w:rPr>
          <w:spacing w:val="-6"/>
        </w:rPr>
        <w:t> </w:t>
      </w:r>
      <w:r>
        <w:rPr/>
        <w:t>y</w:t>
      </w:r>
      <w:r>
        <w:rPr>
          <w:spacing w:val="-7"/>
        </w:rPr>
        <w:t> </w:t>
      </w:r>
      <w:r>
        <w:rPr/>
        <w:t>2033.</w:t>
      </w:r>
      <w:r>
        <w:rPr>
          <w:spacing w:val="-6"/>
        </w:rPr>
        <w:t> </w:t>
      </w:r>
      <w:r>
        <w:rPr/>
        <w:t>Además</w:t>
      </w:r>
      <w:r>
        <w:rPr>
          <w:spacing w:val="-8"/>
        </w:rPr>
        <w:t> </w:t>
      </w:r>
      <w:r>
        <w:rPr/>
        <w:t>de</w:t>
      </w:r>
      <w:r>
        <w:rPr>
          <w:spacing w:val="-8"/>
        </w:rPr>
        <w:t> </w:t>
      </w:r>
      <w:r>
        <w:rPr/>
        <w:t>estos</w:t>
      </w:r>
      <w:r>
        <w:rPr>
          <w:spacing w:val="-5"/>
        </w:rPr>
        <w:t> </w:t>
      </w:r>
      <w:r>
        <w:rPr/>
        <w:t>indicadores</w:t>
      </w:r>
      <w:r>
        <w:rPr>
          <w:spacing w:val="-10"/>
        </w:rPr>
        <w:t> </w:t>
      </w:r>
      <w:r>
        <w:rPr/>
        <w:t>fueron</w:t>
      </w:r>
      <w:r>
        <w:rPr>
          <w:spacing w:val="-8"/>
        </w:rPr>
        <w:t> </w:t>
      </w:r>
      <w:r>
        <w:rPr/>
        <w:t>empleados</w:t>
      </w:r>
      <w:r>
        <w:rPr>
          <w:spacing w:val="-7"/>
        </w:rPr>
        <w:t> </w:t>
      </w:r>
      <w:r>
        <w:rPr/>
        <w:t>otros</w:t>
      </w:r>
      <w:r>
        <w:rPr>
          <w:spacing w:val="-8"/>
        </w:rPr>
        <w:t> </w:t>
      </w:r>
      <w:r>
        <w:rPr/>
        <w:t>criterios</w:t>
      </w:r>
      <w:r>
        <w:rPr>
          <w:spacing w:val="-5"/>
        </w:rPr>
        <w:t> </w:t>
      </w:r>
      <w:r>
        <w:rPr/>
        <w:t>espaciales,</w:t>
      </w:r>
      <w:r>
        <w:rPr>
          <w:spacing w:val="-7"/>
        </w:rPr>
        <w:t> </w:t>
      </w:r>
      <w:r>
        <w:rPr/>
        <w:t>como los territorios bajo las actividades mineras (Coll Hurtado </w:t>
      </w:r>
      <w:r>
        <w:rPr>
          <w:i/>
        </w:rPr>
        <w:t>et al</w:t>
      </w:r>
      <w:r>
        <w:rPr/>
        <w:t>., 2007) y las áreas naturales protegidas (Melo Gallegos </w:t>
      </w:r>
      <w:r>
        <w:rPr>
          <w:i/>
        </w:rPr>
        <w:t>et al</w:t>
      </w:r>
      <w:r>
        <w:rPr/>
        <w:t>.,</w:t>
      </w:r>
      <w:r>
        <w:rPr>
          <w:spacing w:val="-12"/>
        </w:rPr>
        <w:t> </w:t>
      </w:r>
      <w:r>
        <w:rPr/>
        <w:t>2008).</w:t>
      </w:r>
    </w:p>
    <w:p>
      <w:pPr>
        <w:pStyle w:val="Heading2"/>
        <w:spacing w:before="125"/>
      </w:pPr>
      <w:r>
        <w:rPr/>
        <w:t>Resultados</w:t>
      </w:r>
    </w:p>
    <w:p>
      <w:pPr>
        <w:pStyle w:val="BodyText"/>
        <w:spacing w:before="5"/>
        <w:rPr>
          <w:b/>
          <w:sz w:val="32"/>
        </w:rPr>
      </w:pPr>
    </w:p>
    <w:p>
      <w:pPr>
        <w:spacing w:before="0"/>
        <w:ind w:left="102" w:right="13" w:firstLine="0"/>
        <w:jc w:val="left"/>
        <w:rPr>
          <w:b/>
          <w:sz w:val="22"/>
        </w:rPr>
      </w:pPr>
      <w:r>
        <w:rPr>
          <w:b/>
          <w:sz w:val="22"/>
        </w:rPr>
        <w:t>Escenario contextual: estado actual del medio ambiente (2008)</w:t>
      </w:r>
    </w:p>
    <w:p>
      <w:pPr>
        <w:pStyle w:val="BodyText"/>
        <w:spacing w:before="7"/>
        <w:rPr>
          <w:b/>
          <w:sz w:val="32"/>
        </w:rPr>
      </w:pPr>
    </w:p>
    <w:p>
      <w:pPr>
        <w:pStyle w:val="BodyText"/>
        <w:spacing w:line="480" w:lineRule="auto" w:before="1"/>
        <w:ind w:left="102" w:right="113" w:firstLine="707"/>
        <w:jc w:val="both"/>
      </w:pPr>
      <w:r>
        <w:rPr/>
        <w:t>En general, la evaluación del estado actual del medio ambiente del territorio nacional, como</w:t>
      </w:r>
      <w:r>
        <w:rPr>
          <w:spacing w:val="-5"/>
        </w:rPr>
        <w:t> </w:t>
      </w:r>
      <w:r>
        <w:rPr/>
        <w:t>escenario</w:t>
      </w:r>
      <w:r>
        <w:rPr>
          <w:spacing w:val="-5"/>
        </w:rPr>
        <w:t> </w:t>
      </w:r>
      <w:r>
        <w:rPr/>
        <w:t>contextual</w:t>
      </w:r>
      <w:r>
        <w:rPr>
          <w:spacing w:val="-4"/>
        </w:rPr>
        <w:t> </w:t>
      </w:r>
      <w:r>
        <w:rPr/>
        <w:t>(2008),</w:t>
      </w:r>
      <w:r>
        <w:rPr>
          <w:spacing w:val="-6"/>
        </w:rPr>
        <w:t> </w:t>
      </w:r>
      <w:r>
        <w:rPr/>
        <w:t>muestra</w:t>
      </w:r>
      <w:r>
        <w:rPr>
          <w:spacing w:val="-8"/>
        </w:rPr>
        <w:t> </w:t>
      </w:r>
      <w:r>
        <w:rPr/>
        <w:t>que</w:t>
      </w:r>
      <w:r>
        <w:rPr>
          <w:spacing w:val="-6"/>
        </w:rPr>
        <w:t> </w:t>
      </w:r>
      <w:r>
        <w:rPr/>
        <w:t>un</w:t>
      </w:r>
      <w:r>
        <w:rPr>
          <w:spacing w:val="-3"/>
        </w:rPr>
        <w:t> </w:t>
      </w:r>
      <w:r>
        <w:rPr/>
        <w:t>40.43</w:t>
      </w:r>
      <w:r>
        <w:rPr>
          <w:spacing w:val="-6"/>
        </w:rPr>
        <w:t> </w:t>
      </w:r>
      <w:r>
        <w:rPr/>
        <w:t>%</w:t>
      </w:r>
      <w:r>
        <w:rPr>
          <w:spacing w:val="-5"/>
        </w:rPr>
        <w:t> </w:t>
      </w:r>
      <w:r>
        <w:rPr/>
        <w:t>del</w:t>
      </w:r>
      <w:r>
        <w:rPr>
          <w:spacing w:val="-6"/>
        </w:rPr>
        <w:t> </w:t>
      </w:r>
      <w:r>
        <w:rPr/>
        <w:t>país</w:t>
      </w:r>
      <w:r>
        <w:rPr>
          <w:spacing w:val="-3"/>
        </w:rPr>
        <w:t> </w:t>
      </w:r>
      <w:r>
        <w:rPr/>
        <w:t>presenta</w:t>
      </w:r>
      <w:r>
        <w:rPr>
          <w:spacing w:val="-5"/>
        </w:rPr>
        <w:t> </w:t>
      </w:r>
      <w:r>
        <w:rPr/>
        <w:t>un</w:t>
      </w:r>
      <w:r>
        <w:rPr>
          <w:spacing w:val="-6"/>
        </w:rPr>
        <w:t> </w:t>
      </w:r>
      <w:r>
        <w:rPr/>
        <w:t>estado</w:t>
      </w:r>
      <w:r>
        <w:rPr>
          <w:spacing w:val="-5"/>
        </w:rPr>
        <w:t> </w:t>
      </w:r>
      <w:r>
        <w:rPr/>
        <w:t>entre inestable y crítico (Tabla 4), concentrándose en la región sur-sureste y algunas regiones del centro del país (Figura</w:t>
      </w:r>
      <w:r>
        <w:rPr>
          <w:spacing w:val="-7"/>
        </w:rPr>
        <w:t> </w:t>
      </w:r>
      <w:r>
        <w:rPr/>
        <w:t>2).</w:t>
      </w:r>
    </w:p>
    <w:p>
      <w:pPr>
        <w:pStyle w:val="BodyText"/>
      </w:pPr>
    </w:p>
    <w:p>
      <w:pPr>
        <w:pStyle w:val="BodyText"/>
      </w:pPr>
    </w:p>
    <w:p>
      <w:pPr>
        <w:pStyle w:val="BodyText"/>
      </w:pPr>
    </w:p>
    <w:p>
      <w:pPr>
        <w:pStyle w:val="BodyText"/>
      </w:pPr>
    </w:p>
    <w:p>
      <w:pPr>
        <w:pStyle w:val="BodyText"/>
        <w:spacing w:before="9"/>
        <w:rPr>
          <w:sz w:val="31"/>
        </w:rPr>
      </w:pPr>
    </w:p>
    <w:p>
      <w:pPr>
        <w:spacing w:before="0"/>
        <w:ind w:left="2889" w:right="365" w:hanging="2471"/>
        <w:jc w:val="left"/>
        <w:rPr>
          <w:b/>
          <w:sz w:val="20"/>
        </w:rPr>
      </w:pPr>
      <w:r>
        <w:rPr>
          <w:b/>
          <w:sz w:val="20"/>
        </w:rPr>
        <w:t>Tabla 4. Superficie y porcentaje del estado del medio ambiente, por unidades ambientales biofísicas, con respecto al territorio nacional.</w:t>
      </w:r>
    </w:p>
    <w:p>
      <w:pPr>
        <w:pStyle w:val="BodyText"/>
        <w:spacing w:before="5"/>
        <w:rPr>
          <w:b/>
        </w:rPr>
      </w:pPr>
    </w:p>
    <w:tbl>
      <w:tblPr>
        <w:tblW w:w="0" w:type="auto"/>
        <w:jc w:val="left"/>
        <w:tblInd w:w="481"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4165"/>
        <w:gridCol w:w="1620"/>
        <w:gridCol w:w="2537"/>
      </w:tblGrid>
      <w:tr>
        <w:trPr>
          <w:trHeight w:val="286" w:hRule="exact"/>
        </w:trPr>
        <w:tc>
          <w:tcPr>
            <w:tcW w:w="4165" w:type="dxa"/>
            <w:tcBorders>
              <w:bottom w:val="single" w:sz="6" w:space="0" w:color="000000"/>
              <w:right w:val="single" w:sz="6" w:space="0" w:color="000000"/>
            </w:tcBorders>
          </w:tcPr>
          <w:p>
            <w:pPr>
              <w:pStyle w:val="TableParagraph"/>
              <w:ind w:left="170"/>
              <w:rPr>
                <w:b/>
                <w:sz w:val="20"/>
              </w:rPr>
            </w:pPr>
            <w:r>
              <w:rPr>
                <w:b/>
                <w:sz w:val="20"/>
              </w:rPr>
              <w:t>Estado actual del medio ambiente, 2008</w:t>
            </w:r>
          </w:p>
        </w:tc>
        <w:tc>
          <w:tcPr>
            <w:tcW w:w="1620" w:type="dxa"/>
            <w:tcBorders>
              <w:left w:val="single" w:sz="6" w:space="0" w:color="000000"/>
              <w:bottom w:val="single" w:sz="6" w:space="0" w:color="000000"/>
              <w:right w:val="single" w:sz="6" w:space="0" w:color="000000"/>
            </w:tcBorders>
          </w:tcPr>
          <w:p>
            <w:pPr>
              <w:pStyle w:val="TableParagraph"/>
              <w:ind w:left="287"/>
              <w:rPr>
                <w:b/>
                <w:sz w:val="20"/>
              </w:rPr>
            </w:pPr>
            <w:r>
              <w:rPr>
                <w:b/>
                <w:sz w:val="20"/>
              </w:rPr>
              <w:t>Área (Km</w:t>
            </w:r>
            <w:r>
              <w:rPr>
                <w:b/>
                <w:position w:val="7"/>
                <w:sz w:val="13"/>
              </w:rPr>
              <w:t>2</w:t>
            </w:r>
            <w:r>
              <w:rPr>
                <w:b/>
                <w:sz w:val="20"/>
              </w:rPr>
              <w:t>)</w:t>
            </w:r>
          </w:p>
        </w:tc>
        <w:tc>
          <w:tcPr>
            <w:tcW w:w="2537" w:type="dxa"/>
            <w:tcBorders>
              <w:left w:val="single" w:sz="6" w:space="0" w:color="000000"/>
              <w:bottom w:val="single" w:sz="6" w:space="0" w:color="000000"/>
            </w:tcBorders>
          </w:tcPr>
          <w:p>
            <w:pPr>
              <w:pStyle w:val="TableParagraph"/>
              <w:ind w:left="122"/>
              <w:rPr>
                <w:b/>
                <w:sz w:val="20"/>
              </w:rPr>
            </w:pPr>
            <w:r>
              <w:rPr>
                <w:b/>
                <w:sz w:val="20"/>
              </w:rPr>
              <w:t>% del territorio nacional</w:t>
            </w:r>
          </w:p>
        </w:tc>
      </w:tr>
      <w:tr>
        <w:trPr>
          <w:trHeight w:val="269" w:hRule="exact"/>
        </w:trPr>
        <w:tc>
          <w:tcPr>
            <w:tcW w:w="4165" w:type="dxa"/>
            <w:tcBorders>
              <w:top w:val="single" w:sz="6" w:space="0" w:color="000000"/>
              <w:bottom w:val="single" w:sz="6" w:space="0" w:color="000000"/>
              <w:right w:val="single" w:sz="6" w:space="0" w:color="000000"/>
            </w:tcBorders>
          </w:tcPr>
          <w:p>
            <w:pPr>
              <w:pStyle w:val="TableParagraph"/>
              <w:ind w:left="86"/>
              <w:rPr>
                <w:sz w:val="20"/>
              </w:rPr>
            </w:pPr>
            <w:r>
              <w:rPr>
                <w:sz w:val="20"/>
              </w:rPr>
              <w:t>Estable</w:t>
            </w:r>
          </w:p>
        </w:tc>
        <w:tc>
          <w:tcPr>
            <w:tcW w:w="1620" w:type="dxa"/>
            <w:tcBorders>
              <w:top w:val="single" w:sz="6" w:space="0" w:color="000000"/>
              <w:left w:val="single" w:sz="6" w:space="0" w:color="000000"/>
              <w:bottom w:val="single" w:sz="6" w:space="0" w:color="000000"/>
              <w:right w:val="single" w:sz="6" w:space="0" w:color="000000"/>
            </w:tcBorders>
          </w:tcPr>
          <w:p>
            <w:pPr>
              <w:pStyle w:val="TableParagraph"/>
              <w:ind w:right="101"/>
              <w:jc w:val="right"/>
              <w:rPr>
                <w:sz w:val="20"/>
              </w:rPr>
            </w:pPr>
            <w:r>
              <w:rPr>
                <w:sz w:val="20"/>
              </w:rPr>
              <w:t>371 664.49</w:t>
            </w:r>
          </w:p>
        </w:tc>
        <w:tc>
          <w:tcPr>
            <w:tcW w:w="2537" w:type="dxa"/>
            <w:tcBorders>
              <w:top w:val="single" w:sz="6" w:space="0" w:color="000000"/>
              <w:left w:val="single" w:sz="6" w:space="0" w:color="000000"/>
              <w:bottom w:val="single" w:sz="6" w:space="0" w:color="000000"/>
            </w:tcBorders>
          </w:tcPr>
          <w:p>
            <w:pPr>
              <w:pStyle w:val="TableParagraph"/>
              <w:ind w:left="990" w:right="978"/>
              <w:jc w:val="center"/>
              <w:rPr>
                <w:sz w:val="20"/>
              </w:rPr>
            </w:pPr>
            <w:r>
              <w:rPr>
                <w:sz w:val="20"/>
              </w:rPr>
              <w:t>19.13</w:t>
            </w:r>
          </w:p>
        </w:tc>
      </w:tr>
      <w:tr>
        <w:trPr>
          <w:trHeight w:val="271" w:hRule="exact"/>
        </w:trPr>
        <w:tc>
          <w:tcPr>
            <w:tcW w:w="4165" w:type="dxa"/>
            <w:tcBorders>
              <w:top w:val="single" w:sz="6" w:space="0" w:color="000000"/>
              <w:bottom w:val="single" w:sz="6" w:space="0" w:color="000000"/>
              <w:right w:val="single" w:sz="6" w:space="0" w:color="000000"/>
            </w:tcBorders>
          </w:tcPr>
          <w:p>
            <w:pPr>
              <w:pStyle w:val="TableParagraph"/>
              <w:spacing w:line="230" w:lineRule="exact"/>
              <w:ind w:left="86"/>
              <w:rPr>
                <w:sz w:val="20"/>
              </w:rPr>
            </w:pPr>
            <w:r>
              <w:rPr>
                <w:sz w:val="20"/>
              </w:rPr>
              <w:t>Estable a medianamente estable</w:t>
            </w:r>
          </w:p>
        </w:tc>
        <w:tc>
          <w:tcPr>
            <w:tcW w:w="1620" w:type="dxa"/>
            <w:tcBorders>
              <w:top w:val="single" w:sz="6" w:space="0" w:color="000000"/>
              <w:left w:val="single" w:sz="6" w:space="0" w:color="000000"/>
              <w:bottom w:val="single" w:sz="6" w:space="0" w:color="000000"/>
              <w:right w:val="single" w:sz="6" w:space="0" w:color="000000"/>
            </w:tcBorders>
          </w:tcPr>
          <w:p>
            <w:pPr>
              <w:pStyle w:val="TableParagraph"/>
              <w:spacing w:line="230" w:lineRule="exact"/>
              <w:ind w:right="101"/>
              <w:jc w:val="right"/>
              <w:rPr>
                <w:sz w:val="20"/>
              </w:rPr>
            </w:pPr>
            <w:r>
              <w:rPr>
                <w:sz w:val="20"/>
              </w:rPr>
              <w:t>166 433.23</w:t>
            </w:r>
          </w:p>
        </w:tc>
        <w:tc>
          <w:tcPr>
            <w:tcW w:w="2537" w:type="dxa"/>
            <w:tcBorders>
              <w:top w:val="single" w:sz="6" w:space="0" w:color="000000"/>
              <w:left w:val="single" w:sz="6" w:space="0" w:color="000000"/>
              <w:bottom w:val="single" w:sz="6" w:space="0" w:color="000000"/>
            </w:tcBorders>
          </w:tcPr>
          <w:p>
            <w:pPr>
              <w:pStyle w:val="TableParagraph"/>
              <w:spacing w:line="230" w:lineRule="exact"/>
              <w:ind w:left="990" w:right="867"/>
              <w:jc w:val="center"/>
              <w:rPr>
                <w:sz w:val="20"/>
              </w:rPr>
            </w:pPr>
            <w:r>
              <w:rPr>
                <w:sz w:val="20"/>
              </w:rPr>
              <w:t>8.57</w:t>
            </w:r>
          </w:p>
        </w:tc>
      </w:tr>
      <w:tr>
        <w:trPr>
          <w:trHeight w:val="269" w:hRule="exact"/>
        </w:trPr>
        <w:tc>
          <w:tcPr>
            <w:tcW w:w="4165" w:type="dxa"/>
            <w:tcBorders>
              <w:top w:val="single" w:sz="6" w:space="0" w:color="000000"/>
              <w:bottom w:val="single" w:sz="6" w:space="0" w:color="000000"/>
              <w:right w:val="single" w:sz="6" w:space="0" w:color="000000"/>
            </w:tcBorders>
          </w:tcPr>
          <w:p>
            <w:pPr>
              <w:pStyle w:val="TableParagraph"/>
              <w:ind w:left="86"/>
              <w:rPr>
                <w:sz w:val="20"/>
              </w:rPr>
            </w:pPr>
            <w:r>
              <w:rPr>
                <w:sz w:val="20"/>
              </w:rPr>
              <w:t>Medianamente estable</w:t>
            </w:r>
          </w:p>
        </w:tc>
        <w:tc>
          <w:tcPr>
            <w:tcW w:w="1620" w:type="dxa"/>
            <w:tcBorders>
              <w:top w:val="single" w:sz="6" w:space="0" w:color="000000"/>
              <w:left w:val="single" w:sz="6" w:space="0" w:color="000000"/>
              <w:bottom w:val="single" w:sz="6" w:space="0" w:color="000000"/>
              <w:right w:val="single" w:sz="6" w:space="0" w:color="000000"/>
            </w:tcBorders>
          </w:tcPr>
          <w:p>
            <w:pPr>
              <w:pStyle w:val="TableParagraph"/>
              <w:ind w:right="101"/>
              <w:jc w:val="right"/>
              <w:rPr>
                <w:sz w:val="20"/>
              </w:rPr>
            </w:pPr>
            <w:r>
              <w:rPr>
                <w:sz w:val="20"/>
              </w:rPr>
              <w:t>282 823.10</w:t>
            </w:r>
          </w:p>
        </w:tc>
        <w:tc>
          <w:tcPr>
            <w:tcW w:w="2537" w:type="dxa"/>
            <w:tcBorders>
              <w:top w:val="single" w:sz="6" w:space="0" w:color="000000"/>
              <w:left w:val="single" w:sz="6" w:space="0" w:color="000000"/>
              <w:bottom w:val="single" w:sz="6" w:space="0" w:color="000000"/>
            </w:tcBorders>
          </w:tcPr>
          <w:p>
            <w:pPr>
              <w:pStyle w:val="TableParagraph"/>
              <w:ind w:left="990" w:right="978"/>
              <w:jc w:val="center"/>
              <w:rPr>
                <w:sz w:val="20"/>
              </w:rPr>
            </w:pPr>
            <w:r>
              <w:rPr>
                <w:sz w:val="20"/>
              </w:rPr>
              <w:t>14.56</w:t>
            </w:r>
          </w:p>
        </w:tc>
      </w:tr>
      <w:tr>
        <w:trPr>
          <w:trHeight w:val="271" w:hRule="exact"/>
        </w:trPr>
        <w:tc>
          <w:tcPr>
            <w:tcW w:w="4165" w:type="dxa"/>
            <w:tcBorders>
              <w:top w:val="single" w:sz="6" w:space="0" w:color="000000"/>
              <w:bottom w:val="single" w:sz="6" w:space="0" w:color="000000"/>
              <w:right w:val="single" w:sz="6" w:space="0" w:color="000000"/>
            </w:tcBorders>
          </w:tcPr>
          <w:p>
            <w:pPr>
              <w:pStyle w:val="TableParagraph"/>
              <w:spacing w:line="230" w:lineRule="exact"/>
              <w:ind w:left="86"/>
              <w:rPr>
                <w:sz w:val="20"/>
              </w:rPr>
            </w:pPr>
            <w:r>
              <w:rPr>
                <w:sz w:val="20"/>
              </w:rPr>
              <w:t>Medianamente estable a inestable</w:t>
            </w:r>
          </w:p>
        </w:tc>
        <w:tc>
          <w:tcPr>
            <w:tcW w:w="1620" w:type="dxa"/>
            <w:tcBorders>
              <w:top w:val="single" w:sz="6" w:space="0" w:color="000000"/>
              <w:left w:val="single" w:sz="6" w:space="0" w:color="000000"/>
              <w:bottom w:val="single" w:sz="6" w:space="0" w:color="000000"/>
              <w:right w:val="single" w:sz="6" w:space="0" w:color="000000"/>
            </w:tcBorders>
          </w:tcPr>
          <w:p>
            <w:pPr>
              <w:pStyle w:val="TableParagraph"/>
              <w:spacing w:line="230" w:lineRule="exact"/>
              <w:ind w:right="101"/>
              <w:jc w:val="right"/>
              <w:rPr>
                <w:sz w:val="20"/>
              </w:rPr>
            </w:pPr>
            <w:r>
              <w:rPr>
                <w:sz w:val="20"/>
              </w:rPr>
              <w:t>336 478.71</w:t>
            </w:r>
          </w:p>
        </w:tc>
        <w:tc>
          <w:tcPr>
            <w:tcW w:w="2537" w:type="dxa"/>
            <w:tcBorders>
              <w:top w:val="single" w:sz="6" w:space="0" w:color="000000"/>
              <w:left w:val="single" w:sz="6" w:space="0" w:color="000000"/>
              <w:bottom w:val="single" w:sz="6" w:space="0" w:color="000000"/>
            </w:tcBorders>
          </w:tcPr>
          <w:p>
            <w:pPr>
              <w:pStyle w:val="TableParagraph"/>
              <w:spacing w:line="230" w:lineRule="exact"/>
              <w:ind w:left="990" w:right="978"/>
              <w:jc w:val="center"/>
              <w:rPr>
                <w:sz w:val="20"/>
              </w:rPr>
            </w:pPr>
            <w:r>
              <w:rPr>
                <w:sz w:val="20"/>
              </w:rPr>
              <w:t>17.32</w:t>
            </w:r>
          </w:p>
        </w:tc>
      </w:tr>
      <w:tr>
        <w:trPr>
          <w:trHeight w:val="269" w:hRule="exact"/>
        </w:trPr>
        <w:tc>
          <w:tcPr>
            <w:tcW w:w="4165" w:type="dxa"/>
            <w:tcBorders>
              <w:top w:val="single" w:sz="6" w:space="0" w:color="000000"/>
              <w:bottom w:val="single" w:sz="6" w:space="0" w:color="000000"/>
              <w:right w:val="single" w:sz="6" w:space="0" w:color="000000"/>
            </w:tcBorders>
          </w:tcPr>
          <w:p>
            <w:pPr>
              <w:pStyle w:val="TableParagraph"/>
              <w:ind w:left="86"/>
              <w:rPr>
                <w:sz w:val="20"/>
              </w:rPr>
            </w:pPr>
            <w:r>
              <w:rPr>
                <w:sz w:val="20"/>
              </w:rPr>
              <w:t>Inestable</w:t>
            </w:r>
          </w:p>
        </w:tc>
        <w:tc>
          <w:tcPr>
            <w:tcW w:w="1620" w:type="dxa"/>
            <w:tcBorders>
              <w:top w:val="single" w:sz="6" w:space="0" w:color="000000"/>
              <w:left w:val="single" w:sz="6" w:space="0" w:color="000000"/>
              <w:bottom w:val="single" w:sz="6" w:space="0" w:color="000000"/>
              <w:right w:val="single" w:sz="6" w:space="0" w:color="000000"/>
            </w:tcBorders>
          </w:tcPr>
          <w:p>
            <w:pPr>
              <w:pStyle w:val="TableParagraph"/>
              <w:ind w:right="101"/>
              <w:jc w:val="right"/>
              <w:rPr>
                <w:sz w:val="20"/>
              </w:rPr>
            </w:pPr>
            <w:r>
              <w:rPr>
                <w:sz w:val="20"/>
              </w:rPr>
              <w:t>483 832.66</w:t>
            </w:r>
          </w:p>
        </w:tc>
        <w:tc>
          <w:tcPr>
            <w:tcW w:w="2537" w:type="dxa"/>
            <w:tcBorders>
              <w:top w:val="single" w:sz="6" w:space="0" w:color="000000"/>
              <w:left w:val="single" w:sz="6" w:space="0" w:color="000000"/>
              <w:bottom w:val="single" w:sz="6" w:space="0" w:color="000000"/>
            </w:tcBorders>
          </w:tcPr>
          <w:p>
            <w:pPr>
              <w:pStyle w:val="TableParagraph"/>
              <w:ind w:left="990" w:right="978"/>
              <w:jc w:val="center"/>
              <w:rPr>
                <w:sz w:val="20"/>
              </w:rPr>
            </w:pPr>
            <w:r>
              <w:rPr>
                <w:sz w:val="20"/>
              </w:rPr>
              <w:t>24.90</w:t>
            </w:r>
          </w:p>
        </w:tc>
      </w:tr>
      <w:tr>
        <w:trPr>
          <w:trHeight w:val="271" w:hRule="exact"/>
        </w:trPr>
        <w:tc>
          <w:tcPr>
            <w:tcW w:w="4165" w:type="dxa"/>
            <w:tcBorders>
              <w:top w:val="single" w:sz="6" w:space="0" w:color="000000"/>
              <w:bottom w:val="single" w:sz="6" w:space="0" w:color="000000"/>
              <w:right w:val="single" w:sz="6" w:space="0" w:color="000000"/>
            </w:tcBorders>
          </w:tcPr>
          <w:p>
            <w:pPr>
              <w:pStyle w:val="TableParagraph"/>
              <w:spacing w:line="230" w:lineRule="exact"/>
              <w:ind w:left="86"/>
              <w:rPr>
                <w:sz w:val="20"/>
              </w:rPr>
            </w:pPr>
            <w:r>
              <w:rPr>
                <w:sz w:val="20"/>
              </w:rPr>
              <w:t>Inestable a crítico</w:t>
            </w:r>
          </w:p>
        </w:tc>
        <w:tc>
          <w:tcPr>
            <w:tcW w:w="1620" w:type="dxa"/>
            <w:tcBorders>
              <w:top w:val="single" w:sz="6" w:space="0" w:color="000000"/>
              <w:left w:val="single" w:sz="6" w:space="0" w:color="000000"/>
              <w:bottom w:val="single" w:sz="6" w:space="0" w:color="000000"/>
              <w:right w:val="single" w:sz="6" w:space="0" w:color="000000"/>
            </w:tcBorders>
          </w:tcPr>
          <w:p>
            <w:pPr>
              <w:pStyle w:val="TableParagraph"/>
              <w:spacing w:line="230" w:lineRule="exact"/>
              <w:ind w:right="101"/>
              <w:jc w:val="right"/>
              <w:rPr>
                <w:sz w:val="20"/>
              </w:rPr>
            </w:pPr>
            <w:r>
              <w:rPr>
                <w:sz w:val="20"/>
              </w:rPr>
              <w:t>193 608.90</w:t>
            </w:r>
          </w:p>
        </w:tc>
        <w:tc>
          <w:tcPr>
            <w:tcW w:w="2537" w:type="dxa"/>
            <w:tcBorders>
              <w:top w:val="single" w:sz="6" w:space="0" w:color="000000"/>
              <w:left w:val="single" w:sz="6" w:space="0" w:color="000000"/>
              <w:bottom w:val="single" w:sz="6" w:space="0" w:color="000000"/>
            </w:tcBorders>
          </w:tcPr>
          <w:p>
            <w:pPr>
              <w:pStyle w:val="TableParagraph"/>
              <w:spacing w:line="230" w:lineRule="exact"/>
              <w:ind w:left="990" w:right="867"/>
              <w:jc w:val="center"/>
              <w:rPr>
                <w:sz w:val="20"/>
              </w:rPr>
            </w:pPr>
            <w:r>
              <w:rPr>
                <w:sz w:val="20"/>
              </w:rPr>
              <w:t>9.96</w:t>
            </w:r>
          </w:p>
        </w:tc>
      </w:tr>
      <w:tr>
        <w:trPr>
          <w:trHeight w:val="286" w:hRule="exact"/>
        </w:trPr>
        <w:tc>
          <w:tcPr>
            <w:tcW w:w="4165" w:type="dxa"/>
            <w:tcBorders>
              <w:top w:val="single" w:sz="6" w:space="0" w:color="000000"/>
              <w:right w:val="single" w:sz="6" w:space="0" w:color="000000"/>
            </w:tcBorders>
          </w:tcPr>
          <w:p>
            <w:pPr>
              <w:pStyle w:val="TableParagraph"/>
              <w:ind w:left="86"/>
              <w:rPr>
                <w:sz w:val="20"/>
              </w:rPr>
            </w:pPr>
            <w:r>
              <w:rPr>
                <w:sz w:val="20"/>
              </w:rPr>
              <w:t>Crítico</w:t>
            </w:r>
          </w:p>
        </w:tc>
        <w:tc>
          <w:tcPr>
            <w:tcW w:w="1620" w:type="dxa"/>
            <w:tcBorders>
              <w:top w:val="single" w:sz="6" w:space="0" w:color="000000"/>
              <w:left w:val="single" w:sz="6" w:space="0" w:color="000000"/>
              <w:right w:val="single" w:sz="6" w:space="0" w:color="000000"/>
            </w:tcBorders>
          </w:tcPr>
          <w:p>
            <w:pPr>
              <w:pStyle w:val="TableParagraph"/>
              <w:ind w:right="101"/>
              <w:jc w:val="right"/>
              <w:rPr>
                <w:sz w:val="20"/>
              </w:rPr>
            </w:pPr>
            <w:r>
              <w:rPr>
                <w:sz w:val="20"/>
              </w:rPr>
              <w:t>108 198.16</w:t>
            </w:r>
          </w:p>
        </w:tc>
        <w:tc>
          <w:tcPr>
            <w:tcW w:w="2537" w:type="dxa"/>
            <w:tcBorders>
              <w:top w:val="single" w:sz="6" w:space="0" w:color="000000"/>
              <w:left w:val="single" w:sz="6" w:space="0" w:color="000000"/>
            </w:tcBorders>
          </w:tcPr>
          <w:p>
            <w:pPr>
              <w:pStyle w:val="TableParagraph"/>
              <w:ind w:left="990" w:right="867"/>
              <w:jc w:val="center"/>
              <w:rPr>
                <w:sz w:val="20"/>
              </w:rPr>
            </w:pPr>
            <w:r>
              <w:rPr>
                <w:sz w:val="20"/>
              </w:rPr>
              <w:t>5.57</w:t>
            </w:r>
          </w:p>
        </w:tc>
      </w:tr>
    </w:tbl>
    <w:p>
      <w:pPr>
        <w:spacing w:after="0"/>
        <w:jc w:val="center"/>
        <w:rPr>
          <w:sz w:val="20"/>
        </w:rPr>
        <w:sectPr>
          <w:pgSz w:w="12250" w:h="15850"/>
          <w:pgMar w:header="0" w:footer="759" w:top="1500" w:bottom="940" w:left="1600" w:right="1300"/>
        </w:sectPr>
      </w:pPr>
    </w:p>
    <w:p>
      <w:pPr>
        <w:pStyle w:val="BodyText"/>
        <w:spacing w:before="3"/>
        <w:rPr>
          <w:b/>
          <w:sz w:val="17"/>
        </w:rPr>
      </w:pPr>
    </w:p>
    <w:p>
      <w:pPr>
        <w:pStyle w:val="BodyText"/>
        <w:ind w:left="905"/>
        <w:rPr>
          <w:sz w:val="20"/>
        </w:rPr>
      </w:pPr>
      <w:r>
        <w:rPr>
          <w:sz w:val="20"/>
        </w:rPr>
        <w:drawing>
          <wp:inline distT="0" distB="0" distL="0" distR="0">
            <wp:extent cx="4766163" cy="3671316"/>
            <wp:effectExtent l="0" t="0" r="0" b="0"/>
            <wp:docPr id="1" name="image3.jpeg" descr=""/>
            <wp:cNvGraphicFramePr>
              <a:graphicFrameLocks noChangeAspect="1"/>
            </wp:cNvGraphicFramePr>
            <a:graphic>
              <a:graphicData uri="http://schemas.openxmlformats.org/drawingml/2006/picture">
                <pic:pic>
                  <pic:nvPicPr>
                    <pic:cNvPr id="2" name="image3.jpeg"/>
                    <pic:cNvPicPr/>
                  </pic:nvPicPr>
                  <pic:blipFill>
                    <a:blip r:embed="rId12" cstate="print"/>
                    <a:stretch>
                      <a:fillRect/>
                    </a:stretch>
                  </pic:blipFill>
                  <pic:spPr>
                    <a:xfrm>
                      <a:off x="0" y="0"/>
                      <a:ext cx="4766163" cy="3671316"/>
                    </a:xfrm>
                    <a:prstGeom prst="rect">
                      <a:avLst/>
                    </a:prstGeom>
                  </pic:spPr>
                </pic:pic>
              </a:graphicData>
            </a:graphic>
          </wp:inline>
        </w:drawing>
      </w:r>
      <w:r>
        <w:rPr>
          <w:sz w:val="20"/>
        </w:rPr>
      </w:r>
    </w:p>
    <w:p>
      <w:pPr>
        <w:pStyle w:val="BodyText"/>
        <w:spacing w:before="10"/>
        <w:rPr>
          <w:b/>
          <w:sz w:val="15"/>
        </w:rPr>
      </w:pPr>
    </w:p>
    <w:p>
      <w:pPr>
        <w:spacing w:before="74"/>
        <w:ind w:left="1066" w:right="13" w:firstLine="0"/>
        <w:jc w:val="left"/>
        <w:rPr>
          <w:b/>
          <w:sz w:val="20"/>
        </w:rPr>
      </w:pPr>
      <w:r>
        <w:rPr>
          <w:b/>
          <w:sz w:val="20"/>
        </w:rPr>
        <w:t>Figura 2. Escenario contextual actual (2008) del estado del medio ambiente.</w:t>
      </w:r>
    </w:p>
    <w:p>
      <w:pPr>
        <w:pStyle w:val="BodyText"/>
        <w:rPr>
          <w:b/>
          <w:sz w:val="20"/>
        </w:rPr>
      </w:pPr>
    </w:p>
    <w:p>
      <w:pPr>
        <w:pStyle w:val="BodyText"/>
        <w:rPr>
          <w:b/>
          <w:sz w:val="20"/>
        </w:rPr>
      </w:pPr>
    </w:p>
    <w:p>
      <w:pPr>
        <w:pStyle w:val="BodyText"/>
        <w:rPr>
          <w:b/>
          <w:sz w:val="20"/>
        </w:rPr>
      </w:pPr>
    </w:p>
    <w:p>
      <w:pPr>
        <w:pStyle w:val="Heading2"/>
        <w:spacing w:before="165"/>
      </w:pPr>
      <w:r>
        <w:rPr/>
        <w:t>Escenarios tendenciales (2012, 2023 y 2033)</w:t>
      </w:r>
    </w:p>
    <w:p>
      <w:pPr>
        <w:pStyle w:val="BodyText"/>
        <w:spacing w:before="7"/>
        <w:rPr>
          <w:b/>
          <w:sz w:val="32"/>
        </w:rPr>
      </w:pPr>
    </w:p>
    <w:p>
      <w:pPr>
        <w:pStyle w:val="BodyText"/>
        <w:spacing w:line="480" w:lineRule="auto" w:before="1"/>
        <w:ind w:left="102" w:right="114" w:firstLine="707"/>
        <w:jc w:val="both"/>
      </w:pPr>
      <w:r>
        <w:rPr/>
        <w:t>Tanto en el escenario tendencial al año 2012 como al 2023 (Fig. 3) y 2033 (Fig. 4), además de los resultados del escenario contextual (estado actual del medio ambiente, 2008, y relaciones intersectoriales de sinergia y de conflicto), fueron incluidos los ascensos de la temperatura; el déficit de humedad de los suelos; los incrementos pluviales anuales y las inundaciones costeras por los ascensos del nivel del mar y el aumento del escurrimiento superficial en las cuencas hidrográficas del Golfo de México, como escenario del cambio climático (Instituto Nacional de Ecología, Universidad Nacional Autónoma de México, U. S. Country Studies Program, 2000; Instituto Nacional de Ecología, 2003, 2006; Comité Intersecretarial de Cambio Climático, 2006; Landa </w:t>
      </w:r>
      <w:r>
        <w:rPr>
          <w:i/>
        </w:rPr>
        <w:t>et al</w:t>
      </w:r>
      <w:r>
        <w:rPr/>
        <w:t>., 2008).</w:t>
      </w:r>
    </w:p>
    <w:p>
      <w:pPr>
        <w:spacing w:after="0" w:line="480" w:lineRule="auto"/>
        <w:jc w:val="both"/>
        <w:sectPr>
          <w:pgSz w:w="12250" w:h="15850"/>
          <w:pgMar w:header="0" w:footer="759" w:top="1500" w:bottom="940" w:left="1600" w:right="1300"/>
        </w:sectPr>
      </w:pPr>
    </w:p>
    <w:p>
      <w:pPr>
        <w:pStyle w:val="BodyText"/>
        <w:spacing w:before="9"/>
        <w:rPr>
          <w:sz w:val="10"/>
        </w:rPr>
      </w:pPr>
    </w:p>
    <w:p>
      <w:pPr>
        <w:pStyle w:val="BodyText"/>
        <w:spacing w:line="477" w:lineRule="auto" w:before="73"/>
        <w:ind w:left="102" w:right="112" w:firstLine="707"/>
        <w:jc w:val="both"/>
      </w:pPr>
      <w:r>
        <w:rPr/>
        <w:t>En el escenario al 2023, las unidades ambientales biofísicas con una categoría de estable, estable a medianamente estable y medianamente estable ocuparían el 39.89 % del país (762 863.67 km</w:t>
      </w:r>
      <w:r>
        <w:rPr>
          <w:position w:val="8"/>
          <w:sz w:val="14"/>
        </w:rPr>
        <w:t>2</w:t>
      </w:r>
      <w:r>
        <w:rPr/>
        <w:t>), localizándose fundamentalmente en la región norte del país, excluyendo la zona costera de Sinaloa y parte septentrional de la zona costera de Sonora (Tabla</w:t>
      </w:r>
      <w:r>
        <w:rPr>
          <w:spacing w:val="-15"/>
        </w:rPr>
        <w:t> </w:t>
      </w:r>
      <w:r>
        <w:rPr/>
        <w:t>5).</w:t>
      </w:r>
      <w:r>
        <w:rPr>
          <w:spacing w:val="-13"/>
        </w:rPr>
        <w:t> </w:t>
      </w:r>
      <w:r>
        <w:rPr/>
        <w:t>Estas</w:t>
      </w:r>
      <w:r>
        <w:rPr>
          <w:spacing w:val="-15"/>
        </w:rPr>
        <w:t> </w:t>
      </w:r>
      <w:r>
        <w:rPr/>
        <w:t>categorías</w:t>
      </w:r>
      <w:r>
        <w:rPr>
          <w:spacing w:val="-15"/>
        </w:rPr>
        <w:t> </w:t>
      </w:r>
      <w:r>
        <w:rPr/>
        <w:t>se</w:t>
      </w:r>
      <w:r>
        <w:rPr>
          <w:spacing w:val="-15"/>
        </w:rPr>
        <w:t> </w:t>
      </w:r>
      <w:r>
        <w:rPr/>
        <w:t>reducen</w:t>
      </w:r>
      <w:r>
        <w:rPr>
          <w:spacing w:val="-15"/>
        </w:rPr>
        <w:t> </w:t>
      </w:r>
      <w:r>
        <w:rPr/>
        <w:t>en</w:t>
      </w:r>
      <w:r>
        <w:rPr>
          <w:spacing w:val="-15"/>
        </w:rPr>
        <w:t> </w:t>
      </w:r>
      <w:r>
        <w:rPr/>
        <w:t>un</w:t>
      </w:r>
      <w:r>
        <w:rPr>
          <w:spacing w:val="-15"/>
        </w:rPr>
        <w:t> </w:t>
      </w:r>
      <w:r>
        <w:rPr/>
        <w:t>7.26</w:t>
      </w:r>
      <w:r>
        <w:rPr>
          <w:spacing w:val="-18"/>
        </w:rPr>
        <w:t> </w:t>
      </w:r>
      <w:r>
        <w:rPr/>
        <w:t>%</w:t>
      </w:r>
      <w:r>
        <w:rPr>
          <w:spacing w:val="-14"/>
        </w:rPr>
        <w:t> </w:t>
      </w:r>
      <w:r>
        <w:rPr/>
        <w:t>(48</w:t>
      </w:r>
      <w:r>
        <w:rPr>
          <w:spacing w:val="-15"/>
        </w:rPr>
        <w:t> </w:t>
      </w:r>
      <w:r>
        <w:rPr/>
        <w:t>191.40</w:t>
      </w:r>
      <w:r>
        <w:rPr>
          <w:spacing w:val="-18"/>
        </w:rPr>
        <w:t> </w:t>
      </w:r>
      <w:r>
        <w:rPr/>
        <w:t>km</w:t>
      </w:r>
      <w:r>
        <w:rPr>
          <w:position w:val="8"/>
          <w:sz w:val="14"/>
        </w:rPr>
        <w:t>2</w:t>
      </w:r>
      <w:r>
        <w:rPr/>
        <w:t>)</w:t>
      </w:r>
      <w:r>
        <w:rPr>
          <w:spacing w:val="-14"/>
        </w:rPr>
        <w:t> </w:t>
      </w:r>
      <w:r>
        <w:rPr/>
        <w:t>con</w:t>
      </w:r>
      <w:r>
        <w:rPr>
          <w:spacing w:val="-15"/>
        </w:rPr>
        <w:t> </w:t>
      </w:r>
      <w:r>
        <w:rPr/>
        <w:t>respecto</w:t>
      </w:r>
      <w:r>
        <w:rPr>
          <w:spacing w:val="-14"/>
        </w:rPr>
        <w:t> </w:t>
      </w:r>
      <w:r>
        <w:rPr/>
        <w:t>al</w:t>
      </w:r>
      <w:r>
        <w:rPr>
          <w:spacing w:val="-16"/>
        </w:rPr>
        <w:t> </w:t>
      </w:r>
      <w:r>
        <w:rPr/>
        <w:t>escenario al</w:t>
      </w:r>
      <w:r>
        <w:rPr>
          <w:spacing w:val="-1"/>
        </w:rPr>
        <w:t> </w:t>
      </w:r>
      <w:r>
        <w:rPr/>
        <w:t>2012.</w:t>
      </w:r>
    </w:p>
    <w:p>
      <w:pPr>
        <w:pStyle w:val="BodyText"/>
        <w:spacing w:line="477" w:lineRule="auto" w:before="130"/>
        <w:ind w:left="102" w:right="112" w:firstLine="707"/>
        <w:jc w:val="both"/>
      </w:pPr>
      <w:r>
        <w:rPr/>
        <w:t>Las</w:t>
      </w:r>
      <w:r>
        <w:rPr>
          <w:spacing w:val="-8"/>
        </w:rPr>
        <w:t> </w:t>
      </w:r>
      <w:r>
        <w:rPr/>
        <w:t>categorías</w:t>
      </w:r>
      <w:r>
        <w:rPr>
          <w:spacing w:val="-9"/>
        </w:rPr>
        <w:t> </w:t>
      </w:r>
      <w:r>
        <w:rPr/>
        <w:t>de</w:t>
      </w:r>
      <w:r>
        <w:rPr>
          <w:spacing w:val="-9"/>
        </w:rPr>
        <w:t> </w:t>
      </w:r>
      <w:r>
        <w:rPr/>
        <w:t>medianamente</w:t>
      </w:r>
      <w:r>
        <w:rPr>
          <w:spacing w:val="-11"/>
        </w:rPr>
        <w:t> </w:t>
      </w:r>
      <w:r>
        <w:rPr/>
        <w:t>estable</w:t>
      </w:r>
      <w:r>
        <w:rPr>
          <w:spacing w:val="-9"/>
        </w:rPr>
        <w:t> </w:t>
      </w:r>
      <w:r>
        <w:rPr/>
        <w:t>a</w:t>
      </w:r>
      <w:r>
        <w:rPr>
          <w:spacing w:val="-9"/>
        </w:rPr>
        <w:t> </w:t>
      </w:r>
      <w:r>
        <w:rPr/>
        <w:t>inestable</w:t>
      </w:r>
      <w:r>
        <w:rPr>
          <w:spacing w:val="-9"/>
        </w:rPr>
        <w:t> </w:t>
      </w:r>
      <w:r>
        <w:rPr/>
        <w:t>e</w:t>
      </w:r>
      <w:r>
        <w:rPr>
          <w:spacing w:val="-9"/>
        </w:rPr>
        <w:t> </w:t>
      </w:r>
      <w:r>
        <w:rPr/>
        <w:t>inestable</w:t>
      </w:r>
      <w:r>
        <w:rPr>
          <w:spacing w:val="-9"/>
        </w:rPr>
        <w:t> </w:t>
      </w:r>
      <w:r>
        <w:rPr/>
        <w:t>ocuparían</w:t>
      </w:r>
      <w:r>
        <w:rPr>
          <w:spacing w:val="-9"/>
        </w:rPr>
        <w:t> </w:t>
      </w:r>
      <w:r>
        <w:rPr/>
        <w:t>un</w:t>
      </w:r>
      <w:r>
        <w:rPr>
          <w:spacing w:val="-9"/>
        </w:rPr>
        <w:t> </w:t>
      </w:r>
      <w:r>
        <w:rPr/>
        <w:t>30.73</w:t>
      </w:r>
      <w:r>
        <w:rPr>
          <w:spacing w:val="-11"/>
        </w:rPr>
        <w:t> </w:t>
      </w:r>
      <w:r>
        <w:rPr/>
        <w:t>% (596 906.30 km</w:t>
      </w:r>
      <w:r>
        <w:rPr>
          <w:position w:val="8"/>
          <w:sz w:val="14"/>
        </w:rPr>
        <w:t>2</w:t>
      </w:r>
      <w:r>
        <w:rPr/>
        <w:t>) del territorio nacional, localizadas de manera general, en la región central del</w:t>
      </w:r>
      <w:r>
        <w:rPr>
          <w:spacing w:val="-4"/>
        </w:rPr>
        <w:t> </w:t>
      </w:r>
      <w:r>
        <w:rPr/>
        <w:t>país,</w:t>
      </w:r>
      <w:r>
        <w:rPr>
          <w:spacing w:val="-2"/>
        </w:rPr>
        <w:t> </w:t>
      </w:r>
      <w:r>
        <w:rPr/>
        <w:t>la</w:t>
      </w:r>
      <w:r>
        <w:rPr>
          <w:spacing w:val="-3"/>
        </w:rPr>
        <w:t> </w:t>
      </w:r>
      <w:r>
        <w:rPr/>
        <w:t>zona</w:t>
      </w:r>
      <w:r>
        <w:rPr>
          <w:spacing w:val="-3"/>
        </w:rPr>
        <w:t> </w:t>
      </w:r>
      <w:r>
        <w:rPr/>
        <w:t>costera</w:t>
      </w:r>
      <w:r>
        <w:rPr>
          <w:spacing w:val="-5"/>
        </w:rPr>
        <w:t> </w:t>
      </w:r>
      <w:r>
        <w:rPr/>
        <w:t>de</w:t>
      </w:r>
      <w:r>
        <w:rPr>
          <w:spacing w:val="-3"/>
        </w:rPr>
        <w:t> </w:t>
      </w:r>
      <w:r>
        <w:rPr/>
        <w:t>Sinaloa</w:t>
      </w:r>
      <w:r>
        <w:rPr>
          <w:spacing w:val="-3"/>
        </w:rPr>
        <w:t> </w:t>
      </w:r>
      <w:r>
        <w:rPr/>
        <w:t>y</w:t>
      </w:r>
      <w:r>
        <w:rPr>
          <w:spacing w:val="-5"/>
        </w:rPr>
        <w:t> </w:t>
      </w:r>
      <w:r>
        <w:rPr/>
        <w:t>parcialmente</w:t>
      </w:r>
      <w:r>
        <w:rPr>
          <w:spacing w:val="-3"/>
        </w:rPr>
        <w:t> </w:t>
      </w:r>
      <w:r>
        <w:rPr/>
        <w:t>la</w:t>
      </w:r>
      <w:r>
        <w:rPr>
          <w:spacing w:val="-3"/>
        </w:rPr>
        <w:t> </w:t>
      </w:r>
      <w:r>
        <w:rPr/>
        <w:t>de</w:t>
      </w:r>
      <w:r>
        <w:rPr>
          <w:spacing w:val="-3"/>
        </w:rPr>
        <w:t> </w:t>
      </w:r>
      <w:r>
        <w:rPr/>
        <w:t>Sonora,</w:t>
      </w:r>
      <w:r>
        <w:rPr>
          <w:spacing w:val="-2"/>
        </w:rPr>
        <w:t> </w:t>
      </w:r>
      <w:r>
        <w:rPr/>
        <w:t>en</w:t>
      </w:r>
      <w:r>
        <w:rPr>
          <w:spacing w:val="-6"/>
        </w:rPr>
        <w:t> </w:t>
      </w:r>
      <w:r>
        <w:rPr/>
        <w:t>Tabasco,</w:t>
      </w:r>
      <w:r>
        <w:rPr>
          <w:spacing w:val="-2"/>
        </w:rPr>
        <w:t> </w:t>
      </w:r>
      <w:r>
        <w:rPr/>
        <w:t>Campeche</w:t>
      </w:r>
      <w:r>
        <w:rPr>
          <w:spacing w:val="-3"/>
        </w:rPr>
        <w:t> </w:t>
      </w:r>
      <w:r>
        <w:rPr/>
        <w:t>y</w:t>
      </w:r>
      <w:r>
        <w:rPr>
          <w:spacing w:val="-5"/>
        </w:rPr>
        <w:t> </w:t>
      </w:r>
      <w:r>
        <w:rPr/>
        <w:t>el norte</w:t>
      </w:r>
      <w:r>
        <w:rPr>
          <w:spacing w:val="-16"/>
        </w:rPr>
        <w:t> </w:t>
      </w:r>
      <w:r>
        <w:rPr/>
        <w:t>de</w:t>
      </w:r>
      <w:r>
        <w:rPr>
          <w:spacing w:val="-16"/>
        </w:rPr>
        <w:t> </w:t>
      </w:r>
      <w:r>
        <w:rPr/>
        <w:t>Chiapas.</w:t>
      </w:r>
      <w:r>
        <w:rPr>
          <w:spacing w:val="-15"/>
        </w:rPr>
        <w:t> </w:t>
      </w:r>
      <w:r>
        <w:rPr/>
        <w:t>Las</w:t>
      </w:r>
      <w:r>
        <w:rPr>
          <w:spacing w:val="-16"/>
        </w:rPr>
        <w:t> </w:t>
      </w:r>
      <w:r>
        <w:rPr/>
        <w:t>categorías</w:t>
      </w:r>
      <w:r>
        <w:rPr>
          <w:spacing w:val="-13"/>
        </w:rPr>
        <w:t> </w:t>
      </w:r>
      <w:r>
        <w:rPr/>
        <w:t>de</w:t>
      </w:r>
      <w:r>
        <w:rPr>
          <w:spacing w:val="-14"/>
        </w:rPr>
        <w:t> </w:t>
      </w:r>
      <w:r>
        <w:rPr/>
        <w:t>inestable</w:t>
      </w:r>
      <w:r>
        <w:rPr>
          <w:spacing w:val="-14"/>
        </w:rPr>
        <w:t> </w:t>
      </w:r>
      <w:r>
        <w:rPr/>
        <w:t>a</w:t>
      </w:r>
      <w:r>
        <w:rPr>
          <w:spacing w:val="-16"/>
        </w:rPr>
        <w:t> </w:t>
      </w:r>
      <w:r>
        <w:rPr/>
        <w:t>crítico</w:t>
      </w:r>
      <w:r>
        <w:rPr>
          <w:spacing w:val="-14"/>
        </w:rPr>
        <w:t> </w:t>
      </w:r>
      <w:r>
        <w:rPr/>
        <w:t>y</w:t>
      </w:r>
      <w:r>
        <w:rPr>
          <w:spacing w:val="-18"/>
        </w:rPr>
        <w:t> </w:t>
      </w:r>
      <w:r>
        <w:rPr/>
        <w:t>crítico</w:t>
      </w:r>
      <w:r>
        <w:rPr>
          <w:spacing w:val="-14"/>
        </w:rPr>
        <w:t> </w:t>
      </w:r>
      <w:r>
        <w:rPr/>
        <w:t>se</w:t>
      </w:r>
      <w:r>
        <w:rPr>
          <w:spacing w:val="-16"/>
        </w:rPr>
        <w:t> </w:t>
      </w:r>
      <w:r>
        <w:rPr/>
        <w:t>concentrarían</w:t>
      </w:r>
      <w:r>
        <w:rPr>
          <w:spacing w:val="-14"/>
        </w:rPr>
        <w:t> </w:t>
      </w:r>
      <w:r>
        <w:rPr/>
        <w:t>en</w:t>
      </w:r>
      <w:r>
        <w:rPr>
          <w:spacing w:val="-14"/>
        </w:rPr>
        <w:t> </w:t>
      </w:r>
      <w:r>
        <w:rPr/>
        <w:t>los</w:t>
      </w:r>
      <w:r>
        <w:rPr>
          <w:spacing w:val="-16"/>
        </w:rPr>
        <w:t> </w:t>
      </w:r>
      <w:r>
        <w:rPr/>
        <w:t>estados de Chiapas, Oaxaca, Guerrero, Puebla, Veracruz, Michoacán, Tamaulipas, partes de Jalisco (costa del Pacífico), Yucatán y Quintana Roo, con 561 688.17 km</w:t>
      </w:r>
      <w:r>
        <w:rPr>
          <w:position w:val="8"/>
          <w:sz w:val="14"/>
        </w:rPr>
        <w:t>2</w:t>
      </w:r>
      <w:r>
        <w:rPr/>
        <w:t>, para un 28.90 % del país. Finalmente, aparecen los territorios con categorías de crítico a muy crítico y muy crítico, ocupando parcialmente las zonas costeras de Michoacán, de Guerrero y del Istmo de Tehuantepec, así como la Depresión Central de Chiapas, con 21 581.11 km</w:t>
      </w:r>
      <w:r>
        <w:rPr>
          <w:position w:val="8"/>
          <w:sz w:val="14"/>
        </w:rPr>
        <w:t>2</w:t>
      </w:r>
      <w:r>
        <w:rPr/>
        <w:t>, para un 1.11 % del territorio nacional (Tabla 5; Figura</w:t>
      </w:r>
      <w:r>
        <w:rPr>
          <w:spacing w:val="-13"/>
        </w:rPr>
        <w:t> </w:t>
      </w:r>
      <w:r>
        <w:rPr/>
        <w:t>3).</w:t>
      </w:r>
    </w:p>
    <w:p>
      <w:pPr>
        <w:spacing w:after="0" w:line="477" w:lineRule="auto"/>
        <w:jc w:val="both"/>
        <w:sectPr>
          <w:pgSz w:w="12250" w:h="15850"/>
          <w:pgMar w:header="0" w:footer="759" w:top="1500" w:bottom="940" w:left="1600" w:right="1300"/>
        </w:sectPr>
      </w:pPr>
    </w:p>
    <w:p>
      <w:pPr>
        <w:pStyle w:val="BodyText"/>
        <w:spacing w:before="3"/>
        <w:rPr>
          <w:sz w:val="9"/>
        </w:rPr>
      </w:pPr>
    </w:p>
    <w:p>
      <w:pPr>
        <w:spacing w:before="83"/>
        <w:ind w:left="1890" w:right="199" w:hanging="1635"/>
        <w:jc w:val="left"/>
        <w:rPr>
          <w:b/>
          <w:sz w:val="20"/>
        </w:rPr>
      </w:pPr>
      <w:r>
        <w:rPr>
          <w:b/>
          <w:sz w:val="20"/>
        </w:rPr>
        <w:t>Tabla 5. Porcentajes del territorio nacional y superficies (en km</w:t>
      </w:r>
      <w:r>
        <w:rPr>
          <w:b/>
          <w:position w:val="7"/>
          <w:sz w:val="13"/>
        </w:rPr>
        <w:t>2</w:t>
      </w:r>
      <w:r>
        <w:rPr>
          <w:b/>
          <w:sz w:val="20"/>
        </w:rPr>
        <w:t>) de las categorías del estado del medio ambiente en el escenario tendencial al año 2023.</w:t>
      </w:r>
    </w:p>
    <w:p>
      <w:pPr>
        <w:pStyle w:val="BodyText"/>
        <w:spacing w:before="4"/>
        <w:rPr>
          <w:b/>
        </w:rPr>
      </w:pPr>
    </w:p>
    <w:tbl>
      <w:tblPr>
        <w:tblW w:w="0" w:type="auto"/>
        <w:jc w:val="left"/>
        <w:tblInd w:w="661"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3918"/>
        <w:gridCol w:w="1867"/>
        <w:gridCol w:w="2177"/>
      </w:tblGrid>
      <w:tr>
        <w:trPr>
          <w:trHeight w:val="286" w:hRule="exact"/>
        </w:trPr>
        <w:tc>
          <w:tcPr>
            <w:tcW w:w="3918" w:type="dxa"/>
            <w:tcBorders>
              <w:bottom w:val="single" w:sz="6" w:space="0" w:color="000000"/>
              <w:right w:val="single" w:sz="6" w:space="0" w:color="000000"/>
            </w:tcBorders>
          </w:tcPr>
          <w:p>
            <w:pPr>
              <w:pStyle w:val="TableParagraph"/>
              <w:ind w:left="1053"/>
              <w:rPr>
                <w:b/>
                <w:sz w:val="20"/>
              </w:rPr>
            </w:pPr>
            <w:r>
              <w:rPr>
                <w:b/>
                <w:sz w:val="20"/>
              </w:rPr>
              <w:t>Pronóstico al 2023</w:t>
            </w:r>
          </w:p>
        </w:tc>
        <w:tc>
          <w:tcPr>
            <w:tcW w:w="1867" w:type="dxa"/>
            <w:tcBorders>
              <w:left w:val="single" w:sz="6" w:space="0" w:color="000000"/>
              <w:bottom w:val="single" w:sz="6" w:space="0" w:color="000000"/>
              <w:right w:val="single" w:sz="6" w:space="0" w:color="000000"/>
            </w:tcBorders>
          </w:tcPr>
          <w:p>
            <w:pPr>
              <w:pStyle w:val="TableParagraph"/>
              <w:ind w:right="430"/>
              <w:jc w:val="right"/>
              <w:rPr>
                <w:b/>
                <w:sz w:val="20"/>
              </w:rPr>
            </w:pPr>
            <w:r>
              <w:rPr>
                <w:b/>
                <w:sz w:val="20"/>
              </w:rPr>
              <w:t>Área (km</w:t>
            </w:r>
            <w:r>
              <w:rPr>
                <w:b/>
                <w:position w:val="7"/>
                <w:sz w:val="13"/>
              </w:rPr>
              <w:t>2</w:t>
            </w:r>
            <w:r>
              <w:rPr>
                <w:b/>
                <w:sz w:val="20"/>
              </w:rPr>
              <w:t>)</w:t>
            </w:r>
          </w:p>
        </w:tc>
        <w:tc>
          <w:tcPr>
            <w:tcW w:w="2177" w:type="dxa"/>
            <w:tcBorders>
              <w:left w:val="single" w:sz="6" w:space="0" w:color="000000"/>
              <w:bottom w:val="single" w:sz="6" w:space="0" w:color="000000"/>
            </w:tcBorders>
          </w:tcPr>
          <w:p>
            <w:pPr>
              <w:pStyle w:val="TableParagraph"/>
              <w:ind w:left="386"/>
              <w:rPr>
                <w:b/>
                <w:sz w:val="20"/>
              </w:rPr>
            </w:pPr>
            <w:r>
              <w:rPr>
                <w:b/>
                <w:sz w:val="20"/>
              </w:rPr>
              <w:t>Porcentaje (%)</w:t>
            </w:r>
          </w:p>
        </w:tc>
      </w:tr>
      <w:tr>
        <w:trPr>
          <w:trHeight w:val="269" w:hRule="exact"/>
        </w:trPr>
        <w:tc>
          <w:tcPr>
            <w:tcW w:w="3918" w:type="dxa"/>
            <w:tcBorders>
              <w:top w:val="single" w:sz="6" w:space="0" w:color="000000"/>
              <w:bottom w:val="single" w:sz="6" w:space="0" w:color="000000"/>
              <w:right w:val="single" w:sz="6" w:space="0" w:color="000000"/>
            </w:tcBorders>
          </w:tcPr>
          <w:p>
            <w:pPr>
              <w:pStyle w:val="TableParagraph"/>
              <w:ind w:left="86"/>
              <w:rPr>
                <w:sz w:val="20"/>
              </w:rPr>
            </w:pPr>
            <w:r>
              <w:rPr>
                <w:sz w:val="20"/>
              </w:rPr>
              <w:t>Estable</w:t>
            </w:r>
          </w:p>
        </w:tc>
        <w:tc>
          <w:tcPr>
            <w:tcW w:w="1867" w:type="dxa"/>
            <w:tcBorders>
              <w:top w:val="single" w:sz="6" w:space="0" w:color="000000"/>
              <w:left w:val="single" w:sz="6" w:space="0" w:color="000000"/>
              <w:bottom w:val="single" w:sz="6" w:space="0" w:color="000000"/>
              <w:right w:val="single" w:sz="6" w:space="0" w:color="000000"/>
            </w:tcBorders>
          </w:tcPr>
          <w:p>
            <w:pPr>
              <w:pStyle w:val="TableParagraph"/>
              <w:ind w:right="427"/>
              <w:jc w:val="right"/>
              <w:rPr>
                <w:sz w:val="20"/>
              </w:rPr>
            </w:pPr>
            <w:r>
              <w:rPr>
                <w:sz w:val="20"/>
              </w:rPr>
              <w:t>312 245.51</w:t>
            </w:r>
          </w:p>
        </w:tc>
        <w:tc>
          <w:tcPr>
            <w:tcW w:w="2177" w:type="dxa"/>
            <w:tcBorders>
              <w:top w:val="single" w:sz="6" w:space="0" w:color="000000"/>
              <w:left w:val="single" w:sz="6" w:space="0" w:color="000000"/>
              <w:bottom w:val="single" w:sz="6" w:space="0" w:color="000000"/>
            </w:tcBorders>
          </w:tcPr>
          <w:p>
            <w:pPr>
              <w:pStyle w:val="TableParagraph"/>
              <w:ind w:left="810" w:right="798"/>
              <w:jc w:val="center"/>
              <w:rPr>
                <w:sz w:val="20"/>
              </w:rPr>
            </w:pPr>
            <w:r>
              <w:rPr>
                <w:sz w:val="20"/>
              </w:rPr>
              <w:t>16.07</w:t>
            </w:r>
          </w:p>
        </w:tc>
      </w:tr>
      <w:tr>
        <w:trPr>
          <w:trHeight w:val="271" w:hRule="exact"/>
        </w:trPr>
        <w:tc>
          <w:tcPr>
            <w:tcW w:w="3918" w:type="dxa"/>
            <w:tcBorders>
              <w:top w:val="single" w:sz="6" w:space="0" w:color="000000"/>
              <w:bottom w:val="single" w:sz="6" w:space="0" w:color="000000"/>
              <w:right w:val="single" w:sz="6" w:space="0" w:color="000000"/>
            </w:tcBorders>
          </w:tcPr>
          <w:p>
            <w:pPr>
              <w:pStyle w:val="TableParagraph"/>
              <w:spacing w:line="230" w:lineRule="exact"/>
              <w:ind w:left="86"/>
              <w:rPr>
                <w:sz w:val="20"/>
              </w:rPr>
            </w:pPr>
            <w:r>
              <w:rPr>
                <w:sz w:val="20"/>
              </w:rPr>
              <w:t>Estable a medianamente estable</w:t>
            </w:r>
          </w:p>
        </w:tc>
        <w:tc>
          <w:tcPr>
            <w:tcW w:w="1867" w:type="dxa"/>
            <w:tcBorders>
              <w:top w:val="single" w:sz="6" w:space="0" w:color="000000"/>
              <w:left w:val="single" w:sz="6" w:space="0" w:color="000000"/>
              <w:bottom w:val="single" w:sz="6" w:space="0" w:color="000000"/>
              <w:right w:val="single" w:sz="6" w:space="0" w:color="000000"/>
            </w:tcBorders>
          </w:tcPr>
          <w:p>
            <w:pPr>
              <w:pStyle w:val="TableParagraph"/>
              <w:spacing w:line="230" w:lineRule="exact"/>
              <w:ind w:right="427"/>
              <w:jc w:val="right"/>
              <w:rPr>
                <w:sz w:val="20"/>
              </w:rPr>
            </w:pPr>
            <w:r>
              <w:rPr>
                <w:sz w:val="20"/>
              </w:rPr>
              <w:t>131 014.11</w:t>
            </w:r>
          </w:p>
        </w:tc>
        <w:tc>
          <w:tcPr>
            <w:tcW w:w="2177" w:type="dxa"/>
            <w:tcBorders>
              <w:top w:val="single" w:sz="6" w:space="0" w:color="000000"/>
              <w:left w:val="single" w:sz="6" w:space="0" w:color="000000"/>
              <w:bottom w:val="single" w:sz="6" w:space="0" w:color="000000"/>
            </w:tcBorders>
          </w:tcPr>
          <w:p>
            <w:pPr>
              <w:pStyle w:val="TableParagraph"/>
              <w:spacing w:line="230" w:lineRule="exact"/>
              <w:ind w:left="810" w:right="687"/>
              <w:jc w:val="center"/>
              <w:rPr>
                <w:sz w:val="20"/>
              </w:rPr>
            </w:pPr>
            <w:r>
              <w:rPr>
                <w:sz w:val="20"/>
              </w:rPr>
              <w:t>6.74</w:t>
            </w:r>
          </w:p>
        </w:tc>
      </w:tr>
      <w:tr>
        <w:trPr>
          <w:trHeight w:val="269" w:hRule="exact"/>
        </w:trPr>
        <w:tc>
          <w:tcPr>
            <w:tcW w:w="3918" w:type="dxa"/>
            <w:tcBorders>
              <w:top w:val="single" w:sz="6" w:space="0" w:color="000000"/>
              <w:bottom w:val="single" w:sz="6" w:space="0" w:color="000000"/>
              <w:right w:val="single" w:sz="6" w:space="0" w:color="000000"/>
            </w:tcBorders>
          </w:tcPr>
          <w:p>
            <w:pPr>
              <w:pStyle w:val="TableParagraph"/>
              <w:ind w:left="86"/>
              <w:rPr>
                <w:sz w:val="20"/>
              </w:rPr>
            </w:pPr>
            <w:r>
              <w:rPr>
                <w:sz w:val="20"/>
              </w:rPr>
              <w:t>Medianamente estable</w:t>
            </w:r>
          </w:p>
        </w:tc>
        <w:tc>
          <w:tcPr>
            <w:tcW w:w="1867" w:type="dxa"/>
            <w:tcBorders>
              <w:top w:val="single" w:sz="6" w:space="0" w:color="000000"/>
              <w:left w:val="single" w:sz="6" w:space="0" w:color="000000"/>
              <w:bottom w:val="single" w:sz="6" w:space="0" w:color="000000"/>
              <w:right w:val="single" w:sz="6" w:space="0" w:color="000000"/>
            </w:tcBorders>
          </w:tcPr>
          <w:p>
            <w:pPr>
              <w:pStyle w:val="TableParagraph"/>
              <w:ind w:right="427"/>
              <w:jc w:val="right"/>
              <w:rPr>
                <w:sz w:val="20"/>
              </w:rPr>
            </w:pPr>
            <w:r>
              <w:rPr>
                <w:sz w:val="20"/>
              </w:rPr>
              <w:t>319 604.05</w:t>
            </w:r>
          </w:p>
        </w:tc>
        <w:tc>
          <w:tcPr>
            <w:tcW w:w="2177" w:type="dxa"/>
            <w:tcBorders>
              <w:top w:val="single" w:sz="6" w:space="0" w:color="000000"/>
              <w:left w:val="single" w:sz="6" w:space="0" w:color="000000"/>
              <w:bottom w:val="single" w:sz="6" w:space="0" w:color="000000"/>
            </w:tcBorders>
          </w:tcPr>
          <w:p>
            <w:pPr>
              <w:pStyle w:val="TableParagraph"/>
              <w:ind w:left="810" w:right="798"/>
              <w:jc w:val="center"/>
              <w:rPr>
                <w:sz w:val="20"/>
              </w:rPr>
            </w:pPr>
            <w:r>
              <w:rPr>
                <w:sz w:val="20"/>
              </w:rPr>
              <w:t>16.45</w:t>
            </w:r>
          </w:p>
        </w:tc>
      </w:tr>
      <w:tr>
        <w:trPr>
          <w:trHeight w:val="271" w:hRule="exact"/>
        </w:trPr>
        <w:tc>
          <w:tcPr>
            <w:tcW w:w="3918" w:type="dxa"/>
            <w:tcBorders>
              <w:top w:val="single" w:sz="6" w:space="0" w:color="000000"/>
              <w:bottom w:val="single" w:sz="6" w:space="0" w:color="000000"/>
              <w:right w:val="single" w:sz="6" w:space="0" w:color="000000"/>
            </w:tcBorders>
          </w:tcPr>
          <w:p>
            <w:pPr>
              <w:pStyle w:val="TableParagraph"/>
              <w:spacing w:line="230" w:lineRule="exact"/>
              <w:ind w:left="86"/>
              <w:rPr>
                <w:sz w:val="20"/>
              </w:rPr>
            </w:pPr>
            <w:r>
              <w:rPr>
                <w:sz w:val="20"/>
              </w:rPr>
              <w:t>Medianamente estable a inestable</w:t>
            </w:r>
          </w:p>
        </w:tc>
        <w:tc>
          <w:tcPr>
            <w:tcW w:w="1867" w:type="dxa"/>
            <w:tcBorders>
              <w:top w:val="single" w:sz="6" w:space="0" w:color="000000"/>
              <w:left w:val="single" w:sz="6" w:space="0" w:color="000000"/>
              <w:bottom w:val="single" w:sz="6" w:space="0" w:color="000000"/>
              <w:right w:val="single" w:sz="6" w:space="0" w:color="000000"/>
            </w:tcBorders>
          </w:tcPr>
          <w:p>
            <w:pPr>
              <w:pStyle w:val="TableParagraph"/>
              <w:spacing w:line="230" w:lineRule="exact"/>
              <w:ind w:right="427"/>
              <w:jc w:val="right"/>
              <w:rPr>
                <w:sz w:val="20"/>
              </w:rPr>
            </w:pPr>
            <w:r>
              <w:rPr>
                <w:sz w:val="20"/>
              </w:rPr>
              <w:t>300 891.36</w:t>
            </w:r>
          </w:p>
        </w:tc>
        <w:tc>
          <w:tcPr>
            <w:tcW w:w="2177" w:type="dxa"/>
            <w:tcBorders>
              <w:top w:val="single" w:sz="6" w:space="0" w:color="000000"/>
              <w:left w:val="single" w:sz="6" w:space="0" w:color="000000"/>
              <w:bottom w:val="single" w:sz="6" w:space="0" w:color="000000"/>
            </w:tcBorders>
          </w:tcPr>
          <w:p>
            <w:pPr>
              <w:pStyle w:val="TableParagraph"/>
              <w:spacing w:line="230" w:lineRule="exact"/>
              <w:ind w:left="810" w:right="798"/>
              <w:jc w:val="center"/>
              <w:rPr>
                <w:sz w:val="20"/>
              </w:rPr>
            </w:pPr>
            <w:r>
              <w:rPr>
                <w:sz w:val="20"/>
              </w:rPr>
              <w:t>15.49</w:t>
            </w:r>
          </w:p>
        </w:tc>
      </w:tr>
      <w:tr>
        <w:trPr>
          <w:trHeight w:val="269" w:hRule="exact"/>
        </w:trPr>
        <w:tc>
          <w:tcPr>
            <w:tcW w:w="3918" w:type="dxa"/>
            <w:tcBorders>
              <w:top w:val="single" w:sz="6" w:space="0" w:color="000000"/>
              <w:bottom w:val="single" w:sz="6" w:space="0" w:color="000000"/>
              <w:right w:val="single" w:sz="6" w:space="0" w:color="000000"/>
            </w:tcBorders>
          </w:tcPr>
          <w:p>
            <w:pPr>
              <w:pStyle w:val="TableParagraph"/>
              <w:ind w:left="86"/>
              <w:rPr>
                <w:sz w:val="20"/>
              </w:rPr>
            </w:pPr>
            <w:r>
              <w:rPr>
                <w:sz w:val="20"/>
              </w:rPr>
              <w:t>Inestable</w:t>
            </w:r>
          </w:p>
        </w:tc>
        <w:tc>
          <w:tcPr>
            <w:tcW w:w="1867" w:type="dxa"/>
            <w:tcBorders>
              <w:top w:val="single" w:sz="6" w:space="0" w:color="000000"/>
              <w:left w:val="single" w:sz="6" w:space="0" w:color="000000"/>
              <w:bottom w:val="single" w:sz="6" w:space="0" w:color="000000"/>
              <w:right w:val="single" w:sz="6" w:space="0" w:color="000000"/>
            </w:tcBorders>
          </w:tcPr>
          <w:p>
            <w:pPr>
              <w:pStyle w:val="TableParagraph"/>
              <w:ind w:right="427"/>
              <w:jc w:val="right"/>
              <w:rPr>
                <w:sz w:val="20"/>
              </w:rPr>
            </w:pPr>
            <w:r>
              <w:rPr>
                <w:sz w:val="20"/>
              </w:rPr>
              <w:t>296 034.94</w:t>
            </w:r>
          </w:p>
        </w:tc>
        <w:tc>
          <w:tcPr>
            <w:tcW w:w="2177" w:type="dxa"/>
            <w:tcBorders>
              <w:top w:val="single" w:sz="6" w:space="0" w:color="000000"/>
              <w:left w:val="single" w:sz="6" w:space="0" w:color="000000"/>
              <w:bottom w:val="single" w:sz="6" w:space="0" w:color="000000"/>
            </w:tcBorders>
          </w:tcPr>
          <w:p>
            <w:pPr>
              <w:pStyle w:val="TableParagraph"/>
              <w:ind w:left="810" w:right="798"/>
              <w:jc w:val="center"/>
              <w:rPr>
                <w:sz w:val="20"/>
              </w:rPr>
            </w:pPr>
            <w:r>
              <w:rPr>
                <w:sz w:val="20"/>
              </w:rPr>
              <w:t>15.24</w:t>
            </w:r>
          </w:p>
        </w:tc>
      </w:tr>
      <w:tr>
        <w:trPr>
          <w:trHeight w:val="271" w:hRule="exact"/>
        </w:trPr>
        <w:tc>
          <w:tcPr>
            <w:tcW w:w="3918" w:type="dxa"/>
            <w:tcBorders>
              <w:top w:val="single" w:sz="6" w:space="0" w:color="000000"/>
              <w:bottom w:val="single" w:sz="6" w:space="0" w:color="000000"/>
              <w:right w:val="single" w:sz="6" w:space="0" w:color="000000"/>
            </w:tcBorders>
          </w:tcPr>
          <w:p>
            <w:pPr>
              <w:pStyle w:val="TableParagraph"/>
              <w:spacing w:line="230" w:lineRule="exact"/>
              <w:ind w:left="86"/>
              <w:rPr>
                <w:sz w:val="20"/>
              </w:rPr>
            </w:pPr>
            <w:r>
              <w:rPr>
                <w:sz w:val="20"/>
              </w:rPr>
              <w:t>Inestable a crítico</w:t>
            </w:r>
          </w:p>
        </w:tc>
        <w:tc>
          <w:tcPr>
            <w:tcW w:w="1867" w:type="dxa"/>
            <w:tcBorders>
              <w:top w:val="single" w:sz="6" w:space="0" w:color="000000"/>
              <w:left w:val="single" w:sz="6" w:space="0" w:color="000000"/>
              <w:bottom w:val="single" w:sz="6" w:space="0" w:color="000000"/>
              <w:right w:val="single" w:sz="6" w:space="0" w:color="000000"/>
            </w:tcBorders>
          </w:tcPr>
          <w:p>
            <w:pPr>
              <w:pStyle w:val="TableParagraph"/>
              <w:spacing w:line="230" w:lineRule="exact"/>
              <w:ind w:right="427"/>
              <w:jc w:val="right"/>
              <w:rPr>
                <w:sz w:val="20"/>
              </w:rPr>
            </w:pPr>
            <w:r>
              <w:rPr>
                <w:sz w:val="20"/>
              </w:rPr>
              <w:t>395 288.24</w:t>
            </w:r>
          </w:p>
        </w:tc>
        <w:tc>
          <w:tcPr>
            <w:tcW w:w="2177" w:type="dxa"/>
            <w:tcBorders>
              <w:top w:val="single" w:sz="6" w:space="0" w:color="000000"/>
              <w:left w:val="single" w:sz="6" w:space="0" w:color="000000"/>
              <w:bottom w:val="single" w:sz="6" w:space="0" w:color="000000"/>
            </w:tcBorders>
          </w:tcPr>
          <w:p>
            <w:pPr>
              <w:pStyle w:val="TableParagraph"/>
              <w:spacing w:line="230" w:lineRule="exact"/>
              <w:ind w:left="810" w:right="798"/>
              <w:jc w:val="center"/>
              <w:rPr>
                <w:sz w:val="20"/>
              </w:rPr>
            </w:pPr>
            <w:r>
              <w:rPr>
                <w:sz w:val="20"/>
              </w:rPr>
              <w:t>20.34</w:t>
            </w:r>
          </w:p>
        </w:tc>
      </w:tr>
      <w:tr>
        <w:trPr>
          <w:trHeight w:val="269" w:hRule="exact"/>
        </w:trPr>
        <w:tc>
          <w:tcPr>
            <w:tcW w:w="3918" w:type="dxa"/>
            <w:tcBorders>
              <w:top w:val="single" w:sz="6" w:space="0" w:color="000000"/>
              <w:bottom w:val="single" w:sz="6" w:space="0" w:color="000000"/>
              <w:right w:val="single" w:sz="6" w:space="0" w:color="000000"/>
            </w:tcBorders>
          </w:tcPr>
          <w:p>
            <w:pPr>
              <w:pStyle w:val="TableParagraph"/>
              <w:ind w:left="86"/>
              <w:rPr>
                <w:sz w:val="20"/>
              </w:rPr>
            </w:pPr>
            <w:r>
              <w:rPr>
                <w:sz w:val="20"/>
              </w:rPr>
              <w:t>Crítico</w:t>
            </w:r>
          </w:p>
        </w:tc>
        <w:tc>
          <w:tcPr>
            <w:tcW w:w="1867" w:type="dxa"/>
            <w:tcBorders>
              <w:top w:val="single" w:sz="6" w:space="0" w:color="000000"/>
              <w:left w:val="single" w:sz="6" w:space="0" w:color="000000"/>
              <w:bottom w:val="single" w:sz="6" w:space="0" w:color="000000"/>
              <w:right w:val="single" w:sz="6" w:space="0" w:color="000000"/>
            </w:tcBorders>
          </w:tcPr>
          <w:p>
            <w:pPr>
              <w:pStyle w:val="TableParagraph"/>
              <w:ind w:right="427"/>
              <w:jc w:val="right"/>
              <w:rPr>
                <w:sz w:val="20"/>
              </w:rPr>
            </w:pPr>
            <w:r>
              <w:rPr>
                <w:sz w:val="20"/>
              </w:rPr>
              <w:t>166 379.93</w:t>
            </w:r>
          </w:p>
        </w:tc>
        <w:tc>
          <w:tcPr>
            <w:tcW w:w="2177" w:type="dxa"/>
            <w:tcBorders>
              <w:top w:val="single" w:sz="6" w:space="0" w:color="000000"/>
              <w:left w:val="single" w:sz="6" w:space="0" w:color="000000"/>
              <w:bottom w:val="single" w:sz="6" w:space="0" w:color="000000"/>
            </w:tcBorders>
          </w:tcPr>
          <w:p>
            <w:pPr>
              <w:pStyle w:val="TableParagraph"/>
              <w:ind w:left="810" w:right="687"/>
              <w:jc w:val="center"/>
              <w:rPr>
                <w:sz w:val="20"/>
              </w:rPr>
            </w:pPr>
            <w:r>
              <w:rPr>
                <w:sz w:val="20"/>
              </w:rPr>
              <w:t>8.56</w:t>
            </w:r>
          </w:p>
        </w:tc>
      </w:tr>
      <w:tr>
        <w:trPr>
          <w:trHeight w:val="272" w:hRule="exact"/>
        </w:trPr>
        <w:tc>
          <w:tcPr>
            <w:tcW w:w="3918" w:type="dxa"/>
            <w:tcBorders>
              <w:top w:val="single" w:sz="6" w:space="0" w:color="000000"/>
              <w:bottom w:val="single" w:sz="6" w:space="0" w:color="000000"/>
              <w:right w:val="single" w:sz="6" w:space="0" w:color="000000"/>
            </w:tcBorders>
          </w:tcPr>
          <w:p>
            <w:pPr>
              <w:pStyle w:val="TableParagraph"/>
              <w:spacing w:line="240" w:lineRule="auto"/>
              <w:ind w:left="86"/>
              <w:rPr>
                <w:sz w:val="20"/>
              </w:rPr>
            </w:pPr>
            <w:r>
              <w:rPr>
                <w:sz w:val="20"/>
              </w:rPr>
              <w:t>Crítico a muy crítico</w:t>
            </w:r>
          </w:p>
        </w:tc>
        <w:tc>
          <w:tcPr>
            <w:tcW w:w="1867"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ind w:right="427"/>
              <w:jc w:val="right"/>
              <w:rPr>
                <w:sz w:val="20"/>
              </w:rPr>
            </w:pPr>
            <w:r>
              <w:rPr>
                <w:sz w:val="20"/>
              </w:rPr>
              <w:t>2 576.32</w:t>
            </w:r>
          </w:p>
        </w:tc>
        <w:tc>
          <w:tcPr>
            <w:tcW w:w="2177" w:type="dxa"/>
            <w:tcBorders>
              <w:top w:val="single" w:sz="6" w:space="0" w:color="000000"/>
              <w:left w:val="single" w:sz="6" w:space="0" w:color="000000"/>
              <w:bottom w:val="single" w:sz="6" w:space="0" w:color="000000"/>
            </w:tcBorders>
          </w:tcPr>
          <w:p>
            <w:pPr>
              <w:pStyle w:val="TableParagraph"/>
              <w:spacing w:line="240" w:lineRule="auto"/>
              <w:ind w:left="810" w:right="687"/>
              <w:jc w:val="center"/>
              <w:rPr>
                <w:sz w:val="20"/>
              </w:rPr>
            </w:pPr>
            <w:r>
              <w:rPr>
                <w:sz w:val="20"/>
              </w:rPr>
              <w:t>0.13</w:t>
            </w:r>
          </w:p>
        </w:tc>
      </w:tr>
      <w:tr>
        <w:trPr>
          <w:trHeight w:val="286" w:hRule="exact"/>
        </w:trPr>
        <w:tc>
          <w:tcPr>
            <w:tcW w:w="3918" w:type="dxa"/>
            <w:tcBorders>
              <w:top w:val="single" w:sz="6" w:space="0" w:color="000000"/>
              <w:right w:val="single" w:sz="6" w:space="0" w:color="000000"/>
            </w:tcBorders>
          </w:tcPr>
          <w:p>
            <w:pPr>
              <w:pStyle w:val="TableParagraph"/>
              <w:ind w:left="86"/>
              <w:rPr>
                <w:sz w:val="20"/>
              </w:rPr>
            </w:pPr>
            <w:r>
              <w:rPr>
                <w:sz w:val="20"/>
              </w:rPr>
              <w:t>Muy crítico</w:t>
            </w:r>
          </w:p>
        </w:tc>
        <w:tc>
          <w:tcPr>
            <w:tcW w:w="1867" w:type="dxa"/>
            <w:tcBorders>
              <w:top w:val="single" w:sz="6" w:space="0" w:color="000000"/>
              <w:left w:val="single" w:sz="6" w:space="0" w:color="000000"/>
              <w:right w:val="single" w:sz="6" w:space="0" w:color="000000"/>
            </w:tcBorders>
          </w:tcPr>
          <w:p>
            <w:pPr>
              <w:pStyle w:val="TableParagraph"/>
              <w:ind w:right="427"/>
              <w:jc w:val="right"/>
              <w:rPr>
                <w:sz w:val="20"/>
              </w:rPr>
            </w:pPr>
            <w:r>
              <w:rPr>
                <w:sz w:val="20"/>
              </w:rPr>
              <w:t>19 004.79</w:t>
            </w:r>
          </w:p>
        </w:tc>
        <w:tc>
          <w:tcPr>
            <w:tcW w:w="2177" w:type="dxa"/>
            <w:tcBorders>
              <w:top w:val="single" w:sz="6" w:space="0" w:color="000000"/>
              <w:left w:val="single" w:sz="6" w:space="0" w:color="000000"/>
            </w:tcBorders>
          </w:tcPr>
          <w:p>
            <w:pPr>
              <w:pStyle w:val="TableParagraph"/>
              <w:ind w:left="810" w:right="687"/>
              <w:jc w:val="center"/>
              <w:rPr>
                <w:sz w:val="20"/>
              </w:rPr>
            </w:pPr>
            <w:r>
              <w:rPr>
                <w:sz w:val="20"/>
              </w:rPr>
              <w:t>0.98</w:t>
            </w:r>
          </w:p>
        </w:tc>
      </w:tr>
    </w:tbl>
    <w:p>
      <w:pPr>
        <w:spacing w:line="227" w:lineRule="exact" w:before="0"/>
        <w:ind w:left="766" w:right="13" w:firstLine="0"/>
        <w:jc w:val="left"/>
        <w:rPr>
          <w:sz w:val="20"/>
        </w:rPr>
      </w:pPr>
      <w:r>
        <w:rPr>
          <w:sz w:val="20"/>
        </w:rPr>
        <w:t>Porcentaje de área del pronóstico (2023) con respecto a la superficie total del país.</w:t>
      </w:r>
    </w:p>
    <w:p>
      <w:pPr>
        <w:pStyle w:val="BodyText"/>
        <w:spacing w:before="8"/>
        <w:rPr>
          <w:sz w:val="18"/>
        </w:rPr>
      </w:pPr>
      <w:r>
        <w:rPr/>
        <w:drawing>
          <wp:anchor distT="0" distB="0" distL="0" distR="0" allowOverlap="1" layoutInCell="1" locked="0" behindDoc="0" simplePos="0" relativeHeight="2296">
            <wp:simplePos x="0" y="0"/>
            <wp:positionH relativeFrom="page">
              <wp:posOffset>1906523</wp:posOffset>
            </wp:positionH>
            <wp:positionV relativeFrom="paragraph">
              <wp:posOffset>161428</wp:posOffset>
            </wp:positionV>
            <wp:extent cx="4134775" cy="3186683"/>
            <wp:effectExtent l="0" t="0" r="0" b="0"/>
            <wp:wrapTopAndBottom/>
            <wp:docPr id="3" name="image4.jpeg" descr=""/>
            <wp:cNvGraphicFramePr>
              <a:graphicFrameLocks noChangeAspect="1"/>
            </wp:cNvGraphicFramePr>
            <a:graphic>
              <a:graphicData uri="http://schemas.openxmlformats.org/drawingml/2006/picture">
                <pic:pic>
                  <pic:nvPicPr>
                    <pic:cNvPr id="4" name="image4.jpeg"/>
                    <pic:cNvPicPr/>
                  </pic:nvPicPr>
                  <pic:blipFill>
                    <a:blip r:embed="rId13" cstate="print"/>
                    <a:stretch>
                      <a:fillRect/>
                    </a:stretch>
                  </pic:blipFill>
                  <pic:spPr>
                    <a:xfrm>
                      <a:off x="0" y="0"/>
                      <a:ext cx="4134775" cy="3186683"/>
                    </a:xfrm>
                    <a:prstGeom prst="rect">
                      <a:avLst/>
                    </a:prstGeom>
                  </pic:spPr>
                </pic:pic>
              </a:graphicData>
            </a:graphic>
          </wp:anchor>
        </w:drawing>
      </w:r>
    </w:p>
    <w:p>
      <w:pPr>
        <w:pStyle w:val="BodyText"/>
        <w:spacing w:before="1"/>
        <w:rPr>
          <w:sz w:val="21"/>
        </w:rPr>
      </w:pPr>
    </w:p>
    <w:p>
      <w:pPr>
        <w:spacing w:before="0"/>
        <w:ind w:left="2829" w:right="13" w:firstLine="0"/>
        <w:jc w:val="left"/>
        <w:rPr>
          <w:b/>
          <w:sz w:val="20"/>
        </w:rPr>
      </w:pPr>
      <w:r>
        <w:rPr>
          <w:b/>
          <w:sz w:val="20"/>
        </w:rPr>
        <w:t>Figura 3. Escenario tendencial al 2023.</w:t>
      </w:r>
    </w:p>
    <w:p>
      <w:pPr>
        <w:pStyle w:val="BodyText"/>
        <w:rPr>
          <w:b/>
          <w:sz w:val="20"/>
        </w:rPr>
      </w:pPr>
    </w:p>
    <w:p>
      <w:pPr>
        <w:pStyle w:val="BodyText"/>
        <w:rPr>
          <w:b/>
          <w:sz w:val="20"/>
        </w:rPr>
      </w:pPr>
    </w:p>
    <w:p>
      <w:pPr>
        <w:pStyle w:val="BodyText"/>
        <w:rPr>
          <w:b/>
          <w:sz w:val="20"/>
        </w:rPr>
      </w:pPr>
    </w:p>
    <w:p>
      <w:pPr>
        <w:pStyle w:val="BodyText"/>
        <w:spacing w:line="477" w:lineRule="auto" w:before="168"/>
        <w:ind w:left="102" w:right="112" w:firstLine="707"/>
        <w:jc w:val="both"/>
      </w:pPr>
      <w:r>
        <w:rPr/>
        <w:t>En</w:t>
      </w:r>
      <w:r>
        <w:rPr>
          <w:spacing w:val="-11"/>
        </w:rPr>
        <w:t> </w:t>
      </w:r>
      <w:r>
        <w:rPr/>
        <w:t>el</w:t>
      </w:r>
      <w:r>
        <w:rPr>
          <w:spacing w:val="-12"/>
        </w:rPr>
        <w:t> </w:t>
      </w:r>
      <w:r>
        <w:rPr/>
        <w:t>escenario</w:t>
      </w:r>
      <w:r>
        <w:rPr>
          <w:spacing w:val="-14"/>
        </w:rPr>
        <w:t> </w:t>
      </w:r>
      <w:r>
        <w:rPr/>
        <w:t>tendencial</w:t>
      </w:r>
      <w:r>
        <w:rPr>
          <w:spacing w:val="-12"/>
        </w:rPr>
        <w:t> </w:t>
      </w:r>
      <w:r>
        <w:rPr/>
        <w:t>al</w:t>
      </w:r>
      <w:r>
        <w:rPr>
          <w:spacing w:val="-12"/>
        </w:rPr>
        <w:t> </w:t>
      </w:r>
      <w:r>
        <w:rPr/>
        <w:t>año</w:t>
      </w:r>
      <w:r>
        <w:rPr>
          <w:spacing w:val="-14"/>
        </w:rPr>
        <w:t> </w:t>
      </w:r>
      <w:r>
        <w:rPr/>
        <w:t>2033</w:t>
      </w:r>
      <w:r>
        <w:rPr>
          <w:spacing w:val="-14"/>
        </w:rPr>
        <w:t> </w:t>
      </w:r>
      <w:r>
        <w:rPr/>
        <w:t>(Fig.</w:t>
      </w:r>
      <w:r>
        <w:rPr>
          <w:spacing w:val="-11"/>
        </w:rPr>
        <w:t> </w:t>
      </w:r>
      <w:r>
        <w:rPr/>
        <w:t>4),</w:t>
      </w:r>
      <w:r>
        <w:rPr>
          <w:spacing w:val="-12"/>
        </w:rPr>
        <w:t> </w:t>
      </w:r>
      <w:r>
        <w:rPr/>
        <w:t>las</w:t>
      </w:r>
      <w:r>
        <w:rPr>
          <w:spacing w:val="-11"/>
        </w:rPr>
        <w:t> </w:t>
      </w:r>
      <w:r>
        <w:rPr/>
        <w:t>unidades</w:t>
      </w:r>
      <w:r>
        <w:rPr>
          <w:spacing w:val="-13"/>
        </w:rPr>
        <w:t> </w:t>
      </w:r>
      <w:r>
        <w:rPr/>
        <w:t>ambientales</w:t>
      </w:r>
      <w:r>
        <w:rPr>
          <w:spacing w:val="-13"/>
        </w:rPr>
        <w:t> </w:t>
      </w:r>
      <w:r>
        <w:rPr/>
        <w:t>biofísicas</w:t>
      </w:r>
      <w:r>
        <w:rPr>
          <w:spacing w:val="-11"/>
        </w:rPr>
        <w:t> </w:t>
      </w:r>
      <w:r>
        <w:rPr/>
        <w:t>con una categoría de estable, estable a medianamente estable y medianamente estable se reducirían bruscamente al 20.07 % del país (199 349.11 km</w:t>
      </w:r>
      <w:r>
        <w:rPr>
          <w:position w:val="8"/>
          <w:sz w:val="14"/>
        </w:rPr>
        <w:t>2</w:t>
      </w:r>
      <w:r>
        <w:rPr/>
        <w:t>), localizándose fundamentalmente en la Península de Baja California y sectores de Coahuilas, Chihuahua y Nuevo</w:t>
      </w:r>
      <w:r>
        <w:rPr>
          <w:spacing w:val="27"/>
        </w:rPr>
        <w:t> </w:t>
      </w:r>
      <w:r>
        <w:rPr/>
        <w:t>León</w:t>
      </w:r>
      <w:r>
        <w:rPr>
          <w:spacing w:val="27"/>
        </w:rPr>
        <w:t> </w:t>
      </w:r>
      <w:r>
        <w:rPr/>
        <w:t>(Tabla</w:t>
      </w:r>
      <w:r>
        <w:rPr>
          <w:spacing w:val="27"/>
        </w:rPr>
        <w:t> </w:t>
      </w:r>
      <w:r>
        <w:rPr/>
        <w:t>6).</w:t>
      </w:r>
      <w:r>
        <w:rPr>
          <w:spacing w:val="24"/>
        </w:rPr>
        <w:t> </w:t>
      </w:r>
      <w:r>
        <w:rPr/>
        <w:t>Con</w:t>
      </w:r>
      <w:r>
        <w:rPr>
          <w:spacing w:val="27"/>
        </w:rPr>
        <w:t> </w:t>
      </w:r>
      <w:r>
        <w:rPr/>
        <w:t>respecto</w:t>
      </w:r>
      <w:r>
        <w:rPr>
          <w:spacing w:val="27"/>
        </w:rPr>
        <w:t> </w:t>
      </w:r>
      <w:r>
        <w:rPr/>
        <w:t>al</w:t>
      </w:r>
      <w:r>
        <w:rPr>
          <w:spacing w:val="26"/>
        </w:rPr>
        <w:t> </w:t>
      </w:r>
      <w:r>
        <w:rPr/>
        <w:t>escenario</w:t>
      </w:r>
      <w:r>
        <w:rPr>
          <w:spacing w:val="27"/>
        </w:rPr>
        <w:t> </w:t>
      </w:r>
      <w:r>
        <w:rPr/>
        <w:t>al</w:t>
      </w:r>
      <w:r>
        <w:rPr>
          <w:spacing w:val="26"/>
        </w:rPr>
        <w:t> </w:t>
      </w:r>
      <w:r>
        <w:rPr/>
        <w:t>2012,</w:t>
      </w:r>
      <w:r>
        <w:rPr>
          <w:spacing w:val="26"/>
        </w:rPr>
        <w:t> </w:t>
      </w:r>
      <w:r>
        <w:rPr/>
        <w:t>estas</w:t>
      </w:r>
      <w:r>
        <w:rPr>
          <w:spacing w:val="25"/>
        </w:rPr>
        <w:t> </w:t>
      </w:r>
      <w:r>
        <w:rPr/>
        <w:t>categorías</w:t>
      </w:r>
      <w:r>
        <w:rPr>
          <w:spacing w:val="27"/>
        </w:rPr>
        <w:t> </w:t>
      </w:r>
      <w:r>
        <w:rPr/>
        <w:t>de</w:t>
      </w:r>
      <w:r>
        <w:rPr>
          <w:spacing w:val="27"/>
        </w:rPr>
        <w:t> </w:t>
      </w:r>
      <w:r>
        <w:rPr/>
        <w:t>estabilidad</w:t>
      </w:r>
    </w:p>
    <w:p>
      <w:pPr>
        <w:spacing w:after="0" w:line="477" w:lineRule="auto"/>
        <w:jc w:val="both"/>
        <w:sectPr>
          <w:pgSz w:w="12250" w:h="15850"/>
          <w:pgMar w:header="0" w:footer="759" w:top="1500" w:bottom="940" w:left="1600" w:right="1300"/>
        </w:sectPr>
      </w:pPr>
    </w:p>
    <w:p>
      <w:pPr>
        <w:pStyle w:val="BodyText"/>
        <w:spacing w:before="8"/>
        <w:rPr>
          <w:sz w:val="9"/>
        </w:rPr>
      </w:pPr>
    </w:p>
    <w:p>
      <w:pPr>
        <w:pStyle w:val="BodyText"/>
        <w:spacing w:line="477" w:lineRule="auto" w:before="80"/>
        <w:ind w:left="102" w:right="113"/>
        <w:jc w:val="both"/>
      </w:pPr>
      <w:r>
        <w:rPr/>
        <w:t>ambiental relativa se reducen en un 27.64 % (611 705.96 km</w:t>
      </w:r>
      <w:r>
        <w:rPr>
          <w:position w:val="8"/>
          <w:sz w:val="14"/>
        </w:rPr>
        <w:t>2</w:t>
      </w:r>
      <w:r>
        <w:rPr/>
        <w:t>) del territorio nacional. Las categorías</w:t>
      </w:r>
      <w:r>
        <w:rPr>
          <w:spacing w:val="-16"/>
        </w:rPr>
        <w:t> </w:t>
      </w:r>
      <w:r>
        <w:rPr/>
        <w:t>de</w:t>
      </w:r>
      <w:r>
        <w:rPr>
          <w:spacing w:val="-19"/>
        </w:rPr>
        <w:t> </w:t>
      </w:r>
      <w:r>
        <w:rPr/>
        <w:t>medianamente</w:t>
      </w:r>
      <w:r>
        <w:rPr>
          <w:spacing w:val="-16"/>
        </w:rPr>
        <w:t> </w:t>
      </w:r>
      <w:r>
        <w:rPr/>
        <w:t>estable</w:t>
      </w:r>
      <w:r>
        <w:rPr>
          <w:spacing w:val="-19"/>
        </w:rPr>
        <w:t> </w:t>
      </w:r>
      <w:r>
        <w:rPr/>
        <w:t>a</w:t>
      </w:r>
      <w:r>
        <w:rPr>
          <w:spacing w:val="-19"/>
        </w:rPr>
        <w:t> </w:t>
      </w:r>
      <w:r>
        <w:rPr/>
        <w:t>inestable</w:t>
      </w:r>
      <w:r>
        <w:rPr>
          <w:spacing w:val="-16"/>
        </w:rPr>
        <w:t> </w:t>
      </w:r>
      <w:r>
        <w:rPr/>
        <w:t>e</w:t>
      </w:r>
      <w:r>
        <w:rPr>
          <w:spacing w:val="-19"/>
        </w:rPr>
        <w:t> </w:t>
      </w:r>
      <w:r>
        <w:rPr/>
        <w:t>inestable</w:t>
      </w:r>
      <w:r>
        <w:rPr>
          <w:spacing w:val="-19"/>
        </w:rPr>
        <w:t> </w:t>
      </w:r>
      <w:r>
        <w:rPr/>
        <w:t>ocuparían</w:t>
      </w:r>
      <w:r>
        <w:rPr>
          <w:spacing w:val="-16"/>
        </w:rPr>
        <w:t> </w:t>
      </w:r>
      <w:r>
        <w:rPr/>
        <w:t>un</w:t>
      </w:r>
      <w:r>
        <w:rPr>
          <w:spacing w:val="-19"/>
        </w:rPr>
        <w:t> </w:t>
      </w:r>
      <w:r>
        <w:rPr/>
        <w:t>41.14</w:t>
      </w:r>
      <w:r>
        <w:rPr>
          <w:spacing w:val="-18"/>
        </w:rPr>
        <w:t> </w:t>
      </w:r>
      <w:r>
        <w:rPr/>
        <w:t>%</w:t>
      </w:r>
      <w:r>
        <w:rPr>
          <w:spacing w:val="-18"/>
        </w:rPr>
        <w:t> </w:t>
      </w:r>
      <w:r>
        <w:rPr/>
        <w:t>(799</w:t>
      </w:r>
      <w:r>
        <w:rPr>
          <w:spacing w:val="-19"/>
        </w:rPr>
        <w:t> </w:t>
      </w:r>
      <w:r>
        <w:rPr/>
        <w:t>443.21 km</w:t>
      </w:r>
      <w:r>
        <w:rPr>
          <w:position w:val="8"/>
          <w:sz w:val="14"/>
        </w:rPr>
        <w:t>2</w:t>
      </w:r>
      <w:r>
        <w:rPr/>
        <w:t>) del país, localizadas esencialmente en la región norte y en sectores de Campeche y Quintana</w:t>
      </w:r>
      <w:r>
        <w:rPr>
          <w:spacing w:val="-2"/>
        </w:rPr>
        <w:t> </w:t>
      </w:r>
      <w:r>
        <w:rPr/>
        <w:t>Roo.</w:t>
      </w:r>
    </w:p>
    <w:p>
      <w:pPr>
        <w:pStyle w:val="BodyText"/>
        <w:spacing w:line="480" w:lineRule="auto" w:before="130"/>
        <w:ind w:left="102" w:right="112" w:firstLine="707"/>
        <w:jc w:val="both"/>
      </w:pPr>
      <w:r>
        <w:rPr/>
        <w:t>Con relación a las categorías de inestable a crítico y crítico se concentrarían en los estados de Chiapas, Oaxaca, Guerrero, Puebla, Veracruz, Michoacán, Tamaulipas, partes de Jalisco</w:t>
      </w:r>
      <w:r>
        <w:rPr>
          <w:spacing w:val="-8"/>
        </w:rPr>
        <w:t> </w:t>
      </w:r>
      <w:r>
        <w:rPr/>
        <w:t>(costa</w:t>
      </w:r>
      <w:r>
        <w:rPr>
          <w:spacing w:val="-7"/>
        </w:rPr>
        <w:t> </w:t>
      </w:r>
      <w:r>
        <w:rPr/>
        <w:t>del</w:t>
      </w:r>
      <w:r>
        <w:rPr>
          <w:spacing w:val="-9"/>
        </w:rPr>
        <w:t> </w:t>
      </w:r>
      <w:r>
        <w:rPr/>
        <w:t>Pacífico),</w:t>
      </w:r>
      <w:r>
        <w:rPr>
          <w:spacing w:val="-6"/>
        </w:rPr>
        <w:t> </w:t>
      </w:r>
      <w:r>
        <w:rPr/>
        <w:t>Yucatán,</w:t>
      </w:r>
      <w:r>
        <w:rPr>
          <w:spacing w:val="-9"/>
        </w:rPr>
        <w:t> </w:t>
      </w:r>
      <w:r>
        <w:rPr/>
        <w:t>Quintana</w:t>
      </w:r>
      <w:r>
        <w:rPr>
          <w:spacing w:val="-8"/>
        </w:rPr>
        <w:t> </w:t>
      </w:r>
      <w:r>
        <w:rPr/>
        <w:t>Roo,</w:t>
      </w:r>
      <w:r>
        <w:rPr>
          <w:spacing w:val="-7"/>
        </w:rPr>
        <w:t> </w:t>
      </w:r>
      <w:r>
        <w:rPr/>
        <w:t>partes</w:t>
      </w:r>
      <w:r>
        <w:rPr>
          <w:spacing w:val="-8"/>
        </w:rPr>
        <w:t> </w:t>
      </w:r>
      <w:r>
        <w:rPr/>
        <w:t>de</w:t>
      </w:r>
      <w:r>
        <w:rPr>
          <w:spacing w:val="-8"/>
        </w:rPr>
        <w:t> </w:t>
      </w:r>
      <w:r>
        <w:rPr/>
        <w:t>Campeche</w:t>
      </w:r>
      <w:r>
        <w:rPr>
          <w:spacing w:val="-10"/>
        </w:rPr>
        <w:t> </w:t>
      </w:r>
      <w:r>
        <w:rPr/>
        <w:t>y</w:t>
      </w:r>
      <w:r>
        <w:rPr>
          <w:spacing w:val="-10"/>
        </w:rPr>
        <w:t> </w:t>
      </w:r>
      <w:r>
        <w:rPr/>
        <w:t>la</w:t>
      </w:r>
      <w:r>
        <w:rPr>
          <w:spacing w:val="-5"/>
        </w:rPr>
        <w:t> </w:t>
      </w:r>
      <w:r>
        <w:rPr/>
        <w:t>zona</w:t>
      </w:r>
      <w:r>
        <w:rPr>
          <w:spacing w:val="-8"/>
        </w:rPr>
        <w:t> </w:t>
      </w:r>
      <w:r>
        <w:rPr/>
        <w:t>costera</w:t>
      </w:r>
      <w:r>
        <w:rPr>
          <w:spacing w:val="-8"/>
        </w:rPr>
        <w:t> </w:t>
      </w:r>
      <w:r>
        <w:rPr/>
        <w:t>de Sinaloa, con 637 626.68 km</w:t>
      </w:r>
      <w:r>
        <w:rPr>
          <w:position w:val="8"/>
          <w:sz w:val="14"/>
        </w:rPr>
        <w:t>2</w:t>
      </w:r>
      <w:r>
        <w:rPr/>
        <w:t>, para un 32.81 % del país. Finalmente, aparecen los territorios con categorías de crítico a muy crítico y muy crítico, ocupando el estado de Chiapas, gran parte del estado de Oaxaca, parcialmente al estado de Guerrero, la costa de Michoacán y zonas del sur de Puebla, representando un 5.97 % (16 013.90 km</w:t>
      </w:r>
      <w:r>
        <w:rPr>
          <w:position w:val="8"/>
          <w:sz w:val="14"/>
        </w:rPr>
        <w:t>2</w:t>
      </w:r>
      <w:r>
        <w:rPr/>
        <w:t>) del país (Tabla 6; Figura 4).</w:t>
      </w:r>
    </w:p>
    <w:p>
      <w:pPr>
        <w:pStyle w:val="BodyText"/>
      </w:pPr>
    </w:p>
    <w:p>
      <w:pPr>
        <w:pStyle w:val="BodyText"/>
        <w:spacing w:before="3"/>
        <w:rPr>
          <w:sz w:val="32"/>
        </w:rPr>
      </w:pPr>
    </w:p>
    <w:p>
      <w:pPr>
        <w:spacing w:before="1"/>
        <w:ind w:left="2989" w:right="228" w:hanging="2763"/>
        <w:jc w:val="left"/>
        <w:rPr>
          <w:b/>
          <w:sz w:val="20"/>
        </w:rPr>
      </w:pPr>
      <w:r>
        <w:rPr>
          <w:b/>
          <w:sz w:val="20"/>
        </w:rPr>
        <w:t>Tabla 6. Porcentajes del territorio nacional y superficies (en km</w:t>
      </w:r>
      <w:r>
        <w:rPr>
          <w:b/>
          <w:position w:val="7"/>
          <w:sz w:val="13"/>
        </w:rPr>
        <w:t>2</w:t>
      </w:r>
      <w:r>
        <w:rPr>
          <w:b/>
          <w:sz w:val="20"/>
        </w:rPr>
        <w:t>) de las categorías del estado del medio ambiente en el año 2033.</w:t>
      </w:r>
    </w:p>
    <w:p>
      <w:pPr>
        <w:pStyle w:val="BodyText"/>
        <w:spacing w:before="4"/>
        <w:rPr>
          <w:b/>
        </w:rPr>
      </w:pPr>
    </w:p>
    <w:tbl>
      <w:tblPr>
        <w:tblW w:w="0" w:type="auto"/>
        <w:jc w:val="left"/>
        <w:tblInd w:w="1078"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3349"/>
        <w:gridCol w:w="1800"/>
        <w:gridCol w:w="1981"/>
      </w:tblGrid>
      <w:tr>
        <w:trPr>
          <w:trHeight w:val="286" w:hRule="exact"/>
        </w:trPr>
        <w:tc>
          <w:tcPr>
            <w:tcW w:w="3349" w:type="dxa"/>
            <w:tcBorders>
              <w:bottom w:val="single" w:sz="6" w:space="0" w:color="000000"/>
              <w:right w:val="single" w:sz="6" w:space="0" w:color="000000"/>
            </w:tcBorders>
          </w:tcPr>
          <w:p>
            <w:pPr>
              <w:pStyle w:val="TableParagraph"/>
              <w:ind w:left="86"/>
              <w:rPr>
                <w:b/>
                <w:sz w:val="20"/>
              </w:rPr>
            </w:pPr>
            <w:r>
              <w:rPr>
                <w:b/>
                <w:sz w:val="20"/>
              </w:rPr>
              <w:t>PRONÓSTICO AL AÑO 2033</w:t>
            </w:r>
          </w:p>
        </w:tc>
        <w:tc>
          <w:tcPr>
            <w:tcW w:w="1800" w:type="dxa"/>
            <w:tcBorders>
              <w:left w:val="single" w:sz="6" w:space="0" w:color="000000"/>
              <w:bottom w:val="single" w:sz="6" w:space="0" w:color="000000"/>
              <w:right w:val="single" w:sz="6" w:space="0" w:color="000000"/>
            </w:tcBorders>
          </w:tcPr>
          <w:p>
            <w:pPr>
              <w:pStyle w:val="TableParagraph"/>
              <w:ind w:left="100"/>
              <w:rPr>
                <w:b/>
                <w:sz w:val="20"/>
              </w:rPr>
            </w:pPr>
            <w:r>
              <w:rPr>
                <w:b/>
                <w:sz w:val="20"/>
              </w:rPr>
              <w:t>AREA (KM</w:t>
            </w:r>
            <w:r>
              <w:rPr>
                <w:b/>
                <w:position w:val="7"/>
                <w:sz w:val="13"/>
              </w:rPr>
              <w:t>2</w:t>
            </w:r>
            <w:r>
              <w:rPr>
                <w:b/>
                <w:sz w:val="20"/>
              </w:rPr>
              <w:t>)</w:t>
            </w:r>
          </w:p>
        </w:tc>
        <w:tc>
          <w:tcPr>
            <w:tcW w:w="1981" w:type="dxa"/>
            <w:tcBorders>
              <w:left w:val="single" w:sz="6" w:space="0" w:color="000000"/>
              <w:bottom w:val="single" w:sz="6" w:space="0" w:color="000000"/>
            </w:tcBorders>
          </w:tcPr>
          <w:p>
            <w:pPr>
              <w:pStyle w:val="TableParagraph"/>
              <w:ind w:left="80" w:right="97"/>
              <w:jc w:val="center"/>
              <w:rPr>
                <w:b/>
                <w:sz w:val="20"/>
              </w:rPr>
            </w:pPr>
            <w:r>
              <w:rPr>
                <w:b/>
                <w:sz w:val="20"/>
              </w:rPr>
              <w:t>PORCENTAJE (%)</w:t>
            </w:r>
          </w:p>
        </w:tc>
      </w:tr>
      <w:tr>
        <w:trPr>
          <w:trHeight w:val="271" w:hRule="exact"/>
        </w:trPr>
        <w:tc>
          <w:tcPr>
            <w:tcW w:w="3349" w:type="dxa"/>
            <w:tcBorders>
              <w:top w:val="single" w:sz="6" w:space="0" w:color="000000"/>
              <w:bottom w:val="single" w:sz="6" w:space="0" w:color="000000"/>
              <w:right w:val="single" w:sz="6" w:space="0" w:color="000000"/>
            </w:tcBorders>
          </w:tcPr>
          <w:p>
            <w:pPr>
              <w:pStyle w:val="TableParagraph"/>
              <w:spacing w:line="230" w:lineRule="exact"/>
              <w:ind w:left="86"/>
              <w:rPr>
                <w:sz w:val="20"/>
              </w:rPr>
            </w:pPr>
            <w:r>
              <w:rPr>
                <w:sz w:val="20"/>
              </w:rPr>
              <w:t>Estable</w:t>
            </w:r>
          </w:p>
        </w:tc>
        <w:tc>
          <w:tcPr>
            <w:tcW w:w="1800" w:type="dxa"/>
            <w:tcBorders>
              <w:top w:val="single" w:sz="6" w:space="0" w:color="000000"/>
              <w:left w:val="single" w:sz="6" w:space="0" w:color="000000"/>
              <w:bottom w:val="single" w:sz="6" w:space="0" w:color="000000"/>
              <w:right w:val="single" w:sz="6" w:space="0" w:color="000000"/>
            </w:tcBorders>
          </w:tcPr>
          <w:p>
            <w:pPr>
              <w:pStyle w:val="TableParagraph"/>
              <w:spacing w:line="230" w:lineRule="exact"/>
              <w:ind w:right="449"/>
              <w:jc w:val="right"/>
              <w:rPr>
                <w:sz w:val="20"/>
              </w:rPr>
            </w:pPr>
            <w:r>
              <w:rPr>
                <w:w w:val="95"/>
                <w:sz w:val="20"/>
              </w:rPr>
              <w:t>404.89</w:t>
            </w:r>
          </w:p>
        </w:tc>
        <w:tc>
          <w:tcPr>
            <w:tcW w:w="1981" w:type="dxa"/>
            <w:tcBorders>
              <w:top w:val="single" w:sz="6" w:space="0" w:color="000000"/>
              <w:left w:val="single" w:sz="6" w:space="0" w:color="000000"/>
              <w:bottom w:val="single" w:sz="6" w:space="0" w:color="000000"/>
            </w:tcBorders>
          </w:tcPr>
          <w:p>
            <w:pPr>
              <w:pStyle w:val="TableParagraph"/>
              <w:spacing w:line="230" w:lineRule="exact"/>
              <w:ind w:left="80" w:right="72"/>
              <w:jc w:val="center"/>
              <w:rPr>
                <w:sz w:val="20"/>
              </w:rPr>
            </w:pPr>
            <w:r>
              <w:rPr>
                <w:sz w:val="20"/>
              </w:rPr>
              <w:t>0.02</w:t>
            </w:r>
          </w:p>
        </w:tc>
      </w:tr>
      <w:tr>
        <w:trPr>
          <w:trHeight w:val="269" w:hRule="exact"/>
        </w:trPr>
        <w:tc>
          <w:tcPr>
            <w:tcW w:w="3349" w:type="dxa"/>
            <w:tcBorders>
              <w:top w:val="single" w:sz="6" w:space="0" w:color="000000"/>
              <w:bottom w:val="single" w:sz="6" w:space="0" w:color="000000"/>
              <w:right w:val="single" w:sz="6" w:space="0" w:color="000000"/>
            </w:tcBorders>
          </w:tcPr>
          <w:p>
            <w:pPr>
              <w:pStyle w:val="TableParagraph"/>
              <w:ind w:left="86"/>
              <w:rPr>
                <w:sz w:val="20"/>
              </w:rPr>
            </w:pPr>
            <w:r>
              <w:rPr>
                <w:sz w:val="20"/>
              </w:rPr>
              <w:t>Estable a medianamente estable</w:t>
            </w:r>
          </w:p>
        </w:tc>
        <w:tc>
          <w:tcPr>
            <w:tcW w:w="1800" w:type="dxa"/>
            <w:tcBorders>
              <w:top w:val="single" w:sz="6" w:space="0" w:color="000000"/>
              <w:left w:val="single" w:sz="6" w:space="0" w:color="000000"/>
              <w:bottom w:val="single" w:sz="6" w:space="0" w:color="000000"/>
              <w:right w:val="single" w:sz="6" w:space="0" w:color="000000"/>
            </w:tcBorders>
          </w:tcPr>
          <w:p>
            <w:pPr>
              <w:pStyle w:val="TableParagraph"/>
              <w:ind w:right="461"/>
              <w:jc w:val="right"/>
              <w:rPr>
                <w:sz w:val="20"/>
              </w:rPr>
            </w:pPr>
            <w:r>
              <w:rPr>
                <w:sz w:val="20"/>
              </w:rPr>
              <w:t>198 944.22</w:t>
            </w:r>
          </w:p>
        </w:tc>
        <w:tc>
          <w:tcPr>
            <w:tcW w:w="1981" w:type="dxa"/>
            <w:tcBorders>
              <w:top w:val="single" w:sz="6" w:space="0" w:color="000000"/>
              <w:left w:val="single" w:sz="6" w:space="0" w:color="000000"/>
              <w:bottom w:val="single" w:sz="6" w:space="0" w:color="000000"/>
            </w:tcBorders>
          </w:tcPr>
          <w:p>
            <w:pPr>
              <w:pStyle w:val="TableParagraph"/>
              <w:ind w:left="80" w:right="219"/>
              <w:jc w:val="center"/>
              <w:rPr>
                <w:sz w:val="20"/>
              </w:rPr>
            </w:pPr>
            <w:r>
              <w:rPr>
                <w:sz w:val="20"/>
              </w:rPr>
              <w:t>10.24</w:t>
            </w:r>
          </w:p>
        </w:tc>
      </w:tr>
      <w:tr>
        <w:trPr>
          <w:trHeight w:val="271" w:hRule="exact"/>
        </w:trPr>
        <w:tc>
          <w:tcPr>
            <w:tcW w:w="3349" w:type="dxa"/>
            <w:tcBorders>
              <w:top w:val="single" w:sz="6" w:space="0" w:color="000000"/>
              <w:bottom w:val="single" w:sz="6" w:space="0" w:color="000000"/>
              <w:right w:val="single" w:sz="6" w:space="0" w:color="000000"/>
            </w:tcBorders>
          </w:tcPr>
          <w:p>
            <w:pPr>
              <w:pStyle w:val="TableParagraph"/>
              <w:spacing w:line="230" w:lineRule="exact"/>
              <w:ind w:left="86"/>
              <w:rPr>
                <w:sz w:val="20"/>
              </w:rPr>
            </w:pPr>
            <w:r>
              <w:rPr>
                <w:sz w:val="20"/>
              </w:rPr>
              <w:t>Medianamente estable</w:t>
            </w:r>
          </w:p>
        </w:tc>
        <w:tc>
          <w:tcPr>
            <w:tcW w:w="1800" w:type="dxa"/>
            <w:tcBorders>
              <w:top w:val="single" w:sz="6" w:space="0" w:color="000000"/>
              <w:left w:val="single" w:sz="6" w:space="0" w:color="000000"/>
              <w:bottom w:val="single" w:sz="6" w:space="0" w:color="000000"/>
              <w:right w:val="single" w:sz="6" w:space="0" w:color="000000"/>
            </w:tcBorders>
          </w:tcPr>
          <w:p>
            <w:pPr>
              <w:pStyle w:val="TableParagraph"/>
              <w:spacing w:line="230" w:lineRule="exact"/>
              <w:ind w:right="461"/>
              <w:jc w:val="right"/>
              <w:rPr>
                <w:sz w:val="20"/>
              </w:rPr>
            </w:pPr>
            <w:r>
              <w:rPr>
                <w:sz w:val="20"/>
              </w:rPr>
              <w:t>190 606.35</w:t>
            </w:r>
          </w:p>
        </w:tc>
        <w:tc>
          <w:tcPr>
            <w:tcW w:w="1981" w:type="dxa"/>
            <w:tcBorders>
              <w:top w:val="single" w:sz="6" w:space="0" w:color="000000"/>
              <w:left w:val="single" w:sz="6" w:space="0" w:color="000000"/>
              <w:bottom w:val="single" w:sz="6" w:space="0" w:color="000000"/>
            </w:tcBorders>
          </w:tcPr>
          <w:p>
            <w:pPr>
              <w:pStyle w:val="TableParagraph"/>
              <w:spacing w:line="230" w:lineRule="exact"/>
              <w:ind w:left="80" w:right="72"/>
              <w:jc w:val="center"/>
              <w:rPr>
                <w:sz w:val="20"/>
              </w:rPr>
            </w:pPr>
            <w:r>
              <w:rPr>
                <w:sz w:val="20"/>
              </w:rPr>
              <w:t>9.81</w:t>
            </w:r>
          </w:p>
        </w:tc>
      </w:tr>
      <w:tr>
        <w:trPr>
          <w:trHeight w:val="269" w:hRule="exact"/>
        </w:trPr>
        <w:tc>
          <w:tcPr>
            <w:tcW w:w="3349" w:type="dxa"/>
            <w:tcBorders>
              <w:top w:val="single" w:sz="6" w:space="0" w:color="000000"/>
              <w:bottom w:val="single" w:sz="6" w:space="0" w:color="000000"/>
              <w:right w:val="single" w:sz="6" w:space="0" w:color="000000"/>
            </w:tcBorders>
          </w:tcPr>
          <w:p>
            <w:pPr>
              <w:pStyle w:val="TableParagraph"/>
              <w:ind w:left="86"/>
              <w:rPr>
                <w:sz w:val="20"/>
              </w:rPr>
            </w:pPr>
            <w:r>
              <w:rPr>
                <w:sz w:val="20"/>
              </w:rPr>
              <w:t>Medianamente estable a inestable</w:t>
            </w:r>
          </w:p>
        </w:tc>
        <w:tc>
          <w:tcPr>
            <w:tcW w:w="1800" w:type="dxa"/>
            <w:tcBorders>
              <w:top w:val="single" w:sz="6" w:space="0" w:color="000000"/>
              <w:left w:val="single" w:sz="6" w:space="0" w:color="000000"/>
              <w:bottom w:val="single" w:sz="6" w:space="0" w:color="000000"/>
              <w:right w:val="single" w:sz="6" w:space="0" w:color="000000"/>
            </w:tcBorders>
          </w:tcPr>
          <w:p>
            <w:pPr>
              <w:pStyle w:val="TableParagraph"/>
              <w:ind w:right="461"/>
              <w:jc w:val="right"/>
              <w:rPr>
                <w:sz w:val="20"/>
              </w:rPr>
            </w:pPr>
            <w:r>
              <w:rPr>
                <w:sz w:val="20"/>
              </w:rPr>
              <w:t>216 349.60</w:t>
            </w:r>
          </w:p>
        </w:tc>
        <w:tc>
          <w:tcPr>
            <w:tcW w:w="1981" w:type="dxa"/>
            <w:tcBorders>
              <w:top w:val="single" w:sz="6" w:space="0" w:color="000000"/>
              <w:left w:val="single" w:sz="6" w:space="0" w:color="000000"/>
              <w:bottom w:val="single" w:sz="6" w:space="0" w:color="000000"/>
            </w:tcBorders>
          </w:tcPr>
          <w:p>
            <w:pPr>
              <w:pStyle w:val="TableParagraph"/>
              <w:ind w:left="80" w:right="219"/>
              <w:jc w:val="center"/>
              <w:rPr>
                <w:sz w:val="20"/>
              </w:rPr>
            </w:pPr>
            <w:r>
              <w:rPr>
                <w:sz w:val="20"/>
              </w:rPr>
              <w:t>11.13</w:t>
            </w:r>
          </w:p>
        </w:tc>
      </w:tr>
      <w:tr>
        <w:trPr>
          <w:trHeight w:val="271" w:hRule="exact"/>
        </w:trPr>
        <w:tc>
          <w:tcPr>
            <w:tcW w:w="3349" w:type="dxa"/>
            <w:tcBorders>
              <w:top w:val="single" w:sz="6" w:space="0" w:color="000000"/>
              <w:bottom w:val="single" w:sz="6" w:space="0" w:color="000000"/>
              <w:right w:val="single" w:sz="6" w:space="0" w:color="000000"/>
            </w:tcBorders>
          </w:tcPr>
          <w:p>
            <w:pPr>
              <w:pStyle w:val="TableParagraph"/>
              <w:spacing w:line="230" w:lineRule="exact"/>
              <w:ind w:left="86"/>
              <w:rPr>
                <w:sz w:val="20"/>
              </w:rPr>
            </w:pPr>
            <w:r>
              <w:rPr>
                <w:sz w:val="20"/>
              </w:rPr>
              <w:t>Inestable</w:t>
            </w:r>
          </w:p>
        </w:tc>
        <w:tc>
          <w:tcPr>
            <w:tcW w:w="1800" w:type="dxa"/>
            <w:tcBorders>
              <w:top w:val="single" w:sz="6" w:space="0" w:color="000000"/>
              <w:left w:val="single" w:sz="6" w:space="0" w:color="000000"/>
              <w:bottom w:val="single" w:sz="6" w:space="0" w:color="000000"/>
              <w:right w:val="single" w:sz="6" w:space="0" w:color="000000"/>
            </w:tcBorders>
          </w:tcPr>
          <w:p>
            <w:pPr>
              <w:pStyle w:val="TableParagraph"/>
              <w:spacing w:line="230" w:lineRule="exact"/>
              <w:ind w:right="461"/>
              <w:jc w:val="right"/>
              <w:rPr>
                <w:sz w:val="20"/>
              </w:rPr>
            </w:pPr>
            <w:r>
              <w:rPr>
                <w:sz w:val="20"/>
              </w:rPr>
              <w:t>583 093.61</w:t>
            </w:r>
          </w:p>
        </w:tc>
        <w:tc>
          <w:tcPr>
            <w:tcW w:w="1981" w:type="dxa"/>
            <w:tcBorders>
              <w:top w:val="single" w:sz="6" w:space="0" w:color="000000"/>
              <w:left w:val="single" w:sz="6" w:space="0" w:color="000000"/>
              <w:bottom w:val="single" w:sz="6" w:space="0" w:color="000000"/>
            </w:tcBorders>
          </w:tcPr>
          <w:p>
            <w:pPr>
              <w:pStyle w:val="TableParagraph"/>
              <w:spacing w:line="230" w:lineRule="exact"/>
              <w:ind w:left="80" w:right="219"/>
              <w:jc w:val="center"/>
              <w:rPr>
                <w:sz w:val="20"/>
              </w:rPr>
            </w:pPr>
            <w:r>
              <w:rPr>
                <w:sz w:val="20"/>
              </w:rPr>
              <w:t>30.01</w:t>
            </w:r>
          </w:p>
        </w:tc>
      </w:tr>
      <w:tr>
        <w:trPr>
          <w:trHeight w:val="269" w:hRule="exact"/>
        </w:trPr>
        <w:tc>
          <w:tcPr>
            <w:tcW w:w="3349" w:type="dxa"/>
            <w:tcBorders>
              <w:top w:val="single" w:sz="6" w:space="0" w:color="000000"/>
              <w:bottom w:val="single" w:sz="6" w:space="0" w:color="000000"/>
              <w:right w:val="single" w:sz="6" w:space="0" w:color="000000"/>
            </w:tcBorders>
          </w:tcPr>
          <w:p>
            <w:pPr>
              <w:pStyle w:val="TableParagraph"/>
              <w:ind w:left="86"/>
              <w:rPr>
                <w:sz w:val="20"/>
              </w:rPr>
            </w:pPr>
            <w:r>
              <w:rPr>
                <w:sz w:val="20"/>
              </w:rPr>
              <w:t>Inestable a crítico</w:t>
            </w:r>
          </w:p>
        </w:tc>
        <w:tc>
          <w:tcPr>
            <w:tcW w:w="1800" w:type="dxa"/>
            <w:tcBorders>
              <w:top w:val="single" w:sz="6" w:space="0" w:color="000000"/>
              <w:left w:val="single" w:sz="6" w:space="0" w:color="000000"/>
              <w:bottom w:val="single" w:sz="6" w:space="0" w:color="000000"/>
              <w:right w:val="single" w:sz="6" w:space="0" w:color="000000"/>
            </w:tcBorders>
          </w:tcPr>
          <w:p>
            <w:pPr>
              <w:pStyle w:val="TableParagraph"/>
              <w:ind w:right="461"/>
              <w:jc w:val="right"/>
              <w:rPr>
                <w:sz w:val="20"/>
              </w:rPr>
            </w:pPr>
            <w:r>
              <w:rPr>
                <w:sz w:val="20"/>
              </w:rPr>
              <w:t>366 308.75</w:t>
            </w:r>
          </w:p>
        </w:tc>
        <w:tc>
          <w:tcPr>
            <w:tcW w:w="1981" w:type="dxa"/>
            <w:tcBorders>
              <w:top w:val="single" w:sz="6" w:space="0" w:color="000000"/>
              <w:left w:val="single" w:sz="6" w:space="0" w:color="000000"/>
              <w:bottom w:val="single" w:sz="6" w:space="0" w:color="000000"/>
            </w:tcBorders>
          </w:tcPr>
          <w:p>
            <w:pPr>
              <w:pStyle w:val="TableParagraph"/>
              <w:ind w:left="80" w:right="219"/>
              <w:jc w:val="center"/>
              <w:rPr>
                <w:sz w:val="20"/>
              </w:rPr>
            </w:pPr>
            <w:r>
              <w:rPr>
                <w:sz w:val="20"/>
              </w:rPr>
              <w:t>18.85</w:t>
            </w:r>
          </w:p>
        </w:tc>
      </w:tr>
      <w:tr>
        <w:trPr>
          <w:trHeight w:val="272" w:hRule="exact"/>
        </w:trPr>
        <w:tc>
          <w:tcPr>
            <w:tcW w:w="3349" w:type="dxa"/>
            <w:tcBorders>
              <w:top w:val="single" w:sz="6" w:space="0" w:color="000000"/>
              <w:bottom w:val="single" w:sz="6" w:space="0" w:color="000000"/>
              <w:right w:val="single" w:sz="6" w:space="0" w:color="000000"/>
            </w:tcBorders>
          </w:tcPr>
          <w:p>
            <w:pPr>
              <w:pStyle w:val="TableParagraph"/>
              <w:spacing w:line="240" w:lineRule="auto"/>
              <w:ind w:left="86"/>
              <w:rPr>
                <w:sz w:val="20"/>
              </w:rPr>
            </w:pPr>
            <w:r>
              <w:rPr>
                <w:sz w:val="20"/>
              </w:rPr>
              <w:t>Crítico</w:t>
            </w:r>
          </w:p>
        </w:tc>
        <w:tc>
          <w:tcPr>
            <w:tcW w:w="180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ind w:right="461"/>
              <w:jc w:val="right"/>
              <w:rPr>
                <w:sz w:val="20"/>
              </w:rPr>
            </w:pPr>
            <w:r>
              <w:rPr>
                <w:sz w:val="20"/>
              </w:rPr>
              <w:t>271 317.93</w:t>
            </w:r>
          </w:p>
        </w:tc>
        <w:tc>
          <w:tcPr>
            <w:tcW w:w="1981" w:type="dxa"/>
            <w:tcBorders>
              <w:top w:val="single" w:sz="6" w:space="0" w:color="000000"/>
              <w:left w:val="single" w:sz="6" w:space="0" w:color="000000"/>
              <w:bottom w:val="single" w:sz="6" w:space="0" w:color="000000"/>
            </w:tcBorders>
          </w:tcPr>
          <w:p>
            <w:pPr>
              <w:pStyle w:val="TableParagraph"/>
              <w:spacing w:line="240" w:lineRule="auto"/>
              <w:ind w:left="80" w:right="219"/>
              <w:jc w:val="center"/>
              <w:rPr>
                <w:sz w:val="20"/>
              </w:rPr>
            </w:pPr>
            <w:r>
              <w:rPr>
                <w:sz w:val="20"/>
              </w:rPr>
              <w:t>13.96</w:t>
            </w:r>
          </w:p>
        </w:tc>
      </w:tr>
      <w:tr>
        <w:trPr>
          <w:trHeight w:val="269" w:hRule="exact"/>
        </w:trPr>
        <w:tc>
          <w:tcPr>
            <w:tcW w:w="3349" w:type="dxa"/>
            <w:tcBorders>
              <w:top w:val="single" w:sz="6" w:space="0" w:color="000000"/>
              <w:bottom w:val="single" w:sz="6" w:space="0" w:color="000000"/>
              <w:right w:val="single" w:sz="6" w:space="0" w:color="000000"/>
            </w:tcBorders>
          </w:tcPr>
          <w:p>
            <w:pPr>
              <w:pStyle w:val="TableParagraph"/>
              <w:ind w:left="86"/>
              <w:rPr>
                <w:sz w:val="20"/>
              </w:rPr>
            </w:pPr>
            <w:r>
              <w:rPr>
                <w:sz w:val="20"/>
              </w:rPr>
              <w:t>Crítico a muy crítico</w:t>
            </w:r>
          </w:p>
        </w:tc>
        <w:tc>
          <w:tcPr>
            <w:tcW w:w="1800" w:type="dxa"/>
            <w:tcBorders>
              <w:top w:val="single" w:sz="6" w:space="0" w:color="000000"/>
              <w:left w:val="single" w:sz="6" w:space="0" w:color="000000"/>
              <w:bottom w:val="single" w:sz="6" w:space="0" w:color="000000"/>
              <w:right w:val="single" w:sz="6" w:space="0" w:color="000000"/>
            </w:tcBorders>
          </w:tcPr>
          <w:p>
            <w:pPr>
              <w:pStyle w:val="TableParagraph"/>
              <w:ind w:right="461"/>
              <w:jc w:val="right"/>
              <w:rPr>
                <w:sz w:val="20"/>
              </w:rPr>
            </w:pPr>
            <w:r>
              <w:rPr>
                <w:sz w:val="20"/>
              </w:rPr>
              <w:t>4 676.04</w:t>
            </w:r>
          </w:p>
        </w:tc>
        <w:tc>
          <w:tcPr>
            <w:tcW w:w="1981" w:type="dxa"/>
            <w:tcBorders>
              <w:top w:val="single" w:sz="6" w:space="0" w:color="000000"/>
              <w:left w:val="single" w:sz="6" w:space="0" w:color="000000"/>
              <w:bottom w:val="single" w:sz="6" w:space="0" w:color="000000"/>
            </w:tcBorders>
          </w:tcPr>
          <w:p>
            <w:pPr>
              <w:pStyle w:val="TableParagraph"/>
              <w:ind w:left="80" w:right="72"/>
              <w:jc w:val="center"/>
              <w:rPr>
                <w:sz w:val="20"/>
              </w:rPr>
            </w:pPr>
            <w:r>
              <w:rPr>
                <w:sz w:val="20"/>
              </w:rPr>
              <w:t>0.24</w:t>
            </w:r>
          </w:p>
        </w:tc>
      </w:tr>
      <w:tr>
        <w:trPr>
          <w:trHeight w:val="288" w:hRule="exact"/>
        </w:trPr>
        <w:tc>
          <w:tcPr>
            <w:tcW w:w="3349" w:type="dxa"/>
            <w:tcBorders>
              <w:top w:val="single" w:sz="6" w:space="0" w:color="000000"/>
              <w:right w:val="single" w:sz="6" w:space="0" w:color="000000"/>
            </w:tcBorders>
          </w:tcPr>
          <w:p>
            <w:pPr>
              <w:pStyle w:val="TableParagraph"/>
              <w:spacing w:line="230" w:lineRule="exact"/>
              <w:ind w:left="86"/>
              <w:rPr>
                <w:sz w:val="20"/>
              </w:rPr>
            </w:pPr>
            <w:r>
              <w:rPr>
                <w:sz w:val="20"/>
              </w:rPr>
              <w:t>Muy crítico</w:t>
            </w:r>
          </w:p>
        </w:tc>
        <w:tc>
          <w:tcPr>
            <w:tcW w:w="1800" w:type="dxa"/>
            <w:tcBorders>
              <w:top w:val="single" w:sz="6" w:space="0" w:color="000000"/>
              <w:left w:val="single" w:sz="6" w:space="0" w:color="000000"/>
              <w:right w:val="single" w:sz="6" w:space="0" w:color="000000"/>
            </w:tcBorders>
          </w:tcPr>
          <w:p>
            <w:pPr>
              <w:pStyle w:val="TableParagraph"/>
              <w:spacing w:line="230" w:lineRule="exact"/>
              <w:ind w:right="461"/>
              <w:jc w:val="right"/>
              <w:rPr>
                <w:sz w:val="20"/>
              </w:rPr>
            </w:pPr>
            <w:r>
              <w:rPr>
                <w:sz w:val="20"/>
              </w:rPr>
              <w:t>111 337.86</w:t>
            </w:r>
          </w:p>
        </w:tc>
        <w:tc>
          <w:tcPr>
            <w:tcW w:w="1981" w:type="dxa"/>
            <w:tcBorders>
              <w:top w:val="single" w:sz="6" w:space="0" w:color="000000"/>
              <w:left w:val="single" w:sz="6" w:space="0" w:color="000000"/>
            </w:tcBorders>
          </w:tcPr>
          <w:p>
            <w:pPr>
              <w:pStyle w:val="TableParagraph"/>
              <w:spacing w:line="230" w:lineRule="exact"/>
              <w:ind w:left="80" w:right="72"/>
              <w:jc w:val="center"/>
              <w:rPr>
                <w:sz w:val="20"/>
              </w:rPr>
            </w:pPr>
            <w:r>
              <w:rPr>
                <w:sz w:val="20"/>
              </w:rPr>
              <w:t>5.73</w:t>
            </w:r>
          </w:p>
        </w:tc>
      </w:tr>
    </w:tbl>
    <w:p>
      <w:pPr>
        <w:spacing w:line="227" w:lineRule="exact" w:before="0"/>
        <w:ind w:left="766" w:right="13" w:firstLine="0"/>
        <w:jc w:val="left"/>
        <w:rPr>
          <w:sz w:val="20"/>
        </w:rPr>
      </w:pPr>
      <w:r>
        <w:rPr>
          <w:sz w:val="20"/>
        </w:rPr>
        <w:t>Porcentaje de área del pronóstico (2033) con respecto a la superficie total del país.</w:t>
      </w:r>
    </w:p>
    <w:p>
      <w:pPr>
        <w:spacing w:after="0" w:line="227" w:lineRule="exact"/>
        <w:jc w:val="left"/>
        <w:rPr>
          <w:sz w:val="20"/>
        </w:rPr>
        <w:sectPr>
          <w:pgSz w:w="12250" w:h="15850"/>
          <w:pgMar w:header="0" w:footer="759" w:top="1500" w:bottom="940" w:left="1600" w:right="1300"/>
        </w:sectPr>
      </w:pPr>
    </w:p>
    <w:p>
      <w:pPr>
        <w:pStyle w:val="BodyText"/>
        <w:spacing w:before="3"/>
        <w:rPr>
          <w:sz w:val="17"/>
        </w:rPr>
      </w:pPr>
    </w:p>
    <w:p>
      <w:pPr>
        <w:pStyle w:val="BodyText"/>
        <w:ind w:left="790"/>
        <w:rPr>
          <w:sz w:val="20"/>
        </w:rPr>
      </w:pPr>
      <w:r>
        <w:rPr>
          <w:sz w:val="20"/>
        </w:rPr>
        <w:drawing>
          <wp:inline distT="0" distB="0" distL="0" distR="0">
            <wp:extent cx="4912037" cy="3799332"/>
            <wp:effectExtent l="0" t="0" r="0" b="0"/>
            <wp:docPr id="5" name="image5.jpeg" descr=""/>
            <wp:cNvGraphicFramePr>
              <a:graphicFrameLocks noChangeAspect="1"/>
            </wp:cNvGraphicFramePr>
            <a:graphic>
              <a:graphicData uri="http://schemas.openxmlformats.org/drawingml/2006/picture">
                <pic:pic>
                  <pic:nvPicPr>
                    <pic:cNvPr id="6" name="image5.jpeg"/>
                    <pic:cNvPicPr/>
                  </pic:nvPicPr>
                  <pic:blipFill>
                    <a:blip r:embed="rId14" cstate="print"/>
                    <a:stretch>
                      <a:fillRect/>
                    </a:stretch>
                  </pic:blipFill>
                  <pic:spPr>
                    <a:xfrm>
                      <a:off x="0" y="0"/>
                      <a:ext cx="4912037" cy="3799332"/>
                    </a:xfrm>
                    <a:prstGeom prst="rect">
                      <a:avLst/>
                    </a:prstGeom>
                  </pic:spPr>
                </pic:pic>
              </a:graphicData>
            </a:graphic>
          </wp:inline>
        </w:drawing>
      </w:r>
      <w:r>
        <w:rPr>
          <w:sz w:val="20"/>
        </w:rPr>
      </w:r>
    </w:p>
    <w:p>
      <w:pPr>
        <w:pStyle w:val="BodyText"/>
        <w:spacing w:before="6"/>
        <w:rPr>
          <w:sz w:val="16"/>
        </w:rPr>
      </w:pPr>
    </w:p>
    <w:p>
      <w:pPr>
        <w:spacing w:before="74"/>
        <w:ind w:left="2829" w:right="13" w:firstLine="0"/>
        <w:jc w:val="left"/>
        <w:rPr>
          <w:b/>
          <w:sz w:val="20"/>
        </w:rPr>
      </w:pPr>
      <w:r>
        <w:rPr>
          <w:b/>
          <w:sz w:val="20"/>
        </w:rPr>
        <w:t>Figura 4. Escenario tendencial al 2033.</w:t>
      </w:r>
    </w:p>
    <w:p>
      <w:pPr>
        <w:pStyle w:val="BodyText"/>
        <w:rPr>
          <w:b/>
          <w:sz w:val="20"/>
        </w:rPr>
      </w:pPr>
    </w:p>
    <w:p>
      <w:pPr>
        <w:pStyle w:val="BodyText"/>
        <w:rPr>
          <w:b/>
          <w:sz w:val="20"/>
        </w:rPr>
      </w:pPr>
    </w:p>
    <w:p>
      <w:pPr>
        <w:pStyle w:val="BodyText"/>
        <w:spacing w:before="3"/>
        <w:rPr>
          <w:b/>
          <w:sz w:val="28"/>
        </w:rPr>
      </w:pPr>
    </w:p>
    <w:p>
      <w:pPr>
        <w:pStyle w:val="Heading2"/>
        <w:spacing w:before="72"/>
      </w:pPr>
      <w:r>
        <w:rPr/>
        <w:t>Escenario estratégico</w:t>
      </w:r>
    </w:p>
    <w:p>
      <w:pPr>
        <w:pStyle w:val="BodyText"/>
        <w:spacing w:before="5"/>
        <w:rPr>
          <w:b/>
          <w:sz w:val="32"/>
        </w:rPr>
      </w:pPr>
    </w:p>
    <w:p>
      <w:pPr>
        <w:pStyle w:val="BodyText"/>
        <w:spacing w:line="480" w:lineRule="auto"/>
        <w:ind w:left="102" w:right="113" w:firstLine="707"/>
        <w:jc w:val="both"/>
      </w:pPr>
      <w:r>
        <w:rPr/>
        <w:t>Para</w:t>
      </w:r>
      <w:r>
        <w:rPr>
          <w:spacing w:val="-12"/>
        </w:rPr>
        <w:t> </w:t>
      </w:r>
      <w:r>
        <w:rPr/>
        <w:t>la</w:t>
      </w:r>
      <w:r>
        <w:rPr>
          <w:spacing w:val="-12"/>
        </w:rPr>
        <w:t> </w:t>
      </w:r>
      <w:r>
        <w:rPr/>
        <w:t>elaboración</w:t>
      </w:r>
      <w:r>
        <w:rPr>
          <w:spacing w:val="-13"/>
        </w:rPr>
        <w:t> </w:t>
      </w:r>
      <w:r>
        <w:rPr/>
        <w:t>del</w:t>
      </w:r>
      <w:r>
        <w:rPr>
          <w:spacing w:val="-13"/>
        </w:rPr>
        <w:t> </w:t>
      </w:r>
      <w:r>
        <w:rPr/>
        <w:t>escenario</w:t>
      </w:r>
      <w:r>
        <w:rPr>
          <w:spacing w:val="-12"/>
        </w:rPr>
        <w:t> </w:t>
      </w:r>
      <w:r>
        <w:rPr/>
        <w:t>estratégico</w:t>
      </w:r>
      <w:r>
        <w:rPr>
          <w:spacing w:val="-12"/>
        </w:rPr>
        <w:t> </w:t>
      </w:r>
      <w:r>
        <w:rPr/>
        <w:t>del</w:t>
      </w:r>
      <w:r>
        <w:rPr>
          <w:spacing w:val="-16"/>
        </w:rPr>
        <w:t> </w:t>
      </w:r>
      <w:r>
        <w:rPr/>
        <w:t>POEGT,</w:t>
      </w:r>
      <w:r>
        <w:rPr>
          <w:spacing w:val="-12"/>
        </w:rPr>
        <w:t> </w:t>
      </w:r>
      <w:r>
        <w:rPr/>
        <w:t>se</w:t>
      </w:r>
      <w:r>
        <w:rPr>
          <w:spacing w:val="-15"/>
        </w:rPr>
        <w:t> </w:t>
      </w:r>
      <w:r>
        <w:rPr/>
        <w:t>tomaron</w:t>
      </w:r>
      <w:r>
        <w:rPr>
          <w:spacing w:val="-13"/>
        </w:rPr>
        <w:t> </w:t>
      </w:r>
      <w:r>
        <w:rPr/>
        <w:t>en</w:t>
      </w:r>
      <w:r>
        <w:rPr>
          <w:spacing w:val="-13"/>
        </w:rPr>
        <w:t> </w:t>
      </w:r>
      <w:r>
        <w:rPr/>
        <w:t>consideración las políticas ambientales básicas, establecidas en la Ley General del Equilibrio Ecológico y la Protección al Ambiente (SEMARNAT, 2003): aprovechamiento sustentable, preservación, protección y restauración, así como sus combinaciones jerarquizadas, en dependencia de la degradación biofísica, el nivel de modificación antropogénica y las características del nivel de desarrollo social y económico en cada unidad ambiental biofísica. De esta manera, fue confeccionado el escenario estratégico, a escala 1:2 000 000, donde se identificaron 18 categorías de políticas ambientales: preservación; preservación y aprovechamiento sustentable;   preservación   y   protección;   preservación,   aprovechamiento   sustentable </w:t>
      </w:r>
      <w:r>
        <w:rPr>
          <w:spacing w:val="6"/>
        </w:rPr>
        <w:t> </w:t>
      </w:r>
      <w:r>
        <w:rPr/>
        <w:t>y</w:t>
      </w:r>
    </w:p>
    <w:p>
      <w:pPr>
        <w:spacing w:after="0" w:line="480" w:lineRule="auto"/>
        <w:jc w:val="both"/>
        <w:sectPr>
          <w:pgSz w:w="12250" w:h="15850"/>
          <w:pgMar w:header="0" w:footer="759" w:top="1500" w:bottom="940" w:left="1600" w:right="1300"/>
        </w:sectPr>
      </w:pPr>
    </w:p>
    <w:p>
      <w:pPr>
        <w:pStyle w:val="BodyText"/>
        <w:spacing w:before="9"/>
        <w:rPr>
          <w:sz w:val="10"/>
        </w:rPr>
      </w:pPr>
    </w:p>
    <w:p>
      <w:pPr>
        <w:pStyle w:val="BodyText"/>
        <w:spacing w:line="480" w:lineRule="auto" w:before="73"/>
        <w:ind w:left="102" w:right="113"/>
        <w:jc w:val="both"/>
      </w:pPr>
      <w:r>
        <w:rPr/>
        <w:t>restauración; aprovechamiento sustentable; aprovechamiento sustentable y preservación; aprovechamiento sustentable y protección; aprovechamiento sustentable y restauración; aprovechamiento sustentable, preservación y restauración; aprovechamiento sustentable, protección y restauración; protección y aprovechamiento sustentable; protección y preservación; protección y restauración; protección, aprovechamiento sustentable y restauración; protección, preservación y aprovechamiento sustentable; restauración y aprovechamiento sustentable; restauración, preservación y aprovechamiento sustentable; restauración, protección y aprovechamiento sustentable. De estas 18 combinaciones de políticas</w:t>
      </w:r>
      <w:r>
        <w:rPr>
          <w:spacing w:val="-16"/>
        </w:rPr>
        <w:t> </w:t>
      </w:r>
      <w:r>
        <w:rPr/>
        <w:t>ambientales</w:t>
      </w:r>
      <w:r>
        <w:rPr>
          <w:spacing w:val="-16"/>
        </w:rPr>
        <w:t> </w:t>
      </w:r>
      <w:r>
        <w:rPr/>
        <w:t>para</w:t>
      </w:r>
      <w:r>
        <w:rPr>
          <w:spacing w:val="-16"/>
        </w:rPr>
        <w:t> </w:t>
      </w:r>
      <w:r>
        <w:rPr/>
        <w:t>México,</w:t>
      </w:r>
      <w:r>
        <w:rPr>
          <w:spacing w:val="-15"/>
        </w:rPr>
        <w:t> </w:t>
      </w:r>
      <w:r>
        <w:rPr/>
        <w:t>las</w:t>
      </w:r>
      <w:r>
        <w:rPr>
          <w:spacing w:val="-16"/>
        </w:rPr>
        <w:t> </w:t>
      </w:r>
      <w:r>
        <w:rPr/>
        <w:t>de</w:t>
      </w:r>
      <w:r>
        <w:rPr>
          <w:spacing w:val="-19"/>
        </w:rPr>
        <w:t> </w:t>
      </w:r>
      <w:r>
        <w:rPr/>
        <w:t>mayor</w:t>
      </w:r>
      <w:r>
        <w:rPr>
          <w:spacing w:val="-15"/>
        </w:rPr>
        <w:t> </w:t>
      </w:r>
      <w:r>
        <w:rPr/>
        <w:t>extensión</w:t>
      </w:r>
      <w:r>
        <w:rPr>
          <w:spacing w:val="-16"/>
        </w:rPr>
        <w:t> </w:t>
      </w:r>
      <w:r>
        <w:rPr/>
        <w:t>y</w:t>
      </w:r>
      <w:r>
        <w:rPr>
          <w:spacing w:val="-18"/>
        </w:rPr>
        <w:t> </w:t>
      </w:r>
      <w:r>
        <w:rPr/>
        <w:t>necesidad</w:t>
      </w:r>
      <w:r>
        <w:rPr>
          <w:spacing w:val="-16"/>
        </w:rPr>
        <w:t> </w:t>
      </w:r>
      <w:r>
        <w:rPr/>
        <w:t>de</w:t>
      </w:r>
      <w:r>
        <w:rPr>
          <w:spacing w:val="-19"/>
        </w:rPr>
        <w:t> </w:t>
      </w:r>
      <w:r>
        <w:rPr/>
        <w:t>aplicación</w:t>
      </w:r>
      <w:r>
        <w:rPr>
          <w:spacing w:val="-16"/>
        </w:rPr>
        <w:t> </w:t>
      </w:r>
      <w:r>
        <w:rPr/>
        <w:t>inmediata son aprovechamiento sustentable y restauración (26.09 % del país); aprovechamiento sustentable (24.76 %); restauración y aprovechamiento sustentable (14.99 %); protección, aprovechamiento sustentable y restauración (6.11 %); y preservación y protección (5.29 %); las restantes son inferiores al 5 % del territorio</w:t>
      </w:r>
      <w:r>
        <w:rPr>
          <w:spacing w:val="-20"/>
        </w:rPr>
        <w:t> </w:t>
      </w:r>
      <w:r>
        <w:rPr/>
        <w:t>nacional.</w:t>
      </w:r>
    </w:p>
    <w:p>
      <w:pPr>
        <w:pStyle w:val="Heading2"/>
        <w:spacing w:before="123"/>
        <w:ind w:right="0"/>
        <w:jc w:val="both"/>
      </w:pPr>
      <w:r>
        <w:rPr/>
        <w:t>Conclusiones</w:t>
      </w:r>
    </w:p>
    <w:p>
      <w:pPr>
        <w:pStyle w:val="BodyText"/>
        <w:spacing w:before="7"/>
        <w:rPr>
          <w:b/>
          <w:sz w:val="32"/>
        </w:rPr>
      </w:pPr>
    </w:p>
    <w:p>
      <w:pPr>
        <w:pStyle w:val="BodyText"/>
        <w:spacing w:line="480" w:lineRule="auto" w:before="1"/>
        <w:ind w:left="102" w:right="114" w:firstLine="707"/>
        <w:jc w:val="both"/>
      </w:pPr>
      <w:r>
        <w:rPr/>
        <w:t>La aplicación de la metodología del análisis geoecológico del estado actual del medio ambiente (2008) por unidades ambientales biofísicas, basándose en el análisis espacio- temporal</w:t>
      </w:r>
      <w:r>
        <w:rPr>
          <w:spacing w:val="-14"/>
        </w:rPr>
        <w:t> </w:t>
      </w:r>
      <w:r>
        <w:rPr/>
        <w:t>de</w:t>
      </w:r>
      <w:r>
        <w:rPr>
          <w:spacing w:val="-13"/>
        </w:rPr>
        <w:t> </w:t>
      </w:r>
      <w:r>
        <w:rPr/>
        <w:t>indicadores</w:t>
      </w:r>
      <w:r>
        <w:rPr>
          <w:spacing w:val="-14"/>
        </w:rPr>
        <w:t> </w:t>
      </w:r>
      <w:r>
        <w:rPr/>
        <w:t>de</w:t>
      </w:r>
      <w:r>
        <w:rPr>
          <w:spacing w:val="-13"/>
        </w:rPr>
        <w:t> </w:t>
      </w:r>
      <w:r>
        <w:rPr/>
        <w:t>degradación</w:t>
      </w:r>
      <w:r>
        <w:rPr>
          <w:spacing w:val="-13"/>
        </w:rPr>
        <w:t> </w:t>
      </w:r>
      <w:r>
        <w:rPr/>
        <w:t>ambiental,</w:t>
      </w:r>
      <w:r>
        <w:rPr>
          <w:spacing w:val="-11"/>
        </w:rPr>
        <w:t> </w:t>
      </w:r>
      <w:r>
        <w:rPr/>
        <w:t>de</w:t>
      </w:r>
      <w:r>
        <w:rPr>
          <w:spacing w:val="-13"/>
        </w:rPr>
        <w:t> </w:t>
      </w:r>
      <w:r>
        <w:rPr/>
        <w:t>modificación</w:t>
      </w:r>
      <w:r>
        <w:rPr>
          <w:spacing w:val="-13"/>
        </w:rPr>
        <w:t> </w:t>
      </w:r>
      <w:r>
        <w:rPr/>
        <w:t>antropogénica</w:t>
      </w:r>
      <w:r>
        <w:rPr>
          <w:spacing w:val="-12"/>
        </w:rPr>
        <w:t> </w:t>
      </w:r>
      <w:r>
        <w:rPr/>
        <w:t>y</w:t>
      </w:r>
      <w:r>
        <w:rPr>
          <w:spacing w:val="-15"/>
        </w:rPr>
        <w:t> </w:t>
      </w:r>
      <w:r>
        <w:rPr/>
        <w:t>de</w:t>
      </w:r>
      <w:r>
        <w:rPr>
          <w:spacing w:val="-13"/>
        </w:rPr>
        <w:t> </w:t>
      </w:r>
      <w:r>
        <w:rPr/>
        <w:t>estado de desarrollo social y económico; en el carácter de los conflictos intersectoriales; y en la influencia de cambios climáticos, refleja escenarios alarmantes para el territorio nacional, que requieren la inmediata aplicación de políticas ambientales y públicas, que contribuyan a prevenir, mitigar y corregir los efectos degradativos en la calidad ambiental, en la inequidad social y en el desigual crecimiento económico, bajo un prisma de planeación territorial adecuada, mejor distribución presupuestaria federal, estatal y municipal en función de las necesidades  nacionales  y  de  los  sectores  más  marginados.  Esta  metodología  </w:t>
      </w:r>
      <w:r>
        <w:rPr>
          <w:spacing w:val="1"/>
        </w:rPr>
        <w:t> </w:t>
      </w:r>
      <w:r>
        <w:rPr/>
        <w:t>permitió</w:t>
      </w:r>
    </w:p>
    <w:p>
      <w:pPr>
        <w:spacing w:after="0" w:line="480" w:lineRule="auto"/>
        <w:jc w:val="both"/>
        <w:sectPr>
          <w:pgSz w:w="12250" w:h="15850"/>
          <w:pgMar w:header="0" w:footer="759" w:top="1500" w:bottom="940" w:left="1600" w:right="1300"/>
        </w:sectPr>
      </w:pPr>
    </w:p>
    <w:p>
      <w:pPr>
        <w:pStyle w:val="BodyText"/>
        <w:spacing w:before="9"/>
        <w:rPr>
          <w:sz w:val="10"/>
        </w:rPr>
      </w:pPr>
    </w:p>
    <w:p>
      <w:pPr>
        <w:pStyle w:val="BodyText"/>
        <w:spacing w:line="480" w:lineRule="auto" w:before="73"/>
        <w:ind w:left="102" w:right="13"/>
      </w:pPr>
      <w:r>
        <w:rPr/>
        <w:t>cartografiar los principales problemas actuales y evaluar el estado medioambiental actual (2008), así como proyectar sus tendencias a diferentes plazos (2012, 2023 y 2033).</w:t>
      </w:r>
    </w:p>
    <w:p>
      <w:pPr>
        <w:pStyle w:val="BodyText"/>
        <w:spacing w:line="480" w:lineRule="auto" w:before="125"/>
        <w:ind w:left="102" w:right="112" w:firstLine="707"/>
        <w:jc w:val="both"/>
      </w:pPr>
      <w:r>
        <w:rPr/>
        <w:t>La propuesta de políticas ambientales (escenario estratégico) se fundamentó en el estado actual del medio ambiente, los criterios sobre sinergias y conflictos sectoriales por unidades ambientales biofísicas, la extensión de las áreas naturales protegidas, la superficie de fomento de servicios ambientales, el uso forestal y la recarga de acuíferos, arrojando un total de 18 políticas ambientales.</w:t>
      </w:r>
    </w:p>
    <w:p>
      <w:pPr>
        <w:pStyle w:val="Heading2"/>
        <w:spacing w:before="123"/>
      </w:pPr>
      <w:r>
        <w:rPr/>
        <w:t>Bibliografía</w:t>
      </w:r>
    </w:p>
    <w:p>
      <w:pPr>
        <w:pStyle w:val="BodyText"/>
        <w:spacing w:before="7"/>
        <w:rPr>
          <w:b/>
          <w:sz w:val="32"/>
        </w:rPr>
      </w:pPr>
    </w:p>
    <w:p>
      <w:pPr>
        <w:spacing w:before="0"/>
        <w:ind w:left="810" w:right="113" w:hanging="708"/>
        <w:jc w:val="both"/>
        <w:rPr>
          <w:sz w:val="20"/>
        </w:rPr>
      </w:pPr>
      <w:r>
        <w:rPr>
          <w:sz w:val="20"/>
        </w:rPr>
        <w:t>Casado Izquierdo, J. M. (2008a), Marginación municipal 2005 (Mapa I.4.5.1). En Caracterización y diagnóstico integrado para el Programa de Ordenamiento Ecológico General del Territorio. SEMARNAT, 1 hoja a escala 1:2 000 000.</w:t>
      </w:r>
    </w:p>
    <w:p>
      <w:pPr>
        <w:spacing w:before="120"/>
        <w:ind w:left="810" w:right="116" w:hanging="708"/>
        <w:jc w:val="both"/>
        <w:rPr>
          <w:sz w:val="20"/>
        </w:rPr>
      </w:pPr>
      <w:r>
        <w:rPr>
          <w:sz w:val="20"/>
        </w:rPr>
        <w:t>Casado Izquierdo, J. M. (2008b), Distribución y dinámica de la población por localidad, 1990-2005 (Mapa I.4.4.1). En Caracterización y diagnóstico integrado para el Programa de Ordenamiento Ecológico General del Territorio. SEMARNAT, 1 hoja a escala 1:2 000 000.</w:t>
      </w:r>
    </w:p>
    <w:p>
      <w:pPr>
        <w:spacing w:before="120"/>
        <w:ind w:left="0" w:right="123" w:firstLine="0"/>
        <w:jc w:val="right"/>
        <w:rPr>
          <w:sz w:val="20"/>
        </w:rPr>
      </w:pPr>
      <w:r>
        <w:rPr>
          <w:sz w:val="20"/>
        </w:rPr>
        <w:t>Casado Izquierdo, J,. M. (2008c), Tasa de dependencia económica municipal. En Pronóstico para el</w:t>
      </w:r>
      <w:r>
        <w:rPr>
          <w:w w:val="99"/>
          <w:sz w:val="20"/>
        </w:rPr>
        <w:t> </w:t>
      </w:r>
      <w:r>
        <w:rPr>
          <w:sz w:val="20"/>
        </w:rPr>
        <w:t>Programa de Ordenamiento Ecológico General del Territorio. SEMARNAT, México,D. F., 189 p.</w:t>
      </w:r>
    </w:p>
    <w:p>
      <w:pPr>
        <w:spacing w:before="120"/>
        <w:ind w:left="810" w:right="123" w:hanging="708"/>
        <w:jc w:val="both"/>
        <w:rPr>
          <w:sz w:val="20"/>
        </w:rPr>
      </w:pPr>
      <w:r>
        <w:rPr>
          <w:sz w:val="20"/>
        </w:rPr>
        <w:t>Casado Izquierdo, J. M. (2008d), Porcentaje de trabajadores por actividades renumeradas por municipios (población económicamente activa ocupada con ingresos mayores a dos salarios mínimos, 2000). En Pronóstico para el Programa de Ordenamiento Ecológico General del Territorio. SEMARNAT, México,D. F., 189 p.</w:t>
      </w:r>
    </w:p>
    <w:p>
      <w:pPr>
        <w:spacing w:before="120"/>
        <w:ind w:left="810" w:right="124" w:hanging="708"/>
        <w:jc w:val="both"/>
        <w:rPr>
          <w:sz w:val="20"/>
        </w:rPr>
      </w:pPr>
      <w:r>
        <w:rPr>
          <w:sz w:val="20"/>
        </w:rPr>
        <w:t>Coll-Hurtado, A., M. T., Sánchez Salazar, J. M., Casado Izquierdo (2007), Producción minera, 2004 (E VII 5). En Coll-Hurtado, A. coord. (2007), Nuevo Atlas Nacional de México, Instituto de Geografía, UNAM, México. ISBN: 978-970-32-5047-9.</w:t>
      </w:r>
    </w:p>
    <w:p>
      <w:pPr>
        <w:spacing w:before="120"/>
        <w:ind w:left="810" w:right="117" w:hanging="708"/>
        <w:jc w:val="both"/>
        <w:rPr>
          <w:sz w:val="20"/>
        </w:rPr>
      </w:pPr>
      <w:r>
        <w:rPr>
          <w:sz w:val="20"/>
        </w:rPr>
        <w:t>Comité Intersecretarial de Cambio Climático (2006), </w:t>
      </w:r>
      <w:r>
        <w:rPr>
          <w:color w:val="80007D"/>
          <w:sz w:val="20"/>
        </w:rPr>
        <w:t>México Tercera Comunicación Nacional ante la Convención Marco de las Naciones Unidas sobre el Cambio Climático. </w:t>
      </w:r>
      <w:r>
        <w:rPr>
          <w:sz w:val="20"/>
        </w:rPr>
        <w:t>Instituto Nacional de Ecología, México, D. F., 212 p.</w:t>
      </w:r>
    </w:p>
    <w:p>
      <w:pPr>
        <w:spacing w:before="120"/>
        <w:ind w:left="810" w:right="120" w:hanging="708"/>
        <w:jc w:val="both"/>
        <w:rPr>
          <w:sz w:val="20"/>
        </w:rPr>
      </w:pPr>
      <w:r>
        <w:rPr>
          <w:sz w:val="20"/>
        </w:rPr>
        <w:t>Diario</w:t>
      </w:r>
      <w:r>
        <w:rPr>
          <w:spacing w:val="-6"/>
          <w:sz w:val="20"/>
        </w:rPr>
        <w:t> </w:t>
      </w:r>
      <w:r>
        <w:rPr>
          <w:sz w:val="20"/>
        </w:rPr>
        <w:t>Oficial</w:t>
      </w:r>
      <w:r>
        <w:rPr>
          <w:spacing w:val="-7"/>
          <w:sz w:val="20"/>
        </w:rPr>
        <w:t> </w:t>
      </w:r>
      <w:r>
        <w:rPr>
          <w:sz w:val="20"/>
        </w:rPr>
        <w:t>de</w:t>
      </w:r>
      <w:r>
        <w:rPr>
          <w:spacing w:val="-6"/>
          <w:sz w:val="20"/>
        </w:rPr>
        <w:t> </w:t>
      </w:r>
      <w:r>
        <w:rPr>
          <w:sz w:val="20"/>
        </w:rPr>
        <w:t>la</w:t>
      </w:r>
      <w:r>
        <w:rPr>
          <w:spacing w:val="-6"/>
          <w:sz w:val="20"/>
        </w:rPr>
        <w:t> </w:t>
      </w:r>
      <w:r>
        <w:rPr>
          <w:sz w:val="20"/>
        </w:rPr>
        <w:t>Federación</w:t>
      </w:r>
      <w:r>
        <w:rPr>
          <w:spacing w:val="-6"/>
          <w:sz w:val="20"/>
        </w:rPr>
        <w:t> </w:t>
      </w:r>
      <w:r>
        <w:rPr>
          <w:sz w:val="20"/>
        </w:rPr>
        <w:t>(1988).</w:t>
      </w:r>
      <w:r>
        <w:rPr>
          <w:spacing w:val="-2"/>
          <w:sz w:val="20"/>
        </w:rPr>
        <w:t> </w:t>
      </w:r>
      <w:r>
        <w:rPr>
          <w:sz w:val="20"/>
        </w:rPr>
        <w:t>Ley</w:t>
      </w:r>
      <w:r>
        <w:rPr>
          <w:spacing w:val="-9"/>
          <w:sz w:val="20"/>
        </w:rPr>
        <w:t> </w:t>
      </w:r>
      <w:r>
        <w:rPr>
          <w:sz w:val="20"/>
        </w:rPr>
        <w:t>General</w:t>
      </w:r>
      <w:r>
        <w:rPr>
          <w:spacing w:val="-7"/>
          <w:sz w:val="20"/>
        </w:rPr>
        <w:t> </w:t>
      </w:r>
      <w:r>
        <w:rPr>
          <w:sz w:val="20"/>
        </w:rPr>
        <w:t>del</w:t>
      </w:r>
      <w:r>
        <w:rPr>
          <w:spacing w:val="-4"/>
          <w:sz w:val="20"/>
        </w:rPr>
        <w:t> </w:t>
      </w:r>
      <w:r>
        <w:rPr>
          <w:sz w:val="20"/>
        </w:rPr>
        <w:t>Equilibrio</w:t>
      </w:r>
      <w:r>
        <w:rPr>
          <w:spacing w:val="-6"/>
          <w:sz w:val="20"/>
        </w:rPr>
        <w:t> </w:t>
      </w:r>
      <w:r>
        <w:rPr>
          <w:sz w:val="20"/>
        </w:rPr>
        <w:t>Ecológico</w:t>
      </w:r>
      <w:r>
        <w:rPr>
          <w:spacing w:val="-3"/>
          <w:sz w:val="20"/>
        </w:rPr>
        <w:t> </w:t>
      </w:r>
      <w:r>
        <w:rPr>
          <w:sz w:val="20"/>
        </w:rPr>
        <w:t>y</w:t>
      </w:r>
      <w:r>
        <w:rPr>
          <w:spacing w:val="-7"/>
          <w:sz w:val="20"/>
        </w:rPr>
        <w:t> </w:t>
      </w:r>
      <w:r>
        <w:rPr>
          <w:sz w:val="20"/>
        </w:rPr>
        <w:t>la</w:t>
      </w:r>
      <w:r>
        <w:rPr>
          <w:spacing w:val="-3"/>
          <w:sz w:val="20"/>
        </w:rPr>
        <w:t> </w:t>
      </w:r>
      <w:r>
        <w:rPr>
          <w:sz w:val="20"/>
        </w:rPr>
        <w:t>Protección</w:t>
      </w:r>
      <w:r>
        <w:rPr>
          <w:spacing w:val="-3"/>
          <w:sz w:val="20"/>
        </w:rPr>
        <w:t> </w:t>
      </w:r>
      <w:r>
        <w:rPr>
          <w:sz w:val="20"/>
        </w:rPr>
        <w:t>al</w:t>
      </w:r>
      <w:r>
        <w:rPr>
          <w:spacing w:val="-7"/>
          <w:sz w:val="20"/>
        </w:rPr>
        <w:t> </w:t>
      </w:r>
      <w:r>
        <w:rPr>
          <w:sz w:val="20"/>
        </w:rPr>
        <w:t>Ambiente, México, D.</w:t>
      </w:r>
      <w:r>
        <w:rPr>
          <w:spacing w:val="-5"/>
          <w:sz w:val="20"/>
        </w:rPr>
        <w:t> </w:t>
      </w:r>
      <w:r>
        <w:rPr>
          <w:sz w:val="20"/>
        </w:rPr>
        <w:t>F.</w:t>
      </w:r>
    </w:p>
    <w:p>
      <w:pPr>
        <w:spacing w:before="120"/>
        <w:ind w:left="810" w:right="126" w:hanging="708"/>
        <w:jc w:val="both"/>
        <w:rPr>
          <w:sz w:val="20"/>
        </w:rPr>
      </w:pPr>
      <w:r>
        <w:rPr>
          <w:sz w:val="20"/>
        </w:rPr>
        <w:t>Gobierno de los Estados Unidos Mexicanos, Presidencia de la República (2007), Plan Nacional de Desarrollo, 2007-2012. Talleres de Impresión de Estampillas y Valores, México, D. F., 324 p.</w:t>
      </w:r>
    </w:p>
    <w:p>
      <w:pPr>
        <w:spacing w:before="118"/>
        <w:ind w:left="810" w:right="121" w:hanging="708"/>
        <w:jc w:val="both"/>
        <w:rPr>
          <w:sz w:val="20"/>
        </w:rPr>
      </w:pPr>
      <w:r>
        <w:rPr>
          <w:sz w:val="20"/>
        </w:rPr>
        <w:t>Hernández Cerda, M. E. (2008a), Proceso de desertificación (Mapa I.1.4.1). En Caracterización y diagnóstico integrado para el Programa de Ordenamiento Ecológico General del Territorio. SEMARNAT, 1 hoja a escala 1:2 000 000.</w:t>
      </w:r>
    </w:p>
    <w:p>
      <w:pPr>
        <w:spacing w:before="120"/>
        <w:ind w:left="810" w:right="123" w:hanging="708"/>
        <w:jc w:val="both"/>
        <w:rPr>
          <w:sz w:val="20"/>
        </w:rPr>
      </w:pPr>
      <w:r>
        <w:rPr>
          <w:sz w:val="20"/>
        </w:rPr>
        <w:t>Hernández Cerda, M. E. (2008b), Intensidad de las sequías (Mapa I.2.5.1). En Caracterización y diagnóstico integrado para el Programa de Ordenamiento Ecológico General del Territorio. SEMARNAT, 1 hoja a escala 1:2 000 000.</w:t>
      </w:r>
    </w:p>
    <w:p>
      <w:pPr>
        <w:spacing w:before="118"/>
        <w:ind w:left="102" w:right="13" w:firstLine="0"/>
        <w:jc w:val="left"/>
        <w:rPr>
          <w:sz w:val="20"/>
        </w:rPr>
      </w:pPr>
      <w:r>
        <w:rPr>
          <w:sz w:val="20"/>
        </w:rPr>
        <w:t>Instituto</w:t>
      </w:r>
      <w:r>
        <w:rPr>
          <w:spacing w:val="-13"/>
          <w:sz w:val="20"/>
        </w:rPr>
        <w:t> </w:t>
      </w:r>
      <w:r>
        <w:rPr>
          <w:sz w:val="20"/>
        </w:rPr>
        <w:t>de</w:t>
      </w:r>
      <w:r>
        <w:rPr>
          <w:spacing w:val="-16"/>
          <w:sz w:val="20"/>
        </w:rPr>
        <w:t> </w:t>
      </w:r>
      <w:r>
        <w:rPr>
          <w:sz w:val="20"/>
        </w:rPr>
        <w:t>Geografía,</w:t>
      </w:r>
      <w:r>
        <w:rPr>
          <w:spacing w:val="-13"/>
          <w:sz w:val="20"/>
        </w:rPr>
        <w:t> </w:t>
      </w:r>
      <w:r>
        <w:rPr>
          <w:sz w:val="20"/>
        </w:rPr>
        <w:t>UNAM</w:t>
      </w:r>
      <w:r>
        <w:rPr>
          <w:spacing w:val="-15"/>
          <w:sz w:val="20"/>
        </w:rPr>
        <w:t> </w:t>
      </w:r>
      <w:r>
        <w:rPr>
          <w:sz w:val="20"/>
        </w:rPr>
        <w:t>(2007),</w:t>
      </w:r>
      <w:r>
        <w:rPr>
          <w:spacing w:val="-13"/>
          <w:sz w:val="20"/>
        </w:rPr>
        <w:t> </w:t>
      </w:r>
      <w:r>
        <w:rPr>
          <w:sz w:val="20"/>
        </w:rPr>
        <w:t>Nuevo</w:t>
      </w:r>
      <w:r>
        <w:rPr>
          <w:spacing w:val="-13"/>
          <w:sz w:val="20"/>
        </w:rPr>
        <w:t> </w:t>
      </w:r>
      <w:r>
        <w:rPr>
          <w:sz w:val="20"/>
        </w:rPr>
        <w:t>Atlas</w:t>
      </w:r>
      <w:r>
        <w:rPr>
          <w:spacing w:val="-12"/>
          <w:sz w:val="20"/>
        </w:rPr>
        <w:t> </w:t>
      </w:r>
      <w:r>
        <w:rPr>
          <w:sz w:val="20"/>
        </w:rPr>
        <w:t>Nacional</w:t>
      </w:r>
      <w:r>
        <w:rPr>
          <w:spacing w:val="-16"/>
          <w:sz w:val="20"/>
        </w:rPr>
        <w:t> </w:t>
      </w:r>
      <w:r>
        <w:rPr>
          <w:sz w:val="20"/>
        </w:rPr>
        <w:t>de</w:t>
      </w:r>
      <w:r>
        <w:rPr>
          <w:spacing w:val="-13"/>
          <w:sz w:val="20"/>
        </w:rPr>
        <w:t> </w:t>
      </w:r>
      <w:r>
        <w:rPr>
          <w:sz w:val="20"/>
        </w:rPr>
        <w:t>México</w:t>
      </w:r>
      <w:r>
        <w:rPr>
          <w:spacing w:val="-13"/>
          <w:sz w:val="20"/>
        </w:rPr>
        <w:t> </w:t>
      </w:r>
      <w:r>
        <w:rPr>
          <w:sz w:val="20"/>
        </w:rPr>
        <w:t>(Coll-Hurtado,</w:t>
      </w:r>
      <w:r>
        <w:rPr>
          <w:spacing w:val="-13"/>
          <w:sz w:val="20"/>
        </w:rPr>
        <w:t> </w:t>
      </w:r>
      <w:r>
        <w:rPr>
          <w:sz w:val="20"/>
        </w:rPr>
        <w:t>A.</w:t>
      </w:r>
      <w:r>
        <w:rPr>
          <w:spacing w:val="-15"/>
          <w:sz w:val="20"/>
        </w:rPr>
        <w:t> </w:t>
      </w:r>
      <w:r>
        <w:rPr>
          <w:sz w:val="20"/>
        </w:rPr>
        <w:t>coord.).</w:t>
      </w:r>
      <w:r>
        <w:rPr>
          <w:spacing w:val="-15"/>
          <w:sz w:val="20"/>
        </w:rPr>
        <w:t> </w:t>
      </w:r>
      <w:r>
        <w:rPr>
          <w:sz w:val="20"/>
        </w:rPr>
        <w:t>México,</w:t>
      </w:r>
    </w:p>
    <w:p>
      <w:pPr>
        <w:spacing w:before="0"/>
        <w:ind w:left="810" w:right="13" w:firstLine="0"/>
        <w:jc w:val="left"/>
        <w:rPr>
          <w:sz w:val="20"/>
        </w:rPr>
      </w:pPr>
      <w:r>
        <w:rPr>
          <w:sz w:val="20"/>
        </w:rPr>
        <w:t>D. F.</w:t>
      </w:r>
    </w:p>
    <w:p>
      <w:pPr>
        <w:spacing w:after="0"/>
        <w:jc w:val="left"/>
        <w:rPr>
          <w:sz w:val="20"/>
        </w:rPr>
        <w:sectPr>
          <w:pgSz w:w="12250" w:h="15850"/>
          <w:pgMar w:header="0" w:footer="759" w:top="1500" w:bottom="940" w:left="1600" w:right="1300"/>
        </w:sectPr>
      </w:pPr>
    </w:p>
    <w:p>
      <w:pPr>
        <w:pStyle w:val="BodyText"/>
        <w:spacing w:before="8"/>
        <w:rPr>
          <w:sz w:val="10"/>
        </w:rPr>
      </w:pPr>
    </w:p>
    <w:p>
      <w:pPr>
        <w:spacing w:before="74"/>
        <w:ind w:left="102" w:right="13" w:firstLine="0"/>
        <w:jc w:val="left"/>
        <w:rPr>
          <w:sz w:val="20"/>
        </w:rPr>
      </w:pPr>
      <w:r>
        <w:rPr>
          <w:sz w:val="20"/>
        </w:rPr>
        <w:t>Instituto Nacional de Ecología (2003), Avances de México en materia de cambio climático, 2001-2002.</w:t>
      </w:r>
    </w:p>
    <w:p>
      <w:pPr>
        <w:spacing w:before="0"/>
        <w:ind w:left="810" w:right="13" w:firstLine="0"/>
        <w:jc w:val="left"/>
        <w:rPr>
          <w:sz w:val="20"/>
        </w:rPr>
      </w:pPr>
      <w:r>
        <w:rPr>
          <w:sz w:val="20"/>
        </w:rPr>
        <w:t>Jiménez Editores e Impresores, México, D. F., 112 p.</w:t>
      </w:r>
    </w:p>
    <w:p>
      <w:pPr>
        <w:spacing w:before="118"/>
        <w:ind w:left="810" w:right="119" w:hanging="708"/>
        <w:jc w:val="both"/>
        <w:rPr>
          <w:sz w:val="20"/>
        </w:rPr>
      </w:pPr>
      <w:r>
        <w:rPr>
          <w:sz w:val="20"/>
        </w:rPr>
        <w:t>Instituto</w:t>
      </w:r>
      <w:r>
        <w:rPr>
          <w:spacing w:val="-6"/>
          <w:sz w:val="20"/>
        </w:rPr>
        <w:t> </w:t>
      </w:r>
      <w:r>
        <w:rPr>
          <w:sz w:val="20"/>
        </w:rPr>
        <w:t>Nacional</w:t>
      </w:r>
      <w:r>
        <w:rPr>
          <w:spacing w:val="-4"/>
          <w:sz w:val="20"/>
        </w:rPr>
        <w:t> </w:t>
      </w:r>
      <w:r>
        <w:rPr>
          <w:sz w:val="20"/>
        </w:rPr>
        <w:t>de</w:t>
      </w:r>
      <w:r>
        <w:rPr>
          <w:spacing w:val="-3"/>
          <w:sz w:val="20"/>
        </w:rPr>
        <w:t> </w:t>
      </w:r>
      <w:r>
        <w:rPr>
          <w:sz w:val="20"/>
        </w:rPr>
        <w:t>Ecología-INE</w:t>
      </w:r>
      <w:r>
        <w:rPr>
          <w:spacing w:val="-6"/>
          <w:sz w:val="20"/>
        </w:rPr>
        <w:t> </w:t>
      </w:r>
      <w:r>
        <w:rPr>
          <w:sz w:val="20"/>
        </w:rPr>
        <w:t>(2006),</w:t>
      </w:r>
      <w:r>
        <w:rPr>
          <w:spacing w:val="-5"/>
          <w:sz w:val="20"/>
        </w:rPr>
        <w:t> </w:t>
      </w:r>
      <w:r>
        <w:rPr>
          <w:sz w:val="20"/>
        </w:rPr>
        <w:t>México,</w:t>
      </w:r>
      <w:r>
        <w:rPr>
          <w:spacing w:val="-6"/>
          <w:sz w:val="20"/>
        </w:rPr>
        <w:t> </w:t>
      </w:r>
      <w:r>
        <w:rPr>
          <w:sz w:val="20"/>
        </w:rPr>
        <w:t>Tercera</w:t>
      </w:r>
      <w:r>
        <w:rPr>
          <w:spacing w:val="-5"/>
          <w:sz w:val="20"/>
        </w:rPr>
        <w:t> </w:t>
      </w:r>
      <w:r>
        <w:rPr>
          <w:sz w:val="20"/>
        </w:rPr>
        <w:t>Comunicación</w:t>
      </w:r>
      <w:r>
        <w:rPr>
          <w:spacing w:val="-6"/>
          <w:sz w:val="20"/>
        </w:rPr>
        <w:t> </w:t>
      </w:r>
      <w:r>
        <w:rPr>
          <w:sz w:val="20"/>
        </w:rPr>
        <w:t>Nacional</w:t>
      </w:r>
      <w:r>
        <w:rPr>
          <w:spacing w:val="-7"/>
          <w:sz w:val="20"/>
        </w:rPr>
        <w:t> </w:t>
      </w:r>
      <w:r>
        <w:rPr>
          <w:sz w:val="20"/>
        </w:rPr>
        <w:t>ante</w:t>
      </w:r>
      <w:r>
        <w:rPr>
          <w:spacing w:val="-3"/>
          <w:sz w:val="20"/>
        </w:rPr>
        <w:t> </w:t>
      </w:r>
      <w:r>
        <w:rPr>
          <w:sz w:val="20"/>
        </w:rPr>
        <w:t>la</w:t>
      </w:r>
      <w:r>
        <w:rPr>
          <w:spacing w:val="-3"/>
          <w:sz w:val="20"/>
        </w:rPr>
        <w:t> </w:t>
      </w:r>
      <w:r>
        <w:rPr>
          <w:sz w:val="20"/>
        </w:rPr>
        <w:t>Convención Marco</w:t>
      </w:r>
      <w:r>
        <w:rPr>
          <w:spacing w:val="-13"/>
          <w:sz w:val="20"/>
        </w:rPr>
        <w:t> </w:t>
      </w:r>
      <w:r>
        <w:rPr>
          <w:sz w:val="20"/>
        </w:rPr>
        <w:t>de</w:t>
      </w:r>
      <w:r>
        <w:rPr>
          <w:spacing w:val="-13"/>
          <w:sz w:val="20"/>
        </w:rPr>
        <w:t> </w:t>
      </w:r>
      <w:r>
        <w:rPr>
          <w:sz w:val="20"/>
        </w:rPr>
        <w:t>las</w:t>
      </w:r>
      <w:r>
        <w:rPr>
          <w:spacing w:val="-12"/>
          <w:sz w:val="20"/>
        </w:rPr>
        <w:t> </w:t>
      </w:r>
      <w:r>
        <w:rPr>
          <w:sz w:val="20"/>
        </w:rPr>
        <w:t>Naciones</w:t>
      </w:r>
      <w:r>
        <w:rPr>
          <w:spacing w:val="-11"/>
          <w:sz w:val="20"/>
        </w:rPr>
        <w:t> </w:t>
      </w:r>
      <w:r>
        <w:rPr>
          <w:sz w:val="20"/>
        </w:rPr>
        <w:t>Unidas</w:t>
      </w:r>
      <w:r>
        <w:rPr>
          <w:spacing w:val="-11"/>
          <w:sz w:val="20"/>
        </w:rPr>
        <w:t> </w:t>
      </w:r>
      <w:r>
        <w:rPr>
          <w:sz w:val="20"/>
        </w:rPr>
        <w:t>sobre</w:t>
      </w:r>
      <w:r>
        <w:rPr>
          <w:spacing w:val="-13"/>
          <w:sz w:val="20"/>
        </w:rPr>
        <w:t> </w:t>
      </w:r>
      <w:r>
        <w:rPr>
          <w:sz w:val="20"/>
        </w:rPr>
        <w:t>el</w:t>
      </w:r>
      <w:r>
        <w:rPr>
          <w:spacing w:val="-14"/>
          <w:sz w:val="20"/>
        </w:rPr>
        <w:t> </w:t>
      </w:r>
      <w:r>
        <w:rPr>
          <w:sz w:val="20"/>
        </w:rPr>
        <w:t>Cambio</w:t>
      </w:r>
      <w:r>
        <w:rPr>
          <w:spacing w:val="-13"/>
          <w:sz w:val="20"/>
        </w:rPr>
        <w:t> </w:t>
      </w:r>
      <w:r>
        <w:rPr>
          <w:sz w:val="20"/>
        </w:rPr>
        <w:t>Climático.</w:t>
      </w:r>
      <w:r>
        <w:rPr>
          <w:spacing w:val="-13"/>
          <w:sz w:val="20"/>
        </w:rPr>
        <w:t> </w:t>
      </w:r>
      <w:r>
        <w:rPr>
          <w:sz w:val="20"/>
        </w:rPr>
        <w:t>S</w:t>
      </w:r>
      <w:r>
        <w:rPr>
          <w:spacing w:val="-11"/>
          <w:sz w:val="20"/>
        </w:rPr>
        <w:t> </w:t>
      </w:r>
      <w:r>
        <w:rPr>
          <w:sz w:val="20"/>
        </w:rPr>
        <w:t>y</w:t>
      </w:r>
      <w:r>
        <w:rPr>
          <w:spacing w:val="-16"/>
          <w:sz w:val="20"/>
        </w:rPr>
        <w:t> </w:t>
      </w:r>
      <w:r>
        <w:rPr>
          <w:sz w:val="20"/>
        </w:rPr>
        <w:t>G</w:t>
      </w:r>
      <w:r>
        <w:rPr>
          <w:spacing w:val="-12"/>
          <w:sz w:val="20"/>
        </w:rPr>
        <w:t> </w:t>
      </w:r>
      <w:r>
        <w:rPr>
          <w:sz w:val="20"/>
        </w:rPr>
        <w:t>editores,</w:t>
      </w:r>
      <w:r>
        <w:rPr>
          <w:spacing w:val="-13"/>
          <w:sz w:val="20"/>
        </w:rPr>
        <w:t> </w:t>
      </w:r>
      <w:r>
        <w:rPr>
          <w:sz w:val="20"/>
        </w:rPr>
        <w:t>S.</w:t>
      </w:r>
      <w:r>
        <w:rPr>
          <w:spacing w:val="-13"/>
          <w:sz w:val="20"/>
        </w:rPr>
        <w:t> </w:t>
      </w:r>
      <w:r>
        <w:rPr>
          <w:sz w:val="20"/>
        </w:rPr>
        <w:t>A.</w:t>
      </w:r>
      <w:r>
        <w:rPr>
          <w:spacing w:val="-13"/>
          <w:sz w:val="20"/>
        </w:rPr>
        <w:t> </w:t>
      </w:r>
      <w:r>
        <w:rPr>
          <w:sz w:val="20"/>
        </w:rPr>
        <w:t>de</w:t>
      </w:r>
      <w:r>
        <w:rPr>
          <w:spacing w:val="-11"/>
          <w:sz w:val="20"/>
        </w:rPr>
        <w:t> </w:t>
      </w:r>
      <w:r>
        <w:rPr>
          <w:sz w:val="20"/>
        </w:rPr>
        <w:t>C.</w:t>
      </w:r>
      <w:r>
        <w:rPr>
          <w:spacing w:val="-12"/>
          <w:sz w:val="20"/>
        </w:rPr>
        <w:t> </w:t>
      </w:r>
      <w:r>
        <w:rPr>
          <w:sz w:val="20"/>
        </w:rPr>
        <w:t>V.,</w:t>
      </w:r>
      <w:r>
        <w:rPr>
          <w:spacing w:val="-13"/>
          <w:sz w:val="20"/>
        </w:rPr>
        <w:t> </w:t>
      </w:r>
      <w:r>
        <w:rPr>
          <w:sz w:val="20"/>
        </w:rPr>
        <w:t>México, D. F., 208</w:t>
      </w:r>
      <w:r>
        <w:rPr>
          <w:spacing w:val="-5"/>
          <w:sz w:val="20"/>
        </w:rPr>
        <w:t> </w:t>
      </w:r>
      <w:r>
        <w:rPr>
          <w:sz w:val="20"/>
        </w:rPr>
        <w:t>p.</w:t>
      </w:r>
    </w:p>
    <w:p>
      <w:pPr>
        <w:spacing w:before="120"/>
        <w:ind w:left="810" w:right="117" w:hanging="708"/>
        <w:jc w:val="both"/>
        <w:rPr>
          <w:sz w:val="20"/>
        </w:rPr>
      </w:pPr>
      <w:r>
        <w:rPr>
          <w:sz w:val="20"/>
        </w:rPr>
        <w:t>Instituto Nacional de Ecología, Universidad Nacional Autónoma de México, U. S. Country Studies Program (2000), México: una visión hacia el siglo XXI. El cambio climático en México. Gay García, C. (Comp.). Editorial Toffer, S. A. de C. V., México, D. F., 220 p.</w:t>
      </w:r>
    </w:p>
    <w:p>
      <w:pPr>
        <w:spacing w:before="118"/>
        <w:ind w:left="810" w:right="115" w:hanging="708"/>
        <w:jc w:val="both"/>
        <w:rPr>
          <w:sz w:val="20"/>
        </w:rPr>
      </w:pPr>
      <w:r>
        <w:rPr>
          <w:sz w:val="20"/>
        </w:rPr>
        <w:t>Juárez Gutiérrez, M. del C., A., García de León (2007a), Índice medio de educación (S XII 2). En Coll- Hurtado, A. coord. (2007), Nuevo Atlas Nacional de México, Instituto de Geografía, UNAM, México, D. F. ISBN: 978-970-32-5047-9.</w:t>
      </w:r>
    </w:p>
    <w:p>
      <w:pPr>
        <w:spacing w:before="121"/>
        <w:ind w:left="102" w:right="13" w:firstLine="0"/>
        <w:jc w:val="left"/>
        <w:rPr>
          <w:sz w:val="20"/>
        </w:rPr>
      </w:pPr>
      <w:r>
        <w:rPr>
          <w:sz w:val="20"/>
        </w:rPr>
        <w:t>Juárez</w:t>
      </w:r>
      <w:r>
        <w:rPr>
          <w:spacing w:val="-18"/>
          <w:sz w:val="20"/>
        </w:rPr>
        <w:t> </w:t>
      </w:r>
      <w:r>
        <w:rPr>
          <w:sz w:val="20"/>
        </w:rPr>
        <w:t>Gutiérrez,</w:t>
      </w:r>
      <w:r>
        <w:rPr>
          <w:spacing w:val="-15"/>
          <w:sz w:val="20"/>
        </w:rPr>
        <w:t> </w:t>
      </w:r>
      <w:r>
        <w:rPr>
          <w:sz w:val="20"/>
        </w:rPr>
        <w:t>M.</w:t>
      </w:r>
      <w:r>
        <w:rPr>
          <w:spacing w:val="-15"/>
          <w:sz w:val="20"/>
        </w:rPr>
        <w:t> </w:t>
      </w:r>
      <w:r>
        <w:rPr>
          <w:sz w:val="20"/>
        </w:rPr>
        <w:t>del</w:t>
      </w:r>
      <w:r>
        <w:rPr>
          <w:spacing w:val="-16"/>
          <w:sz w:val="20"/>
        </w:rPr>
        <w:t> </w:t>
      </w:r>
      <w:r>
        <w:rPr>
          <w:sz w:val="20"/>
        </w:rPr>
        <w:t>C.,</w:t>
      </w:r>
      <w:r>
        <w:rPr>
          <w:spacing w:val="-13"/>
          <w:sz w:val="20"/>
        </w:rPr>
        <w:t> </w:t>
      </w:r>
      <w:r>
        <w:rPr>
          <w:sz w:val="20"/>
        </w:rPr>
        <w:t>A.,</w:t>
      </w:r>
      <w:r>
        <w:rPr>
          <w:spacing w:val="-15"/>
          <w:sz w:val="20"/>
        </w:rPr>
        <w:t> </w:t>
      </w:r>
      <w:r>
        <w:rPr>
          <w:sz w:val="20"/>
        </w:rPr>
        <w:t>García</w:t>
      </w:r>
      <w:r>
        <w:rPr>
          <w:spacing w:val="-15"/>
          <w:sz w:val="20"/>
        </w:rPr>
        <w:t> </w:t>
      </w:r>
      <w:r>
        <w:rPr>
          <w:sz w:val="20"/>
        </w:rPr>
        <w:t>de</w:t>
      </w:r>
      <w:r>
        <w:rPr>
          <w:spacing w:val="-16"/>
          <w:sz w:val="20"/>
        </w:rPr>
        <w:t> </w:t>
      </w:r>
      <w:r>
        <w:rPr>
          <w:sz w:val="20"/>
        </w:rPr>
        <w:t>León</w:t>
      </w:r>
      <w:r>
        <w:rPr>
          <w:spacing w:val="-16"/>
          <w:sz w:val="20"/>
        </w:rPr>
        <w:t> </w:t>
      </w:r>
      <w:r>
        <w:rPr>
          <w:sz w:val="20"/>
        </w:rPr>
        <w:t>(2007b),</w:t>
      </w:r>
      <w:r>
        <w:rPr>
          <w:spacing w:val="-12"/>
          <w:sz w:val="20"/>
        </w:rPr>
        <w:t> </w:t>
      </w:r>
      <w:r>
        <w:rPr>
          <w:sz w:val="20"/>
        </w:rPr>
        <w:t>Índice</w:t>
      </w:r>
      <w:r>
        <w:rPr>
          <w:spacing w:val="-15"/>
          <w:sz w:val="20"/>
        </w:rPr>
        <w:t> </w:t>
      </w:r>
      <w:r>
        <w:rPr>
          <w:sz w:val="20"/>
        </w:rPr>
        <w:t>medio</w:t>
      </w:r>
      <w:r>
        <w:rPr>
          <w:spacing w:val="-15"/>
          <w:sz w:val="20"/>
        </w:rPr>
        <w:t> </w:t>
      </w:r>
      <w:r>
        <w:rPr>
          <w:sz w:val="20"/>
        </w:rPr>
        <w:t>de</w:t>
      </w:r>
      <w:r>
        <w:rPr>
          <w:spacing w:val="-16"/>
          <w:sz w:val="20"/>
        </w:rPr>
        <w:t> </w:t>
      </w:r>
      <w:r>
        <w:rPr>
          <w:sz w:val="20"/>
        </w:rPr>
        <w:t>salud</w:t>
      </w:r>
      <w:r>
        <w:rPr>
          <w:spacing w:val="-16"/>
          <w:sz w:val="20"/>
        </w:rPr>
        <w:t> </w:t>
      </w:r>
      <w:r>
        <w:rPr>
          <w:sz w:val="20"/>
        </w:rPr>
        <w:t>(S</w:t>
      </w:r>
      <w:r>
        <w:rPr>
          <w:spacing w:val="-16"/>
          <w:sz w:val="20"/>
        </w:rPr>
        <w:t> </w:t>
      </w:r>
      <w:r>
        <w:rPr>
          <w:sz w:val="20"/>
        </w:rPr>
        <w:t>XII</w:t>
      </w:r>
      <w:r>
        <w:rPr>
          <w:spacing w:val="-15"/>
          <w:sz w:val="20"/>
        </w:rPr>
        <w:t> </w:t>
      </w:r>
      <w:r>
        <w:rPr>
          <w:sz w:val="20"/>
        </w:rPr>
        <w:t>3).</w:t>
      </w:r>
      <w:r>
        <w:rPr>
          <w:spacing w:val="-14"/>
          <w:sz w:val="20"/>
        </w:rPr>
        <w:t> </w:t>
      </w:r>
      <w:r>
        <w:rPr>
          <w:sz w:val="20"/>
        </w:rPr>
        <w:t>En</w:t>
      </w:r>
      <w:r>
        <w:rPr>
          <w:spacing w:val="-9"/>
          <w:sz w:val="20"/>
        </w:rPr>
        <w:t> </w:t>
      </w:r>
      <w:r>
        <w:rPr>
          <w:sz w:val="20"/>
        </w:rPr>
        <w:t>Coll-Hurtado,</w:t>
      </w:r>
    </w:p>
    <w:p>
      <w:pPr>
        <w:spacing w:before="0"/>
        <w:ind w:left="810" w:right="13" w:firstLine="0"/>
        <w:jc w:val="left"/>
        <w:rPr>
          <w:sz w:val="20"/>
        </w:rPr>
      </w:pPr>
      <w:r>
        <w:rPr>
          <w:sz w:val="20"/>
        </w:rPr>
        <w:t>A. coord. (2007), Nuevo Atlas Nacional de México, Instituto de Geografía, UNAM, México, D. F. ISBN: 978-970-32-5047-9.</w:t>
      </w:r>
    </w:p>
    <w:p>
      <w:pPr>
        <w:spacing w:before="120"/>
        <w:ind w:left="810" w:right="117" w:hanging="708"/>
        <w:jc w:val="both"/>
        <w:rPr>
          <w:sz w:val="20"/>
        </w:rPr>
      </w:pPr>
      <w:r>
        <w:rPr>
          <w:sz w:val="20"/>
        </w:rPr>
        <w:t>Juárez Gutiérrez, M. del C., A. (2007c), Tenencia y Hacinamiento de la vivienda (S XI 6). En Coll- Hurtado, A. coord. (2007), Nuevo Atlas Nacional de México, Instituto de Geografía, UNAM, México, D. F. ISBN: 978-970-32-5047-9.</w:t>
      </w:r>
    </w:p>
    <w:p>
      <w:pPr>
        <w:spacing w:before="120"/>
        <w:ind w:left="810" w:right="114" w:hanging="708"/>
        <w:jc w:val="both"/>
        <w:rPr>
          <w:sz w:val="20"/>
        </w:rPr>
      </w:pPr>
      <w:r>
        <w:rPr>
          <w:sz w:val="20"/>
        </w:rPr>
        <w:t>Juárez</w:t>
      </w:r>
      <w:r>
        <w:rPr>
          <w:spacing w:val="-13"/>
          <w:sz w:val="20"/>
        </w:rPr>
        <w:t> </w:t>
      </w:r>
      <w:r>
        <w:rPr>
          <w:sz w:val="20"/>
        </w:rPr>
        <w:t>Gutiérrez,</w:t>
      </w:r>
      <w:r>
        <w:rPr>
          <w:spacing w:val="-10"/>
          <w:sz w:val="20"/>
        </w:rPr>
        <w:t> </w:t>
      </w:r>
      <w:r>
        <w:rPr>
          <w:sz w:val="20"/>
        </w:rPr>
        <w:t>M.</w:t>
      </w:r>
      <w:r>
        <w:rPr>
          <w:spacing w:val="-11"/>
          <w:sz w:val="20"/>
        </w:rPr>
        <w:t> </w:t>
      </w:r>
      <w:r>
        <w:rPr>
          <w:sz w:val="20"/>
        </w:rPr>
        <w:t>del</w:t>
      </w:r>
      <w:r>
        <w:rPr>
          <w:spacing w:val="-11"/>
          <w:sz w:val="20"/>
        </w:rPr>
        <w:t> </w:t>
      </w:r>
      <w:r>
        <w:rPr>
          <w:sz w:val="20"/>
        </w:rPr>
        <w:t>C.,</w:t>
      </w:r>
      <w:r>
        <w:rPr>
          <w:spacing w:val="-8"/>
          <w:sz w:val="20"/>
        </w:rPr>
        <w:t> </w:t>
      </w:r>
      <w:r>
        <w:rPr>
          <w:sz w:val="20"/>
        </w:rPr>
        <w:t>A.</w:t>
      </w:r>
      <w:r>
        <w:rPr>
          <w:spacing w:val="-10"/>
          <w:sz w:val="20"/>
        </w:rPr>
        <w:t> </w:t>
      </w:r>
      <w:r>
        <w:rPr>
          <w:sz w:val="20"/>
        </w:rPr>
        <w:t>(2007d),</w:t>
      </w:r>
      <w:r>
        <w:rPr>
          <w:spacing w:val="-10"/>
          <w:sz w:val="20"/>
        </w:rPr>
        <w:t> </w:t>
      </w:r>
      <w:r>
        <w:rPr>
          <w:sz w:val="20"/>
        </w:rPr>
        <w:t>Consolidación</w:t>
      </w:r>
      <w:r>
        <w:rPr>
          <w:spacing w:val="-8"/>
          <w:sz w:val="20"/>
        </w:rPr>
        <w:t> </w:t>
      </w:r>
      <w:r>
        <w:rPr>
          <w:sz w:val="20"/>
        </w:rPr>
        <w:t>de</w:t>
      </w:r>
      <w:r>
        <w:rPr>
          <w:spacing w:val="-11"/>
          <w:sz w:val="20"/>
        </w:rPr>
        <w:t> </w:t>
      </w:r>
      <w:r>
        <w:rPr>
          <w:sz w:val="20"/>
        </w:rPr>
        <w:t>la</w:t>
      </w:r>
      <w:r>
        <w:rPr>
          <w:spacing w:val="-8"/>
          <w:sz w:val="20"/>
        </w:rPr>
        <w:t> </w:t>
      </w:r>
      <w:r>
        <w:rPr>
          <w:sz w:val="20"/>
        </w:rPr>
        <w:t>vivienda</w:t>
      </w:r>
      <w:r>
        <w:rPr>
          <w:spacing w:val="-11"/>
          <w:sz w:val="20"/>
        </w:rPr>
        <w:t> </w:t>
      </w:r>
      <w:r>
        <w:rPr>
          <w:sz w:val="20"/>
        </w:rPr>
        <w:t>(S</w:t>
      </w:r>
      <w:r>
        <w:rPr>
          <w:spacing w:val="-11"/>
          <w:sz w:val="20"/>
        </w:rPr>
        <w:t> </w:t>
      </w:r>
      <w:r>
        <w:rPr>
          <w:sz w:val="20"/>
        </w:rPr>
        <w:t>XI</w:t>
      </w:r>
      <w:r>
        <w:rPr>
          <w:spacing w:val="-10"/>
          <w:sz w:val="20"/>
        </w:rPr>
        <w:t> </w:t>
      </w:r>
      <w:r>
        <w:rPr>
          <w:sz w:val="20"/>
        </w:rPr>
        <w:t>5).</w:t>
      </w:r>
      <w:r>
        <w:rPr>
          <w:spacing w:val="-10"/>
          <w:sz w:val="20"/>
        </w:rPr>
        <w:t> </w:t>
      </w:r>
      <w:r>
        <w:rPr>
          <w:sz w:val="20"/>
        </w:rPr>
        <w:t>En</w:t>
      </w:r>
      <w:r>
        <w:rPr>
          <w:spacing w:val="-10"/>
          <w:sz w:val="20"/>
        </w:rPr>
        <w:t> </w:t>
      </w:r>
      <w:r>
        <w:rPr>
          <w:sz w:val="20"/>
        </w:rPr>
        <w:t>Coll-Hurtado,</w:t>
      </w:r>
      <w:r>
        <w:rPr>
          <w:spacing w:val="-11"/>
          <w:sz w:val="20"/>
        </w:rPr>
        <w:t> </w:t>
      </w:r>
      <w:r>
        <w:rPr>
          <w:sz w:val="20"/>
        </w:rPr>
        <w:t>A.</w:t>
      </w:r>
      <w:r>
        <w:rPr>
          <w:spacing w:val="-10"/>
          <w:sz w:val="20"/>
        </w:rPr>
        <w:t> </w:t>
      </w:r>
      <w:r>
        <w:rPr>
          <w:sz w:val="20"/>
        </w:rPr>
        <w:t>coord. (2007), Nuevo Atlas Nacional de México, Instituto de Geografía, UNAM, México, D. F. ISBN: 978-970-32-5047-9.</w:t>
      </w:r>
    </w:p>
    <w:p>
      <w:pPr>
        <w:spacing w:before="120"/>
        <w:ind w:left="102" w:right="13" w:firstLine="0"/>
        <w:jc w:val="left"/>
        <w:rPr>
          <w:sz w:val="20"/>
        </w:rPr>
      </w:pPr>
      <w:r>
        <w:rPr>
          <w:sz w:val="20"/>
        </w:rPr>
        <w:t>Landa, R., V. Magaña, C. Neri (2008), Agua y clima: elementos para la adaptación al cambio climático.</w:t>
      </w:r>
    </w:p>
    <w:p>
      <w:pPr>
        <w:spacing w:before="0"/>
        <w:ind w:left="810" w:right="13" w:firstLine="0"/>
        <w:jc w:val="left"/>
        <w:rPr>
          <w:sz w:val="20"/>
        </w:rPr>
      </w:pPr>
      <w:r>
        <w:rPr>
          <w:sz w:val="20"/>
        </w:rPr>
        <w:t>S y G editores, S. A. de C. V., México, D. F., 133 p.</w:t>
      </w:r>
    </w:p>
    <w:p>
      <w:pPr>
        <w:spacing w:before="120"/>
        <w:ind w:left="810" w:right="116" w:hanging="708"/>
        <w:jc w:val="both"/>
        <w:rPr>
          <w:sz w:val="20"/>
        </w:rPr>
      </w:pPr>
      <w:r>
        <w:rPr>
          <w:sz w:val="20"/>
        </w:rPr>
        <w:t>López Blanco, J. (2008), Regionalización ambiental (biofísica) nacional (Mapa I.6.1.1). En Caracterización y diagnóstico integrado para el Programa de Ordenamiento Ecológico General del Territorio. SEMARNAT, 1 hoja a escala 1:2 000 000.</w:t>
      </w:r>
    </w:p>
    <w:p>
      <w:pPr>
        <w:spacing w:before="118"/>
        <w:ind w:left="810" w:right="117" w:hanging="708"/>
        <w:jc w:val="both"/>
        <w:rPr>
          <w:sz w:val="20"/>
        </w:rPr>
      </w:pPr>
      <w:r>
        <w:rPr>
          <w:sz w:val="20"/>
        </w:rPr>
        <w:t>López García, J. (2008a), Tipos de degradación de suelos (Mapa I.1.2.1). En Caracterización y diagnóstico integrado para el Programa de Ordenamiento Ecológico General del Territorio. SEMARNAT, 1 hoja a escala 1:2 000 000.</w:t>
      </w:r>
    </w:p>
    <w:p>
      <w:pPr>
        <w:spacing w:before="120"/>
        <w:ind w:left="810" w:right="113" w:hanging="708"/>
        <w:jc w:val="both"/>
        <w:rPr>
          <w:sz w:val="20"/>
        </w:rPr>
      </w:pPr>
      <w:r>
        <w:rPr>
          <w:sz w:val="20"/>
        </w:rPr>
        <w:t>López García, J. (2008b), Tipos de suelos no degradados (Mapa I.4.1.1). En Caracterización y diagnóstico integrado para el Programa de Ordenamiento Ecológico General del Territorio. SEMARNAT, 1 hoja a escala 1:2 000 000.</w:t>
      </w:r>
    </w:p>
    <w:p>
      <w:pPr>
        <w:spacing w:before="118"/>
        <w:ind w:left="810" w:right="122" w:hanging="708"/>
        <w:jc w:val="both"/>
        <w:rPr>
          <w:sz w:val="20"/>
        </w:rPr>
      </w:pPr>
      <w:r>
        <w:rPr>
          <w:sz w:val="20"/>
        </w:rPr>
        <w:t>López</w:t>
      </w:r>
      <w:r>
        <w:rPr>
          <w:spacing w:val="-16"/>
          <w:sz w:val="20"/>
        </w:rPr>
        <w:t> </w:t>
      </w:r>
      <w:r>
        <w:rPr>
          <w:sz w:val="20"/>
        </w:rPr>
        <w:t>García,</w:t>
      </w:r>
      <w:r>
        <w:rPr>
          <w:spacing w:val="-16"/>
          <w:sz w:val="20"/>
        </w:rPr>
        <w:t> </w:t>
      </w:r>
      <w:r>
        <w:rPr>
          <w:sz w:val="20"/>
        </w:rPr>
        <w:t>J.</w:t>
      </w:r>
      <w:r>
        <w:rPr>
          <w:spacing w:val="-15"/>
          <w:sz w:val="20"/>
        </w:rPr>
        <w:t> </w:t>
      </w:r>
      <w:r>
        <w:rPr>
          <w:sz w:val="20"/>
        </w:rPr>
        <w:t>(2008c),</w:t>
      </w:r>
      <w:r>
        <w:rPr>
          <w:spacing w:val="-13"/>
          <w:sz w:val="20"/>
        </w:rPr>
        <w:t> </w:t>
      </w:r>
      <w:r>
        <w:rPr>
          <w:sz w:val="20"/>
        </w:rPr>
        <w:t>Áreas</w:t>
      </w:r>
      <w:r>
        <w:rPr>
          <w:spacing w:val="-14"/>
          <w:sz w:val="20"/>
        </w:rPr>
        <w:t> </w:t>
      </w:r>
      <w:r>
        <w:rPr>
          <w:sz w:val="20"/>
        </w:rPr>
        <w:t>con</w:t>
      </w:r>
      <w:r>
        <w:rPr>
          <w:spacing w:val="-16"/>
          <w:sz w:val="20"/>
        </w:rPr>
        <w:t> </w:t>
      </w:r>
      <w:r>
        <w:rPr>
          <w:sz w:val="20"/>
        </w:rPr>
        <w:t>suelos</w:t>
      </w:r>
      <w:r>
        <w:rPr>
          <w:spacing w:val="-14"/>
          <w:sz w:val="20"/>
        </w:rPr>
        <w:t> </w:t>
      </w:r>
      <w:r>
        <w:rPr>
          <w:sz w:val="20"/>
        </w:rPr>
        <w:t>degradados</w:t>
      </w:r>
      <w:r>
        <w:rPr>
          <w:spacing w:val="-14"/>
          <w:sz w:val="20"/>
        </w:rPr>
        <w:t> </w:t>
      </w:r>
      <w:r>
        <w:rPr>
          <w:sz w:val="20"/>
        </w:rPr>
        <w:t>(Mapa</w:t>
      </w:r>
      <w:r>
        <w:rPr>
          <w:spacing w:val="-16"/>
          <w:sz w:val="20"/>
        </w:rPr>
        <w:t> </w:t>
      </w:r>
      <w:r>
        <w:rPr>
          <w:sz w:val="20"/>
        </w:rPr>
        <w:t>I.5.1.1).</w:t>
      </w:r>
      <w:r>
        <w:rPr>
          <w:spacing w:val="-14"/>
          <w:sz w:val="20"/>
        </w:rPr>
        <w:t> </w:t>
      </w:r>
      <w:r>
        <w:rPr>
          <w:sz w:val="20"/>
        </w:rPr>
        <w:t>En</w:t>
      </w:r>
      <w:r>
        <w:rPr>
          <w:spacing w:val="-15"/>
          <w:sz w:val="20"/>
        </w:rPr>
        <w:t> </w:t>
      </w:r>
      <w:r>
        <w:rPr>
          <w:sz w:val="20"/>
        </w:rPr>
        <w:t>Caracterización</w:t>
      </w:r>
      <w:r>
        <w:rPr>
          <w:spacing w:val="-13"/>
          <w:sz w:val="20"/>
        </w:rPr>
        <w:t> </w:t>
      </w:r>
      <w:r>
        <w:rPr>
          <w:sz w:val="20"/>
        </w:rPr>
        <w:t>y</w:t>
      </w:r>
      <w:r>
        <w:rPr>
          <w:spacing w:val="-16"/>
          <w:sz w:val="20"/>
        </w:rPr>
        <w:t> </w:t>
      </w:r>
      <w:r>
        <w:rPr>
          <w:sz w:val="20"/>
        </w:rPr>
        <w:t>diagnóstico integrado para el Programa de Ordenamiento Ecológico General del Territorio. SEMARNAT, 1 hoja a escala 1:2 000</w:t>
      </w:r>
      <w:r>
        <w:rPr>
          <w:spacing w:val="-7"/>
          <w:sz w:val="20"/>
        </w:rPr>
        <w:t> </w:t>
      </w:r>
      <w:r>
        <w:rPr>
          <w:sz w:val="20"/>
        </w:rPr>
        <w:t>000.</w:t>
      </w:r>
    </w:p>
    <w:p>
      <w:pPr>
        <w:spacing w:before="120"/>
        <w:ind w:left="810" w:right="117" w:hanging="708"/>
        <w:jc w:val="both"/>
        <w:rPr>
          <w:sz w:val="20"/>
        </w:rPr>
      </w:pPr>
      <w:r>
        <w:rPr>
          <w:sz w:val="20"/>
        </w:rPr>
        <w:t>Mateo Rodríguez, J., M., Bollo Manent (1994), Analise da paisage como base para estrategio de Organizacao Geoambiental: Corumbatai cspl Colectario 004 Planeamiento Ambiental, Universidad de Sao Paulo, Brasil, pp. 57-105.</w:t>
      </w:r>
    </w:p>
    <w:p>
      <w:pPr>
        <w:spacing w:before="120"/>
        <w:ind w:left="810" w:right="123" w:hanging="708"/>
        <w:jc w:val="both"/>
        <w:rPr>
          <w:sz w:val="20"/>
        </w:rPr>
      </w:pPr>
      <w:r>
        <w:rPr>
          <w:sz w:val="20"/>
        </w:rPr>
        <w:t>Mateo Rodríguez, J. M. y Ortiz-Pérez, M, A. (2001), La degradación de los paisajes como concepción teórico- metodológica. Nueva Época, No. 1, Instituto de Geografía, UNAM, México, D. F.</w:t>
      </w:r>
    </w:p>
    <w:p>
      <w:pPr>
        <w:spacing w:before="120"/>
        <w:ind w:left="810" w:right="123" w:hanging="708"/>
        <w:jc w:val="both"/>
        <w:rPr>
          <w:sz w:val="20"/>
        </w:rPr>
      </w:pPr>
      <w:r>
        <w:rPr>
          <w:sz w:val="20"/>
        </w:rPr>
        <w:t>Melo Gallegos, C., G., Alfaro Sánchez (2008). Sistema Nacional de Áreas Protegidas. En Caracterización y diagnóstico integrado para el Programa de Ordenamiento Ecológico General del Territorio. SEMARNAT, 1 hoja a escala 1:2 000 000.</w:t>
      </w:r>
    </w:p>
    <w:p>
      <w:pPr>
        <w:spacing w:before="118"/>
        <w:ind w:left="810" w:right="112" w:hanging="708"/>
        <w:jc w:val="both"/>
        <w:rPr>
          <w:sz w:val="20"/>
        </w:rPr>
      </w:pPr>
      <w:r>
        <w:rPr>
          <w:sz w:val="20"/>
        </w:rPr>
        <w:t>Morales, J., A., Coll-Hurtado (2007), Capitalización de la industria, 2003 (E VIII 9). En Coll-Hurtado, A. coord. (2007), Nuevo Atlas Nacional de México, Instituto de Geografía, UNAM, México, D. F. ISBN: 978-970-32-5047-9.</w:t>
      </w:r>
    </w:p>
    <w:p>
      <w:pPr>
        <w:spacing w:after="0"/>
        <w:jc w:val="both"/>
        <w:rPr>
          <w:sz w:val="20"/>
        </w:rPr>
        <w:sectPr>
          <w:pgSz w:w="12250" w:h="15850"/>
          <w:pgMar w:header="0" w:footer="759" w:top="1500" w:bottom="940" w:left="1600" w:right="1300"/>
        </w:sectPr>
      </w:pPr>
    </w:p>
    <w:p>
      <w:pPr>
        <w:pStyle w:val="BodyText"/>
        <w:spacing w:before="8"/>
        <w:rPr>
          <w:sz w:val="10"/>
        </w:rPr>
      </w:pPr>
    </w:p>
    <w:p>
      <w:pPr>
        <w:spacing w:before="74"/>
        <w:ind w:left="810" w:right="119" w:hanging="708"/>
        <w:jc w:val="both"/>
        <w:rPr>
          <w:sz w:val="20"/>
        </w:rPr>
      </w:pPr>
      <w:r>
        <w:rPr>
          <w:sz w:val="20"/>
        </w:rPr>
        <w:t>Sánchez Colón, S., I., Trejo Vázquez, I. A., Cruz Leyva (2008a), Grados de deterioro de la vegetación (Mapa I.1.3.1). En Caracterización y diagnóstico integrado para el Programa de Ordenamiento Ecológico General del Territorio. SEMARNAT, 1 hoja a escala 1:2 000 000.</w:t>
      </w:r>
    </w:p>
    <w:p>
      <w:pPr>
        <w:spacing w:before="120"/>
        <w:ind w:left="810" w:right="120" w:hanging="708"/>
        <w:jc w:val="both"/>
        <w:rPr>
          <w:sz w:val="20"/>
        </w:rPr>
      </w:pPr>
      <w:r>
        <w:rPr>
          <w:sz w:val="20"/>
        </w:rPr>
        <w:t>Sánchez Colón, S., I., Trejo Vázquez, I. A., Cruz Leyva (2008b), Áreas con degradación de la cubierta vegetal (Mapa I.5.3.1). En Caracterización y diagnóstico integrado para el Programa de Ordenamiento Ecológico General del Territorio. SEMARNAT, 1 hoja a escala 1:2 000 000.</w:t>
      </w:r>
    </w:p>
    <w:p>
      <w:pPr>
        <w:spacing w:before="120"/>
        <w:ind w:left="810" w:right="122" w:hanging="708"/>
        <w:jc w:val="both"/>
        <w:rPr>
          <w:sz w:val="20"/>
        </w:rPr>
      </w:pPr>
      <w:r>
        <w:rPr>
          <w:sz w:val="20"/>
        </w:rPr>
        <w:t>SEMARNAP, Analítica Consultores y Consultores Internacionales, S. C. (2000), Prospectiva para el modelo de ordenamiento ecológico territorial. México, D. F., 3 t.</w:t>
      </w:r>
    </w:p>
    <w:p>
      <w:pPr>
        <w:spacing w:before="118"/>
        <w:ind w:left="810" w:right="122" w:hanging="708"/>
        <w:jc w:val="both"/>
        <w:rPr>
          <w:sz w:val="20"/>
        </w:rPr>
      </w:pPr>
      <w:r>
        <w:rPr>
          <w:sz w:val="20"/>
        </w:rPr>
        <w:t>SEMARNAT</w:t>
      </w:r>
      <w:r>
        <w:rPr>
          <w:spacing w:val="-2"/>
          <w:sz w:val="20"/>
        </w:rPr>
        <w:t> </w:t>
      </w:r>
      <w:r>
        <w:rPr>
          <w:sz w:val="20"/>
        </w:rPr>
        <w:t>(2003),</w:t>
      </w:r>
      <w:r>
        <w:rPr>
          <w:spacing w:val="-5"/>
          <w:sz w:val="20"/>
        </w:rPr>
        <w:t> </w:t>
      </w:r>
      <w:r>
        <w:rPr>
          <w:sz w:val="20"/>
        </w:rPr>
        <w:t>Reglamento</w:t>
      </w:r>
      <w:r>
        <w:rPr>
          <w:spacing w:val="-6"/>
          <w:sz w:val="20"/>
        </w:rPr>
        <w:t> </w:t>
      </w:r>
      <w:r>
        <w:rPr>
          <w:sz w:val="20"/>
        </w:rPr>
        <w:t>de</w:t>
      </w:r>
      <w:r>
        <w:rPr>
          <w:spacing w:val="-6"/>
          <w:sz w:val="20"/>
        </w:rPr>
        <w:t> </w:t>
      </w:r>
      <w:r>
        <w:rPr>
          <w:sz w:val="20"/>
        </w:rPr>
        <w:t>la</w:t>
      </w:r>
      <w:r>
        <w:rPr>
          <w:spacing w:val="-6"/>
          <w:sz w:val="20"/>
        </w:rPr>
        <w:t> </w:t>
      </w:r>
      <w:r>
        <w:rPr>
          <w:sz w:val="20"/>
        </w:rPr>
        <w:t>Ley</w:t>
      </w:r>
      <w:r>
        <w:rPr>
          <w:spacing w:val="-11"/>
          <w:sz w:val="20"/>
        </w:rPr>
        <w:t> </w:t>
      </w:r>
      <w:r>
        <w:rPr>
          <w:sz w:val="20"/>
        </w:rPr>
        <w:t>General</w:t>
      </w:r>
      <w:r>
        <w:rPr>
          <w:spacing w:val="-6"/>
          <w:sz w:val="20"/>
        </w:rPr>
        <w:t> </w:t>
      </w:r>
      <w:r>
        <w:rPr>
          <w:sz w:val="20"/>
        </w:rPr>
        <w:t>del</w:t>
      </w:r>
      <w:r>
        <w:rPr>
          <w:spacing w:val="-6"/>
          <w:sz w:val="20"/>
        </w:rPr>
        <w:t> </w:t>
      </w:r>
      <w:r>
        <w:rPr>
          <w:sz w:val="20"/>
        </w:rPr>
        <w:t>Equilibrio</w:t>
      </w:r>
      <w:r>
        <w:rPr>
          <w:spacing w:val="-6"/>
          <w:sz w:val="20"/>
        </w:rPr>
        <w:t> </w:t>
      </w:r>
      <w:r>
        <w:rPr>
          <w:sz w:val="20"/>
        </w:rPr>
        <w:t>Ecológico</w:t>
      </w:r>
      <w:r>
        <w:rPr>
          <w:spacing w:val="-3"/>
          <w:sz w:val="20"/>
        </w:rPr>
        <w:t> </w:t>
      </w:r>
      <w:r>
        <w:rPr>
          <w:sz w:val="20"/>
        </w:rPr>
        <w:t>y</w:t>
      </w:r>
      <w:r>
        <w:rPr>
          <w:spacing w:val="-7"/>
          <w:sz w:val="20"/>
        </w:rPr>
        <w:t> </w:t>
      </w:r>
      <w:r>
        <w:rPr>
          <w:sz w:val="20"/>
        </w:rPr>
        <w:t>la</w:t>
      </w:r>
      <w:r>
        <w:rPr>
          <w:spacing w:val="-6"/>
          <w:sz w:val="20"/>
        </w:rPr>
        <w:t> </w:t>
      </w:r>
      <w:r>
        <w:rPr>
          <w:sz w:val="20"/>
        </w:rPr>
        <w:t>Protección</w:t>
      </w:r>
      <w:r>
        <w:rPr>
          <w:spacing w:val="-6"/>
          <w:sz w:val="20"/>
        </w:rPr>
        <w:t> </w:t>
      </w:r>
      <w:r>
        <w:rPr>
          <w:sz w:val="20"/>
        </w:rPr>
        <w:t>al</w:t>
      </w:r>
      <w:r>
        <w:rPr>
          <w:spacing w:val="-6"/>
          <w:sz w:val="20"/>
        </w:rPr>
        <w:t> </w:t>
      </w:r>
      <w:r>
        <w:rPr>
          <w:sz w:val="20"/>
        </w:rPr>
        <w:t>Ambiente en materia de ordenamiento ecológico. Diario Oficial de la Federación, viernes 8 de agosto de 2003, pp.</w:t>
      </w:r>
      <w:r>
        <w:rPr>
          <w:spacing w:val="-9"/>
          <w:sz w:val="20"/>
        </w:rPr>
        <w:t> </w:t>
      </w:r>
      <w:r>
        <w:rPr>
          <w:sz w:val="20"/>
        </w:rPr>
        <w:t>39-58.</w:t>
      </w:r>
    </w:p>
    <w:p>
      <w:pPr>
        <w:spacing w:before="121"/>
        <w:ind w:left="810" w:right="121" w:hanging="708"/>
        <w:jc w:val="both"/>
        <w:rPr>
          <w:sz w:val="20"/>
        </w:rPr>
      </w:pPr>
      <w:r>
        <w:rPr>
          <w:sz w:val="20"/>
        </w:rPr>
        <w:t>Universidad</w:t>
      </w:r>
      <w:r>
        <w:rPr>
          <w:spacing w:val="-4"/>
          <w:sz w:val="20"/>
        </w:rPr>
        <w:t> </w:t>
      </w:r>
      <w:r>
        <w:rPr>
          <w:sz w:val="20"/>
        </w:rPr>
        <w:t>Autónoma</w:t>
      </w:r>
      <w:r>
        <w:rPr>
          <w:spacing w:val="-7"/>
          <w:sz w:val="20"/>
        </w:rPr>
        <w:t> </w:t>
      </w:r>
      <w:r>
        <w:rPr>
          <w:sz w:val="20"/>
        </w:rPr>
        <w:t>de</w:t>
      </w:r>
      <w:r>
        <w:rPr>
          <w:spacing w:val="-4"/>
          <w:sz w:val="20"/>
        </w:rPr>
        <w:t> </w:t>
      </w:r>
      <w:r>
        <w:rPr>
          <w:sz w:val="20"/>
        </w:rPr>
        <w:t>Querétaro</w:t>
      </w:r>
      <w:r>
        <w:rPr>
          <w:spacing w:val="-7"/>
          <w:sz w:val="20"/>
        </w:rPr>
        <w:t> </w:t>
      </w:r>
      <w:r>
        <w:rPr>
          <w:sz w:val="20"/>
        </w:rPr>
        <w:t>(2008),</w:t>
      </w:r>
      <w:r>
        <w:rPr>
          <w:spacing w:val="-4"/>
          <w:sz w:val="20"/>
        </w:rPr>
        <w:t> </w:t>
      </w:r>
      <w:r>
        <w:rPr>
          <w:sz w:val="20"/>
        </w:rPr>
        <w:t>Reporte</w:t>
      </w:r>
      <w:r>
        <w:rPr>
          <w:spacing w:val="-4"/>
          <w:sz w:val="20"/>
        </w:rPr>
        <w:t> </w:t>
      </w:r>
      <w:r>
        <w:rPr>
          <w:sz w:val="20"/>
        </w:rPr>
        <w:t>final</w:t>
      </w:r>
      <w:r>
        <w:rPr>
          <w:spacing w:val="-7"/>
          <w:sz w:val="20"/>
        </w:rPr>
        <w:t> </w:t>
      </w:r>
      <w:r>
        <w:rPr>
          <w:sz w:val="20"/>
        </w:rPr>
        <w:t>de</w:t>
      </w:r>
      <w:r>
        <w:rPr>
          <w:spacing w:val="-7"/>
          <w:sz w:val="20"/>
        </w:rPr>
        <w:t> </w:t>
      </w:r>
      <w:r>
        <w:rPr>
          <w:sz w:val="20"/>
        </w:rPr>
        <w:t>la</w:t>
      </w:r>
      <w:r>
        <w:rPr>
          <w:spacing w:val="-4"/>
          <w:sz w:val="20"/>
        </w:rPr>
        <w:t> </w:t>
      </w:r>
      <w:r>
        <w:rPr>
          <w:sz w:val="20"/>
        </w:rPr>
        <w:t>asesoría</w:t>
      </w:r>
      <w:r>
        <w:rPr>
          <w:spacing w:val="-4"/>
          <w:sz w:val="20"/>
        </w:rPr>
        <w:t> </w:t>
      </w:r>
      <w:r>
        <w:rPr>
          <w:sz w:val="20"/>
        </w:rPr>
        <w:t>para</w:t>
      </w:r>
      <w:r>
        <w:rPr>
          <w:spacing w:val="-4"/>
          <w:sz w:val="20"/>
        </w:rPr>
        <w:t> </w:t>
      </w:r>
      <w:r>
        <w:rPr>
          <w:sz w:val="20"/>
        </w:rPr>
        <w:t>la</w:t>
      </w:r>
      <w:r>
        <w:rPr>
          <w:spacing w:val="-7"/>
          <w:sz w:val="20"/>
        </w:rPr>
        <w:t> </w:t>
      </w:r>
      <w:r>
        <w:rPr>
          <w:sz w:val="20"/>
        </w:rPr>
        <w:t>identificación</w:t>
      </w:r>
      <w:r>
        <w:rPr>
          <w:spacing w:val="-4"/>
          <w:sz w:val="20"/>
        </w:rPr>
        <w:t> </w:t>
      </w:r>
      <w:r>
        <w:rPr>
          <w:sz w:val="20"/>
        </w:rPr>
        <w:t>de</w:t>
      </w:r>
      <w:r>
        <w:rPr>
          <w:spacing w:val="-7"/>
          <w:sz w:val="20"/>
        </w:rPr>
        <w:t> </w:t>
      </w:r>
      <w:r>
        <w:rPr>
          <w:sz w:val="20"/>
        </w:rPr>
        <w:t>áreas de atención prioritarias sectoriales para el programa de ordenamiento ecológico general del territorio. Querétaro, 102</w:t>
      </w:r>
      <w:r>
        <w:rPr>
          <w:spacing w:val="-9"/>
          <w:sz w:val="20"/>
        </w:rPr>
        <w:t> </w:t>
      </w:r>
      <w:r>
        <w:rPr>
          <w:sz w:val="20"/>
        </w:rPr>
        <w:t>p.</w:t>
      </w:r>
    </w:p>
    <w:sectPr>
      <w:pgSz w:w="12250" w:h="15850"/>
      <w:pgMar w:header="0" w:footer="759" w:top="1500" w:bottom="940" w:left="16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27.299988pt;margin-top:743.183899pt;width:16pt;height:14pt;mso-position-horizontal-relative:page;mso-position-vertical-relative:page;z-index:-26224" type="#_x0000_t202" filled="false" stroked="false">
          <v:textbox inset="0,0,0,0">
            <w:txbxContent>
              <w:p>
                <w:pPr>
                  <w:spacing w:line="265" w:lineRule="exact" w:before="0"/>
                  <w:ind w:left="40" w:right="0" w:firstLine="0"/>
                  <w:jc w:val="left"/>
                  <w:rPr>
                    <w:rFonts w:ascii="Times New Roman"/>
                    <w:sz w:val="24"/>
                  </w:rPr>
                </w:pPr>
                <w:r>
                  <w:rPr/>
                  <w:fldChar w:fldCharType="begin"/>
                </w:r>
                <w:r>
                  <w:rPr>
                    <w:rFonts w:ascii="Times New Roman"/>
                    <w:sz w:val="24"/>
                  </w:rPr>
                  <w:instrText> PAGE </w:instrText>
                </w:r>
                <w:r>
                  <w:rPr/>
                  <w:fldChar w:fldCharType="separate"/>
                </w:r>
                <w:r>
                  <w:rPr/>
                  <w:t>10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bullet"/>
      <w:lvlText w:val="-"/>
      <w:lvlJc w:val="left"/>
      <w:pPr>
        <w:ind w:left="970" w:hanging="161"/>
      </w:pPr>
      <w:rPr>
        <w:rFonts w:hint="default" w:ascii="Arial" w:hAnsi="Arial" w:eastAsia="Arial" w:cs="Arial"/>
        <w:w w:val="100"/>
        <w:sz w:val="22"/>
        <w:szCs w:val="22"/>
      </w:rPr>
    </w:lvl>
    <w:lvl w:ilvl="1">
      <w:start w:val="1"/>
      <w:numFmt w:val="bullet"/>
      <w:lvlText w:val="•"/>
      <w:lvlJc w:val="left"/>
      <w:pPr>
        <w:ind w:left="1816" w:hanging="161"/>
      </w:pPr>
      <w:rPr>
        <w:rFonts w:hint="default"/>
      </w:rPr>
    </w:lvl>
    <w:lvl w:ilvl="2">
      <w:start w:val="1"/>
      <w:numFmt w:val="bullet"/>
      <w:lvlText w:val="•"/>
      <w:lvlJc w:val="left"/>
      <w:pPr>
        <w:ind w:left="2652" w:hanging="161"/>
      </w:pPr>
      <w:rPr>
        <w:rFonts w:hint="default"/>
      </w:rPr>
    </w:lvl>
    <w:lvl w:ilvl="3">
      <w:start w:val="1"/>
      <w:numFmt w:val="bullet"/>
      <w:lvlText w:val="•"/>
      <w:lvlJc w:val="left"/>
      <w:pPr>
        <w:ind w:left="3488" w:hanging="161"/>
      </w:pPr>
      <w:rPr>
        <w:rFonts w:hint="default"/>
      </w:rPr>
    </w:lvl>
    <w:lvl w:ilvl="4">
      <w:start w:val="1"/>
      <w:numFmt w:val="bullet"/>
      <w:lvlText w:val="•"/>
      <w:lvlJc w:val="left"/>
      <w:pPr>
        <w:ind w:left="4324" w:hanging="161"/>
      </w:pPr>
      <w:rPr>
        <w:rFonts w:hint="default"/>
      </w:rPr>
    </w:lvl>
    <w:lvl w:ilvl="5">
      <w:start w:val="1"/>
      <w:numFmt w:val="bullet"/>
      <w:lvlText w:val="•"/>
      <w:lvlJc w:val="left"/>
      <w:pPr>
        <w:ind w:left="5161" w:hanging="161"/>
      </w:pPr>
      <w:rPr>
        <w:rFonts w:hint="default"/>
      </w:rPr>
    </w:lvl>
    <w:lvl w:ilvl="6">
      <w:start w:val="1"/>
      <w:numFmt w:val="bullet"/>
      <w:lvlText w:val="•"/>
      <w:lvlJc w:val="left"/>
      <w:pPr>
        <w:ind w:left="5997" w:hanging="161"/>
      </w:pPr>
      <w:rPr>
        <w:rFonts w:hint="default"/>
      </w:rPr>
    </w:lvl>
    <w:lvl w:ilvl="7">
      <w:start w:val="1"/>
      <w:numFmt w:val="bullet"/>
      <w:lvlText w:val="•"/>
      <w:lvlJc w:val="left"/>
      <w:pPr>
        <w:ind w:left="6833" w:hanging="161"/>
      </w:pPr>
      <w:rPr>
        <w:rFonts w:hint="default"/>
      </w:rPr>
    </w:lvl>
    <w:lvl w:ilvl="8">
      <w:start w:val="1"/>
      <w:numFmt w:val="bullet"/>
      <w:lvlText w:val="•"/>
      <w:lvlJc w:val="left"/>
      <w:pPr>
        <w:ind w:left="7669" w:hanging="161"/>
      </w:pPr>
      <w:rPr>
        <w:rFonts w:hint="default"/>
      </w:rPr>
    </w:lvl>
  </w:abstractNum>
  <w:abstractNum w:abstractNumId="2">
    <w:multiLevelType w:val="hybridMultilevel"/>
    <w:lvl w:ilvl="0">
      <w:start w:val="1"/>
      <w:numFmt w:val="bullet"/>
      <w:lvlText w:val="-"/>
      <w:lvlJc w:val="left"/>
      <w:pPr>
        <w:ind w:left="932" w:hanging="123"/>
      </w:pPr>
      <w:rPr>
        <w:rFonts w:hint="default" w:ascii="Arial" w:hAnsi="Arial" w:eastAsia="Arial" w:cs="Arial"/>
        <w:w w:val="100"/>
        <w:sz w:val="22"/>
        <w:szCs w:val="22"/>
      </w:rPr>
    </w:lvl>
    <w:lvl w:ilvl="1">
      <w:start w:val="1"/>
      <w:numFmt w:val="bullet"/>
      <w:lvlText w:val="•"/>
      <w:lvlJc w:val="left"/>
      <w:pPr>
        <w:ind w:left="1780" w:hanging="123"/>
      </w:pPr>
      <w:rPr>
        <w:rFonts w:hint="default"/>
      </w:rPr>
    </w:lvl>
    <w:lvl w:ilvl="2">
      <w:start w:val="1"/>
      <w:numFmt w:val="bullet"/>
      <w:lvlText w:val="•"/>
      <w:lvlJc w:val="left"/>
      <w:pPr>
        <w:ind w:left="2620" w:hanging="123"/>
      </w:pPr>
      <w:rPr>
        <w:rFonts w:hint="default"/>
      </w:rPr>
    </w:lvl>
    <w:lvl w:ilvl="3">
      <w:start w:val="1"/>
      <w:numFmt w:val="bullet"/>
      <w:lvlText w:val="•"/>
      <w:lvlJc w:val="left"/>
      <w:pPr>
        <w:ind w:left="3460" w:hanging="123"/>
      </w:pPr>
      <w:rPr>
        <w:rFonts w:hint="default"/>
      </w:rPr>
    </w:lvl>
    <w:lvl w:ilvl="4">
      <w:start w:val="1"/>
      <w:numFmt w:val="bullet"/>
      <w:lvlText w:val="•"/>
      <w:lvlJc w:val="left"/>
      <w:pPr>
        <w:ind w:left="4300" w:hanging="123"/>
      </w:pPr>
      <w:rPr>
        <w:rFonts w:hint="default"/>
      </w:rPr>
    </w:lvl>
    <w:lvl w:ilvl="5">
      <w:start w:val="1"/>
      <w:numFmt w:val="bullet"/>
      <w:lvlText w:val="•"/>
      <w:lvlJc w:val="left"/>
      <w:pPr>
        <w:ind w:left="5141" w:hanging="123"/>
      </w:pPr>
      <w:rPr>
        <w:rFonts w:hint="default"/>
      </w:rPr>
    </w:lvl>
    <w:lvl w:ilvl="6">
      <w:start w:val="1"/>
      <w:numFmt w:val="bullet"/>
      <w:lvlText w:val="•"/>
      <w:lvlJc w:val="left"/>
      <w:pPr>
        <w:ind w:left="5981" w:hanging="123"/>
      </w:pPr>
      <w:rPr>
        <w:rFonts w:hint="default"/>
      </w:rPr>
    </w:lvl>
    <w:lvl w:ilvl="7">
      <w:start w:val="1"/>
      <w:numFmt w:val="bullet"/>
      <w:lvlText w:val="•"/>
      <w:lvlJc w:val="left"/>
      <w:pPr>
        <w:ind w:left="6821" w:hanging="123"/>
      </w:pPr>
      <w:rPr>
        <w:rFonts w:hint="default"/>
      </w:rPr>
    </w:lvl>
    <w:lvl w:ilvl="8">
      <w:start w:val="1"/>
      <w:numFmt w:val="bullet"/>
      <w:lvlText w:val="•"/>
      <w:lvlJc w:val="left"/>
      <w:pPr>
        <w:ind w:left="7661" w:hanging="123"/>
      </w:pPr>
      <w:rPr>
        <w:rFonts w:hint="default"/>
      </w:rPr>
    </w:lvl>
  </w:abstractNum>
  <w:abstractNum w:abstractNumId="1">
    <w:multiLevelType w:val="hybridMultilevel"/>
    <w:lvl w:ilvl="0">
      <w:start w:val="1"/>
      <w:numFmt w:val="bullet"/>
      <w:lvlText w:val="-"/>
      <w:lvlJc w:val="left"/>
      <w:pPr>
        <w:ind w:left="939" w:hanging="130"/>
      </w:pPr>
      <w:rPr>
        <w:rFonts w:hint="default" w:ascii="Arial" w:hAnsi="Arial" w:eastAsia="Arial" w:cs="Arial"/>
        <w:w w:val="100"/>
        <w:sz w:val="22"/>
        <w:szCs w:val="22"/>
      </w:rPr>
    </w:lvl>
    <w:lvl w:ilvl="1">
      <w:start w:val="1"/>
      <w:numFmt w:val="bullet"/>
      <w:lvlText w:val="•"/>
      <w:lvlJc w:val="left"/>
      <w:pPr>
        <w:ind w:left="1780" w:hanging="130"/>
      </w:pPr>
      <w:rPr>
        <w:rFonts w:hint="default"/>
      </w:rPr>
    </w:lvl>
    <w:lvl w:ilvl="2">
      <w:start w:val="1"/>
      <w:numFmt w:val="bullet"/>
      <w:lvlText w:val="•"/>
      <w:lvlJc w:val="left"/>
      <w:pPr>
        <w:ind w:left="2620" w:hanging="130"/>
      </w:pPr>
      <w:rPr>
        <w:rFonts w:hint="default"/>
      </w:rPr>
    </w:lvl>
    <w:lvl w:ilvl="3">
      <w:start w:val="1"/>
      <w:numFmt w:val="bullet"/>
      <w:lvlText w:val="•"/>
      <w:lvlJc w:val="left"/>
      <w:pPr>
        <w:ind w:left="3460" w:hanging="130"/>
      </w:pPr>
      <w:rPr>
        <w:rFonts w:hint="default"/>
      </w:rPr>
    </w:lvl>
    <w:lvl w:ilvl="4">
      <w:start w:val="1"/>
      <w:numFmt w:val="bullet"/>
      <w:lvlText w:val="•"/>
      <w:lvlJc w:val="left"/>
      <w:pPr>
        <w:ind w:left="4300" w:hanging="130"/>
      </w:pPr>
      <w:rPr>
        <w:rFonts w:hint="default"/>
      </w:rPr>
    </w:lvl>
    <w:lvl w:ilvl="5">
      <w:start w:val="1"/>
      <w:numFmt w:val="bullet"/>
      <w:lvlText w:val="•"/>
      <w:lvlJc w:val="left"/>
      <w:pPr>
        <w:ind w:left="5141" w:hanging="130"/>
      </w:pPr>
      <w:rPr>
        <w:rFonts w:hint="default"/>
      </w:rPr>
    </w:lvl>
    <w:lvl w:ilvl="6">
      <w:start w:val="1"/>
      <w:numFmt w:val="bullet"/>
      <w:lvlText w:val="•"/>
      <w:lvlJc w:val="left"/>
      <w:pPr>
        <w:ind w:left="5981" w:hanging="130"/>
      </w:pPr>
      <w:rPr>
        <w:rFonts w:hint="default"/>
      </w:rPr>
    </w:lvl>
    <w:lvl w:ilvl="7">
      <w:start w:val="1"/>
      <w:numFmt w:val="bullet"/>
      <w:lvlText w:val="•"/>
      <w:lvlJc w:val="left"/>
      <w:pPr>
        <w:ind w:left="6821" w:hanging="130"/>
      </w:pPr>
      <w:rPr>
        <w:rFonts w:hint="default"/>
      </w:rPr>
    </w:lvl>
    <w:lvl w:ilvl="8">
      <w:start w:val="1"/>
      <w:numFmt w:val="bullet"/>
      <w:lvlText w:val="•"/>
      <w:lvlJc w:val="left"/>
      <w:pPr>
        <w:ind w:left="7661" w:hanging="130"/>
      </w:pPr>
      <w:rPr>
        <w:rFonts w:hint="default"/>
      </w:rPr>
    </w:lvl>
  </w:abstractNum>
  <w:abstractNum w:abstractNumId="0">
    <w:multiLevelType w:val="hybridMultilevel"/>
    <w:lvl w:ilvl="0">
      <w:start w:val="1"/>
      <w:numFmt w:val="bullet"/>
      <w:lvlText w:val="-"/>
      <w:lvlJc w:val="left"/>
      <w:pPr>
        <w:ind w:left="102" w:hanging="257"/>
      </w:pPr>
      <w:rPr>
        <w:rFonts w:hint="default" w:ascii="Arial" w:hAnsi="Arial" w:eastAsia="Arial" w:cs="Arial"/>
        <w:w w:val="100"/>
        <w:sz w:val="22"/>
        <w:szCs w:val="22"/>
      </w:rPr>
    </w:lvl>
    <w:lvl w:ilvl="1">
      <w:start w:val="1"/>
      <w:numFmt w:val="bullet"/>
      <w:lvlText w:val="•"/>
      <w:lvlJc w:val="left"/>
      <w:pPr>
        <w:ind w:left="1024" w:hanging="257"/>
      </w:pPr>
      <w:rPr>
        <w:rFonts w:hint="default"/>
      </w:rPr>
    </w:lvl>
    <w:lvl w:ilvl="2">
      <w:start w:val="1"/>
      <w:numFmt w:val="bullet"/>
      <w:lvlText w:val="•"/>
      <w:lvlJc w:val="left"/>
      <w:pPr>
        <w:ind w:left="1948" w:hanging="257"/>
      </w:pPr>
      <w:rPr>
        <w:rFonts w:hint="default"/>
      </w:rPr>
    </w:lvl>
    <w:lvl w:ilvl="3">
      <w:start w:val="1"/>
      <w:numFmt w:val="bullet"/>
      <w:lvlText w:val="•"/>
      <w:lvlJc w:val="left"/>
      <w:pPr>
        <w:ind w:left="2872" w:hanging="257"/>
      </w:pPr>
      <w:rPr>
        <w:rFonts w:hint="default"/>
      </w:rPr>
    </w:lvl>
    <w:lvl w:ilvl="4">
      <w:start w:val="1"/>
      <w:numFmt w:val="bullet"/>
      <w:lvlText w:val="•"/>
      <w:lvlJc w:val="left"/>
      <w:pPr>
        <w:ind w:left="3796" w:hanging="257"/>
      </w:pPr>
      <w:rPr>
        <w:rFonts w:hint="default"/>
      </w:rPr>
    </w:lvl>
    <w:lvl w:ilvl="5">
      <w:start w:val="1"/>
      <w:numFmt w:val="bullet"/>
      <w:lvlText w:val="•"/>
      <w:lvlJc w:val="left"/>
      <w:pPr>
        <w:ind w:left="4721" w:hanging="257"/>
      </w:pPr>
      <w:rPr>
        <w:rFonts w:hint="default"/>
      </w:rPr>
    </w:lvl>
    <w:lvl w:ilvl="6">
      <w:start w:val="1"/>
      <w:numFmt w:val="bullet"/>
      <w:lvlText w:val="•"/>
      <w:lvlJc w:val="left"/>
      <w:pPr>
        <w:ind w:left="5645" w:hanging="257"/>
      </w:pPr>
      <w:rPr>
        <w:rFonts w:hint="default"/>
      </w:rPr>
    </w:lvl>
    <w:lvl w:ilvl="7">
      <w:start w:val="1"/>
      <w:numFmt w:val="bullet"/>
      <w:lvlText w:val="•"/>
      <w:lvlJc w:val="left"/>
      <w:pPr>
        <w:ind w:left="6569" w:hanging="257"/>
      </w:pPr>
      <w:rPr>
        <w:rFonts w:hint="default"/>
      </w:rPr>
    </w:lvl>
    <w:lvl w:ilvl="8">
      <w:start w:val="1"/>
      <w:numFmt w:val="bullet"/>
      <w:lvlText w:val="•"/>
      <w:lvlJc w:val="left"/>
      <w:pPr>
        <w:ind w:left="7493" w:hanging="257"/>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spacing w:line="230" w:lineRule="exact"/>
      <w:ind w:left="491"/>
      <w:outlineLvl w:val="1"/>
    </w:pPr>
    <w:rPr>
      <w:rFonts w:ascii="Times New Roman" w:hAnsi="Times New Roman" w:eastAsia="Times New Roman" w:cs="Times New Roman"/>
      <w:i/>
      <w:sz w:val="24"/>
      <w:szCs w:val="24"/>
    </w:rPr>
  </w:style>
  <w:style w:styleId="Heading2" w:type="paragraph">
    <w:name w:val="Heading 2"/>
    <w:basedOn w:val="Normal"/>
    <w:uiPriority w:val="1"/>
    <w:qFormat/>
    <w:pPr>
      <w:spacing w:before="73"/>
      <w:ind w:left="102" w:right="13"/>
      <w:outlineLvl w:val="2"/>
    </w:pPr>
    <w:rPr>
      <w:rFonts w:ascii="Arial" w:hAnsi="Arial" w:eastAsia="Arial" w:cs="Arial"/>
      <w:b/>
      <w:bCs/>
      <w:sz w:val="22"/>
      <w:szCs w:val="22"/>
    </w:rPr>
  </w:style>
  <w:style w:styleId="ListParagraph" w:type="paragraph">
    <w:name w:val="List Paragraph"/>
    <w:basedOn w:val="Normal"/>
    <w:uiPriority w:val="1"/>
    <w:qFormat/>
    <w:pPr>
      <w:spacing w:before="127"/>
      <w:ind w:left="102" w:firstLine="708"/>
    </w:pPr>
    <w:rPr>
      <w:rFonts w:ascii="Arial" w:hAnsi="Arial" w:eastAsia="Arial" w:cs="Arial"/>
    </w:rPr>
  </w:style>
  <w:style w:styleId="TableParagraph" w:type="paragraph">
    <w:name w:val="Table Paragraph"/>
    <w:basedOn w:val="Normal"/>
    <w:uiPriority w:val="1"/>
    <w:qFormat/>
    <w:pPr>
      <w:spacing w:line="227" w:lineRule="exac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mailto:santana@igg.unam.mx" TargetMode="External"/><Relationship Id="rId7" Type="http://schemas.openxmlformats.org/officeDocument/2006/relationships/hyperlink" Target="mailto:patyml@igg.unam.mx" TargetMode="External"/><Relationship Id="rId8" Type="http://schemas.openxmlformats.org/officeDocument/2006/relationships/hyperlink" Target="mailto:mbollo@ciga.unam.mx" TargetMode="External"/><Relationship Id="rId9" Type="http://schemas.openxmlformats.org/officeDocument/2006/relationships/hyperlink" Target="mailto:geocely@rocketmail.com" TargetMode="External"/><Relationship Id="rId10" Type="http://schemas.openxmlformats.org/officeDocument/2006/relationships/image" Target="media/image1.png"/><Relationship Id="rId11" Type="http://schemas.openxmlformats.org/officeDocument/2006/relationships/image" Target="media/image2.png"/><Relationship Id="rId12" Type="http://schemas.openxmlformats.org/officeDocument/2006/relationships/image" Target="media/image3.jpeg"/><Relationship Id="rId13" Type="http://schemas.openxmlformats.org/officeDocument/2006/relationships/image" Target="media/image4.jpeg"/><Relationship Id="rId14" Type="http://schemas.openxmlformats.org/officeDocument/2006/relationships/image" Target="media/image5.jpeg"/><Relationship Id="rId1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Reyes Torres</dc:creator>
  <dcterms:created xsi:type="dcterms:W3CDTF">2017-06-07T00:46:50Z</dcterms:created>
  <dcterms:modified xsi:type="dcterms:W3CDTF">2017-06-07T00:46:50Z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2015-06-12T00:00:00Z</vt:filetime>
  </property>
  <property fmtid="{D5CDD505-2E9C-101B-9397-08002B2CF9AE}" pid="3" name="Creator">
    <vt:lpwstr>Microsoft® Word 2013</vt:lpwstr>
  </property>
  <property fmtid="{D5CDD505-2E9C-101B-9397-08002B2CF9AE}" pid="4" name="LastSaved">
    <vt:filetime>2017-06-06T00:00:00Z</vt:filetime>
  </property>
</Properties>
</file>