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8"/>
        <w:rPr>
          <w:rFonts w:ascii="Times New Roman"/>
          <w:sz w:val="20"/>
        </w:rPr>
      </w:pPr>
      <w:r>
        <w:rPr>
          <w:rFonts w:ascii="Times New Roman"/>
          <w:sz w:val="20"/>
        </w:rPr>
        <w:pict>
          <v:group style="width:445.45pt;height:88.6pt;mso-position-horizontal-relative:char;mso-position-vertical-relative:line" coordorigin="0,0" coordsize="8909,1772">
            <v:line style="position:absolute" from="5,1767" to="8903,1767" stroked="true" strokeweight=".48pt" strokecolor="#000000"/>
            <v:shape style="position:absolute;left:3489;top:0;width:1927;height:1740" type="#_x0000_t75" stroked="false">
              <v:imagedata r:id="rId5" o:titl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5"/>
        </w:rPr>
      </w:pPr>
    </w:p>
    <w:p>
      <w:pPr>
        <w:spacing w:before="44"/>
        <w:ind w:left="2266" w:right="0" w:firstLine="0"/>
        <w:jc w:val="left"/>
        <w:rPr>
          <w:b/>
          <w:sz w:val="32"/>
        </w:rPr>
      </w:pPr>
      <w:r>
        <w:rPr>
          <w:b/>
          <w:sz w:val="44"/>
        </w:rPr>
        <w:t>D</w:t>
      </w:r>
      <w:r>
        <w:rPr>
          <w:b/>
          <w:sz w:val="35"/>
        </w:rPr>
        <w:t>ATOS DE </w:t>
      </w:r>
      <w:r>
        <w:rPr>
          <w:b/>
          <w:sz w:val="40"/>
        </w:rPr>
        <w:t>I</w:t>
      </w:r>
      <w:r>
        <w:rPr>
          <w:b/>
          <w:sz w:val="32"/>
        </w:rPr>
        <w:t>DENTIFICACIÓN</w:t>
      </w:r>
    </w:p>
    <w:p>
      <w:pPr>
        <w:pStyle w:val="BodyText"/>
        <w:spacing w:before="11"/>
        <w:rPr>
          <w:b/>
          <w:sz w:val="51"/>
        </w:rPr>
      </w:pPr>
    </w:p>
    <w:p>
      <w:pPr>
        <w:spacing w:line="322" w:lineRule="exact" w:before="0"/>
        <w:ind w:left="1558" w:right="0" w:firstLine="0"/>
        <w:jc w:val="left"/>
        <w:rPr>
          <w:b/>
          <w:sz w:val="28"/>
        </w:rPr>
      </w:pPr>
      <w:r>
        <w:rPr>
          <w:b/>
          <w:sz w:val="28"/>
        </w:rPr>
        <w:t>Espacio académico</w:t>
      </w:r>
    </w:p>
    <w:p>
      <w:pPr>
        <w:spacing w:before="0"/>
        <w:ind w:left="2266" w:right="0" w:firstLine="0"/>
        <w:jc w:val="left"/>
        <w:rPr>
          <w:sz w:val="28"/>
        </w:rPr>
      </w:pPr>
      <w:r>
        <w:rPr>
          <w:sz w:val="28"/>
        </w:rPr>
        <w:t>Facultad de Contaduría y Administración</w:t>
      </w:r>
    </w:p>
    <w:p>
      <w:pPr>
        <w:pStyle w:val="BodyText"/>
        <w:spacing w:before="5"/>
        <w:rPr>
          <w:sz w:val="31"/>
        </w:rPr>
      </w:pPr>
    </w:p>
    <w:p>
      <w:pPr>
        <w:spacing w:line="322" w:lineRule="exact" w:before="0"/>
        <w:ind w:left="1560" w:right="0" w:firstLine="0"/>
        <w:jc w:val="left"/>
        <w:rPr>
          <w:b/>
          <w:sz w:val="28"/>
        </w:rPr>
      </w:pPr>
      <w:r>
        <w:rPr>
          <w:b/>
          <w:sz w:val="28"/>
        </w:rPr>
        <w:t>Programa educativo</w:t>
      </w:r>
    </w:p>
    <w:p>
      <w:pPr>
        <w:spacing w:before="0"/>
        <w:ind w:left="2266" w:right="0" w:firstLine="0"/>
        <w:jc w:val="left"/>
        <w:rPr>
          <w:sz w:val="28"/>
        </w:rPr>
      </w:pPr>
      <w:r>
        <w:rPr>
          <w:sz w:val="28"/>
        </w:rPr>
        <w:t>Licenciatura en Contaduría</w:t>
      </w:r>
    </w:p>
    <w:p>
      <w:pPr>
        <w:pStyle w:val="BodyText"/>
        <w:spacing w:before="3"/>
        <w:rPr>
          <w:sz w:val="31"/>
        </w:rPr>
      </w:pPr>
    </w:p>
    <w:p>
      <w:pPr>
        <w:spacing w:before="0" w:after="35"/>
        <w:ind w:left="1560" w:right="0" w:firstLine="0"/>
        <w:jc w:val="left"/>
        <w:rPr>
          <w:b/>
          <w:sz w:val="28"/>
        </w:rPr>
      </w:pPr>
      <w:r>
        <w:rPr>
          <w:b/>
          <w:sz w:val="28"/>
        </w:rPr>
        <w:t>Unidad Aprendizaje</w:t>
      </w:r>
    </w:p>
    <w:tbl>
      <w:tblPr>
        <w:tblW w:w="0" w:type="auto"/>
        <w:jc w:val="left"/>
        <w:tblInd w:w="217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36"/>
        <w:gridCol w:w="1355"/>
      </w:tblGrid>
      <w:tr>
        <w:trPr>
          <w:trHeight w:val="301" w:hRule="exact"/>
        </w:trPr>
        <w:tc>
          <w:tcPr>
            <w:tcW w:w="3236" w:type="dxa"/>
          </w:tcPr>
          <w:p>
            <w:pPr>
              <w:pStyle w:val="TableParagraph"/>
              <w:spacing w:line="287" w:lineRule="exact"/>
              <w:ind w:left="179" w:right="197"/>
              <w:jc w:val="center"/>
              <w:rPr>
                <w:sz w:val="28"/>
              </w:rPr>
            </w:pPr>
            <w:r>
              <w:rPr>
                <w:sz w:val="28"/>
              </w:rPr>
              <w:t>Nombre</w:t>
            </w:r>
          </w:p>
        </w:tc>
        <w:tc>
          <w:tcPr>
            <w:tcW w:w="1355" w:type="dxa"/>
          </w:tcPr>
          <w:p>
            <w:pPr>
              <w:pStyle w:val="TableParagraph"/>
              <w:spacing w:line="287" w:lineRule="exact"/>
              <w:ind w:left="197" w:right="181"/>
              <w:jc w:val="center"/>
              <w:rPr>
                <w:sz w:val="28"/>
              </w:rPr>
            </w:pPr>
            <w:r>
              <w:rPr>
                <w:sz w:val="28"/>
              </w:rPr>
              <w:t>Clave</w:t>
            </w:r>
          </w:p>
        </w:tc>
      </w:tr>
      <w:tr>
        <w:trPr>
          <w:trHeight w:val="301" w:hRule="exact"/>
        </w:trPr>
        <w:tc>
          <w:tcPr>
            <w:tcW w:w="3236" w:type="dxa"/>
          </w:tcPr>
          <w:p>
            <w:pPr>
              <w:pStyle w:val="TableParagraph"/>
              <w:spacing w:line="307" w:lineRule="exact"/>
              <w:ind w:left="181" w:right="197"/>
              <w:jc w:val="center"/>
              <w:rPr>
                <w:sz w:val="28"/>
              </w:rPr>
            </w:pPr>
            <w:r>
              <w:rPr>
                <w:sz w:val="28"/>
              </w:rPr>
              <w:t>Mercado de Derivados</w:t>
            </w:r>
          </w:p>
        </w:tc>
        <w:tc>
          <w:tcPr>
            <w:tcW w:w="1355" w:type="dxa"/>
          </w:tcPr>
          <w:p>
            <w:pPr>
              <w:pStyle w:val="TableParagraph"/>
              <w:spacing w:line="307" w:lineRule="exact"/>
              <w:ind w:left="199" w:right="181"/>
              <w:jc w:val="center"/>
              <w:rPr>
                <w:sz w:val="28"/>
              </w:rPr>
            </w:pPr>
            <w:r>
              <w:rPr>
                <w:sz w:val="28"/>
              </w:rPr>
              <w:t>L30152</w:t>
            </w:r>
          </w:p>
        </w:tc>
      </w:tr>
    </w:tbl>
    <w:p>
      <w:pPr>
        <w:pStyle w:val="BodyText"/>
        <w:spacing w:before="2"/>
        <w:rPr>
          <w:b/>
          <w:sz w:val="26"/>
        </w:rPr>
      </w:pPr>
    </w:p>
    <w:p>
      <w:pPr>
        <w:spacing w:before="65"/>
        <w:ind w:left="1560" w:right="0" w:firstLine="0"/>
        <w:jc w:val="left"/>
        <w:rPr>
          <w:b/>
          <w:sz w:val="28"/>
        </w:rPr>
      </w:pPr>
      <w:r>
        <w:rPr>
          <w:b/>
          <w:sz w:val="28"/>
        </w:rPr>
        <w:t>Título de la antología</w:t>
      </w:r>
    </w:p>
    <w:p>
      <w:pPr>
        <w:spacing w:before="2"/>
        <w:ind w:left="2266" w:right="0" w:firstLine="0"/>
        <w:jc w:val="left"/>
        <w:rPr>
          <w:sz w:val="28"/>
        </w:rPr>
      </w:pPr>
      <w:r>
        <w:rPr>
          <w:sz w:val="28"/>
        </w:rPr>
        <w:t>Perfiles sobre Administración de Riesgos</w:t>
      </w:r>
    </w:p>
    <w:p>
      <w:pPr>
        <w:pStyle w:val="BodyText"/>
        <w:spacing w:before="3"/>
        <w:rPr>
          <w:sz w:val="31"/>
        </w:rPr>
      </w:pPr>
    </w:p>
    <w:p>
      <w:pPr>
        <w:spacing w:line="322" w:lineRule="exact" w:before="0"/>
        <w:ind w:left="1560" w:right="0" w:firstLine="0"/>
        <w:jc w:val="left"/>
        <w:rPr>
          <w:b/>
          <w:sz w:val="28"/>
        </w:rPr>
      </w:pPr>
      <w:r>
        <w:rPr>
          <w:b/>
          <w:sz w:val="28"/>
        </w:rPr>
        <w:t>Responsables de la compilación</w:t>
      </w:r>
    </w:p>
    <w:p>
      <w:pPr>
        <w:spacing w:before="0"/>
        <w:ind w:left="2266" w:right="2175" w:firstLine="0"/>
        <w:jc w:val="left"/>
        <w:rPr>
          <w:sz w:val="28"/>
        </w:rPr>
      </w:pPr>
      <w:r>
        <w:rPr>
          <w:sz w:val="28"/>
        </w:rPr>
        <w:t>Lizola Margolis Pedro Enrique (Autor) Cernas Ortiz Daniel Arturo (Coautor) Jaramillo Benhumea Efraín (Coautor) Martínez Garduño Yenith (Coautor) Valdez Medina Filiberto (Coautor)</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spacing w:before="0"/>
        <w:ind w:left="0" w:right="137" w:firstLine="0"/>
        <w:jc w:val="right"/>
        <w:rPr>
          <w:sz w:val="28"/>
        </w:rPr>
      </w:pPr>
      <w:r>
        <w:rPr>
          <w:sz w:val="28"/>
        </w:rPr>
        <w:t>Septiembre de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r>
        <w:rPr/>
        <w:pict>
          <v:line style="position:absolute;mso-position-horizontal-relative:page;mso-position-vertical-relative:paragraph;z-index:1048;mso-wrap-distance-left:0;mso-wrap-distance-right:0" from="83.664001pt,11.381021pt" to="528.574001pt,11.381021pt" stroked="true" strokeweight=".47998pt" strokecolor="#000000">
            <w10:wrap type="topAndBottom"/>
          </v:line>
        </w:pict>
      </w:r>
    </w:p>
    <w:p>
      <w:pPr>
        <w:spacing w:after="0"/>
        <w:rPr>
          <w:sz w:val="15"/>
        </w:rPr>
        <w:sectPr>
          <w:type w:val="continuous"/>
          <w:pgSz w:w="12250" w:h="15850"/>
          <w:pgMar w:top="720" w:bottom="280" w:left="1560" w:right="1560"/>
        </w:sectPr>
      </w:pPr>
    </w:p>
    <w:p>
      <w:pPr>
        <w:pStyle w:val="Heading1"/>
        <w:spacing w:before="31"/>
        <w:ind w:left="3698" w:right="3698"/>
        <w:jc w:val="center"/>
      </w:pPr>
      <w:r>
        <w:rPr>
          <w:sz w:val="32"/>
        </w:rPr>
        <w:t>C</w:t>
      </w:r>
      <w:r>
        <w:rPr/>
        <w:t>ONTENIDO</w:t>
      </w:r>
    </w:p>
    <w:sdt>
      <w:sdtPr>
        <w:docPartObj>
          <w:docPartGallery w:val="Table of Contents"/>
          <w:docPartUnique/>
        </w:docPartObj>
      </w:sdtPr>
      <w:sdtEndPr/>
      <w:sdtContent>
        <w:p>
          <w:pPr>
            <w:pStyle w:val="TOC1"/>
            <w:numPr>
              <w:ilvl w:val="0"/>
              <w:numId w:val="1"/>
            </w:numPr>
            <w:tabs>
              <w:tab w:pos="287" w:val="left" w:leader="none"/>
              <w:tab w:pos="8931" w:val="right" w:leader="dot"/>
            </w:tabs>
            <w:spacing w:line="252" w:lineRule="exact" w:before="124" w:after="0"/>
            <w:ind w:left="286" w:right="0" w:hanging="184"/>
            <w:jc w:val="left"/>
          </w:pPr>
          <w:hyperlink w:history="true" w:anchor="_bookmark0">
            <w:r>
              <w:rPr/>
              <w:t>Organización del material y su relación con contenidos de</w:t>
            </w:r>
            <w:r>
              <w:rPr>
                <w:spacing w:val="-7"/>
              </w:rPr>
              <w:t> </w:t>
            </w:r>
            <w:r>
              <w:rPr/>
              <w:t>la</w:t>
            </w:r>
            <w:r>
              <w:rPr>
                <w:spacing w:val="-3"/>
              </w:rPr>
              <w:t> </w:t>
            </w:r>
            <w:r>
              <w:rPr/>
              <w:t>U.A</w:t>
              <w:tab/>
              <w:t>1</w:t>
            </w:r>
          </w:hyperlink>
        </w:p>
        <w:p>
          <w:pPr>
            <w:pStyle w:val="TOC2"/>
            <w:numPr>
              <w:ilvl w:val="1"/>
              <w:numId w:val="2"/>
            </w:numPr>
            <w:tabs>
              <w:tab w:pos="693" w:val="left" w:leader="none"/>
              <w:tab w:pos="8931" w:val="right" w:leader="dot"/>
            </w:tabs>
            <w:spacing w:line="252" w:lineRule="exact" w:before="0" w:after="0"/>
            <w:ind w:left="692" w:right="0" w:hanging="370"/>
            <w:jc w:val="left"/>
          </w:pPr>
          <w:hyperlink w:history="true" w:anchor="_bookmark1">
            <w:r>
              <w:rPr/>
              <w:t>Presentación</w:t>
              <w:tab/>
              <w:t>1</w:t>
            </w:r>
          </w:hyperlink>
        </w:p>
        <w:p>
          <w:pPr>
            <w:pStyle w:val="TOC2"/>
            <w:numPr>
              <w:ilvl w:val="1"/>
              <w:numId w:val="2"/>
            </w:numPr>
            <w:tabs>
              <w:tab w:pos="693" w:val="left" w:leader="none"/>
              <w:tab w:pos="8931" w:val="right" w:leader="dot"/>
            </w:tabs>
            <w:spacing w:line="252" w:lineRule="exact" w:before="1" w:after="0"/>
            <w:ind w:left="692" w:right="0" w:hanging="370"/>
            <w:jc w:val="left"/>
          </w:pPr>
          <w:hyperlink w:history="true" w:anchor="_bookmark2">
            <w:r>
              <w:rPr/>
              <w:t>Mapa</w:t>
            </w:r>
            <w:r>
              <w:rPr>
                <w:spacing w:val="-1"/>
              </w:rPr>
              <w:t> </w:t>
            </w:r>
            <w:r>
              <w:rPr/>
              <w:t>curricular</w:t>
              <w:tab/>
              <w:t>2</w:t>
            </w:r>
          </w:hyperlink>
        </w:p>
        <w:p>
          <w:pPr>
            <w:pStyle w:val="TOC2"/>
            <w:numPr>
              <w:ilvl w:val="1"/>
              <w:numId w:val="2"/>
            </w:numPr>
            <w:tabs>
              <w:tab w:pos="693" w:val="left" w:leader="none"/>
              <w:tab w:pos="8931" w:val="right" w:leader="dot"/>
            </w:tabs>
            <w:spacing w:line="252" w:lineRule="exact" w:before="0" w:after="0"/>
            <w:ind w:left="692" w:right="0" w:hanging="370"/>
            <w:jc w:val="left"/>
          </w:pPr>
          <w:hyperlink w:history="true" w:anchor="_bookmark3">
            <w:r>
              <w:rPr/>
              <w:t>Programa de estudios: Mercado</w:t>
            </w:r>
            <w:r>
              <w:rPr>
                <w:spacing w:val="-1"/>
              </w:rPr>
              <w:t> </w:t>
            </w:r>
            <w:r>
              <w:rPr/>
              <w:t>de</w:t>
            </w:r>
            <w:r>
              <w:rPr>
                <w:spacing w:val="-3"/>
              </w:rPr>
              <w:t> </w:t>
            </w:r>
            <w:r>
              <w:rPr/>
              <w:t>Derivados</w:t>
              <w:tab/>
              <w:t>3</w:t>
            </w:r>
          </w:hyperlink>
        </w:p>
        <w:p>
          <w:pPr>
            <w:pStyle w:val="TOC2"/>
            <w:numPr>
              <w:ilvl w:val="1"/>
              <w:numId w:val="2"/>
            </w:numPr>
            <w:tabs>
              <w:tab w:pos="693" w:val="left" w:leader="none"/>
              <w:tab w:pos="8931" w:val="right" w:leader="dot"/>
            </w:tabs>
            <w:spacing w:line="252" w:lineRule="exact" w:before="0" w:after="0"/>
            <w:ind w:left="692" w:right="0" w:hanging="370"/>
            <w:jc w:val="left"/>
          </w:pPr>
          <w:hyperlink w:history="true" w:anchor="_bookmark4">
            <w:r>
              <w:rPr/>
              <w:t>Actividades planeadas</w:t>
              <w:tab/>
              <w:t>5</w:t>
            </w:r>
          </w:hyperlink>
        </w:p>
        <w:p>
          <w:pPr>
            <w:pStyle w:val="TOC1"/>
            <w:numPr>
              <w:ilvl w:val="0"/>
              <w:numId w:val="1"/>
            </w:numPr>
            <w:tabs>
              <w:tab w:pos="349" w:val="left" w:leader="none"/>
              <w:tab w:pos="8931" w:val="right" w:leader="dot"/>
            </w:tabs>
            <w:spacing w:line="252" w:lineRule="exact" w:before="1" w:after="0"/>
            <w:ind w:left="348" w:right="0" w:hanging="246"/>
            <w:jc w:val="left"/>
          </w:pPr>
          <w:hyperlink w:history="true" w:anchor="_bookmark5">
            <w:r>
              <w:rPr/>
              <w:t>Exposición</w:t>
            </w:r>
            <w:r>
              <w:rPr>
                <w:spacing w:val="-1"/>
              </w:rPr>
              <w:t> </w:t>
            </w:r>
            <w:r>
              <w:rPr/>
              <w:t>al</w:t>
            </w:r>
            <w:r>
              <w:rPr>
                <w:spacing w:val="-2"/>
              </w:rPr>
              <w:t> </w:t>
            </w:r>
            <w:r>
              <w:rPr/>
              <w:t>riesgo</w:t>
              <w:tab/>
              <w:t>6</w:t>
            </w:r>
          </w:hyperlink>
        </w:p>
        <w:p>
          <w:pPr>
            <w:pStyle w:val="TOC2"/>
            <w:numPr>
              <w:ilvl w:val="1"/>
              <w:numId w:val="3"/>
            </w:numPr>
            <w:tabs>
              <w:tab w:pos="693" w:val="left" w:leader="none"/>
              <w:tab w:pos="8931" w:val="right" w:leader="dot"/>
            </w:tabs>
            <w:spacing w:line="252" w:lineRule="exact" w:before="0" w:after="0"/>
            <w:ind w:left="692" w:right="0" w:hanging="370"/>
            <w:jc w:val="left"/>
          </w:pPr>
          <w:hyperlink w:history="true" w:anchor="_bookmark6">
            <w:r>
              <w:rPr/>
              <w:t>El valor de</w:t>
            </w:r>
            <w:r>
              <w:rPr>
                <w:spacing w:val="-2"/>
              </w:rPr>
              <w:t> </w:t>
            </w:r>
            <w:r>
              <w:rPr/>
              <w:t>un</w:t>
            </w:r>
            <w:r>
              <w:rPr>
                <w:spacing w:val="-1"/>
              </w:rPr>
              <w:t> </w:t>
            </w:r>
            <w:r>
              <w:rPr/>
              <w:t>activo</w:t>
              <w:tab/>
              <w:t>6</w:t>
            </w:r>
          </w:hyperlink>
        </w:p>
        <w:p>
          <w:pPr>
            <w:pStyle w:val="TOC2"/>
            <w:numPr>
              <w:ilvl w:val="1"/>
              <w:numId w:val="3"/>
            </w:numPr>
            <w:tabs>
              <w:tab w:pos="693" w:val="left" w:leader="none"/>
              <w:tab w:pos="8931" w:val="right" w:leader="dot"/>
            </w:tabs>
            <w:spacing w:line="252" w:lineRule="exact" w:before="1" w:after="0"/>
            <w:ind w:left="692" w:right="0" w:hanging="370"/>
            <w:jc w:val="left"/>
          </w:pPr>
          <w:hyperlink w:history="true" w:anchor="_bookmark7">
            <w:r>
              <w:rPr/>
              <w:t>Concepto</w:t>
            </w:r>
            <w:r>
              <w:rPr>
                <w:spacing w:val="-1"/>
              </w:rPr>
              <w:t> </w:t>
            </w:r>
            <w:r>
              <w:rPr/>
              <w:t>de</w:t>
            </w:r>
            <w:r>
              <w:rPr>
                <w:spacing w:val="-3"/>
              </w:rPr>
              <w:t> </w:t>
            </w:r>
            <w:r>
              <w:rPr/>
              <w:t>riesgo</w:t>
              <w:tab/>
              <w:t>7</w:t>
            </w:r>
          </w:hyperlink>
        </w:p>
        <w:p>
          <w:pPr>
            <w:pStyle w:val="TOC2"/>
            <w:numPr>
              <w:ilvl w:val="1"/>
              <w:numId w:val="3"/>
            </w:numPr>
            <w:tabs>
              <w:tab w:pos="693" w:val="left" w:leader="none"/>
              <w:tab w:pos="8931" w:val="right" w:leader="dot"/>
            </w:tabs>
            <w:spacing w:line="252" w:lineRule="exact" w:before="0" w:after="0"/>
            <w:ind w:left="692" w:right="0" w:hanging="370"/>
            <w:jc w:val="left"/>
          </w:pPr>
          <w:hyperlink w:history="true" w:anchor="_bookmark8">
            <w:r>
              <w:rPr/>
              <w:t>Clasificación de</w:t>
            </w:r>
            <w:r>
              <w:rPr>
                <w:spacing w:val="-3"/>
              </w:rPr>
              <w:t> </w:t>
            </w:r>
            <w:r>
              <w:rPr/>
              <w:t>riesgos</w:t>
            </w:r>
            <w:r>
              <w:rPr>
                <w:spacing w:val="-3"/>
              </w:rPr>
              <w:t> </w:t>
            </w:r>
            <w:r>
              <w:rPr/>
              <w:t>financieros</w:t>
              <w:tab/>
              <w:t>8</w:t>
            </w:r>
          </w:hyperlink>
        </w:p>
        <w:p>
          <w:pPr>
            <w:pStyle w:val="TOC2"/>
            <w:numPr>
              <w:ilvl w:val="1"/>
              <w:numId w:val="3"/>
            </w:numPr>
            <w:tabs>
              <w:tab w:pos="693" w:val="left" w:leader="none"/>
              <w:tab w:pos="8930" w:val="right" w:leader="dot"/>
            </w:tabs>
            <w:spacing w:line="252" w:lineRule="exact" w:before="0" w:after="0"/>
            <w:ind w:left="692" w:right="0" w:hanging="370"/>
            <w:jc w:val="left"/>
          </w:pPr>
          <w:hyperlink w:history="true" w:anchor="_bookmark10">
            <w:r>
              <w:rPr/>
              <w:t>El proceso de administración</w:t>
            </w:r>
            <w:r>
              <w:rPr>
                <w:spacing w:val="-5"/>
              </w:rPr>
              <w:t> </w:t>
            </w:r>
            <w:r>
              <w:rPr/>
              <w:t>de</w:t>
            </w:r>
            <w:r>
              <w:rPr>
                <w:spacing w:val="-3"/>
              </w:rPr>
              <w:t> </w:t>
            </w:r>
            <w:r>
              <w:rPr/>
              <w:t>riesgos</w:t>
              <w:tab/>
              <w:t>11</w:t>
            </w:r>
          </w:hyperlink>
        </w:p>
        <w:p>
          <w:pPr>
            <w:pStyle w:val="TOC2"/>
            <w:numPr>
              <w:ilvl w:val="1"/>
              <w:numId w:val="3"/>
            </w:numPr>
            <w:tabs>
              <w:tab w:pos="693" w:val="left" w:leader="none"/>
              <w:tab w:pos="8930" w:val="right" w:leader="dot"/>
            </w:tabs>
            <w:spacing w:line="252" w:lineRule="exact" w:before="1" w:after="0"/>
            <w:ind w:left="692" w:right="0" w:hanging="370"/>
            <w:jc w:val="left"/>
          </w:pPr>
          <w:hyperlink w:history="true" w:anchor="_bookmark11">
            <w:r>
              <w:rPr/>
              <w:t>Evaluacion del riesgo a través</w:t>
            </w:r>
            <w:r>
              <w:rPr>
                <w:spacing w:val="-3"/>
              </w:rPr>
              <w:t> </w:t>
            </w:r>
            <w:r>
              <w:rPr/>
              <w:t>del</w:t>
            </w:r>
            <w:r>
              <w:rPr>
                <w:spacing w:val="-1"/>
              </w:rPr>
              <w:t> </w:t>
            </w:r>
            <w:r>
              <w:rPr/>
              <w:t>VaR</w:t>
              <w:tab/>
              <w:t>13</w:t>
            </w:r>
          </w:hyperlink>
        </w:p>
        <w:p>
          <w:pPr>
            <w:pStyle w:val="TOC2"/>
            <w:numPr>
              <w:ilvl w:val="1"/>
              <w:numId w:val="3"/>
            </w:numPr>
            <w:tabs>
              <w:tab w:pos="693" w:val="left" w:leader="none"/>
              <w:tab w:pos="8930" w:val="right" w:leader="dot"/>
            </w:tabs>
            <w:spacing w:line="252" w:lineRule="exact" w:before="0" w:after="0"/>
            <w:ind w:left="692" w:right="0" w:hanging="370"/>
            <w:jc w:val="left"/>
          </w:pPr>
          <w:hyperlink w:history="true" w:anchor="_bookmark12">
            <w:r>
              <w:rPr/>
              <w:t>Conceptos fundamentales</w:t>
            </w:r>
            <w:r>
              <w:rPr>
                <w:spacing w:val="-3"/>
              </w:rPr>
              <w:t> </w:t>
            </w:r>
            <w:r>
              <w:rPr/>
              <w:t>de</w:t>
            </w:r>
            <w:r>
              <w:rPr>
                <w:spacing w:val="-1"/>
              </w:rPr>
              <w:t> </w:t>
            </w:r>
            <w:r>
              <w:rPr/>
              <w:t>estadística</w:t>
              <w:tab/>
              <w:t>17</w:t>
            </w:r>
          </w:hyperlink>
        </w:p>
        <w:p>
          <w:pPr>
            <w:pStyle w:val="TOC2"/>
            <w:numPr>
              <w:ilvl w:val="1"/>
              <w:numId w:val="3"/>
            </w:numPr>
            <w:tabs>
              <w:tab w:pos="691" w:val="left" w:leader="none"/>
              <w:tab w:pos="8930" w:val="right" w:leader="dot"/>
            </w:tabs>
            <w:spacing w:line="252" w:lineRule="exact" w:before="2" w:after="0"/>
            <w:ind w:left="690" w:right="0" w:hanging="368"/>
            <w:jc w:val="left"/>
          </w:pPr>
          <w:hyperlink w:history="true" w:anchor="_bookmark16">
            <w:r>
              <w:rPr/>
              <w:t>Teoría de</w:t>
            </w:r>
            <w:r>
              <w:rPr>
                <w:spacing w:val="-1"/>
              </w:rPr>
              <w:t> </w:t>
            </w:r>
            <w:r>
              <w:rPr/>
              <w:t>la</w:t>
            </w:r>
            <w:r>
              <w:rPr>
                <w:spacing w:val="-1"/>
              </w:rPr>
              <w:t> </w:t>
            </w:r>
            <w:r>
              <w:rPr/>
              <w:t>cartera</w:t>
              <w:tab/>
              <w:t>27</w:t>
            </w:r>
          </w:hyperlink>
        </w:p>
        <w:p>
          <w:pPr>
            <w:pStyle w:val="TOC2"/>
            <w:numPr>
              <w:ilvl w:val="1"/>
              <w:numId w:val="3"/>
            </w:numPr>
            <w:tabs>
              <w:tab w:pos="693" w:val="left" w:leader="none"/>
              <w:tab w:pos="8930" w:val="right" w:leader="dot"/>
            </w:tabs>
            <w:spacing w:line="252" w:lineRule="exact" w:before="0" w:after="0"/>
            <w:ind w:left="692" w:right="0" w:hanging="370"/>
            <w:jc w:val="left"/>
          </w:pPr>
          <w:hyperlink w:history="true" w:anchor="_bookmark20">
            <w:r>
              <w:rPr/>
              <w:t>El modelo de valuación de activos de</w:t>
            </w:r>
            <w:r>
              <w:rPr>
                <w:spacing w:val="-7"/>
              </w:rPr>
              <w:t> </w:t>
            </w:r>
            <w:r>
              <w:rPr/>
              <w:t>capital</w:t>
            </w:r>
            <w:r>
              <w:rPr>
                <w:spacing w:val="-4"/>
              </w:rPr>
              <w:t> </w:t>
            </w:r>
            <w:r>
              <w:rPr/>
              <w:t>(CAPM)</w:t>
              <w:tab/>
              <w:t>34</w:t>
            </w:r>
          </w:hyperlink>
        </w:p>
        <w:p>
          <w:pPr>
            <w:pStyle w:val="TOC2"/>
            <w:numPr>
              <w:ilvl w:val="1"/>
              <w:numId w:val="3"/>
            </w:numPr>
            <w:tabs>
              <w:tab w:pos="693" w:val="left" w:leader="none"/>
              <w:tab w:pos="8930" w:val="right" w:leader="dot"/>
            </w:tabs>
            <w:spacing w:line="252" w:lineRule="exact" w:before="0" w:after="0"/>
            <w:ind w:left="692" w:right="0" w:hanging="370"/>
            <w:jc w:val="left"/>
          </w:pPr>
          <w:hyperlink w:history="true" w:anchor="_bookmark24">
            <w:r>
              <w:rPr/>
              <w:t>Aplicaciones</w:t>
            </w:r>
            <w:r>
              <w:rPr>
                <w:spacing w:val="-1"/>
              </w:rPr>
              <w:t> </w:t>
            </w:r>
            <w:r>
              <w:rPr/>
              <w:t>del</w:t>
            </w:r>
            <w:r>
              <w:rPr>
                <w:spacing w:val="-1"/>
              </w:rPr>
              <w:t> </w:t>
            </w:r>
            <w:r>
              <w:rPr/>
              <w:t>VaR</w:t>
              <w:tab/>
              <w:t>46</w:t>
            </w:r>
          </w:hyperlink>
        </w:p>
        <w:p>
          <w:pPr>
            <w:pStyle w:val="TOC1"/>
            <w:numPr>
              <w:ilvl w:val="0"/>
              <w:numId w:val="1"/>
            </w:numPr>
            <w:tabs>
              <w:tab w:pos="409" w:val="left" w:leader="none"/>
              <w:tab w:pos="8930" w:val="right" w:leader="dot"/>
            </w:tabs>
            <w:spacing w:line="252" w:lineRule="exact" w:before="1" w:after="0"/>
            <w:ind w:left="409" w:right="0" w:hanging="307"/>
            <w:jc w:val="left"/>
          </w:pPr>
          <w:hyperlink w:history="true" w:anchor="_bookmark25">
            <w:r>
              <w:rPr/>
              <w:t>MexDer y</w:t>
            </w:r>
            <w:r>
              <w:rPr>
                <w:spacing w:val="-3"/>
              </w:rPr>
              <w:t> </w:t>
            </w:r>
            <w:r>
              <w:rPr/>
              <w:t>Asigna</w:t>
              <w:tab/>
              <w:t>50</w:t>
            </w:r>
          </w:hyperlink>
        </w:p>
        <w:p>
          <w:pPr>
            <w:pStyle w:val="TOC2"/>
            <w:numPr>
              <w:ilvl w:val="1"/>
              <w:numId w:val="4"/>
            </w:numPr>
            <w:tabs>
              <w:tab w:pos="693" w:val="left" w:leader="none"/>
              <w:tab w:pos="8930" w:val="right" w:leader="dot"/>
            </w:tabs>
            <w:spacing w:line="252" w:lineRule="exact" w:before="0" w:after="0"/>
            <w:ind w:left="692" w:right="0" w:hanging="370"/>
            <w:jc w:val="left"/>
          </w:pPr>
          <w:hyperlink w:history="true" w:anchor="_bookmark26">
            <w:r>
              <w:rPr/>
              <w:t>Mercado</w:t>
            </w:r>
            <w:r>
              <w:rPr>
                <w:spacing w:val="-1"/>
              </w:rPr>
              <w:t> </w:t>
            </w:r>
            <w:r>
              <w:rPr/>
              <w:t>de</w:t>
            </w:r>
            <w:r>
              <w:rPr>
                <w:spacing w:val="-3"/>
              </w:rPr>
              <w:t> </w:t>
            </w:r>
            <w:r>
              <w:rPr/>
              <w:t>derivados</w:t>
              <w:tab/>
              <w:t>50</w:t>
            </w:r>
          </w:hyperlink>
        </w:p>
        <w:p>
          <w:pPr>
            <w:pStyle w:val="TOC2"/>
            <w:numPr>
              <w:ilvl w:val="1"/>
              <w:numId w:val="4"/>
            </w:numPr>
            <w:tabs>
              <w:tab w:pos="693" w:val="left" w:leader="none"/>
              <w:tab w:pos="8930" w:val="right" w:leader="dot"/>
            </w:tabs>
            <w:spacing w:line="252" w:lineRule="exact" w:before="1" w:after="0"/>
            <w:ind w:left="692" w:right="0" w:hanging="370"/>
            <w:jc w:val="left"/>
          </w:pPr>
          <w:hyperlink w:history="true" w:anchor="_bookmark28">
            <w:r>
              <w:rPr/>
              <w:t>La bolsa de derivados de</w:t>
            </w:r>
            <w:r>
              <w:rPr>
                <w:spacing w:val="-3"/>
              </w:rPr>
              <w:t> </w:t>
            </w:r>
            <w:r>
              <w:rPr/>
              <w:t>México</w:t>
            </w:r>
            <w:r>
              <w:rPr>
                <w:spacing w:val="-1"/>
              </w:rPr>
              <w:t> </w:t>
            </w:r>
            <w:r>
              <w:rPr/>
              <w:t>(MexDer)</w:t>
              <w:tab/>
              <w:t>53</w:t>
            </w:r>
          </w:hyperlink>
        </w:p>
        <w:p>
          <w:pPr>
            <w:pStyle w:val="TOC2"/>
            <w:numPr>
              <w:ilvl w:val="1"/>
              <w:numId w:val="4"/>
            </w:numPr>
            <w:tabs>
              <w:tab w:pos="693" w:val="left" w:leader="none"/>
              <w:tab w:pos="8930" w:val="right" w:leader="dot"/>
            </w:tabs>
            <w:spacing w:line="252" w:lineRule="exact" w:before="0" w:after="0"/>
            <w:ind w:left="692" w:right="0" w:hanging="370"/>
            <w:jc w:val="left"/>
          </w:pPr>
          <w:hyperlink w:history="true" w:anchor="_bookmark29">
            <w:r>
              <w:rPr/>
              <w:t>La Cámara de</w:t>
            </w:r>
            <w:r>
              <w:rPr>
                <w:spacing w:val="-5"/>
              </w:rPr>
              <w:t> </w:t>
            </w:r>
            <w:r>
              <w:rPr/>
              <w:t>Compensación</w:t>
            </w:r>
            <w:r>
              <w:rPr>
                <w:spacing w:val="-1"/>
              </w:rPr>
              <w:t> </w:t>
            </w:r>
            <w:r>
              <w:rPr/>
              <w:t>(Asigna)</w:t>
              <w:tab/>
              <w:t>54</w:t>
            </w:r>
          </w:hyperlink>
        </w:p>
        <w:p>
          <w:pPr>
            <w:pStyle w:val="TOC1"/>
            <w:numPr>
              <w:ilvl w:val="0"/>
              <w:numId w:val="1"/>
            </w:numPr>
            <w:tabs>
              <w:tab w:pos="436" w:val="left" w:leader="none"/>
              <w:tab w:pos="8930" w:val="right" w:leader="dot"/>
            </w:tabs>
            <w:spacing w:line="252" w:lineRule="exact" w:before="0" w:after="0"/>
            <w:ind w:left="435" w:right="0" w:hanging="333"/>
            <w:jc w:val="left"/>
          </w:pPr>
          <w:hyperlink w:history="true" w:anchor="_bookmark30">
            <w:r>
              <w:rPr/>
              <w:t>Productos</w:t>
            </w:r>
            <w:r>
              <w:rPr>
                <w:spacing w:val="-1"/>
              </w:rPr>
              <w:t> </w:t>
            </w:r>
            <w:r>
              <w:rPr/>
              <w:t>derivados</w:t>
              <w:tab/>
              <w:t>56</w:t>
            </w:r>
          </w:hyperlink>
        </w:p>
        <w:p>
          <w:pPr>
            <w:pStyle w:val="TOC2"/>
            <w:numPr>
              <w:ilvl w:val="1"/>
              <w:numId w:val="5"/>
            </w:numPr>
            <w:tabs>
              <w:tab w:pos="693" w:val="left" w:leader="none"/>
              <w:tab w:pos="8930" w:val="right" w:leader="dot"/>
            </w:tabs>
            <w:spacing w:line="252" w:lineRule="exact" w:before="1" w:after="0"/>
            <w:ind w:left="692" w:right="0" w:hanging="370"/>
            <w:jc w:val="left"/>
          </w:pPr>
          <w:hyperlink w:history="true" w:anchor="_bookmark31">
            <w:r>
              <w:rPr/>
              <w:t>Márgen (Aportación</w:t>
            </w:r>
            <w:r>
              <w:rPr>
                <w:spacing w:val="-5"/>
              </w:rPr>
              <w:t> </w:t>
            </w:r>
            <w:r>
              <w:rPr/>
              <w:t>Inicial</w:t>
            </w:r>
            <w:r>
              <w:rPr>
                <w:spacing w:val="1"/>
              </w:rPr>
              <w:t> </w:t>
            </w:r>
            <w:r>
              <w:rPr/>
              <w:t>Mínima)</w:t>
              <w:tab/>
              <w:t>57</w:t>
            </w:r>
          </w:hyperlink>
        </w:p>
        <w:p>
          <w:pPr>
            <w:pStyle w:val="TOC2"/>
            <w:numPr>
              <w:ilvl w:val="1"/>
              <w:numId w:val="5"/>
            </w:numPr>
            <w:tabs>
              <w:tab w:pos="693" w:val="left" w:leader="none"/>
              <w:tab w:pos="8930" w:val="right" w:leader="dot"/>
            </w:tabs>
            <w:spacing w:line="252" w:lineRule="exact" w:before="0" w:after="0"/>
            <w:ind w:left="692" w:right="0" w:hanging="370"/>
            <w:jc w:val="left"/>
          </w:pPr>
          <w:hyperlink w:history="true" w:anchor="_bookmark32">
            <w:r>
              <w:rPr/>
              <w:t>Cámara</w:t>
            </w:r>
            <w:r>
              <w:rPr>
                <w:spacing w:val="-3"/>
              </w:rPr>
              <w:t> </w:t>
            </w:r>
            <w:r>
              <w:rPr/>
              <w:t>de</w:t>
            </w:r>
            <w:r>
              <w:rPr>
                <w:spacing w:val="-1"/>
              </w:rPr>
              <w:t> </w:t>
            </w:r>
            <w:r>
              <w:rPr/>
              <w:t>Compensación</w:t>
              <w:tab/>
              <w:t>57</w:t>
            </w:r>
          </w:hyperlink>
        </w:p>
        <w:p>
          <w:pPr>
            <w:pStyle w:val="TOC2"/>
            <w:numPr>
              <w:ilvl w:val="1"/>
              <w:numId w:val="5"/>
            </w:numPr>
            <w:tabs>
              <w:tab w:pos="691" w:val="left" w:leader="none"/>
              <w:tab w:pos="8930" w:val="right" w:leader="dot"/>
            </w:tabs>
            <w:spacing w:line="252" w:lineRule="exact" w:before="1" w:after="0"/>
            <w:ind w:left="690" w:right="0" w:hanging="368"/>
            <w:jc w:val="left"/>
          </w:pPr>
          <w:hyperlink w:history="true" w:anchor="_bookmark33">
            <w:r>
              <w:rPr/>
              <w:t>Tipos de</w:t>
            </w:r>
            <w:r>
              <w:rPr>
                <w:spacing w:val="-21"/>
              </w:rPr>
              <w:t> </w:t>
            </w:r>
            <w:r>
              <w:rPr/>
              <w:t>Derivados</w:t>
              <w:tab/>
              <w:t>59</w:t>
            </w:r>
          </w:hyperlink>
        </w:p>
        <w:p>
          <w:pPr>
            <w:pStyle w:val="TOC2"/>
            <w:numPr>
              <w:ilvl w:val="1"/>
              <w:numId w:val="5"/>
            </w:numPr>
            <w:tabs>
              <w:tab w:pos="693" w:val="left" w:leader="none"/>
              <w:tab w:pos="8930" w:val="right" w:leader="dot"/>
            </w:tabs>
            <w:spacing w:line="252" w:lineRule="exact" w:before="0" w:after="0"/>
            <w:ind w:left="692" w:right="0" w:hanging="370"/>
            <w:jc w:val="left"/>
          </w:pPr>
          <w:hyperlink w:history="true" w:anchor="_bookmark34">
            <w:r>
              <w:rPr/>
              <w:t>Estrategias</w:t>
            </w:r>
            <w:r>
              <w:rPr>
                <w:spacing w:val="-1"/>
              </w:rPr>
              <w:t> </w:t>
            </w:r>
            <w:r>
              <w:rPr/>
              <w:t>con</w:t>
            </w:r>
            <w:r>
              <w:rPr>
                <w:spacing w:val="-6"/>
              </w:rPr>
              <w:t> </w:t>
            </w:r>
            <w:r>
              <w:rPr/>
              <w:t>Futuros</w:t>
              <w:tab/>
              <w:t>61</w:t>
            </w:r>
          </w:hyperlink>
        </w:p>
        <w:p>
          <w:pPr>
            <w:pStyle w:val="TOC2"/>
            <w:numPr>
              <w:ilvl w:val="1"/>
              <w:numId w:val="5"/>
            </w:numPr>
            <w:tabs>
              <w:tab w:pos="691" w:val="left" w:leader="none"/>
              <w:tab w:pos="8930" w:val="right" w:leader="dot"/>
            </w:tabs>
            <w:spacing w:line="253" w:lineRule="exact" w:before="1" w:after="0"/>
            <w:ind w:left="690" w:right="0" w:hanging="368"/>
            <w:jc w:val="left"/>
          </w:pPr>
          <w:hyperlink w:history="true" w:anchor="_bookmark35">
            <w:r>
              <w:rPr/>
              <w:t>Indicadores de sensibilidad</w:t>
            </w:r>
            <w:r>
              <w:rPr>
                <w:spacing w:val="-3"/>
              </w:rPr>
              <w:t> </w:t>
            </w:r>
            <w:r>
              <w:rPr/>
              <w:t>en</w:t>
            </w:r>
            <w:r>
              <w:rPr>
                <w:spacing w:val="-1"/>
              </w:rPr>
              <w:t> </w:t>
            </w:r>
            <w:r>
              <w:rPr/>
              <w:t>Futuros</w:t>
              <w:tab/>
              <w:t>62</w:t>
            </w:r>
          </w:hyperlink>
        </w:p>
        <w:p>
          <w:pPr>
            <w:pStyle w:val="TOC2"/>
            <w:numPr>
              <w:ilvl w:val="1"/>
              <w:numId w:val="5"/>
            </w:numPr>
            <w:tabs>
              <w:tab w:pos="693" w:val="left" w:leader="none"/>
              <w:tab w:pos="8930" w:val="right" w:leader="dot"/>
            </w:tabs>
            <w:spacing w:line="252" w:lineRule="exact" w:before="0" w:after="0"/>
            <w:ind w:left="692" w:right="0" w:hanging="370"/>
            <w:jc w:val="left"/>
          </w:pPr>
          <w:hyperlink w:history="true" w:anchor="_bookmark36">
            <w:r>
              <w:rPr/>
              <w:t>Futuros en el Mercado Mexicano</w:t>
            </w:r>
            <w:r>
              <w:rPr>
                <w:spacing w:val="-6"/>
              </w:rPr>
              <w:t> </w:t>
            </w:r>
            <w:r>
              <w:rPr/>
              <w:t>de</w:t>
            </w:r>
            <w:r>
              <w:rPr>
                <w:spacing w:val="-1"/>
              </w:rPr>
              <w:t> </w:t>
            </w:r>
            <w:r>
              <w:rPr/>
              <w:t>Derivados</w:t>
              <w:tab/>
              <w:t>63</w:t>
            </w:r>
          </w:hyperlink>
        </w:p>
        <w:p>
          <w:pPr>
            <w:pStyle w:val="TOC2"/>
            <w:numPr>
              <w:ilvl w:val="1"/>
              <w:numId w:val="5"/>
            </w:numPr>
            <w:tabs>
              <w:tab w:pos="691" w:val="left" w:leader="none"/>
              <w:tab w:pos="8930" w:val="right" w:leader="dot"/>
            </w:tabs>
            <w:spacing w:line="252" w:lineRule="exact" w:before="0" w:after="0"/>
            <w:ind w:left="690" w:right="0" w:hanging="368"/>
            <w:jc w:val="left"/>
          </w:pPr>
          <w:hyperlink w:history="true" w:anchor="_bookmark37">
            <w:r>
              <w:rPr/>
              <w:t>Opciones</w:t>
              <w:tab/>
              <w:t>66</w:t>
            </w:r>
          </w:hyperlink>
        </w:p>
        <w:p>
          <w:pPr>
            <w:pStyle w:val="TOC2"/>
            <w:numPr>
              <w:ilvl w:val="1"/>
              <w:numId w:val="5"/>
            </w:numPr>
            <w:tabs>
              <w:tab w:pos="693" w:val="left" w:leader="none"/>
              <w:tab w:pos="8930" w:val="right" w:leader="dot"/>
            </w:tabs>
            <w:spacing w:line="252" w:lineRule="exact" w:before="1" w:after="0"/>
            <w:ind w:left="692" w:right="0" w:hanging="370"/>
            <w:jc w:val="left"/>
          </w:pPr>
          <w:hyperlink w:history="true" w:anchor="_bookmark38">
            <w:r>
              <w:rPr/>
              <w:t>Prima</w:t>
              <w:tab/>
              <w:t>67</w:t>
            </w:r>
          </w:hyperlink>
        </w:p>
        <w:p>
          <w:pPr>
            <w:pStyle w:val="TOC2"/>
            <w:numPr>
              <w:ilvl w:val="1"/>
              <w:numId w:val="5"/>
            </w:numPr>
            <w:tabs>
              <w:tab w:pos="691" w:val="left" w:leader="none"/>
              <w:tab w:pos="8930" w:val="right" w:leader="dot"/>
            </w:tabs>
            <w:spacing w:line="252" w:lineRule="exact" w:before="0" w:after="0"/>
            <w:ind w:left="690" w:right="0" w:hanging="368"/>
            <w:jc w:val="left"/>
          </w:pPr>
          <w:hyperlink w:history="true" w:anchor="_bookmark39">
            <w:r>
              <w:rPr/>
              <w:t>Indicadores de sensibilidad para</w:t>
            </w:r>
            <w:r>
              <w:rPr>
                <w:spacing w:val="-3"/>
              </w:rPr>
              <w:t> </w:t>
            </w:r>
            <w:r>
              <w:rPr/>
              <w:t>las</w:t>
            </w:r>
            <w:r>
              <w:rPr>
                <w:spacing w:val="-3"/>
              </w:rPr>
              <w:t> </w:t>
            </w:r>
            <w:r>
              <w:rPr/>
              <w:t>Opciones</w:t>
              <w:tab/>
              <w:t>70</w:t>
            </w:r>
          </w:hyperlink>
        </w:p>
        <w:p>
          <w:pPr>
            <w:pStyle w:val="TOC1"/>
            <w:tabs>
              <w:tab w:pos="8930" w:val="right" w:leader="dot"/>
            </w:tabs>
          </w:pPr>
          <w:hyperlink w:history="true" w:anchor="_bookmark40">
            <w:r>
              <w:rPr/>
              <w:t>Índice de tablas</w:t>
            </w:r>
            <w:r>
              <w:rPr>
                <w:spacing w:val="-3"/>
              </w:rPr>
              <w:t> </w:t>
            </w:r>
            <w:r>
              <w:rPr/>
              <w:t>y</w:t>
            </w:r>
            <w:r>
              <w:rPr>
                <w:spacing w:val="-3"/>
              </w:rPr>
              <w:t> </w:t>
            </w:r>
            <w:r>
              <w:rPr/>
              <w:t>figuras</w:t>
              <w:tab/>
              <w:t>72</w:t>
            </w:r>
          </w:hyperlink>
        </w:p>
        <w:p>
          <w:pPr>
            <w:pStyle w:val="TOC2"/>
            <w:tabs>
              <w:tab w:pos="8930" w:val="right" w:leader="dot"/>
            </w:tabs>
            <w:ind w:left="322" w:firstLine="0"/>
          </w:pPr>
          <w:hyperlink w:history="true" w:anchor="_bookmark41">
            <w:r>
              <w:rPr/>
              <w:t>Tablas</w:t>
              <w:tab/>
              <w:t>72</w:t>
            </w:r>
          </w:hyperlink>
        </w:p>
        <w:p>
          <w:pPr>
            <w:pStyle w:val="TOC2"/>
            <w:tabs>
              <w:tab w:pos="8930" w:val="right" w:leader="dot"/>
            </w:tabs>
            <w:ind w:left="322" w:firstLine="0"/>
          </w:pPr>
          <w:hyperlink w:history="true" w:anchor="_bookmark42">
            <w:r>
              <w:rPr/>
              <w:t>Figuras</w:t>
              <w:tab/>
              <w:t>72</w:t>
            </w:r>
          </w:hyperlink>
        </w:p>
        <w:p>
          <w:pPr>
            <w:pStyle w:val="TOC1"/>
            <w:tabs>
              <w:tab w:pos="8930" w:val="right" w:leader="dot"/>
            </w:tabs>
          </w:pPr>
          <w:hyperlink w:history="true" w:anchor="_bookmark43">
            <w:r>
              <w:rPr/>
              <w:t>Bibliografía base para</w:t>
            </w:r>
            <w:r>
              <w:rPr>
                <w:spacing w:val="-3"/>
              </w:rPr>
              <w:t> </w:t>
            </w:r>
            <w:r>
              <w:rPr/>
              <w:t>la</w:t>
            </w:r>
            <w:r>
              <w:rPr>
                <w:spacing w:val="-3"/>
              </w:rPr>
              <w:t> </w:t>
            </w:r>
            <w:r>
              <w:rPr/>
              <w:t>compilación</w:t>
              <w:tab/>
              <w:t>73</w:t>
            </w:r>
          </w:hyperlink>
        </w:p>
        <w:p>
          <w:pPr>
            <w:pStyle w:val="TOC1"/>
            <w:tabs>
              <w:tab w:pos="8930" w:val="right" w:leader="dot"/>
            </w:tabs>
            <w:spacing w:before="0"/>
          </w:pPr>
          <w:hyperlink w:history="true" w:anchor="_bookmark44">
            <w:r>
              <w:rPr/>
              <w:t>Apéndices</w:t>
              <w:tab/>
              <w:t>74</w:t>
            </w:r>
          </w:hyperlink>
        </w:p>
        <w:p>
          <w:pPr>
            <w:pStyle w:val="TOC2"/>
            <w:tabs>
              <w:tab w:pos="8930" w:val="right" w:leader="dot"/>
            </w:tabs>
            <w:spacing w:before="1"/>
            <w:ind w:left="322" w:firstLine="0"/>
          </w:pPr>
          <w:hyperlink w:history="true" w:anchor="_bookmark45">
            <w:r>
              <w:rPr/>
              <w:t>Apéndice 1.</w:t>
            </w:r>
            <w:r>
              <w:rPr>
                <w:spacing w:val="1"/>
              </w:rPr>
              <w:t> </w:t>
            </w:r>
            <w:r>
              <w:rPr/>
              <w:t>Desastres</w:t>
            </w:r>
            <w:r>
              <w:rPr>
                <w:spacing w:val="-3"/>
              </w:rPr>
              <w:t> </w:t>
            </w:r>
            <w:r>
              <w:rPr/>
              <w:t>financieros</w:t>
              <w:tab/>
              <w:t>74</w:t>
            </w:r>
          </w:hyperlink>
        </w:p>
        <w:p>
          <w:pPr>
            <w:pStyle w:val="TOC2"/>
            <w:tabs>
              <w:tab w:pos="8930" w:val="right" w:leader="dot"/>
            </w:tabs>
            <w:ind w:left="322" w:firstLine="0"/>
          </w:pPr>
          <w:hyperlink w:history="true" w:anchor="_bookmark46">
            <w:r>
              <w:rPr/>
              <w:t>Apéndice 2. Acuerdo</w:t>
            </w:r>
            <w:r>
              <w:rPr>
                <w:spacing w:val="2"/>
              </w:rPr>
              <w:t> </w:t>
            </w:r>
            <w:r>
              <w:rPr/>
              <w:t>de</w:t>
            </w:r>
            <w:r>
              <w:rPr>
                <w:spacing w:val="-6"/>
              </w:rPr>
              <w:t> </w:t>
            </w:r>
            <w:r>
              <w:rPr/>
              <w:t>Basilea</w:t>
              <w:tab/>
              <w:t>80</w:t>
            </w:r>
          </w:hyperlink>
        </w:p>
        <w:p>
          <w:pPr>
            <w:pStyle w:val="TOC2"/>
            <w:tabs>
              <w:tab w:pos="8930" w:val="right" w:leader="dot"/>
            </w:tabs>
            <w:ind w:left="322" w:firstLine="0"/>
          </w:pPr>
          <w:hyperlink w:history="true" w:anchor="_bookmark47">
            <w:r>
              <w:rPr/>
              <w:t>Apéndice 3. Recomendaciones del</w:t>
            </w:r>
            <w:r>
              <w:rPr>
                <w:spacing w:val="1"/>
              </w:rPr>
              <w:t> </w:t>
            </w:r>
            <w:r>
              <w:rPr/>
              <w:t>Grupo</w:t>
            </w:r>
            <w:r>
              <w:rPr>
                <w:spacing w:val="-3"/>
              </w:rPr>
              <w:t> </w:t>
            </w:r>
            <w:r>
              <w:rPr/>
              <w:t>G-30</w:t>
              <w:tab/>
              <w:t>81</w:t>
            </w:r>
          </w:hyperlink>
        </w:p>
        <w:p>
          <w:pPr>
            <w:pStyle w:val="TOC2"/>
            <w:tabs>
              <w:tab w:pos="8930" w:val="right" w:leader="dot"/>
            </w:tabs>
            <w:spacing w:before="1"/>
            <w:ind w:left="322" w:firstLine="0"/>
          </w:pPr>
          <w:hyperlink w:history="true" w:anchor="_bookmark48">
            <w:r>
              <w:rPr/>
              <w:t>Apéndice 4. Métodos de evaluacion del riesgo para portafolios</w:t>
            </w:r>
            <w:r>
              <w:rPr>
                <w:spacing w:val="-7"/>
              </w:rPr>
              <w:t> </w:t>
            </w:r>
            <w:r>
              <w:rPr/>
              <w:t>de</w:t>
            </w:r>
            <w:r>
              <w:rPr>
                <w:spacing w:val="-3"/>
              </w:rPr>
              <w:t> </w:t>
            </w:r>
            <w:r>
              <w:rPr/>
              <w:t>inversion</w:t>
              <w:tab/>
              <w:t>83</w:t>
            </w:r>
          </w:hyperlink>
        </w:p>
        <w:p>
          <w:pPr>
            <w:pStyle w:val="TOC2"/>
            <w:tabs>
              <w:tab w:pos="8930" w:val="right" w:leader="dot"/>
            </w:tabs>
            <w:ind w:left="322" w:firstLine="0"/>
          </w:pPr>
          <w:hyperlink w:history="true" w:anchor="_bookmark49">
            <w:r>
              <w:rPr/>
              <w:t>Apéndice 5. Aplicaciones complementarias</w:t>
            </w:r>
            <w:r>
              <w:rPr>
                <w:spacing w:val="1"/>
              </w:rPr>
              <w:t> </w:t>
            </w:r>
            <w:r>
              <w:rPr/>
              <w:t>del</w:t>
            </w:r>
            <w:r>
              <w:rPr>
                <w:spacing w:val="-1"/>
              </w:rPr>
              <w:t> </w:t>
            </w:r>
            <w:r>
              <w:rPr/>
              <w:t>VaR</w:t>
              <w:tab/>
              <w:t>87</w:t>
            </w:r>
          </w:hyperlink>
        </w:p>
      </w:sdtContent>
    </w:sdt>
    <w:p>
      <w:pPr>
        <w:spacing w:after="0"/>
        <w:sectPr>
          <w:pgSz w:w="12240" w:h="15840"/>
          <w:pgMar w:top="1380" w:bottom="280" w:left="1600" w:right="1600"/>
        </w:sectPr>
      </w:pPr>
    </w:p>
    <w:p>
      <w:pPr>
        <w:pStyle w:val="BodyText"/>
        <w:rPr>
          <w:sz w:val="32"/>
        </w:rPr>
      </w:pPr>
    </w:p>
    <w:p>
      <w:pPr>
        <w:pStyle w:val="BodyText"/>
        <w:spacing w:before="7"/>
        <w:rPr>
          <w:sz w:val="30"/>
        </w:rPr>
      </w:pPr>
    </w:p>
    <w:p>
      <w:pPr>
        <w:pStyle w:val="Heading1"/>
        <w:numPr>
          <w:ilvl w:val="0"/>
          <w:numId w:val="6"/>
        </w:numPr>
        <w:tabs>
          <w:tab w:pos="392" w:val="left" w:leader="none"/>
        </w:tabs>
        <w:spacing w:line="240" w:lineRule="auto" w:before="1" w:after="0"/>
        <w:ind w:left="142" w:right="1878" w:firstLine="0"/>
        <w:jc w:val="left"/>
        <w:rPr>
          <w:sz w:val="32"/>
        </w:rPr>
      </w:pPr>
      <w:bookmarkStart w:name="_bookmark0" w:id="1"/>
      <w:bookmarkEnd w:id="1"/>
      <w:r>
        <w:rPr>
          <w:b w:val="0"/>
        </w:rPr>
      </w:r>
      <w:bookmarkStart w:name="_bookmark0" w:id="2"/>
      <w:bookmarkEnd w:id="2"/>
      <w:r>
        <w:rPr>
          <w:sz w:val="32"/>
        </w:rPr>
        <w:t>O</w:t>
      </w:r>
      <w:r>
        <w:rPr/>
        <w:t>RGANIZACIÓN DEL MATERIAL Y SU RELACIÓN</w:t>
      </w:r>
      <w:r>
        <w:rPr>
          <w:spacing w:val="-15"/>
        </w:rPr>
        <w:t> </w:t>
      </w:r>
      <w:r>
        <w:rPr/>
        <w:t>CON CONTENIDOS DE LA</w:t>
      </w:r>
      <w:r>
        <w:rPr>
          <w:spacing w:val="-11"/>
        </w:rPr>
        <w:t> </w:t>
      </w:r>
      <w:r>
        <w:rPr>
          <w:sz w:val="32"/>
        </w:rPr>
        <w:t>U.A.</w:t>
      </w:r>
    </w:p>
    <w:p>
      <w:pPr>
        <w:pStyle w:val="BodyText"/>
        <w:rPr>
          <w:b/>
          <w:sz w:val="42"/>
        </w:rPr>
      </w:pPr>
    </w:p>
    <w:p>
      <w:pPr>
        <w:pStyle w:val="ListParagraph"/>
        <w:numPr>
          <w:ilvl w:val="1"/>
          <w:numId w:val="7"/>
        </w:numPr>
        <w:tabs>
          <w:tab w:pos="594" w:val="left" w:leader="none"/>
        </w:tabs>
        <w:spacing w:line="240" w:lineRule="auto" w:before="0" w:after="0"/>
        <w:ind w:left="593" w:right="0" w:hanging="451"/>
        <w:jc w:val="left"/>
        <w:rPr>
          <w:b/>
          <w:sz w:val="22"/>
        </w:rPr>
      </w:pPr>
      <w:bookmarkStart w:name="_bookmark1" w:id="3"/>
      <w:bookmarkEnd w:id="3"/>
      <w:r>
        <w:rPr/>
      </w:r>
      <w:bookmarkStart w:name="_bookmark1" w:id="4"/>
      <w:bookmarkEnd w:id="4"/>
      <w:r>
        <w:rPr>
          <w:b/>
          <w:sz w:val="28"/>
        </w:rPr>
        <w:t>P</w:t>
      </w:r>
      <w:r>
        <w:rPr>
          <w:b/>
          <w:sz w:val="22"/>
        </w:rPr>
        <w:t>RESENTACIÓN</w:t>
      </w:r>
    </w:p>
    <w:p>
      <w:pPr>
        <w:pStyle w:val="BodyText"/>
        <w:spacing w:line="360" w:lineRule="auto" w:before="241"/>
        <w:ind w:left="142" w:right="138" w:firstLine="707"/>
        <w:jc w:val="both"/>
      </w:pPr>
      <w:r>
        <w:rPr/>
        <w:t>En el área económico-administrativa, la función financiera es tradicionalmente uno de los componentes más sólidos dentro de una buena estrategia empresarial. Dados los constantes cambios en el entorno, se hace necesario abordar muchas de las prácticas financieras con un espíritu crítico, que nos</w:t>
      </w:r>
      <w:r>
        <w:rPr>
          <w:spacing w:val="-4"/>
        </w:rPr>
        <w:t> </w:t>
      </w:r>
      <w:r>
        <w:rPr/>
        <w:t>permita</w:t>
      </w:r>
      <w:r>
        <w:rPr>
          <w:spacing w:val="-4"/>
        </w:rPr>
        <w:t> </w:t>
      </w:r>
      <w:r>
        <w:rPr/>
        <w:t>construir</w:t>
      </w:r>
      <w:r>
        <w:rPr>
          <w:spacing w:val="-6"/>
        </w:rPr>
        <w:t> </w:t>
      </w:r>
      <w:r>
        <w:rPr/>
        <w:t>un</w:t>
      </w:r>
      <w:r>
        <w:rPr>
          <w:spacing w:val="-4"/>
        </w:rPr>
        <w:t> </w:t>
      </w:r>
      <w:r>
        <w:rPr/>
        <w:t>marco</w:t>
      </w:r>
      <w:r>
        <w:rPr>
          <w:spacing w:val="-7"/>
        </w:rPr>
        <w:t> </w:t>
      </w:r>
      <w:r>
        <w:rPr/>
        <w:t>de</w:t>
      </w:r>
      <w:r>
        <w:rPr>
          <w:spacing w:val="-4"/>
        </w:rPr>
        <w:t> </w:t>
      </w:r>
      <w:r>
        <w:rPr/>
        <w:t>referencia</w:t>
      </w:r>
      <w:r>
        <w:rPr>
          <w:spacing w:val="-6"/>
        </w:rPr>
        <w:t> </w:t>
      </w:r>
      <w:r>
        <w:rPr/>
        <w:t>y</w:t>
      </w:r>
      <w:r>
        <w:rPr>
          <w:spacing w:val="-7"/>
        </w:rPr>
        <w:t> </w:t>
      </w:r>
      <w:r>
        <w:rPr/>
        <w:t>generar</w:t>
      </w:r>
      <w:r>
        <w:rPr>
          <w:spacing w:val="-5"/>
        </w:rPr>
        <w:t> </w:t>
      </w:r>
      <w:r>
        <w:rPr/>
        <w:t>los</w:t>
      </w:r>
      <w:r>
        <w:rPr>
          <w:spacing w:val="-4"/>
        </w:rPr>
        <w:t> </w:t>
      </w:r>
      <w:r>
        <w:rPr/>
        <w:t>instrumentos</w:t>
      </w:r>
      <w:r>
        <w:rPr>
          <w:spacing w:val="-7"/>
        </w:rPr>
        <w:t> </w:t>
      </w:r>
      <w:r>
        <w:rPr/>
        <w:t>de</w:t>
      </w:r>
      <w:r>
        <w:rPr>
          <w:spacing w:val="-6"/>
        </w:rPr>
        <w:t> </w:t>
      </w:r>
      <w:r>
        <w:rPr/>
        <w:t>análisis e información que coadyuven en la toma de</w:t>
      </w:r>
      <w:r>
        <w:rPr>
          <w:spacing w:val="-27"/>
        </w:rPr>
        <w:t> </w:t>
      </w:r>
      <w:r>
        <w:rPr/>
        <w:t>decisiones.</w:t>
      </w:r>
    </w:p>
    <w:p>
      <w:pPr>
        <w:pStyle w:val="BodyText"/>
        <w:spacing w:line="360" w:lineRule="auto" w:before="5"/>
        <w:ind w:left="142" w:right="136" w:firstLine="707"/>
        <w:jc w:val="both"/>
      </w:pPr>
      <w:r>
        <w:rPr/>
        <w:t>El presente documento didáctico, tiene la finalidad de servir como marco de referencia</w:t>
      </w:r>
      <w:r>
        <w:rPr>
          <w:spacing w:val="-13"/>
        </w:rPr>
        <w:t> </w:t>
      </w:r>
      <w:r>
        <w:rPr/>
        <w:t>académico</w:t>
      </w:r>
      <w:r>
        <w:rPr>
          <w:spacing w:val="-14"/>
        </w:rPr>
        <w:t> </w:t>
      </w:r>
      <w:r>
        <w:rPr/>
        <w:t>en</w:t>
      </w:r>
      <w:r>
        <w:rPr>
          <w:spacing w:val="-11"/>
        </w:rPr>
        <w:t> </w:t>
      </w:r>
      <w:r>
        <w:rPr/>
        <w:t>la</w:t>
      </w:r>
      <w:r>
        <w:rPr>
          <w:spacing w:val="-13"/>
        </w:rPr>
        <w:t> </w:t>
      </w:r>
      <w:r>
        <w:rPr/>
        <w:t>asignatura</w:t>
      </w:r>
      <w:r>
        <w:rPr>
          <w:spacing w:val="-14"/>
        </w:rPr>
        <w:t> </w:t>
      </w:r>
      <w:r>
        <w:rPr/>
        <w:t>de</w:t>
      </w:r>
      <w:r>
        <w:rPr>
          <w:spacing w:val="-10"/>
        </w:rPr>
        <w:t> </w:t>
      </w:r>
      <w:r>
        <w:rPr>
          <w:i/>
        </w:rPr>
        <w:t>Mercado</w:t>
      </w:r>
      <w:r>
        <w:rPr>
          <w:i/>
          <w:spacing w:val="-13"/>
        </w:rPr>
        <w:t> </w:t>
      </w:r>
      <w:r>
        <w:rPr>
          <w:i/>
        </w:rPr>
        <w:t>de</w:t>
      </w:r>
      <w:r>
        <w:rPr>
          <w:i/>
          <w:spacing w:val="-13"/>
        </w:rPr>
        <w:t> </w:t>
      </w:r>
      <w:r>
        <w:rPr>
          <w:i/>
        </w:rPr>
        <w:t>Derivados</w:t>
      </w:r>
      <w:r>
        <w:rPr>
          <w:i/>
          <w:spacing w:val="-12"/>
        </w:rPr>
        <w:t> </w:t>
      </w:r>
      <w:r>
        <w:rPr/>
        <w:t>del</w:t>
      </w:r>
      <w:r>
        <w:rPr>
          <w:spacing w:val="-14"/>
        </w:rPr>
        <w:t> </w:t>
      </w:r>
      <w:r>
        <w:rPr/>
        <w:t>plan</w:t>
      </w:r>
      <w:r>
        <w:rPr>
          <w:spacing w:val="-13"/>
        </w:rPr>
        <w:t> </w:t>
      </w:r>
      <w:r>
        <w:rPr/>
        <w:t>de</w:t>
      </w:r>
      <w:r>
        <w:rPr>
          <w:spacing w:val="-13"/>
        </w:rPr>
        <w:t> </w:t>
      </w:r>
      <w:r>
        <w:rPr/>
        <w:t>estudio de licenciatura que ofrece la Facultad de Contaduría Administración e Informática de la Universidad Autónoma del Estado de</w:t>
      </w:r>
      <w:r>
        <w:rPr>
          <w:spacing w:val="-23"/>
        </w:rPr>
        <w:t> </w:t>
      </w:r>
      <w:r>
        <w:rPr/>
        <w:t>México.</w:t>
      </w:r>
    </w:p>
    <w:p>
      <w:pPr>
        <w:pStyle w:val="BodyText"/>
        <w:spacing w:line="360" w:lineRule="auto" w:before="5"/>
        <w:ind w:left="142" w:right="134" w:firstLine="707"/>
        <w:jc w:val="both"/>
      </w:pPr>
      <w:r>
        <w:rPr/>
        <w:t>El material forma parte de un paquete diseñado con la participación de académicos</w:t>
      </w:r>
      <w:r>
        <w:rPr>
          <w:spacing w:val="-13"/>
        </w:rPr>
        <w:t> </w:t>
      </w:r>
      <w:r>
        <w:rPr/>
        <w:t>especializados</w:t>
      </w:r>
      <w:r>
        <w:rPr>
          <w:spacing w:val="-12"/>
        </w:rPr>
        <w:t> </w:t>
      </w:r>
      <w:r>
        <w:rPr/>
        <w:t>en</w:t>
      </w:r>
      <w:r>
        <w:rPr>
          <w:spacing w:val="-11"/>
        </w:rPr>
        <w:t> </w:t>
      </w:r>
      <w:r>
        <w:rPr/>
        <w:t>el</w:t>
      </w:r>
      <w:r>
        <w:rPr>
          <w:spacing w:val="-12"/>
        </w:rPr>
        <w:t> </w:t>
      </w:r>
      <w:r>
        <w:rPr/>
        <w:t>área</w:t>
      </w:r>
      <w:r>
        <w:rPr>
          <w:spacing w:val="-11"/>
        </w:rPr>
        <w:t> </w:t>
      </w:r>
      <w:r>
        <w:rPr/>
        <w:t>y</w:t>
      </w:r>
      <w:r>
        <w:rPr>
          <w:spacing w:val="-14"/>
        </w:rPr>
        <w:t> </w:t>
      </w:r>
      <w:r>
        <w:rPr/>
        <w:t>que</w:t>
      </w:r>
      <w:r>
        <w:rPr>
          <w:spacing w:val="-11"/>
        </w:rPr>
        <w:t> </w:t>
      </w:r>
      <w:r>
        <w:rPr/>
        <w:t>consiste</w:t>
      </w:r>
      <w:r>
        <w:rPr>
          <w:spacing w:val="-5"/>
        </w:rPr>
        <w:t> </w:t>
      </w:r>
      <w:r>
        <w:rPr/>
        <w:t>en</w:t>
      </w:r>
      <w:r>
        <w:rPr>
          <w:spacing w:val="-11"/>
        </w:rPr>
        <w:t> </w:t>
      </w:r>
      <w:r>
        <w:rPr/>
        <w:t>una</w:t>
      </w:r>
      <w:r>
        <w:rPr>
          <w:spacing w:val="-11"/>
        </w:rPr>
        <w:t> </w:t>
      </w:r>
      <w:r>
        <w:rPr/>
        <w:t>amplia</w:t>
      </w:r>
      <w:r>
        <w:rPr>
          <w:spacing w:val="-13"/>
        </w:rPr>
        <w:t> </w:t>
      </w:r>
      <w:r>
        <w:rPr/>
        <w:t>gama</w:t>
      </w:r>
      <w:r>
        <w:rPr>
          <w:spacing w:val="-11"/>
        </w:rPr>
        <w:t> </w:t>
      </w:r>
      <w:r>
        <w:rPr/>
        <w:t>de</w:t>
      </w:r>
      <w:r>
        <w:rPr>
          <w:spacing w:val="-13"/>
        </w:rPr>
        <w:t> </w:t>
      </w:r>
      <w:r>
        <w:rPr/>
        <w:t>temas relacionados con diferentes problemas en materia de administración de riesgos a partir de la selección bibliográfica de autores líderes en la materia así como con información actualizada de la página del MexDer (Mercado de Derivados) lo que permite apoyar el marco teórico de los cursos de referencia y ofrecer un valor agregado al proceso de formación del alumno en los niveles de licenciatura en Contaduría y en Administración en su visión</w:t>
      </w:r>
      <w:r>
        <w:rPr>
          <w:spacing w:val="-10"/>
        </w:rPr>
        <w:t> </w:t>
      </w:r>
      <w:r>
        <w:rPr/>
        <w:t>gerencial.</w:t>
      </w:r>
    </w:p>
    <w:p>
      <w:pPr>
        <w:pStyle w:val="BodyText"/>
        <w:spacing w:line="360" w:lineRule="auto" w:before="5"/>
        <w:ind w:left="142" w:right="144" w:firstLine="707"/>
        <w:jc w:val="both"/>
      </w:pPr>
      <w:r>
        <w:rPr/>
        <w:t>Finalmente, este material proporciona amplias oportunidades de sinergia en la integración futura y tránsito académico a los programas de maestría que ofrece el área de posgrado de nuestra Facultad.</w:t>
      </w:r>
    </w:p>
    <w:p>
      <w:pPr>
        <w:spacing w:after="0" w:line="360" w:lineRule="auto"/>
        <w:jc w:val="both"/>
        <w:sectPr>
          <w:headerReference w:type="default" r:id="rId6"/>
          <w:footerReference w:type="default" r:id="rId7"/>
          <w:pgSz w:w="12240" w:h="15840"/>
          <w:pgMar w:header="731" w:footer="737" w:top="1180" w:bottom="920" w:left="1560" w:right="1560"/>
          <w:pgNumType w:start="1"/>
        </w:sectPr>
      </w:pPr>
    </w:p>
    <w:p>
      <w:pPr>
        <w:pStyle w:val="BodyText"/>
        <w:rPr>
          <w:sz w:val="20"/>
        </w:rPr>
      </w:pPr>
    </w:p>
    <w:p>
      <w:pPr>
        <w:pStyle w:val="BodyText"/>
        <w:spacing w:before="1"/>
        <w:rPr>
          <w:sz w:val="16"/>
        </w:rPr>
      </w:pPr>
    </w:p>
    <w:p>
      <w:pPr>
        <w:pStyle w:val="ListParagraph"/>
        <w:numPr>
          <w:ilvl w:val="1"/>
          <w:numId w:val="7"/>
        </w:numPr>
        <w:tabs>
          <w:tab w:pos="594" w:val="left" w:leader="none"/>
        </w:tabs>
        <w:spacing w:line="240" w:lineRule="auto" w:before="65" w:after="0"/>
        <w:ind w:left="593" w:right="0" w:hanging="451"/>
        <w:jc w:val="left"/>
        <w:rPr>
          <w:b/>
          <w:sz w:val="22"/>
        </w:rPr>
      </w:pPr>
      <w:bookmarkStart w:name="_bookmark2" w:id="5"/>
      <w:bookmarkEnd w:id="5"/>
      <w:r>
        <w:rPr/>
      </w:r>
      <w:bookmarkStart w:name="_bookmark2" w:id="6"/>
      <w:bookmarkEnd w:id="6"/>
      <w:r>
        <w:rPr>
          <w:b/>
          <w:sz w:val="28"/>
        </w:rPr>
        <w:t>M</w:t>
      </w:r>
      <w:r>
        <w:rPr>
          <w:b/>
          <w:sz w:val="22"/>
        </w:rPr>
        <w:t>APA</w:t>
      </w:r>
      <w:r>
        <w:rPr>
          <w:b/>
          <w:spacing w:val="-15"/>
          <w:sz w:val="22"/>
        </w:rPr>
        <w:t> </w:t>
      </w:r>
      <w:r>
        <w:rPr>
          <w:b/>
          <w:sz w:val="22"/>
        </w:rPr>
        <w:t>CURRICULAR</w:t>
      </w:r>
    </w:p>
    <w:p>
      <w:pPr>
        <w:pStyle w:val="BodyText"/>
        <w:spacing w:before="4"/>
        <w:rPr>
          <w:b/>
          <w:sz w:val="19"/>
        </w:rPr>
      </w:pPr>
      <w:r>
        <w:rPr/>
        <w:pict>
          <v:group style="position:absolute;margin-left:85.785004pt;margin-top:13.078213pt;width:479.7pt;height:392.7pt;mso-position-horizontal-relative:page;mso-position-vertical-relative:paragraph;z-index:1072;mso-wrap-distance-left:0;mso-wrap-distance-right:0" coordorigin="1716,262" coordsize="9594,7854">
            <v:shape style="position:absolute;left:1730;top:276;width:9564;height:7824" type="#_x0000_t75" stroked="false">
              <v:imagedata r:id="rId8" o:title=""/>
            </v:shape>
            <v:rect style="position:absolute;left:1723;top:269;width:9578;height:7838" filled="false" stroked="true" strokeweight=".72pt" strokecolor="#000000"/>
            <v:shape style="position:absolute;left:9322;top:5127;width:934;height:737" coordorigin="9322,5127" coordsize="934,737" path="m9322,5495l9329,5429,9351,5367,9385,5309,9431,5258,9488,5213,9553,5177,9626,5150,9704,5133,9788,5127,9872,5133,9951,5150,10024,5177,10089,5213,10145,5258,10191,5309,10226,5367,10248,5429,10255,5495,10248,5561,10226,5624,10191,5681,10145,5732,10089,5777,10024,5813,9951,5840,9872,5858,9788,5863,9704,5858,9626,5840,9553,5813,9488,5777,9431,5732,9385,5681,9351,5624,9329,5561,9322,5495xe" filled="false" stroked="true" strokeweight=".96pt" strokecolor="#ff0000">
              <v:path arrowok="t"/>
            </v:shape>
            <w10:wrap type="topAndBottom"/>
          </v:group>
        </w:pict>
      </w:r>
    </w:p>
    <w:p>
      <w:pPr>
        <w:spacing w:after="0"/>
        <w:rPr>
          <w:sz w:val="19"/>
        </w:rPr>
        <w:sectPr>
          <w:pgSz w:w="12240" w:h="15840"/>
          <w:pgMar w:header="731" w:footer="737" w:top="1180" w:bottom="920" w:left="1560" w:right="820"/>
        </w:sectPr>
      </w:pPr>
    </w:p>
    <w:p>
      <w:pPr>
        <w:pStyle w:val="BodyText"/>
        <w:rPr>
          <w:b/>
          <w:sz w:val="20"/>
        </w:rPr>
      </w:pPr>
    </w:p>
    <w:p>
      <w:pPr>
        <w:pStyle w:val="BodyText"/>
        <w:spacing w:before="1"/>
        <w:rPr>
          <w:b/>
          <w:sz w:val="16"/>
        </w:rPr>
      </w:pPr>
    </w:p>
    <w:p>
      <w:pPr>
        <w:pStyle w:val="ListParagraph"/>
        <w:numPr>
          <w:ilvl w:val="1"/>
          <w:numId w:val="7"/>
        </w:numPr>
        <w:tabs>
          <w:tab w:pos="594" w:val="left" w:leader="none"/>
        </w:tabs>
        <w:spacing w:line="240" w:lineRule="auto" w:before="65" w:after="0"/>
        <w:ind w:left="593" w:right="0" w:hanging="451"/>
        <w:jc w:val="left"/>
        <w:rPr>
          <w:b/>
          <w:sz w:val="22"/>
        </w:rPr>
      </w:pPr>
      <w:bookmarkStart w:name="_bookmark3" w:id="7"/>
      <w:bookmarkEnd w:id="7"/>
      <w:r>
        <w:rPr/>
      </w:r>
      <w:bookmarkStart w:name="_bookmark3" w:id="8"/>
      <w:bookmarkEnd w:id="8"/>
      <w:r>
        <w:rPr>
          <w:b/>
          <w:sz w:val="28"/>
        </w:rPr>
        <w:t>P</w:t>
      </w:r>
      <w:r>
        <w:rPr>
          <w:b/>
          <w:sz w:val="22"/>
        </w:rPr>
        <w:t>ROGRAMA DE ESTUDIOS</w:t>
      </w:r>
      <w:r>
        <w:rPr>
          <w:b/>
          <w:sz w:val="28"/>
        </w:rPr>
        <w:t>: M</w:t>
      </w:r>
      <w:r>
        <w:rPr>
          <w:b/>
          <w:sz w:val="22"/>
        </w:rPr>
        <w:t>ERCADO DE</w:t>
      </w:r>
      <w:r>
        <w:rPr>
          <w:b/>
          <w:spacing w:val="-38"/>
          <w:sz w:val="22"/>
        </w:rPr>
        <w:t> </w:t>
      </w:r>
      <w:r>
        <w:rPr>
          <w:b/>
          <w:sz w:val="28"/>
        </w:rPr>
        <w:t>D</w:t>
      </w:r>
      <w:r>
        <w:rPr>
          <w:b/>
          <w:sz w:val="22"/>
        </w:rPr>
        <w:t>ERIVADOS</w:t>
      </w:r>
    </w:p>
    <w:p>
      <w:pPr>
        <w:pStyle w:val="BodyText"/>
        <w:spacing w:before="10"/>
        <w:rPr>
          <w:b/>
          <w:sz w:val="17"/>
        </w:rPr>
      </w:pPr>
      <w:r>
        <w:rPr/>
        <w:drawing>
          <wp:anchor distT="0" distB="0" distL="0" distR="0" allowOverlap="1" layoutInCell="1" locked="0" behindDoc="0" simplePos="0" relativeHeight="1096">
            <wp:simplePos x="0" y="0"/>
            <wp:positionH relativeFrom="page">
              <wp:posOffset>1187196</wp:posOffset>
            </wp:positionH>
            <wp:positionV relativeFrom="paragraph">
              <wp:posOffset>155615</wp:posOffset>
            </wp:positionV>
            <wp:extent cx="5372056" cy="2070258"/>
            <wp:effectExtent l="0" t="0" r="0" b="0"/>
            <wp:wrapTopAndBottom/>
            <wp:docPr id="1" name="image3.jpeg" descr=""/>
            <wp:cNvGraphicFramePr>
              <a:graphicFrameLocks noChangeAspect="1"/>
            </wp:cNvGraphicFramePr>
            <a:graphic>
              <a:graphicData uri="http://schemas.openxmlformats.org/drawingml/2006/picture">
                <pic:pic>
                  <pic:nvPicPr>
                    <pic:cNvPr id="2" name="image3.jpeg"/>
                    <pic:cNvPicPr/>
                  </pic:nvPicPr>
                  <pic:blipFill>
                    <a:blip r:embed="rId9" cstate="print"/>
                    <a:stretch>
                      <a:fillRect/>
                    </a:stretch>
                  </pic:blipFill>
                  <pic:spPr>
                    <a:xfrm>
                      <a:off x="0" y="0"/>
                      <a:ext cx="5372056" cy="2070258"/>
                    </a:xfrm>
                    <a:prstGeom prst="rect">
                      <a:avLst/>
                    </a:prstGeom>
                  </pic:spPr>
                </pic:pic>
              </a:graphicData>
            </a:graphic>
          </wp:anchor>
        </w:drawing>
      </w:r>
    </w:p>
    <w:p>
      <w:pPr>
        <w:pStyle w:val="Heading3"/>
        <w:spacing w:before="223"/>
      </w:pPr>
      <w:r>
        <w:rPr/>
        <w:t>Propósito</w:t>
      </w:r>
    </w:p>
    <w:p>
      <w:pPr>
        <w:pStyle w:val="BodyText"/>
        <w:spacing w:line="360" w:lineRule="auto" w:before="60"/>
        <w:ind w:left="142" w:right="137" w:firstLine="707"/>
        <w:jc w:val="both"/>
      </w:pPr>
      <w:r>
        <w:rPr/>
        <w:t>La unidad de aprendizaje </w:t>
      </w:r>
      <w:r>
        <w:rPr>
          <w:i/>
        </w:rPr>
        <w:t>Mercado de derivados </w:t>
      </w:r>
      <w:r>
        <w:rPr/>
        <w:t>tiene el propósito proporcionar al alumno los conceptos básicos sobre la estructura y funcionamiento del</w:t>
      </w:r>
      <w:r>
        <w:rPr>
          <w:spacing w:val="-6"/>
        </w:rPr>
        <w:t> </w:t>
      </w:r>
      <w:r>
        <w:rPr/>
        <w:t>Mercado</w:t>
      </w:r>
      <w:r>
        <w:rPr>
          <w:spacing w:val="-7"/>
        </w:rPr>
        <w:t> </w:t>
      </w:r>
      <w:r>
        <w:rPr/>
        <w:t>de</w:t>
      </w:r>
      <w:r>
        <w:rPr>
          <w:spacing w:val="-7"/>
        </w:rPr>
        <w:t> </w:t>
      </w:r>
      <w:r>
        <w:rPr/>
        <w:t>derivados</w:t>
      </w:r>
      <w:r>
        <w:rPr>
          <w:spacing w:val="-8"/>
        </w:rPr>
        <w:t> </w:t>
      </w:r>
      <w:r>
        <w:rPr/>
        <w:t>en</w:t>
      </w:r>
      <w:r>
        <w:rPr>
          <w:spacing w:val="-7"/>
        </w:rPr>
        <w:t> </w:t>
      </w:r>
      <w:r>
        <w:rPr/>
        <w:t>México,</w:t>
      </w:r>
      <w:r>
        <w:rPr>
          <w:spacing w:val="-5"/>
        </w:rPr>
        <w:t> </w:t>
      </w:r>
      <w:r>
        <w:rPr/>
        <w:t>así</w:t>
      </w:r>
      <w:r>
        <w:rPr>
          <w:spacing w:val="-7"/>
        </w:rPr>
        <w:t> </w:t>
      </w:r>
      <w:r>
        <w:rPr/>
        <w:t>como</w:t>
      </w:r>
      <w:r>
        <w:rPr>
          <w:spacing w:val="-7"/>
        </w:rPr>
        <w:t> </w:t>
      </w:r>
      <w:r>
        <w:rPr/>
        <w:t>la</w:t>
      </w:r>
      <w:r>
        <w:rPr>
          <w:spacing w:val="-7"/>
        </w:rPr>
        <w:t> </w:t>
      </w:r>
      <w:r>
        <w:rPr/>
        <w:t>teoría</w:t>
      </w:r>
      <w:r>
        <w:rPr>
          <w:spacing w:val="-5"/>
        </w:rPr>
        <w:t> </w:t>
      </w:r>
      <w:r>
        <w:rPr/>
        <w:t>sobre</w:t>
      </w:r>
      <w:r>
        <w:rPr>
          <w:spacing w:val="-8"/>
        </w:rPr>
        <w:t> </w:t>
      </w:r>
      <w:r>
        <w:rPr/>
        <w:t>la</w:t>
      </w:r>
      <w:r>
        <w:rPr>
          <w:spacing w:val="-7"/>
        </w:rPr>
        <w:t> </w:t>
      </w:r>
      <w:r>
        <w:rPr/>
        <w:t>administración</w:t>
      </w:r>
      <w:r>
        <w:rPr>
          <w:spacing w:val="-7"/>
        </w:rPr>
        <w:t> </w:t>
      </w:r>
      <w:r>
        <w:rPr/>
        <w:t>del riesgo</w:t>
      </w:r>
      <w:r>
        <w:rPr>
          <w:spacing w:val="-12"/>
        </w:rPr>
        <w:t> </w:t>
      </w:r>
      <w:r>
        <w:rPr/>
        <w:t>inherente</w:t>
      </w:r>
      <w:r>
        <w:rPr>
          <w:spacing w:val="-12"/>
        </w:rPr>
        <w:t> </w:t>
      </w:r>
      <w:r>
        <w:rPr/>
        <w:t>a</w:t>
      </w:r>
      <w:r>
        <w:rPr>
          <w:spacing w:val="-12"/>
        </w:rPr>
        <w:t> </w:t>
      </w:r>
      <w:r>
        <w:rPr/>
        <w:t>la</w:t>
      </w:r>
      <w:r>
        <w:rPr>
          <w:spacing w:val="-12"/>
        </w:rPr>
        <w:t> </w:t>
      </w:r>
      <w:r>
        <w:rPr/>
        <w:t>toma</w:t>
      </w:r>
      <w:r>
        <w:rPr>
          <w:spacing w:val="-14"/>
        </w:rPr>
        <w:t> </w:t>
      </w:r>
      <w:r>
        <w:rPr/>
        <w:t>de</w:t>
      </w:r>
      <w:r>
        <w:rPr>
          <w:spacing w:val="-11"/>
        </w:rPr>
        <w:t> </w:t>
      </w:r>
      <w:r>
        <w:rPr/>
        <w:t>decisiones</w:t>
      </w:r>
      <w:r>
        <w:rPr>
          <w:spacing w:val="-14"/>
        </w:rPr>
        <w:t> </w:t>
      </w:r>
      <w:r>
        <w:rPr/>
        <w:t>financieras</w:t>
      </w:r>
      <w:r>
        <w:rPr>
          <w:spacing w:val="-13"/>
        </w:rPr>
        <w:t> </w:t>
      </w:r>
      <w:r>
        <w:rPr/>
        <w:t>y</w:t>
      </w:r>
      <w:r>
        <w:rPr>
          <w:spacing w:val="-14"/>
        </w:rPr>
        <w:t> </w:t>
      </w:r>
      <w:r>
        <w:rPr/>
        <w:t>los</w:t>
      </w:r>
      <w:r>
        <w:rPr>
          <w:spacing w:val="-12"/>
        </w:rPr>
        <w:t> </w:t>
      </w:r>
      <w:r>
        <w:rPr/>
        <w:t>instrumentos</w:t>
      </w:r>
      <w:r>
        <w:rPr>
          <w:spacing w:val="-9"/>
        </w:rPr>
        <w:t> </w:t>
      </w:r>
      <w:r>
        <w:rPr/>
        <w:t>de</w:t>
      </w:r>
      <w:r>
        <w:rPr>
          <w:spacing w:val="-12"/>
        </w:rPr>
        <w:t> </w:t>
      </w:r>
      <w:r>
        <w:rPr/>
        <w:t>cobertura correspondientes.</w:t>
      </w:r>
    </w:p>
    <w:p>
      <w:pPr>
        <w:pStyle w:val="Heading3"/>
        <w:spacing w:before="123"/>
      </w:pPr>
      <w:r>
        <w:rPr/>
        <w:t>Unidad de competencia I</w:t>
      </w:r>
    </w:p>
    <w:p>
      <w:pPr>
        <w:pStyle w:val="BodyText"/>
        <w:spacing w:line="360" w:lineRule="auto" w:before="62"/>
        <w:ind w:left="142" w:right="146" w:firstLine="707"/>
        <w:jc w:val="both"/>
      </w:pPr>
      <w:r>
        <w:rPr/>
        <w:t>Identificar y medir la exposición al riesgo que enfrenta un ente económico ante la volatilidad de las variables financieras que afectan su operatividad.</w:t>
      </w:r>
    </w:p>
    <w:p>
      <w:pPr>
        <w:pStyle w:val="Heading3"/>
        <w:spacing w:before="122"/>
      </w:pPr>
      <w:r>
        <w:rPr/>
        <w:t>Elementos de competencia: Conocimientos</w:t>
      </w:r>
    </w:p>
    <w:p>
      <w:pPr>
        <w:pStyle w:val="BodyText"/>
        <w:spacing w:line="360" w:lineRule="auto" w:before="62"/>
        <w:ind w:left="142" w:right="135" w:firstLine="707"/>
        <w:jc w:val="both"/>
      </w:pPr>
      <w:r>
        <w:rPr/>
        <w:t>Conceptos generales. Rendimiento. Medición de riesgo. Distribución</w:t>
      </w:r>
      <w:r>
        <w:rPr>
          <w:spacing w:val="-43"/>
        </w:rPr>
        <w:t> </w:t>
      </w:r>
      <w:r>
        <w:rPr/>
        <w:t>normal. Intervalos de confianza. Distribución normal estandarizada. Volatilidad histórica. Volatilidad dinámica (suavizamiento exponencial). Valor en riesgo. Cálculo de</w:t>
      </w:r>
      <w:r>
        <w:rPr>
          <w:spacing w:val="-31"/>
        </w:rPr>
        <w:t> </w:t>
      </w:r>
      <w:r>
        <w:rPr/>
        <w:t>valor en</w:t>
      </w:r>
      <w:r>
        <w:rPr>
          <w:spacing w:val="-4"/>
        </w:rPr>
        <w:t> </w:t>
      </w:r>
      <w:r>
        <w:rPr/>
        <w:t>riesgo.</w:t>
      </w:r>
    </w:p>
    <w:p>
      <w:pPr>
        <w:pStyle w:val="Heading3"/>
        <w:spacing w:before="123"/>
      </w:pPr>
      <w:r>
        <w:rPr/>
        <w:t>Criterios de desempeño</w:t>
      </w:r>
    </w:p>
    <w:p>
      <w:pPr>
        <w:pStyle w:val="ListParagraph"/>
        <w:numPr>
          <w:ilvl w:val="2"/>
          <w:numId w:val="7"/>
        </w:numPr>
        <w:tabs>
          <w:tab w:pos="1275" w:val="left" w:leader="none"/>
        </w:tabs>
        <w:spacing w:line="355" w:lineRule="auto" w:before="63" w:after="0"/>
        <w:ind w:left="1274" w:right="144" w:hanging="357"/>
        <w:jc w:val="both"/>
        <w:rPr>
          <w:sz w:val="24"/>
        </w:rPr>
      </w:pPr>
      <w:r>
        <w:rPr>
          <w:sz w:val="24"/>
        </w:rPr>
        <w:t>A partir de identificar las generalidades de la administración de riesgos, aplicar los fundamentos y principios estadísticos relacionados con la medición cuantitativa del</w:t>
      </w:r>
      <w:r>
        <w:rPr>
          <w:spacing w:val="-14"/>
          <w:sz w:val="24"/>
        </w:rPr>
        <w:t> </w:t>
      </w:r>
      <w:r>
        <w:rPr>
          <w:sz w:val="24"/>
        </w:rPr>
        <w:t>riesgo.</w:t>
      </w:r>
    </w:p>
    <w:p>
      <w:pPr>
        <w:pStyle w:val="ListParagraph"/>
        <w:numPr>
          <w:ilvl w:val="2"/>
          <w:numId w:val="7"/>
        </w:numPr>
        <w:tabs>
          <w:tab w:pos="1275" w:val="left" w:leader="none"/>
        </w:tabs>
        <w:spacing w:line="350" w:lineRule="auto" w:before="11" w:after="0"/>
        <w:ind w:left="1274" w:right="142" w:hanging="357"/>
        <w:jc w:val="both"/>
        <w:rPr>
          <w:sz w:val="24"/>
        </w:rPr>
      </w:pPr>
      <w:r>
        <w:rPr>
          <w:sz w:val="24"/>
        </w:rPr>
        <w:t>Identificar las diferentes técnicas que permiten estimar la volatilidad de una variable financiera durante un periodo de tiempo</w:t>
      </w:r>
      <w:r>
        <w:rPr>
          <w:spacing w:val="-28"/>
          <w:sz w:val="24"/>
        </w:rPr>
        <w:t> </w:t>
      </w:r>
      <w:r>
        <w:rPr>
          <w:sz w:val="24"/>
        </w:rPr>
        <w:t>determinado.</w:t>
      </w:r>
    </w:p>
    <w:p>
      <w:pPr>
        <w:spacing w:after="0" w:line="350" w:lineRule="auto"/>
        <w:jc w:val="both"/>
        <w:rPr>
          <w:sz w:val="24"/>
        </w:rPr>
        <w:sectPr>
          <w:pgSz w:w="12240" w:h="15840"/>
          <w:pgMar w:header="731" w:footer="737" w:top="1180" w:bottom="920" w:left="1560" w:right="1560"/>
        </w:sectPr>
      </w:pPr>
    </w:p>
    <w:p>
      <w:pPr>
        <w:pStyle w:val="BodyText"/>
        <w:rPr>
          <w:sz w:val="20"/>
        </w:rPr>
      </w:pPr>
    </w:p>
    <w:p>
      <w:pPr>
        <w:pStyle w:val="BodyText"/>
        <w:spacing w:before="3"/>
        <w:rPr>
          <w:sz w:val="17"/>
        </w:rPr>
      </w:pPr>
    </w:p>
    <w:p>
      <w:pPr>
        <w:pStyle w:val="ListParagraph"/>
        <w:numPr>
          <w:ilvl w:val="2"/>
          <w:numId w:val="7"/>
        </w:numPr>
        <w:tabs>
          <w:tab w:pos="1275" w:val="left" w:leader="none"/>
        </w:tabs>
        <w:spacing w:line="355" w:lineRule="auto" w:before="56" w:after="0"/>
        <w:ind w:left="1274" w:right="137" w:hanging="357"/>
        <w:jc w:val="both"/>
        <w:rPr>
          <w:sz w:val="24"/>
        </w:rPr>
      </w:pPr>
      <w:r>
        <w:rPr>
          <w:sz w:val="24"/>
        </w:rPr>
        <w:t>Analizar</w:t>
      </w:r>
      <w:r>
        <w:rPr>
          <w:spacing w:val="-10"/>
          <w:sz w:val="24"/>
        </w:rPr>
        <w:t> </w:t>
      </w:r>
      <w:r>
        <w:rPr>
          <w:sz w:val="24"/>
        </w:rPr>
        <w:t>los</w:t>
      </w:r>
      <w:r>
        <w:rPr>
          <w:spacing w:val="-9"/>
          <w:sz w:val="24"/>
        </w:rPr>
        <w:t> </w:t>
      </w:r>
      <w:r>
        <w:rPr>
          <w:sz w:val="24"/>
        </w:rPr>
        <w:t>conceptos</w:t>
      </w:r>
      <w:r>
        <w:rPr>
          <w:spacing w:val="-12"/>
          <w:sz w:val="24"/>
        </w:rPr>
        <w:t> </w:t>
      </w:r>
      <w:r>
        <w:rPr>
          <w:sz w:val="24"/>
        </w:rPr>
        <w:t>básicos</w:t>
      </w:r>
      <w:r>
        <w:rPr>
          <w:spacing w:val="-9"/>
          <w:sz w:val="24"/>
        </w:rPr>
        <w:t> </w:t>
      </w:r>
      <w:r>
        <w:rPr>
          <w:sz w:val="24"/>
        </w:rPr>
        <w:t>del</w:t>
      </w:r>
      <w:r>
        <w:rPr>
          <w:spacing w:val="-10"/>
          <w:sz w:val="24"/>
        </w:rPr>
        <w:t> </w:t>
      </w:r>
      <w:r>
        <w:rPr>
          <w:sz w:val="24"/>
        </w:rPr>
        <w:t>valor</w:t>
      </w:r>
      <w:r>
        <w:rPr>
          <w:spacing w:val="-6"/>
          <w:sz w:val="24"/>
        </w:rPr>
        <w:t> </w:t>
      </w:r>
      <w:r>
        <w:rPr>
          <w:sz w:val="24"/>
        </w:rPr>
        <w:t>en</w:t>
      </w:r>
      <w:r>
        <w:rPr>
          <w:spacing w:val="-8"/>
          <w:sz w:val="24"/>
        </w:rPr>
        <w:t> </w:t>
      </w:r>
      <w:r>
        <w:rPr>
          <w:sz w:val="24"/>
        </w:rPr>
        <w:t>riesgo</w:t>
      </w:r>
      <w:r>
        <w:rPr>
          <w:spacing w:val="-8"/>
          <w:sz w:val="24"/>
        </w:rPr>
        <w:t> </w:t>
      </w:r>
      <w:r>
        <w:rPr>
          <w:sz w:val="24"/>
        </w:rPr>
        <w:t>(VaR)</w:t>
      </w:r>
      <w:r>
        <w:rPr>
          <w:spacing w:val="-10"/>
          <w:sz w:val="24"/>
        </w:rPr>
        <w:t> </w:t>
      </w:r>
      <w:r>
        <w:rPr>
          <w:sz w:val="24"/>
        </w:rPr>
        <w:t>y</w:t>
      </w:r>
      <w:r>
        <w:rPr>
          <w:spacing w:val="-9"/>
          <w:sz w:val="24"/>
        </w:rPr>
        <w:t> </w:t>
      </w:r>
      <w:r>
        <w:rPr>
          <w:sz w:val="24"/>
        </w:rPr>
        <w:t>las</w:t>
      </w:r>
      <w:r>
        <w:rPr>
          <w:spacing w:val="-9"/>
          <w:sz w:val="24"/>
        </w:rPr>
        <w:t> </w:t>
      </w:r>
      <w:r>
        <w:rPr>
          <w:sz w:val="24"/>
        </w:rPr>
        <w:t>principales técnicas para su cálculo, desde la perspectiva de un activo individual como en el contexto de un portafolio de</w:t>
      </w:r>
      <w:r>
        <w:rPr>
          <w:spacing w:val="-20"/>
          <w:sz w:val="24"/>
        </w:rPr>
        <w:t> </w:t>
      </w:r>
      <w:r>
        <w:rPr>
          <w:sz w:val="24"/>
        </w:rPr>
        <w:t>activos.</w:t>
      </w:r>
    </w:p>
    <w:p>
      <w:pPr>
        <w:pStyle w:val="Heading3"/>
        <w:spacing w:before="125"/>
      </w:pPr>
      <w:r>
        <w:rPr/>
        <w:t>Unidad de competencia II</w:t>
      </w:r>
    </w:p>
    <w:p>
      <w:pPr>
        <w:pStyle w:val="BodyText"/>
        <w:spacing w:line="360" w:lineRule="auto" w:before="62"/>
        <w:ind w:left="142" w:right="141" w:firstLine="707"/>
        <w:jc w:val="both"/>
      </w:pPr>
      <w:r>
        <w:rPr/>
        <w:t>Conocer la estructura y funciones de la Bolsa de Derivados (MexDer), su Cámara de compensación (Asigna) y su normatividad como reglas básicas y disposiciones de carácter prudencia.</w:t>
      </w:r>
    </w:p>
    <w:p>
      <w:pPr>
        <w:pStyle w:val="Heading3"/>
        <w:spacing w:before="122"/>
      </w:pPr>
      <w:r>
        <w:rPr/>
        <w:t>Elementos de competencia: Conocimientos</w:t>
      </w:r>
    </w:p>
    <w:p>
      <w:pPr>
        <w:pStyle w:val="BodyText"/>
        <w:spacing w:line="360" w:lineRule="auto" w:before="63"/>
        <w:ind w:left="142" w:right="144" w:firstLine="707"/>
        <w:jc w:val="both"/>
      </w:pPr>
      <w:r>
        <w:rPr/>
        <w:t>Mercados organizados. Mercados no organizados. MexDer, Mercado Mexicano de Derivados. Asigna, compensación y liquidación. Socios liquidadores. Operadores.</w:t>
      </w:r>
    </w:p>
    <w:p>
      <w:pPr>
        <w:pStyle w:val="Heading3"/>
      </w:pPr>
      <w:r>
        <w:rPr/>
        <w:t>Criterios de desempeño</w:t>
      </w:r>
    </w:p>
    <w:p>
      <w:pPr>
        <w:pStyle w:val="ListParagraph"/>
        <w:numPr>
          <w:ilvl w:val="2"/>
          <w:numId w:val="7"/>
        </w:numPr>
        <w:tabs>
          <w:tab w:pos="1275" w:val="left" w:leader="none"/>
        </w:tabs>
        <w:spacing w:line="355" w:lineRule="auto" w:before="63" w:after="0"/>
        <w:ind w:left="1274" w:right="141" w:hanging="357"/>
        <w:jc w:val="both"/>
        <w:rPr>
          <w:sz w:val="24"/>
        </w:rPr>
      </w:pPr>
      <w:r>
        <w:rPr>
          <w:sz w:val="24"/>
        </w:rPr>
        <w:t>A partir de identificar la estructura de la Bolsa Mexicana de Derivados, analizar sus funciones, normatividad básica y disposiciones de carácter prudencial.</w:t>
      </w:r>
    </w:p>
    <w:p>
      <w:pPr>
        <w:pStyle w:val="Heading3"/>
        <w:spacing w:before="125"/>
      </w:pPr>
      <w:r>
        <w:rPr/>
        <w:t>Unidad de competencia III</w:t>
      </w:r>
    </w:p>
    <w:p>
      <w:pPr>
        <w:pStyle w:val="BodyText"/>
        <w:spacing w:line="360" w:lineRule="auto" w:before="63"/>
        <w:ind w:left="142" w:right="135" w:firstLine="707"/>
        <w:jc w:val="both"/>
      </w:pPr>
      <w:r>
        <w:rPr/>
        <w:t>Estudiar el marco teórico de los productos derivados y las principales características, operatividad y técnicas de evaluación de los contratos de Futuros y Opciones listados en MexDer.</w:t>
      </w:r>
    </w:p>
    <w:p>
      <w:pPr>
        <w:pStyle w:val="Heading3"/>
        <w:spacing w:before="122"/>
      </w:pPr>
      <w:r>
        <w:rPr/>
        <w:t>Elementos de competencia: Conocimientos</w:t>
      </w:r>
    </w:p>
    <w:p>
      <w:pPr>
        <w:pStyle w:val="BodyText"/>
        <w:spacing w:line="360" w:lineRule="auto" w:before="62"/>
        <w:ind w:left="142" w:right="138" w:firstLine="707"/>
        <w:jc w:val="both"/>
      </w:pPr>
      <w:r>
        <w:rPr/>
        <w:t>Los contratos adelantados y los futuros. Determinación del precio de los futuros. Futuros sobre índices accionarios. Futuros sobre tipo de cambio. Futuros sobre</w:t>
      </w:r>
      <w:r>
        <w:rPr>
          <w:spacing w:val="-7"/>
        </w:rPr>
        <w:t> </w:t>
      </w:r>
      <w:r>
        <w:rPr/>
        <w:t>tasa</w:t>
      </w:r>
      <w:r>
        <w:rPr>
          <w:spacing w:val="-6"/>
        </w:rPr>
        <w:t> </w:t>
      </w:r>
      <w:r>
        <w:rPr/>
        <w:t>de</w:t>
      </w:r>
      <w:r>
        <w:rPr>
          <w:spacing w:val="-6"/>
        </w:rPr>
        <w:t> </w:t>
      </w:r>
      <w:r>
        <w:rPr/>
        <w:t>interés.</w:t>
      </w:r>
      <w:r>
        <w:rPr>
          <w:spacing w:val="-6"/>
        </w:rPr>
        <w:t> </w:t>
      </w:r>
      <w:r>
        <w:rPr/>
        <w:t>Introducción</w:t>
      </w:r>
      <w:r>
        <w:rPr>
          <w:spacing w:val="-6"/>
        </w:rPr>
        <w:t> </w:t>
      </w:r>
      <w:r>
        <w:rPr/>
        <w:t>a</w:t>
      </w:r>
      <w:r>
        <w:rPr>
          <w:spacing w:val="-6"/>
        </w:rPr>
        <w:t> </w:t>
      </w:r>
      <w:r>
        <w:rPr/>
        <w:t>las</w:t>
      </w:r>
      <w:r>
        <w:rPr>
          <w:spacing w:val="-6"/>
        </w:rPr>
        <w:t> </w:t>
      </w:r>
      <w:r>
        <w:rPr/>
        <w:t>opciones.</w:t>
      </w:r>
      <w:r>
        <w:rPr>
          <w:spacing w:val="-6"/>
        </w:rPr>
        <w:t> </w:t>
      </w:r>
      <w:r>
        <w:rPr/>
        <w:t>Fundamentos</w:t>
      </w:r>
      <w:r>
        <w:rPr>
          <w:spacing w:val="-9"/>
        </w:rPr>
        <w:t> </w:t>
      </w:r>
      <w:r>
        <w:rPr/>
        <w:t>en</w:t>
      </w:r>
      <w:r>
        <w:rPr>
          <w:spacing w:val="-6"/>
        </w:rPr>
        <w:t> </w:t>
      </w:r>
      <w:r>
        <w:rPr/>
        <w:t>la</w:t>
      </w:r>
      <w:r>
        <w:rPr>
          <w:spacing w:val="-6"/>
        </w:rPr>
        <w:t> </w:t>
      </w:r>
      <w:r>
        <w:rPr/>
        <w:t>valuación</w:t>
      </w:r>
      <w:r>
        <w:rPr>
          <w:spacing w:val="-6"/>
        </w:rPr>
        <w:t> </w:t>
      </w:r>
      <w:r>
        <w:rPr/>
        <w:t>de Opciones.</w:t>
      </w:r>
    </w:p>
    <w:p>
      <w:pPr>
        <w:spacing w:before="123"/>
        <w:ind w:left="499" w:right="786" w:firstLine="0"/>
        <w:jc w:val="left"/>
        <w:rPr>
          <w:b/>
          <w:sz w:val="24"/>
        </w:rPr>
      </w:pPr>
      <w:r>
        <w:rPr>
          <w:b/>
          <w:sz w:val="23"/>
        </w:rPr>
        <w:t>Estrategias de inversión y control de riesgos de Opciones. </w:t>
      </w:r>
      <w:r>
        <w:rPr>
          <w:b/>
          <w:sz w:val="24"/>
        </w:rPr>
        <w:t>Criterios de desempeño</w:t>
      </w:r>
    </w:p>
    <w:p>
      <w:pPr>
        <w:pStyle w:val="ListParagraph"/>
        <w:numPr>
          <w:ilvl w:val="2"/>
          <w:numId w:val="7"/>
        </w:numPr>
        <w:tabs>
          <w:tab w:pos="1275" w:val="left" w:leader="none"/>
        </w:tabs>
        <w:spacing w:line="355" w:lineRule="auto" w:before="63" w:after="0"/>
        <w:ind w:left="1274" w:right="142" w:hanging="357"/>
        <w:jc w:val="both"/>
        <w:rPr>
          <w:sz w:val="24"/>
        </w:rPr>
      </w:pPr>
      <w:r>
        <w:rPr>
          <w:sz w:val="24"/>
        </w:rPr>
        <w:t>Investigar y analizar el marco teórico de los productos derivados y las principales características, operatividad y técnicas de evaluación de los contratos de</w:t>
      </w:r>
      <w:r>
        <w:rPr>
          <w:spacing w:val="-6"/>
          <w:sz w:val="24"/>
        </w:rPr>
        <w:t> </w:t>
      </w:r>
      <w:r>
        <w:rPr>
          <w:sz w:val="24"/>
        </w:rPr>
        <w:t>Futuros.</w:t>
      </w:r>
    </w:p>
    <w:p>
      <w:pPr>
        <w:spacing w:after="0" w:line="355" w:lineRule="auto"/>
        <w:jc w:val="both"/>
        <w:rPr>
          <w:sz w:val="24"/>
        </w:rPr>
        <w:sectPr>
          <w:pgSz w:w="12240" w:h="15840"/>
          <w:pgMar w:header="731" w:footer="737" w:top="1180" w:bottom="920" w:left="1560" w:right="1560"/>
        </w:sectPr>
      </w:pPr>
    </w:p>
    <w:p>
      <w:pPr>
        <w:pStyle w:val="BodyText"/>
        <w:rPr>
          <w:sz w:val="20"/>
        </w:rPr>
      </w:pPr>
    </w:p>
    <w:p>
      <w:pPr>
        <w:pStyle w:val="BodyText"/>
        <w:spacing w:before="3"/>
        <w:rPr>
          <w:sz w:val="17"/>
        </w:rPr>
      </w:pPr>
    </w:p>
    <w:p>
      <w:pPr>
        <w:pStyle w:val="ListParagraph"/>
        <w:numPr>
          <w:ilvl w:val="2"/>
          <w:numId w:val="7"/>
        </w:numPr>
        <w:tabs>
          <w:tab w:pos="1275" w:val="left" w:leader="none"/>
        </w:tabs>
        <w:spacing w:line="355" w:lineRule="auto" w:before="56" w:after="0"/>
        <w:ind w:left="1274" w:right="143" w:hanging="357"/>
        <w:jc w:val="both"/>
        <w:rPr>
          <w:sz w:val="24"/>
        </w:rPr>
      </w:pPr>
      <w:r>
        <w:rPr>
          <w:sz w:val="24"/>
        </w:rPr>
        <w:t>Investigar y analizar el marco teórico de los productos derivados y las principales características, operatividad y técnicas de evaluación de los contratos de Opciones listados en</w:t>
      </w:r>
      <w:r>
        <w:rPr>
          <w:spacing w:val="-15"/>
          <w:sz w:val="24"/>
        </w:rPr>
        <w:t> </w:t>
      </w:r>
      <w:r>
        <w:rPr>
          <w:sz w:val="24"/>
        </w:rPr>
        <w:t>MexDer.</w:t>
      </w:r>
    </w:p>
    <w:p>
      <w:pPr>
        <w:pStyle w:val="BodyText"/>
      </w:pPr>
    </w:p>
    <w:p>
      <w:pPr>
        <w:pStyle w:val="ListParagraph"/>
        <w:numPr>
          <w:ilvl w:val="1"/>
          <w:numId w:val="7"/>
        </w:numPr>
        <w:tabs>
          <w:tab w:pos="598" w:val="left" w:leader="none"/>
        </w:tabs>
        <w:spacing w:line="240" w:lineRule="auto" w:before="210" w:after="0"/>
        <w:ind w:left="598" w:right="0" w:hanging="456"/>
        <w:jc w:val="left"/>
        <w:rPr>
          <w:b/>
          <w:sz w:val="22"/>
        </w:rPr>
      </w:pPr>
      <w:bookmarkStart w:name="_bookmark4" w:id="9"/>
      <w:bookmarkEnd w:id="9"/>
      <w:r>
        <w:rPr/>
      </w:r>
      <w:bookmarkStart w:name="_bookmark4" w:id="10"/>
      <w:bookmarkEnd w:id="10"/>
      <w:r>
        <w:rPr>
          <w:b/>
          <w:sz w:val="28"/>
        </w:rPr>
        <w:t>A</w:t>
      </w:r>
      <w:r>
        <w:rPr>
          <w:b/>
          <w:sz w:val="22"/>
        </w:rPr>
        <w:t>CTIVIDADES</w:t>
      </w:r>
      <w:r>
        <w:rPr>
          <w:b/>
          <w:spacing w:val="-18"/>
          <w:sz w:val="22"/>
        </w:rPr>
        <w:t> </w:t>
      </w:r>
      <w:r>
        <w:rPr>
          <w:b/>
          <w:sz w:val="22"/>
        </w:rPr>
        <w:t>PLANEADAS</w:t>
      </w:r>
    </w:p>
    <w:p>
      <w:pPr>
        <w:pStyle w:val="BodyText"/>
        <w:spacing w:line="360" w:lineRule="auto" w:before="241"/>
        <w:ind w:left="142" w:right="138" w:firstLine="707"/>
        <w:jc w:val="both"/>
      </w:pPr>
      <w:r>
        <w:rPr/>
        <w:t>Para el desarrollo de las unidades de aprendizaje se realizarán una serie de ctividades cuyo eje conductor será la participación activa en el estudio de la teoría y su aplicación en los diversos materiales. La mecánica a seguir en cada tema y subtema será la siguiente:</w:t>
      </w:r>
    </w:p>
    <w:p>
      <w:pPr>
        <w:pStyle w:val="ListParagraph"/>
        <w:numPr>
          <w:ilvl w:val="2"/>
          <w:numId w:val="7"/>
        </w:numPr>
        <w:tabs>
          <w:tab w:pos="1275" w:val="left" w:leader="none"/>
        </w:tabs>
        <w:spacing w:line="352" w:lineRule="auto" w:before="3" w:after="0"/>
        <w:ind w:left="1274" w:right="145" w:hanging="357"/>
        <w:jc w:val="both"/>
        <w:rPr>
          <w:sz w:val="24"/>
        </w:rPr>
      </w:pPr>
      <w:r>
        <w:rPr>
          <w:sz w:val="24"/>
        </w:rPr>
        <w:t>Estudio del marco teórico. Lectura, análisis y reflexión del material bibliográfico y/o notas académicas</w:t>
      </w:r>
      <w:r>
        <w:rPr>
          <w:spacing w:val="-16"/>
          <w:sz w:val="24"/>
        </w:rPr>
        <w:t> </w:t>
      </w:r>
      <w:r>
        <w:rPr>
          <w:sz w:val="24"/>
        </w:rPr>
        <w:t>proporcionadas.</w:t>
      </w:r>
    </w:p>
    <w:p>
      <w:pPr>
        <w:pStyle w:val="ListParagraph"/>
        <w:numPr>
          <w:ilvl w:val="2"/>
          <w:numId w:val="7"/>
        </w:numPr>
        <w:tabs>
          <w:tab w:pos="1274" w:val="left" w:leader="none"/>
          <w:tab w:pos="1275" w:val="left" w:leader="none"/>
        </w:tabs>
        <w:spacing w:line="240" w:lineRule="auto" w:before="11" w:after="0"/>
        <w:ind w:left="1274" w:right="0" w:hanging="357"/>
        <w:jc w:val="left"/>
        <w:rPr>
          <w:sz w:val="24"/>
        </w:rPr>
      </w:pPr>
      <w:r>
        <w:rPr>
          <w:sz w:val="24"/>
        </w:rPr>
        <w:t>Investigación en internet sobre tópicos especiales de</w:t>
      </w:r>
      <w:r>
        <w:rPr>
          <w:spacing w:val="-19"/>
          <w:sz w:val="24"/>
        </w:rPr>
        <w:t> </w:t>
      </w:r>
      <w:r>
        <w:rPr>
          <w:sz w:val="24"/>
        </w:rPr>
        <w:t>profundización.</w:t>
      </w:r>
    </w:p>
    <w:p>
      <w:pPr>
        <w:pStyle w:val="ListParagraph"/>
        <w:numPr>
          <w:ilvl w:val="2"/>
          <w:numId w:val="7"/>
        </w:numPr>
        <w:tabs>
          <w:tab w:pos="1274" w:val="left" w:leader="none"/>
          <w:tab w:pos="1275" w:val="left" w:leader="none"/>
        </w:tabs>
        <w:spacing w:line="240" w:lineRule="auto" w:before="135" w:after="0"/>
        <w:ind w:left="1274" w:right="0" w:hanging="357"/>
        <w:jc w:val="left"/>
        <w:rPr>
          <w:sz w:val="24"/>
        </w:rPr>
      </w:pPr>
      <w:r>
        <w:rPr>
          <w:sz w:val="24"/>
        </w:rPr>
        <w:t>Solución de problemas y ejercicios</w:t>
      </w:r>
      <w:r>
        <w:rPr>
          <w:spacing w:val="-15"/>
          <w:sz w:val="24"/>
        </w:rPr>
        <w:t> </w:t>
      </w:r>
      <w:r>
        <w:rPr>
          <w:sz w:val="24"/>
        </w:rPr>
        <w:t>seleccionados.</w:t>
      </w:r>
    </w:p>
    <w:p>
      <w:pPr>
        <w:pStyle w:val="ListParagraph"/>
        <w:numPr>
          <w:ilvl w:val="2"/>
          <w:numId w:val="7"/>
        </w:numPr>
        <w:tabs>
          <w:tab w:pos="1275" w:val="left" w:leader="none"/>
        </w:tabs>
        <w:spacing w:line="350" w:lineRule="auto" w:before="138" w:after="0"/>
        <w:ind w:left="1274" w:right="145" w:hanging="357"/>
        <w:jc w:val="both"/>
        <w:rPr>
          <w:sz w:val="24"/>
        </w:rPr>
      </w:pPr>
      <w:r>
        <w:rPr>
          <w:sz w:val="24"/>
        </w:rPr>
        <w:t>Autoevaluación para verificar el aprendizaje y, de ser necesario, se vuelva a revisar los elementos que consideren</w:t>
      </w:r>
      <w:r>
        <w:rPr>
          <w:spacing w:val="-21"/>
          <w:sz w:val="24"/>
        </w:rPr>
        <w:t> </w:t>
      </w:r>
      <w:r>
        <w:rPr>
          <w:sz w:val="24"/>
        </w:rPr>
        <w:t>necesarios.</w:t>
      </w:r>
    </w:p>
    <w:p>
      <w:pPr>
        <w:pStyle w:val="ListParagraph"/>
        <w:numPr>
          <w:ilvl w:val="2"/>
          <w:numId w:val="7"/>
        </w:numPr>
        <w:tabs>
          <w:tab w:pos="1275" w:val="left" w:leader="none"/>
        </w:tabs>
        <w:spacing w:line="352" w:lineRule="auto" w:before="14" w:after="0"/>
        <w:ind w:left="1274" w:right="138" w:hanging="357"/>
        <w:jc w:val="both"/>
        <w:rPr>
          <w:sz w:val="24"/>
        </w:rPr>
      </w:pPr>
      <w:r>
        <w:rPr>
          <w:sz w:val="24"/>
        </w:rPr>
        <w:t>Desarrollo de un resumen del subtema atendiendo las reglas e hilo conductor establecido para tal</w:t>
      </w:r>
      <w:r>
        <w:rPr>
          <w:spacing w:val="-10"/>
          <w:sz w:val="24"/>
        </w:rPr>
        <w:t> </w:t>
      </w:r>
      <w:r>
        <w:rPr>
          <w:sz w:val="24"/>
        </w:rPr>
        <w:t>efecto.</w:t>
      </w:r>
    </w:p>
    <w:p>
      <w:pPr>
        <w:spacing w:after="0" w:line="352" w:lineRule="auto"/>
        <w:jc w:val="both"/>
        <w:rPr>
          <w:sz w:val="24"/>
        </w:rPr>
        <w:sectPr>
          <w:pgSz w:w="12240" w:h="15840"/>
          <w:pgMar w:header="731" w:footer="737" w:top="1180" w:bottom="920" w:left="1560" w:right="1560"/>
        </w:sectPr>
      </w:pPr>
    </w:p>
    <w:p>
      <w:pPr>
        <w:pStyle w:val="BodyText"/>
        <w:rPr>
          <w:sz w:val="20"/>
        </w:rPr>
      </w:pPr>
    </w:p>
    <w:p>
      <w:pPr>
        <w:pStyle w:val="BodyText"/>
        <w:spacing w:before="6"/>
        <w:rPr>
          <w:sz w:val="16"/>
        </w:rPr>
      </w:pPr>
    </w:p>
    <w:p>
      <w:pPr>
        <w:pStyle w:val="Heading1"/>
        <w:numPr>
          <w:ilvl w:val="0"/>
          <w:numId w:val="6"/>
        </w:numPr>
        <w:tabs>
          <w:tab w:pos="481" w:val="left" w:leader="none"/>
        </w:tabs>
        <w:spacing w:line="240" w:lineRule="auto" w:before="58" w:after="0"/>
        <w:ind w:left="480" w:right="0" w:hanging="338"/>
        <w:jc w:val="left"/>
      </w:pPr>
      <w:bookmarkStart w:name="_bookmark5" w:id="11"/>
      <w:bookmarkEnd w:id="11"/>
      <w:r>
        <w:rPr>
          <w:b w:val="0"/>
        </w:rPr>
      </w:r>
      <w:bookmarkStart w:name="_bookmark5" w:id="12"/>
      <w:bookmarkEnd w:id="12"/>
      <w:r>
        <w:rPr>
          <w:sz w:val="32"/>
        </w:rPr>
        <w:t>E</w:t>
      </w:r>
      <w:r>
        <w:rPr/>
        <w:t>XPOSICIÓN </w:t>
      </w:r>
      <w:r>
        <w:rPr>
          <w:spacing w:val="-3"/>
        </w:rPr>
        <w:t>AL</w:t>
      </w:r>
      <w:r>
        <w:rPr>
          <w:spacing w:val="1"/>
        </w:rPr>
        <w:t> </w:t>
      </w:r>
      <w:r>
        <w:rPr/>
        <w:t>RIESGO</w:t>
      </w:r>
    </w:p>
    <w:p>
      <w:pPr>
        <w:pStyle w:val="BodyText"/>
        <w:rPr>
          <w:b/>
          <w:sz w:val="42"/>
        </w:rPr>
      </w:pPr>
    </w:p>
    <w:p>
      <w:pPr>
        <w:pStyle w:val="ListParagraph"/>
        <w:numPr>
          <w:ilvl w:val="1"/>
          <w:numId w:val="8"/>
        </w:numPr>
        <w:tabs>
          <w:tab w:pos="594" w:val="left" w:leader="none"/>
        </w:tabs>
        <w:spacing w:line="240" w:lineRule="auto" w:before="0" w:after="0"/>
        <w:ind w:left="593" w:right="0" w:hanging="451"/>
        <w:jc w:val="left"/>
        <w:rPr>
          <w:b/>
          <w:sz w:val="22"/>
        </w:rPr>
      </w:pPr>
      <w:bookmarkStart w:name="_bookmark6" w:id="13"/>
      <w:bookmarkEnd w:id="13"/>
      <w:r>
        <w:rPr/>
      </w:r>
      <w:bookmarkStart w:name="_bookmark6" w:id="14"/>
      <w:bookmarkEnd w:id="14"/>
      <w:r>
        <w:rPr>
          <w:b/>
          <w:sz w:val="28"/>
        </w:rPr>
        <w:t>E</w:t>
      </w:r>
      <w:r>
        <w:rPr>
          <w:b/>
          <w:sz w:val="22"/>
        </w:rPr>
        <w:t>L VALOR DE UN</w:t>
      </w:r>
      <w:r>
        <w:rPr>
          <w:b/>
          <w:spacing w:val="-9"/>
          <w:sz w:val="22"/>
        </w:rPr>
        <w:t> </w:t>
      </w:r>
      <w:r>
        <w:rPr>
          <w:b/>
          <w:sz w:val="22"/>
        </w:rPr>
        <w:t>ACTIVO</w:t>
      </w:r>
    </w:p>
    <w:p>
      <w:pPr>
        <w:pStyle w:val="BodyText"/>
        <w:spacing w:line="360" w:lineRule="auto" w:before="243"/>
        <w:ind w:left="142" w:right="144" w:firstLine="707"/>
        <w:jc w:val="both"/>
      </w:pPr>
      <w:r>
        <w:rPr/>
        <w:t>En</w:t>
      </w:r>
      <w:r>
        <w:rPr>
          <w:spacing w:val="-6"/>
        </w:rPr>
        <w:t> </w:t>
      </w:r>
      <w:r>
        <w:rPr/>
        <w:t>finanzas,</w:t>
      </w:r>
      <w:r>
        <w:rPr>
          <w:spacing w:val="-4"/>
        </w:rPr>
        <w:t> </w:t>
      </w:r>
      <w:r>
        <w:rPr/>
        <w:t>la</w:t>
      </w:r>
      <w:r>
        <w:rPr>
          <w:spacing w:val="-6"/>
        </w:rPr>
        <w:t> </w:t>
      </w:r>
      <w:r>
        <w:rPr/>
        <w:t>medida</w:t>
      </w:r>
      <w:r>
        <w:rPr>
          <w:spacing w:val="-5"/>
        </w:rPr>
        <w:t> </w:t>
      </w:r>
      <w:r>
        <w:rPr/>
        <w:t>del</w:t>
      </w:r>
      <w:r>
        <w:rPr>
          <w:spacing w:val="-5"/>
        </w:rPr>
        <w:t> </w:t>
      </w:r>
      <w:r>
        <w:rPr/>
        <w:t>valor</w:t>
      </w:r>
      <w:r>
        <w:rPr>
          <w:spacing w:val="-5"/>
        </w:rPr>
        <w:t> </w:t>
      </w:r>
      <w:r>
        <w:rPr/>
        <w:t>de</w:t>
      </w:r>
      <w:r>
        <w:rPr>
          <w:spacing w:val="-6"/>
        </w:rPr>
        <w:t> </w:t>
      </w:r>
      <w:r>
        <w:rPr/>
        <w:t>un</w:t>
      </w:r>
      <w:r>
        <w:rPr>
          <w:spacing w:val="-6"/>
        </w:rPr>
        <w:t> </w:t>
      </w:r>
      <w:r>
        <w:rPr/>
        <w:t>activo</w:t>
      </w:r>
      <w:r>
        <w:rPr>
          <w:spacing w:val="-4"/>
        </w:rPr>
        <w:t> </w:t>
      </w:r>
      <w:r>
        <w:rPr/>
        <w:t>es</w:t>
      </w:r>
      <w:r>
        <w:rPr>
          <w:spacing w:val="-4"/>
        </w:rPr>
        <w:t> </w:t>
      </w:r>
      <w:r>
        <w:rPr/>
        <w:t>el</w:t>
      </w:r>
      <w:r>
        <w:rPr>
          <w:spacing w:val="-5"/>
        </w:rPr>
        <w:t> </w:t>
      </w:r>
      <w:r>
        <w:rPr/>
        <w:t>precio</w:t>
      </w:r>
      <w:r>
        <w:rPr>
          <w:spacing w:val="-4"/>
        </w:rPr>
        <w:t> </w:t>
      </w:r>
      <w:r>
        <w:rPr/>
        <w:t>que</w:t>
      </w:r>
      <w:r>
        <w:rPr>
          <w:spacing w:val="-6"/>
        </w:rPr>
        <w:t> </w:t>
      </w:r>
      <w:r>
        <w:rPr/>
        <w:t>obtendría</w:t>
      </w:r>
      <w:r>
        <w:rPr>
          <w:spacing w:val="-4"/>
        </w:rPr>
        <w:t> </w:t>
      </w:r>
      <w:r>
        <w:rPr/>
        <w:t>si</w:t>
      </w:r>
      <w:r>
        <w:rPr>
          <w:spacing w:val="-5"/>
        </w:rPr>
        <w:t> </w:t>
      </w:r>
      <w:r>
        <w:rPr/>
        <w:t>se vendiera en un mercado competitivo. La capacidad para valuar activos de manera exacta es una parte medular de la disciplina de las finanzas, porque mediante la selección de la alternativa que maximiza el valor se pueden tomar muchas decisiones.</w:t>
      </w:r>
    </w:p>
    <w:p>
      <w:pPr>
        <w:pStyle w:val="BodyText"/>
        <w:spacing w:line="360" w:lineRule="auto" w:before="3"/>
        <w:ind w:left="142" w:right="138" w:firstLine="707"/>
        <w:jc w:val="both"/>
      </w:pPr>
      <w:r>
        <w:rPr/>
        <w:t>La ley del precio único establece que en un mercado competitivo, si dos activos son equivalentes, tenderán a tener el mismo precio. La ley se aplica mediante un proceso llamado arbitraje, que es la compra y la venta inmediata de activos equivalentes para poder ganar una utilidad segura a partir de la diferencia de</w:t>
      </w:r>
      <w:r>
        <w:rPr>
          <w:spacing w:val="-6"/>
        </w:rPr>
        <w:t> </w:t>
      </w:r>
      <w:r>
        <w:rPr/>
        <w:t>sus</w:t>
      </w:r>
      <w:r>
        <w:rPr>
          <w:spacing w:val="-9"/>
        </w:rPr>
        <w:t> </w:t>
      </w:r>
      <w:r>
        <w:rPr/>
        <w:t>precios.</w:t>
      </w:r>
      <w:r>
        <w:rPr>
          <w:spacing w:val="-9"/>
        </w:rPr>
        <w:t> </w:t>
      </w:r>
      <w:r>
        <w:rPr/>
        <w:t>Incluso</w:t>
      </w:r>
      <w:r>
        <w:rPr>
          <w:spacing w:val="-8"/>
        </w:rPr>
        <w:t> </w:t>
      </w:r>
      <w:r>
        <w:rPr/>
        <w:t>si</w:t>
      </w:r>
      <w:r>
        <w:rPr>
          <w:spacing w:val="-7"/>
        </w:rPr>
        <w:t> </w:t>
      </w:r>
      <w:r>
        <w:rPr/>
        <w:t>el</w:t>
      </w:r>
      <w:r>
        <w:rPr>
          <w:spacing w:val="-10"/>
        </w:rPr>
        <w:t> </w:t>
      </w:r>
      <w:r>
        <w:rPr/>
        <w:t>arbitraje</w:t>
      </w:r>
      <w:r>
        <w:rPr>
          <w:spacing w:val="-8"/>
        </w:rPr>
        <w:t> </w:t>
      </w:r>
      <w:r>
        <w:rPr/>
        <w:t>no</w:t>
      </w:r>
      <w:r>
        <w:rPr>
          <w:spacing w:val="-8"/>
        </w:rPr>
        <w:t> </w:t>
      </w:r>
      <w:r>
        <w:rPr/>
        <w:t>se</w:t>
      </w:r>
      <w:r>
        <w:rPr>
          <w:spacing w:val="-8"/>
        </w:rPr>
        <w:t> </w:t>
      </w:r>
      <w:r>
        <w:rPr/>
        <w:t>puede</w:t>
      </w:r>
      <w:r>
        <w:rPr>
          <w:spacing w:val="-8"/>
        </w:rPr>
        <w:t> </w:t>
      </w:r>
      <w:r>
        <w:rPr/>
        <w:t>realizar</w:t>
      </w:r>
      <w:r>
        <w:rPr>
          <w:spacing w:val="-7"/>
        </w:rPr>
        <w:t> </w:t>
      </w:r>
      <w:r>
        <w:rPr/>
        <w:t>en</w:t>
      </w:r>
      <w:r>
        <w:rPr>
          <w:spacing w:val="-8"/>
        </w:rPr>
        <w:t> </w:t>
      </w:r>
      <w:r>
        <w:rPr/>
        <w:t>la</w:t>
      </w:r>
      <w:r>
        <w:rPr>
          <w:spacing w:val="-9"/>
        </w:rPr>
        <w:t> </w:t>
      </w:r>
      <w:r>
        <w:rPr/>
        <w:t>práctica</w:t>
      </w:r>
      <w:r>
        <w:rPr>
          <w:spacing w:val="-6"/>
        </w:rPr>
        <w:t> </w:t>
      </w:r>
      <w:r>
        <w:rPr/>
        <w:t>para</w:t>
      </w:r>
      <w:r>
        <w:rPr>
          <w:spacing w:val="-9"/>
        </w:rPr>
        <w:t> </w:t>
      </w:r>
      <w:r>
        <w:rPr/>
        <w:t>aplicar la ley del precio único, aún se pueden deducir los valores desconocidos de activos a partir de los precios de activos similares cuyos precios se</w:t>
      </w:r>
      <w:r>
        <w:rPr>
          <w:spacing w:val="-22"/>
        </w:rPr>
        <w:t> </w:t>
      </w:r>
      <w:r>
        <w:rPr/>
        <w:t>conocen.</w:t>
      </w:r>
    </w:p>
    <w:p>
      <w:pPr>
        <w:pStyle w:val="BodyText"/>
        <w:spacing w:line="360" w:lineRule="auto" w:before="2"/>
        <w:ind w:left="142" w:right="138" w:firstLine="707"/>
        <w:jc w:val="both"/>
      </w:pPr>
      <w:r>
        <w:rPr/>
        <w:t>El método cuantitativo usado para deducir el valor de un activo a partir de la información acerca de los precios de activos similares se conoce como modelo de valuación. El modelo de valuación más conveniente dependerá de la información disponible y del uso pretendido del valor estimado. El valor en libros de un activo o un pasivo, como aparece registrado en los estados financieros de la empresa, a menudo es diferente de su valor de mercado actual.</w:t>
      </w:r>
    </w:p>
    <w:p>
      <w:pPr>
        <w:pStyle w:val="BodyText"/>
        <w:spacing w:line="360" w:lineRule="auto" w:before="2"/>
        <w:ind w:left="142" w:right="138" w:firstLine="707"/>
        <w:jc w:val="both"/>
      </w:pPr>
      <w:r>
        <w:rPr/>
        <w:t>Para</w:t>
      </w:r>
      <w:r>
        <w:rPr>
          <w:spacing w:val="-11"/>
        </w:rPr>
        <w:t> </w:t>
      </w:r>
      <w:r>
        <w:rPr/>
        <w:t>tomar</w:t>
      </w:r>
      <w:r>
        <w:rPr>
          <w:spacing w:val="-12"/>
        </w:rPr>
        <w:t> </w:t>
      </w:r>
      <w:r>
        <w:rPr/>
        <w:t>la</w:t>
      </w:r>
      <w:r>
        <w:rPr>
          <w:spacing w:val="-11"/>
        </w:rPr>
        <w:t> </w:t>
      </w:r>
      <w:r>
        <w:rPr/>
        <w:t>mayoría</w:t>
      </w:r>
      <w:r>
        <w:rPr>
          <w:spacing w:val="-8"/>
        </w:rPr>
        <w:t> </w:t>
      </w:r>
      <w:r>
        <w:rPr/>
        <w:t>de</w:t>
      </w:r>
      <w:r>
        <w:rPr>
          <w:spacing w:val="-11"/>
        </w:rPr>
        <w:t> </w:t>
      </w:r>
      <w:r>
        <w:rPr/>
        <w:t>las</w:t>
      </w:r>
      <w:r>
        <w:rPr>
          <w:spacing w:val="-11"/>
        </w:rPr>
        <w:t> </w:t>
      </w:r>
      <w:r>
        <w:rPr/>
        <w:t>decisiones</w:t>
      </w:r>
      <w:r>
        <w:rPr>
          <w:spacing w:val="-14"/>
        </w:rPr>
        <w:t> </w:t>
      </w:r>
      <w:r>
        <w:rPr/>
        <w:t>financieras,</w:t>
      </w:r>
      <w:r>
        <w:rPr>
          <w:spacing w:val="-11"/>
        </w:rPr>
        <w:t> </w:t>
      </w:r>
      <w:r>
        <w:rPr/>
        <w:t>una</w:t>
      </w:r>
      <w:r>
        <w:rPr>
          <w:spacing w:val="-11"/>
        </w:rPr>
        <w:t> </w:t>
      </w:r>
      <w:r>
        <w:rPr/>
        <w:t>buena</w:t>
      </w:r>
      <w:r>
        <w:rPr>
          <w:spacing w:val="-11"/>
        </w:rPr>
        <w:t> </w:t>
      </w:r>
      <w:r>
        <w:rPr/>
        <w:t>idea</w:t>
      </w:r>
      <w:r>
        <w:rPr>
          <w:spacing w:val="-13"/>
        </w:rPr>
        <w:t> </w:t>
      </w:r>
      <w:r>
        <w:rPr/>
        <w:t>es</w:t>
      </w:r>
      <w:r>
        <w:rPr>
          <w:spacing w:val="-12"/>
        </w:rPr>
        <w:t> </w:t>
      </w:r>
      <w:r>
        <w:rPr/>
        <w:t>partir del supuesto de que para los activos que se compran y venden en mercados competitivos, el precio es un reflejo bastante exacto del valor fundamental. Por lo general, este supuesto está justificado precisamente porque existen muchos profesionales bien informados en busca de activos con precios mal valuados y que obtienen utilidades eliminando las diferencias entre los precios de mercado y los valores fundamentales de activos. La aseveración de que el precio actual de un activo refleja plenamente toda la información pública (y alguna privada) </w:t>
      </w:r>
      <w:r>
        <w:rPr>
          <w:spacing w:val="25"/>
        </w:rPr>
        <w:t> </w:t>
      </w:r>
      <w:r>
        <w:rPr/>
        <w:t>disponible</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57"/>
      </w:pPr>
      <w:r>
        <w:rPr/>
        <w:t>acerca de los fundamentos económicos futuros que afectan el valor del activo, se conoce como hipótesis de mercados eficientes.</w:t>
      </w:r>
    </w:p>
    <w:p>
      <w:pPr>
        <w:pStyle w:val="BodyText"/>
        <w:spacing w:line="360" w:lineRule="auto" w:before="2"/>
        <w:ind w:left="142" w:right="138" w:firstLine="707"/>
        <w:jc w:val="both"/>
      </w:pPr>
      <w:r>
        <w:rPr/>
        <w:t>Los precios de activos negociados reflejan información acerca de los determinantes económicos fundamentales de su valor. Los analistas buscan continuamente activos cuyos precios son diferentes de su valor fundamental para comprar y vender estas "oportunidades". Al decidir la mejor estrategia para la compra y venta, se tiene que evaluar la exactitud de su información. El precio de mercado de un activo refleja el promedio ponderado de las opiniones de todos los actores, dando más peso a aquellos analistas que controlan grandes sumas de dinero y quienes tienen información superior al promedio.</w:t>
      </w:r>
    </w:p>
    <w:p>
      <w:pPr>
        <w:pStyle w:val="BodyText"/>
      </w:pPr>
    </w:p>
    <w:p>
      <w:pPr>
        <w:pStyle w:val="ListParagraph"/>
        <w:numPr>
          <w:ilvl w:val="1"/>
          <w:numId w:val="8"/>
        </w:numPr>
        <w:tabs>
          <w:tab w:pos="596" w:val="left" w:leader="none"/>
        </w:tabs>
        <w:spacing w:line="240" w:lineRule="auto" w:before="205" w:after="0"/>
        <w:ind w:left="595" w:right="0" w:hanging="453"/>
        <w:jc w:val="left"/>
        <w:rPr>
          <w:b/>
          <w:sz w:val="22"/>
        </w:rPr>
      </w:pPr>
      <w:bookmarkStart w:name="_bookmark7" w:id="15"/>
      <w:bookmarkEnd w:id="15"/>
      <w:r>
        <w:rPr/>
      </w:r>
      <w:bookmarkStart w:name="_bookmark7" w:id="16"/>
      <w:bookmarkEnd w:id="16"/>
      <w:r>
        <w:rPr>
          <w:b/>
          <w:sz w:val="28"/>
        </w:rPr>
        <w:t>C</w:t>
      </w:r>
      <w:r>
        <w:rPr>
          <w:b/>
          <w:sz w:val="22"/>
        </w:rPr>
        <w:t>ONCEPTO DE</w:t>
      </w:r>
      <w:r>
        <w:rPr>
          <w:b/>
          <w:spacing w:val="-11"/>
          <w:sz w:val="22"/>
        </w:rPr>
        <w:t> </w:t>
      </w:r>
      <w:r>
        <w:rPr>
          <w:b/>
          <w:sz w:val="22"/>
        </w:rPr>
        <w:t>RIESGO</w:t>
      </w:r>
    </w:p>
    <w:p>
      <w:pPr>
        <w:pStyle w:val="BodyText"/>
        <w:spacing w:line="360" w:lineRule="auto" w:before="238"/>
        <w:ind w:left="142" w:right="137" w:firstLine="707"/>
        <w:jc w:val="both"/>
      </w:pPr>
      <w:r>
        <w:rPr/>
        <w:t>De acuerdo a Jorion (2009), el </w:t>
      </w:r>
      <w:r>
        <w:rPr>
          <w:i/>
        </w:rPr>
        <w:t>riesgo </w:t>
      </w:r>
      <w:r>
        <w:rPr/>
        <w:t>puede ser definido como la volatilidad de los flujos financieros no esperados, generalmente derivada del valor de los activos o los pasivos. Las empresas están expuestas a tres tipos de riesgos: de negocios, estratégicos y financieros.</w:t>
      </w:r>
    </w:p>
    <w:p>
      <w:pPr>
        <w:pStyle w:val="BodyText"/>
        <w:spacing w:line="360" w:lineRule="auto"/>
        <w:ind w:left="142" w:right="135" w:firstLine="707"/>
        <w:jc w:val="both"/>
      </w:pPr>
      <w:r>
        <w:rPr/>
        <w:t>La</w:t>
      </w:r>
      <w:r>
        <w:rPr>
          <w:spacing w:val="-14"/>
        </w:rPr>
        <w:t> </w:t>
      </w:r>
      <w:r>
        <w:rPr>
          <w:i/>
        </w:rPr>
        <w:t>aversión</w:t>
      </w:r>
      <w:r>
        <w:rPr>
          <w:i/>
          <w:spacing w:val="-14"/>
        </w:rPr>
        <w:t> </w:t>
      </w:r>
      <w:r>
        <w:rPr>
          <w:i/>
        </w:rPr>
        <w:t>al</w:t>
      </w:r>
      <w:r>
        <w:rPr>
          <w:i/>
          <w:spacing w:val="-15"/>
        </w:rPr>
        <w:t> </w:t>
      </w:r>
      <w:r>
        <w:rPr>
          <w:i/>
        </w:rPr>
        <w:t>riesgo</w:t>
      </w:r>
      <w:r>
        <w:rPr>
          <w:i/>
          <w:spacing w:val="-14"/>
        </w:rPr>
        <w:t> </w:t>
      </w:r>
      <w:r>
        <w:rPr/>
        <w:t>es</w:t>
      </w:r>
      <w:r>
        <w:rPr>
          <w:spacing w:val="-15"/>
        </w:rPr>
        <w:t> </w:t>
      </w:r>
      <w:r>
        <w:rPr/>
        <w:t>una</w:t>
      </w:r>
      <w:r>
        <w:rPr>
          <w:spacing w:val="-14"/>
        </w:rPr>
        <w:t> </w:t>
      </w:r>
      <w:r>
        <w:rPr/>
        <w:t>característica</w:t>
      </w:r>
      <w:r>
        <w:rPr>
          <w:spacing w:val="-14"/>
        </w:rPr>
        <w:t> </w:t>
      </w:r>
      <w:r>
        <w:rPr/>
        <w:t>de</w:t>
      </w:r>
      <w:r>
        <w:rPr>
          <w:spacing w:val="-17"/>
        </w:rPr>
        <w:t> </w:t>
      </w:r>
      <w:r>
        <w:rPr/>
        <w:t>las</w:t>
      </w:r>
      <w:r>
        <w:rPr>
          <w:spacing w:val="-14"/>
        </w:rPr>
        <w:t> </w:t>
      </w:r>
      <w:r>
        <w:rPr/>
        <w:t>preferencias</w:t>
      </w:r>
      <w:r>
        <w:rPr>
          <w:spacing w:val="-17"/>
        </w:rPr>
        <w:t> </w:t>
      </w:r>
      <w:r>
        <w:rPr/>
        <w:t>de</w:t>
      </w:r>
      <w:r>
        <w:rPr>
          <w:spacing w:val="-14"/>
        </w:rPr>
        <w:t> </w:t>
      </w:r>
      <w:r>
        <w:rPr/>
        <w:t>un</w:t>
      </w:r>
      <w:r>
        <w:rPr>
          <w:spacing w:val="-14"/>
        </w:rPr>
        <w:t> </w:t>
      </w:r>
      <w:r>
        <w:rPr/>
        <w:t>individuo en situaciones de toma de riesgo. Es una medida de la disposición de una persona para</w:t>
      </w:r>
      <w:r>
        <w:rPr>
          <w:spacing w:val="-11"/>
        </w:rPr>
        <w:t> </w:t>
      </w:r>
      <w:r>
        <w:rPr/>
        <w:t>pagar</w:t>
      </w:r>
      <w:r>
        <w:rPr>
          <w:spacing w:val="-10"/>
        </w:rPr>
        <w:t> </w:t>
      </w:r>
      <w:r>
        <w:rPr/>
        <w:t>con</w:t>
      </w:r>
      <w:r>
        <w:rPr>
          <w:spacing w:val="-8"/>
        </w:rPr>
        <w:t> </w:t>
      </w:r>
      <w:r>
        <w:rPr/>
        <w:t>tal</w:t>
      </w:r>
      <w:r>
        <w:rPr>
          <w:spacing w:val="-10"/>
        </w:rPr>
        <w:t> </w:t>
      </w:r>
      <w:r>
        <w:rPr/>
        <w:t>de</w:t>
      </w:r>
      <w:r>
        <w:rPr>
          <w:spacing w:val="-8"/>
        </w:rPr>
        <w:t> </w:t>
      </w:r>
      <w:r>
        <w:rPr/>
        <w:t>reducir</w:t>
      </w:r>
      <w:r>
        <w:rPr>
          <w:spacing w:val="-10"/>
        </w:rPr>
        <w:t> </w:t>
      </w:r>
      <w:r>
        <w:rPr/>
        <w:t>la</w:t>
      </w:r>
      <w:r>
        <w:rPr>
          <w:spacing w:val="-11"/>
        </w:rPr>
        <w:t> </w:t>
      </w:r>
      <w:r>
        <w:rPr/>
        <w:t>exposición</w:t>
      </w:r>
      <w:r>
        <w:rPr>
          <w:spacing w:val="-11"/>
        </w:rPr>
        <w:t> </w:t>
      </w:r>
      <w:r>
        <w:rPr/>
        <w:t>al</w:t>
      </w:r>
      <w:r>
        <w:rPr>
          <w:spacing w:val="-12"/>
        </w:rPr>
        <w:t> </w:t>
      </w:r>
      <w:r>
        <w:rPr/>
        <w:t>riesgo.</w:t>
      </w:r>
      <w:r>
        <w:rPr>
          <w:spacing w:val="-9"/>
        </w:rPr>
        <w:t> </w:t>
      </w:r>
      <w:r>
        <w:rPr/>
        <w:t>Al</w:t>
      </w:r>
      <w:r>
        <w:rPr>
          <w:spacing w:val="-10"/>
        </w:rPr>
        <w:t> </w:t>
      </w:r>
      <w:r>
        <w:rPr/>
        <w:t>evaluar</w:t>
      </w:r>
      <w:r>
        <w:rPr>
          <w:spacing w:val="-10"/>
        </w:rPr>
        <w:t> </w:t>
      </w:r>
      <w:r>
        <w:rPr/>
        <w:t>las</w:t>
      </w:r>
      <w:r>
        <w:rPr>
          <w:spacing w:val="-11"/>
        </w:rPr>
        <w:t> </w:t>
      </w:r>
      <w:r>
        <w:rPr/>
        <w:t>compensaciones entre costos y beneficios de la reducción del riesgo, la gente adversa al riesgo prefiere las alternativas de menor riesgo por el mismo</w:t>
      </w:r>
      <w:r>
        <w:rPr>
          <w:spacing w:val="-17"/>
        </w:rPr>
        <w:t> </w:t>
      </w:r>
      <w:r>
        <w:rPr/>
        <w:t>costo.</w:t>
      </w:r>
    </w:p>
    <w:p>
      <w:pPr>
        <w:pStyle w:val="BodyText"/>
        <w:spacing w:line="360" w:lineRule="auto" w:before="2"/>
        <w:ind w:left="142" w:right="136" w:firstLine="707"/>
        <w:jc w:val="both"/>
      </w:pPr>
      <w:r>
        <w:rPr/>
        <w:t>Los </w:t>
      </w:r>
      <w:r>
        <w:rPr>
          <w:i/>
        </w:rPr>
        <w:t>riesgos financieros </w:t>
      </w:r>
      <w:r>
        <w:rPr/>
        <w:t>–objeto de estudio en este material− están relacionados con las posibles pérdidas en los mercados financieros. Los movimientos</w:t>
      </w:r>
      <w:r>
        <w:rPr>
          <w:spacing w:val="-4"/>
        </w:rPr>
        <w:t> </w:t>
      </w:r>
      <w:r>
        <w:rPr/>
        <w:t>en</w:t>
      </w:r>
      <w:r>
        <w:rPr>
          <w:spacing w:val="-4"/>
        </w:rPr>
        <w:t> </w:t>
      </w:r>
      <w:r>
        <w:rPr/>
        <w:t>las</w:t>
      </w:r>
      <w:r>
        <w:rPr>
          <w:spacing w:val="-4"/>
        </w:rPr>
        <w:t> </w:t>
      </w:r>
      <w:r>
        <w:rPr/>
        <w:t>variables</w:t>
      </w:r>
      <w:r>
        <w:rPr>
          <w:spacing w:val="-6"/>
        </w:rPr>
        <w:t> </w:t>
      </w:r>
      <w:r>
        <w:rPr/>
        <w:t>financieras,</w:t>
      </w:r>
      <w:r>
        <w:rPr>
          <w:spacing w:val="-4"/>
        </w:rPr>
        <w:t> </w:t>
      </w:r>
      <w:r>
        <w:rPr/>
        <w:t>tales</w:t>
      </w:r>
      <w:r>
        <w:rPr>
          <w:spacing w:val="-4"/>
        </w:rPr>
        <w:t> </w:t>
      </w:r>
      <w:r>
        <w:rPr/>
        <w:t>como</w:t>
      </w:r>
      <w:r>
        <w:rPr>
          <w:spacing w:val="-4"/>
        </w:rPr>
        <w:t> </w:t>
      </w:r>
      <w:r>
        <w:rPr/>
        <w:t>las</w:t>
      </w:r>
      <w:r>
        <w:rPr>
          <w:spacing w:val="-6"/>
        </w:rPr>
        <w:t> </w:t>
      </w:r>
      <w:r>
        <w:rPr/>
        <w:t>tasas</w:t>
      </w:r>
      <w:r>
        <w:rPr>
          <w:spacing w:val="-7"/>
        </w:rPr>
        <w:t> </w:t>
      </w:r>
      <w:r>
        <w:rPr/>
        <w:t>de</w:t>
      </w:r>
      <w:r>
        <w:rPr>
          <w:spacing w:val="-6"/>
        </w:rPr>
        <w:t> </w:t>
      </w:r>
      <w:r>
        <w:rPr/>
        <w:t>interés</w:t>
      </w:r>
      <w:r>
        <w:rPr>
          <w:spacing w:val="-4"/>
        </w:rPr>
        <w:t> </w:t>
      </w:r>
      <w:r>
        <w:rPr/>
        <w:t>y</w:t>
      </w:r>
      <w:r>
        <w:rPr>
          <w:spacing w:val="-7"/>
        </w:rPr>
        <w:t> </w:t>
      </w:r>
      <w:r>
        <w:rPr/>
        <w:t>los</w:t>
      </w:r>
      <w:r>
        <w:rPr>
          <w:spacing w:val="-4"/>
        </w:rPr>
        <w:t> </w:t>
      </w:r>
      <w:r>
        <w:rPr/>
        <w:t>tipos de cambio, constituyen una fuente importante de riesgos para la mayoría de las empresas.</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line="357" w:lineRule="auto" w:before="70"/>
        <w:ind w:left="142" w:right="141" w:firstLine="707"/>
        <w:jc w:val="both"/>
        <w:rPr>
          <w:sz w:val="16"/>
        </w:rPr>
      </w:pPr>
      <w:r>
        <w:rPr/>
        <w:t>En esencia, el riesgo es la probabilidad de observar rendimientos distintos a los esperados, es decir, "...la dispersión de resultados inesperados ocasionada por movimientos en las variables financieras."</w:t>
      </w:r>
      <w:r>
        <w:rPr>
          <w:position w:val="8"/>
          <w:sz w:val="16"/>
        </w:rPr>
        <w:t>1</w:t>
      </w:r>
    </w:p>
    <w:p>
      <w:pPr>
        <w:pStyle w:val="BodyText"/>
        <w:spacing w:line="360" w:lineRule="auto" w:before="4"/>
        <w:ind w:left="142" w:right="140" w:firstLine="707"/>
        <w:jc w:val="both"/>
      </w:pPr>
      <w:r>
        <w:rPr/>
        <w:t>La exposición a riesgos financieros puede ser optimizada de tal manera que las empresas puedan concentrarse en lo que es su especialidad: administrar su exposición a los riesgos de negocio.</w:t>
      </w:r>
    </w:p>
    <w:p>
      <w:pPr>
        <w:pStyle w:val="BodyText"/>
        <w:spacing w:line="360" w:lineRule="auto" w:before="2"/>
        <w:ind w:left="142" w:right="140" w:firstLine="707"/>
        <w:jc w:val="both"/>
      </w:pPr>
      <w:r>
        <w:rPr/>
        <w:t>Cuando hablamos de riesgo, estamos hablando de incertidumbre porque no sabemos si un mercado va a subir o bajar. Un entendimiento cabal del riesgo permite de anticiparse a posibles resultados adversos y sus consecuencias y, de este modo, estar mejor preparados para enfrentar la incertidumbre futura sobre las variables que puedan afectar sus resultados.</w:t>
      </w:r>
    </w:p>
    <w:p>
      <w:pPr>
        <w:pStyle w:val="BodyText"/>
      </w:pPr>
    </w:p>
    <w:p>
      <w:pPr>
        <w:pStyle w:val="ListParagraph"/>
        <w:numPr>
          <w:ilvl w:val="1"/>
          <w:numId w:val="8"/>
        </w:numPr>
        <w:tabs>
          <w:tab w:pos="596" w:val="left" w:leader="none"/>
        </w:tabs>
        <w:spacing w:line="240" w:lineRule="auto" w:before="199" w:after="0"/>
        <w:ind w:left="595" w:right="0" w:hanging="453"/>
        <w:jc w:val="left"/>
        <w:rPr>
          <w:b/>
          <w:sz w:val="18"/>
        </w:rPr>
      </w:pPr>
      <w:bookmarkStart w:name="_bookmark8" w:id="17"/>
      <w:bookmarkEnd w:id="17"/>
      <w:r>
        <w:rPr/>
      </w:r>
      <w:bookmarkStart w:name="_bookmark8" w:id="18"/>
      <w:bookmarkEnd w:id="18"/>
      <w:r>
        <w:rPr>
          <w:b/>
          <w:sz w:val="28"/>
        </w:rPr>
        <w:t>C</w:t>
      </w:r>
      <w:r>
        <w:rPr>
          <w:b/>
          <w:sz w:val="22"/>
        </w:rPr>
        <w:t>LASIFICACIÓN DE RIESGOS</w:t>
      </w:r>
      <w:r>
        <w:rPr>
          <w:b/>
          <w:spacing w:val="-20"/>
          <w:sz w:val="22"/>
        </w:rPr>
        <w:t> </w:t>
      </w:r>
      <w:r>
        <w:rPr>
          <w:b/>
          <w:sz w:val="22"/>
        </w:rPr>
        <w:t>FINANCIEROS</w:t>
      </w:r>
      <w:r>
        <w:rPr>
          <w:b/>
          <w:position w:val="10"/>
          <w:sz w:val="18"/>
        </w:rPr>
        <w:t>2</w:t>
      </w:r>
    </w:p>
    <w:p>
      <w:pPr>
        <w:pStyle w:val="BodyText"/>
        <w:spacing w:line="355" w:lineRule="auto" w:before="243"/>
        <w:ind w:left="142" w:right="142" w:firstLine="707"/>
        <w:jc w:val="both"/>
      </w:pPr>
      <w:r>
        <w:rPr/>
        <w:t>Existen</w:t>
      </w:r>
      <w:r>
        <w:rPr>
          <w:spacing w:val="-7"/>
        </w:rPr>
        <w:t> </w:t>
      </w:r>
      <w:r>
        <w:rPr/>
        <w:t>diferentes</w:t>
      </w:r>
      <w:r>
        <w:rPr>
          <w:spacing w:val="-8"/>
        </w:rPr>
        <w:t> </w:t>
      </w:r>
      <w:r>
        <w:rPr/>
        <w:t>naturalezas</w:t>
      </w:r>
      <w:r>
        <w:rPr>
          <w:spacing w:val="-8"/>
        </w:rPr>
        <w:t> </w:t>
      </w:r>
      <w:r>
        <w:rPr/>
        <w:t>de</w:t>
      </w:r>
      <w:r>
        <w:rPr>
          <w:spacing w:val="-7"/>
        </w:rPr>
        <w:t> </w:t>
      </w:r>
      <w:r>
        <w:rPr/>
        <w:t>riesgos,</w:t>
      </w:r>
      <w:r>
        <w:rPr>
          <w:spacing w:val="-7"/>
        </w:rPr>
        <w:t> </w:t>
      </w:r>
      <w:r>
        <w:rPr/>
        <w:t>las</w:t>
      </w:r>
      <w:r>
        <w:rPr>
          <w:spacing w:val="-7"/>
        </w:rPr>
        <w:t> </w:t>
      </w:r>
      <w:r>
        <w:rPr/>
        <w:t>cuales</w:t>
      </w:r>
      <w:r>
        <w:rPr>
          <w:spacing w:val="-7"/>
        </w:rPr>
        <w:t> </w:t>
      </w:r>
      <w:r>
        <w:rPr/>
        <w:t>pueden</w:t>
      </w:r>
      <w:r>
        <w:rPr>
          <w:spacing w:val="-7"/>
        </w:rPr>
        <w:t> </w:t>
      </w:r>
      <w:r>
        <w:rPr/>
        <w:t>ser</w:t>
      </w:r>
      <w:r>
        <w:rPr>
          <w:spacing w:val="-8"/>
        </w:rPr>
        <w:t> </w:t>
      </w:r>
      <w:r>
        <w:rPr/>
        <w:t>clasificadas en las siguientes</w:t>
      </w:r>
      <w:r>
        <w:rPr>
          <w:spacing w:val="-9"/>
        </w:rPr>
        <w:t> </w:t>
      </w:r>
      <w:r>
        <w:rPr/>
        <w:t>categorías</w:t>
      </w:r>
      <w:r>
        <w:rPr>
          <w:position w:val="8"/>
          <w:sz w:val="16"/>
        </w:rPr>
        <w:t>3</w:t>
      </w:r>
      <w:r>
        <w:rPr/>
        <w:t>:</w:t>
      </w:r>
    </w:p>
    <w:p>
      <w:pPr>
        <w:pStyle w:val="ListParagraph"/>
        <w:numPr>
          <w:ilvl w:val="2"/>
          <w:numId w:val="8"/>
        </w:numPr>
        <w:tabs>
          <w:tab w:pos="1275" w:val="left" w:leader="none"/>
        </w:tabs>
        <w:spacing w:line="360" w:lineRule="auto" w:before="5" w:after="0"/>
        <w:ind w:left="1274" w:right="138" w:hanging="357"/>
        <w:jc w:val="both"/>
        <w:rPr>
          <w:sz w:val="24"/>
        </w:rPr>
      </w:pPr>
      <w:r>
        <w:rPr>
          <w:i/>
          <w:sz w:val="24"/>
        </w:rPr>
        <w:t>Riesgo de mercado </w:t>
      </w:r>
      <w:r>
        <w:rPr>
          <w:sz w:val="24"/>
        </w:rPr>
        <w:t>(subyacente, tasa de interés, tipo de cambio, precio commodities). Se entiende como la pérdida que puede sufrir un inversionista debido a la diferencia en los precios que se registran en el mercado o en movimientos de los llamados factores de riesgo (tasas de interés, tipos de cambio, etcétera). También podríamos definirlo más formalmente como la posibilidad de que el valor presente neto de un portafolio se mueva adversamente, ante cambios en las variables macroeconómicas que determinan el precio de los instrumentos que componen una cartera de</w:t>
      </w:r>
      <w:r>
        <w:rPr>
          <w:spacing w:val="-11"/>
          <w:sz w:val="24"/>
        </w:rPr>
        <w:t> </w:t>
      </w:r>
      <w:r>
        <w:rPr>
          <w:sz w:val="24"/>
        </w:rPr>
        <w:t>valores.</w:t>
      </w:r>
    </w:p>
    <w:p>
      <w:pPr>
        <w:pStyle w:val="ListParagraph"/>
        <w:numPr>
          <w:ilvl w:val="2"/>
          <w:numId w:val="8"/>
        </w:numPr>
        <w:tabs>
          <w:tab w:pos="1275" w:val="left" w:leader="none"/>
        </w:tabs>
        <w:spacing w:line="355" w:lineRule="auto" w:before="4" w:after="0"/>
        <w:ind w:left="1274" w:right="137" w:hanging="357"/>
        <w:jc w:val="both"/>
        <w:rPr>
          <w:sz w:val="24"/>
        </w:rPr>
      </w:pPr>
      <w:r>
        <w:rPr>
          <w:i/>
          <w:sz w:val="24"/>
        </w:rPr>
        <w:t>Riesgo de crédito </w:t>
      </w:r>
      <w:r>
        <w:rPr>
          <w:sz w:val="24"/>
        </w:rPr>
        <w:t>(contraparte y emisor). Se podría definir como la pérdida potencial que es consecuencia de un incumplimiento de la contraparte en una operación que incluye un compromiso de</w:t>
      </w:r>
      <w:r>
        <w:rPr>
          <w:spacing w:val="-23"/>
          <w:sz w:val="24"/>
        </w:rPr>
        <w:t> </w:t>
      </w:r>
      <w:r>
        <w:rPr>
          <w:sz w:val="24"/>
        </w:rPr>
        <w:t>pago.</w:t>
      </w:r>
    </w:p>
    <w:p>
      <w:pPr>
        <w:pStyle w:val="BodyText"/>
        <w:spacing w:before="10"/>
        <w:rPr>
          <w:sz w:val="21"/>
        </w:rPr>
      </w:pPr>
      <w:r>
        <w:rPr/>
        <w:pict>
          <v:line style="position:absolute;mso-position-horizontal-relative:page;mso-position-vertical-relative:paragraph;z-index:1120;mso-wrap-distance-left:0;mso-wrap-distance-right:0" from="85.103996pt,14.842039pt" to="229.123996pt,14.842039pt" stroked="true" strokeweight=".599980pt" strokecolor="#000000">
            <w10:wrap type="topAndBottom"/>
          </v:line>
        </w:pict>
      </w:r>
    </w:p>
    <w:p>
      <w:pPr>
        <w:spacing w:before="78"/>
        <w:ind w:left="142" w:right="157" w:firstLine="0"/>
        <w:jc w:val="left"/>
        <w:rPr>
          <w:sz w:val="20"/>
        </w:rPr>
      </w:pPr>
      <w:r>
        <w:rPr>
          <w:position w:val="6"/>
          <w:sz w:val="13"/>
        </w:rPr>
        <w:t>1 </w:t>
      </w:r>
      <w:r>
        <w:rPr>
          <w:sz w:val="20"/>
        </w:rPr>
        <w:t>Jorion, Philippe. Value at Risk: The New Benchamark for Controlling Derivates Risk, Mc Graw Hill, 1997, E.U.A., p.63.</w:t>
      </w:r>
    </w:p>
    <w:p>
      <w:pPr>
        <w:spacing w:before="0"/>
        <w:ind w:left="142" w:right="157" w:firstLine="0"/>
        <w:jc w:val="left"/>
        <w:rPr>
          <w:sz w:val="20"/>
        </w:rPr>
      </w:pPr>
      <w:r>
        <w:rPr>
          <w:position w:val="6"/>
          <w:sz w:val="13"/>
        </w:rPr>
        <w:t>2 </w:t>
      </w:r>
      <w:r>
        <w:rPr>
          <w:sz w:val="20"/>
        </w:rPr>
        <w:t>Fuente: </w:t>
      </w:r>
      <w:hyperlink r:id="rId10">
        <w:r>
          <w:rPr>
            <w:color w:val="0000FF"/>
            <w:sz w:val="20"/>
            <w:u w:val="single" w:color="0000FF"/>
          </w:rPr>
          <w:t>http://www.condusef.gob.mx/cultura_financiera/finanzas_personales/riesgos_fin.html</w:t>
        </w:r>
      </w:hyperlink>
    </w:p>
    <w:p>
      <w:pPr>
        <w:spacing w:before="0"/>
        <w:ind w:left="142" w:right="786" w:firstLine="0"/>
        <w:jc w:val="left"/>
        <w:rPr>
          <w:sz w:val="20"/>
        </w:rPr>
      </w:pPr>
      <w:r>
        <w:rPr>
          <w:position w:val="6"/>
          <w:sz w:val="13"/>
        </w:rPr>
        <w:t>3 </w:t>
      </w:r>
      <w:r>
        <w:rPr>
          <w:sz w:val="20"/>
        </w:rPr>
        <w:t>Gary L. Gastineau</w:t>
      </w:r>
    </w:p>
    <w:p>
      <w:pPr>
        <w:spacing w:after="0"/>
        <w:jc w:val="left"/>
        <w:rPr>
          <w:sz w:val="20"/>
        </w:rPr>
        <w:sectPr>
          <w:pgSz w:w="12240" w:h="15840"/>
          <w:pgMar w:header="731" w:footer="737" w:top="1180" w:bottom="920" w:left="1560" w:right="1560"/>
        </w:sectPr>
      </w:pPr>
    </w:p>
    <w:p>
      <w:pPr>
        <w:pStyle w:val="BodyText"/>
        <w:rPr>
          <w:sz w:val="20"/>
        </w:rPr>
      </w:pPr>
    </w:p>
    <w:p>
      <w:pPr>
        <w:pStyle w:val="BodyText"/>
        <w:spacing w:before="1"/>
        <w:rPr>
          <w:sz w:val="17"/>
        </w:rPr>
      </w:pPr>
    </w:p>
    <w:p>
      <w:pPr>
        <w:pStyle w:val="ListParagraph"/>
        <w:numPr>
          <w:ilvl w:val="2"/>
          <w:numId w:val="8"/>
        </w:numPr>
        <w:tabs>
          <w:tab w:pos="1275" w:val="left" w:leader="none"/>
        </w:tabs>
        <w:spacing w:line="357" w:lineRule="auto" w:before="55" w:after="0"/>
        <w:ind w:left="1274" w:right="139" w:hanging="357"/>
        <w:jc w:val="both"/>
        <w:rPr>
          <w:sz w:val="24"/>
        </w:rPr>
      </w:pPr>
      <w:r>
        <w:rPr>
          <w:i/>
          <w:sz w:val="24"/>
        </w:rPr>
        <w:t>Riesgo</w:t>
      </w:r>
      <w:r>
        <w:rPr>
          <w:i/>
          <w:spacing w:val="-13"/>
          <w:sz w:val="24"/>
        </w:rPr>
        <w:t> </w:t>
      </w:r>
      <w:r>
        <w:rPr>
          <w:i/>
          <w:sz w:val="24"/>
        </w:rPr>
        <w:t>de</w:t>
      </w:r>
      <w:r>
        <w:rPr>
          <w:i/>
          <w:spacing w:val="-13"/>
          <w:sz w:val="24"/>
        </w:rPr>
        <w:t> </w:t>
      </w:r>
      <w:r>
        <w:rPr>
          <w:i/>
          <w:sz w:val="24"/>
        </w:rPr>
        <w:t>tasas</w:t>
      </w:r>
      <w:r>
        <w:rPr>
          <w:i/>
          <w:spacing w:val="-14"/>
          <w:sz w:val="24"/>
        </w:rPr>
        <w:t> </w:t>
      </w:r>
      <w:r>
        <w:rPr>
          <w:i/>
          <w:sz w:val="24"/>
        </w:rPr>
        <w:t>de</w:t>
      </w:r>
      <w:r>
        <w:rPr>
          <w:i/>
          <w:spacing w:val="-13"/>
          <w:sz w:val="24"/>
        </w:rPr>
        <w:t> </w:t>
      </w:r>
      <w:r>
        <w:rPr>
          <w:i/>
          <w:sz w:val="24"/>
        </w:rPr>
        <w:t>interés</w:t>
      </w:r>
      <w:r>
        <w:rPr>
          <w:i/>
          <w:spacing w:val="-14"/>
          <w:sz w:val="24"/>
        </w:rPr>
        <w:t> </w:t>
      </w:r>
      <w:r>
        <w:rPr>
          <w:i/>
          <w:sz w:val="24"/>
        </w:rPr>
        <w:t>y</w:t>
      </w:r>
      <w:r>
        <w:rPr>
          <w:i/>
          <w:spacing w:val="-14"/>
          <w:sz w:val="24"/>
        </w:rPr>
        <w:t> </w:t>
      </w:r>
      <w:r>
        <w:rPr>
          <w:i/>
          <w:sz w:val="24"/>
        </w:rPr>
        <w:t>liquidez.</w:t>
      </w:r>
      <w:r>
        <w:rPr>
          <w:i/>
          <w:spacing w:val="-9"/>
          <w:sz w:val="24"/>
        </w:rPr>
        <w:t> </w:t>
      </w:r>
      <w:r>
        <w:rPr>
          <w:sz w:val="24"/>
        </w:rPr>
        <w:t>Se</w:t>
      </w:r>
      <w:r>
        <w:rPr>
          <w:spacing w:val="-13"/>
          <w:sz w:val="24"/>
        </w:rPr>
        <w:t> </w:t>
      </w:r>
      <w:r>
        <w:rPr>
          <w:sz w:val="24"/>
        </w:rPr>
        <w:t>refiere</w:t>
      </w:r>
      <w:r>
        <w:rPr>
          <w:spacing w:val="-14"/>
          <w:sz w:val="24"/>
        </w:rPr>
        <w:t> </w:t>
      </w:r>
      <w:r>
        <w:rPr>
          <w:sz w:val="24"/>
        </w:rPr>
        <w:t>a</w:t>
      </w:r>
      <w:r>
        <w:rPr>
          <w:spacing w:val="-13"/>
          <w:sz w:val="24"/>
        </w:rPr>
        <w:t> </w:t>
      </w:r>
      <w:r>
        <w:rPr>
          <w:sz w:val="24"/>
        </w:rPr>
        <w:t>las</w:t>
      </w:r>
      <w:r>
        <w:rPr>
          <w:spacing w:val="-13"/>
          <w:sz w:val="24"/>
        </w:rPr>
        <w:t> </w:t>
      </w:r>
      <w:r>
        <w:rPr>
          <w:sz w:val="24"/>
        </w:rPr>
        <w:t>pérdidas</w:t>
      </w:r>
      <w:r>
        <w:rPr>
          <w:spacing w:val="-14"/>
          <w:sz w:val="24"/>
        </w:rPr>
        <w:t> </w:t>
      </w:r>
      <w:r>
        <w:rPr>
          <w:sz w:val="24"/>
        </w:rPr>
        <w:t>que</w:t>
      </w:r>
      <w:r>
        <w:rPr>
          <w:spacing w:val="-13"/>
          <w:sz w:val="24"/>
        </w:rPr>
        <w:t> </w:t>
      </w:r>
      <w:r>
        <w:rPr>
          <w:sz w:val="24"/>
        </w:rPr>
        <w:t>puede sufrir una institución por movimientos adversos en tasas de interés. El riesgo de liquidez</w:t>
      </w:r>
      <w:r>
        <w:rPr>
          <w:spacing w:val="-47"/>
          <w:sz w:val="24"/>
        </w:rPr>
        <w:t> </w:t>
      </w:r>
      <w:r>
        <w:rPr>
          <w:sz w:val="24"/>
        </w:rPr>
        <w:t>también se refiere a la imposibilidad de transformar en efectivo un activo o portafolios (imposibilidad de vender un activo en el mercado). Este riesgo está presente en situaciones de crisis cuando en los mercados únicamente hay vendedores pero no</w:t>
      </w:r>
      <w:r>
        <w:rPr>
          <w:spacing w:val="-26"/>
          <w:sz w:val="24"/>
        </w:rPr>
        <w:t> </w:t>
      </w:r>
      <w:r>
        <w:rPr>
          <w:sz w:val="24"/>
        </w:rPr>
        <w:t>compradores.</w:t>
      </w:r>
    </w:p>
    <w:p>
      <w:pPr>
        <w:pStyle w:val="ListParagraph"/>
        <w:numPr>
          <w:ilvl w:val="2"/>
          <w:numId w:val="8"/>
        </w:numPr>
        <w:tabs>
          <w:tab w:pos="1275" w:val="left" w:leader="none"/>
        </w:tabs>
        <w:spacing w:line="357" w:lineRule="auto" w:before="6" w:after="0"/>
        <w:ind w:left="1274" w:right="138" w:hanging="357"/>
        <w:jc w:val="both"/>
        <w:rPr>
          <w:sz w:val="24"/>
        </w:rPr>
      </w:pPr>
      <w:r>
        <w:rPr>
          <w:i/>
          <w:sz w:val="24"/>
        </w:rPr>
        <w:t>Riesgo legal. </w:t>
      </w:r>
      <w:r>
        <w:rPr>
          <w:sz w:val="24"/>
        </w:rPr>
        <w:t>Se refiere a la pérdida que se podría sufrir en caso de que exista incumplimiento de una contraparte y en esa transacción no se pudiera exigir por la vía jurídica, cumplir con los compromisos de pago. Se</w:t>
      </w:r>
      <w:r>
        <w:rPr>
          <w:spacing w:val="-12"/>
          <w:sz w:val="24"/>
        </w:rPr>
        <w:t> </w:t>
      </w:r>
      <w:r>
        <w:rPr>
          <w:sz w:val="24"/>
        </w:rPr>
        <w:t>refiere</w:t>
      </w:r>
      <w:r>
        <w:rPr>
          <w:spacing w:val="-12"/>
          <w:sz w:val="24"/>
        </w:rPr>
        <w:t> </w:t>
      </w:r>
      <w:r>
        <w:rPr>
          <w:sz w:val="24"/>
        </w:rPr>
        <w:t>a</w:t>
      </w:r>
      <w:r>
        <w:rPr>
          <w:spacing w:val="-14"/>
          <w:sz w:val="24"/>
        </w:rPr>
        <w:t> </w:t>
      </w:r>
      <w:r>
        <w:rPr>
          <w:sz w:val="24"/>
        </w:rPr>
        <w:t>operaciones</w:t>
      </w:r>
      <w:r>
        <w:rPr>
          <w:spacing w:val="-13"/>
          <w:sz w:val="24"/>
        </w:rPr>
        <w:t> </w:t>
      </w:r>
      <w:r>
        <w:rPr>
          <w:sz w:val="24"/>
        </w:rPr>
        <w:t>que</w:t>
      </w:r>
      <w:r>
        <w:rPr>
          <w:spacing w:val="-14"/>
          <w:sz w:val="24"/>
        </w:rPr>
        <w:t> </w:t>
      </w:r>
      <w:r>
        <w:rPr>
          <w:sz w:val="24"/>
        </w:rPr>
        <w:t>tengan</w:t>
      </w:r>
      <w:r>
        <w:rPr>
          <w:spacing w:val="-14"/>
          <w:sz w:val="24"/>
        </w:rPr>
        <w:t> </w:t>
      </w:r>
      <w:r>
        <w:rPr>
          <w:sz w:val="24"/>
        </w:rPr>
        <w:t>algún</w:t>
      </w:r>
      <w:r>
        <w:rPr>
          <w:spacing w:val="-14"/>
          <w:sz w:val="24"/>
        </w:rPr>
        <w:t> </w:t>
      </w:r>
      <w:r>
        <w:rPr>
          <w:sz w:val="24"/>
        </w:rPr>
        <w:t>error</w:t>
      </w:r>
      <w:r>
        <w:rPr>
          <w:spacing w:val="-13"/>
          <w:sz w:val="24"/>
        </w:rPr>
        <w:t> </w:t>
      </w:r>
      <w:r>
        <w:rPr>
          <w:sz w:val="24"/>
        </w:rPr>
        <w:t>de</w:t>
      </w:r>
      <w:r>
        <w:rPr>
          <w:spacing w:val="-12"/>
          <w:sz w:val="24"/>
        </w:rPr>
        <w:t> </w:t>
      </w:r>
      <w:r>
        <w:rPr>
          <w:sz w:val="24"/>
        </w:rPr>
        <w:t>interpretación</w:t>
      </w:r>
      <w:r>
        <w:rPr>
          <w:spacing w:val="-14"/>
          <w:sz w:val="24"/>
        </w:rPr>
        <w:t> </w:t>
      </w:r>
      <w:r>
        <w:rPr>
          <w:sz w:val="24"/>
        </w:rPr>
        <w:t>jurídica o alguna omisión en la</w:t>
      </w:r>
      <w:r>
        <w:rPr>
          <w:spacing w:val="-13"/>
          <w:sz w:val="24"/>
        </w:rPr>
        <w:t> </w:t>
      </w:r>
      <w:r>
        <w:rPr>
          <w:sz w:val="24"/>
        </w:rPr>
        <w:t>documentación.</w:t>
      </w:r>
    </w:p>
    <w:p>
      <w:pPr>
        <w:pStyle w:val="ListParagraph"/>
        <w:numPr>
          <w:ilvl w:val="2"/>
          <w:numId w:val="8"/>
        </w:numPr>
        <w:tabs>
          <w:tab w:pos="1275" w:val="left" w:leader="none"/>
        </w:tabs>
        <w:spacing w:line="357" w:lineRule="auto" w:before="6" w:after="0"/>
        <w:ind w:left="1274" w:right="136" w:hanging="357"/>
        <w:jc w:val="both"/>
        <w:rPr>
          <w:sz w:val="24"/>
        </w:rPr>
      </w:pPr>
      <w:r>
        <w:rPr>
          <w:i/>
          <w:sz w:val="24"/>
        </w:rPr>
        <w:t>Riesgo operativo </w:t>
      </w:r>
      <w:r>
        <w:rPr>
          <w:sz w:val="24"/>
        </w:rPr>
        <w:t>(transferencia de dinero, evaluación, sistemas, compensación). Es un concepto muy amplio y está asociado a fallas en los sistemas, procedimientos, en los modelos o en las personas que manejan</w:t>
      </w:r>
      <w:r>
        <w:rPr>
          <w:spacing w:val="-11"/>
          <w:sz w:val="24"/>
        </w:rPr>
        <w:t> </w:t>
      </w:r>
      <w:r>
        <w:rPr>
          <w:sz w:val="24"/>
        </w:rPr>
        <w:t>dichos</w:t>
      </w:r>
      <w:r>
        <w:rPr>
          <w:spacing w:val="-13"/>
          <w:sz w:val="24"/>
        </w:rPr>
        <w:t> </w:t>
      </w:r>
      <w:r>
        <w:rPr>
          <w:sz w:val="24"/>
        </w:rPr>
        <w:t>sistemas.</w:t>
      </w:r>
      <w:r>
        <w:rPr>
          <w:spacing w:val="-12"/>
          <w:sz w:val="24"/>
        </w:rPr>
        <w:t> </w:t>
      </w:r>
      <w:r>
        <w:rPr>
          <w:sz w:val="24"/>
        </w:rPr>
        <w:t>También</w:t>
      </w:r>
      <w:r>
        <w:rPr>
          <w:spacing w:val="-11"/>
          <w:sz w:val="24"/>
        </w:rPr>
        <w:t> </w:t>
      </w:r>
      <w:r>
        <w:rPr>
          <w:sz w:val="24"/>
        </w:rPr>
        <w:t>está</w:t>
      </w:r>
      <w:r>
        <w:rPr>
          <w:spacing w:val="-12"/>
          <w:sz w:val="24"/>
        </w:rPr>
        <w:t> </w:t>
      </w:r>
      <w:r>
        <w:rPr>
          <w:sz w:val="24"/>
        </w:rPr>
        <w:t>asociado</w:t>
      </w:r>
      <w:r>
        <w:rPr>
          <w:spacing w:val="-12"/>
          <w:sz w:val="24"/>
        </w:rPr>
        <w:t> </w:t>
      </w:r>
      <w:r>
        <w:rPr>
          <w:sz w:val="24"/>
        </w:rPr>
        <w:t>a</w:t>
      </w:r>
      <w:r>
        <w:rPr>
          <w:spacing w:val="-12"/>
          <w:sz w:val="24"/>
        </w:rPr>
        <w:t> </w:t>
      </w:r>
      <w:r>
        <w:rPr>
          <w:sz w:val="24"/>
        </w:rPr>
        <w:t>pérdidas</w:t>
      </w:r>
      <w:r>
        <w:rPr>
          <w:spacing w:val="-13"/>
          <w:sz w:val="24"/>
        </w:rPr>
        <w:t> </w:t>
      </w:r>
      <w:r>
        <w:rPr>
          <w:sz w:val="24"/>
        </w:rPr>
        <w:t>por</w:t>
      </w:r>
      <w:r>
        <w:rPr>
          <w:spacing w:val="-13"/>
          <w:sz w:val="24"/>
        </w:rPr>
        <w:t> </w:t>
      </w:r>
      <w:r>
        <w:rPr>
          <w:sz w:val="24"/>
        </w:rPr>
        <w:t>fraudes o por falta de capacitación de algún empleado en la</w:t>
      </w:r>
      <w:r>
        <w:rPr>
          <w:spacing w:val="-23"/>
          <w:sz w:val="24"/>
        </w:rPr>
        <w:t> </w:t>
      </w:r>
      <w:r>
        <w:rPr>
          <w:sz w:val="24"/>
        </w:rPr>
        <w:t>organización.</w:t>
      </w:r>
    </w:p>
    <w:p>
      <w:pPr>
        <w:pStyle w:val="BodyText"/>
        <w:spacing w:line="360" w:lineRule="auto" w:before="6"/>
        <w:ind w:left="142" w:right="140" w:firstLine="707"/>
        <w:jc w:val="both"/>
      </w:pPr>
      <w:r>
        <w:rPr/>
        <w:t>También se atribuye este tipo de riesgo a </w:t>
      </w:r>
      <w:r>
        <w:rPr>
          <w:spacing w:val="2"/>
        </w:rPr>
        <w:t>las </w:t>
      </w:r>
      <w:r>
        <w:rPr/>
        <w:t>pérdidas en que puede incurrir una</w:t>
      </w:r>
      <w:r>
        <w:rPr>
          <w:spacing w:val="-9"/>
        </w:rPr>
        <w:t> </w:t>
      </w:r>
      <w:r>
        <w:rPr/>
        <w:t>empresa</w:t>
      </w:r>
      <w:r>
        <w:rPr>
          <w:spacing w:val="-9"/>
        </w:rPr>
        <w:t> </w:t>
      </w:r>
      <w:r>
        <w:rPr/>
        <w:t>o</w:t>
      </w:r>
      <w:r>
        <w:rPr>
          <w:spacing w:val="-9"/>
        </w:rPr>
        <w:t> </w:t>
      </w:r>
      <w:r>
        <w:rPr/>
        <w:t>institución</w:t>
      </w:r>
      <w:r>
        <w:rPr>
          <w:spacing w:val="-9"/>
        </w:rPr>
        <w:t> </w:t>
      </w:r>
      <w:r>
        <w:rPr/>
        <w:t>por</w:t>
      </w:r>
      <w:r>
        <w:rPr>
          <w:spacing w:val="-11"/>
        </w:rPr>
        <w:t> </w:t>
      </w:r>
      <w:r>
        <w:rPr/>
        <w:t>la</w:t>
      </w:r>
      <w:r>
        <w:rPr>
          <w:spacing w:val="-10"/>
        </w:rPr>
        <w:t> </w:t>
      </w:r>
      <w:r>
        <w:rPr/>
        <w:t>eventual</w:t>
      </w:r>
      <w:r>
        <w:rPr>
          <w:spacing w:val="-11"/>
        </w:rPr>
        <w:t> </w:t>
      </w:r>
      <w:r>
        <w:rPr/>
        <w:t>renuncia</w:t>
      </w:r>
      <w:r>
        <w:rPr>
          <w:spacing w:val="-10"/>
        </w:rPr>
        <w:t> </w:t>
      </w:r>
      <w:r>
        <w:rPr/>
        <w:t>de</w:t>
      </w:r>
      <w:r>
        <w:rPr>
          <w:spacing w:val="-9"/>
        </w:rPr>
        <w:t> </w:t>
      </w:r>
      <w:r>
        <w:rPr/>
        <w:t>algún</w:t>
      </w:r>
      <w:r>
        <w:rPr>
          <w:spacing w:val="-9"/>
        </w:rPr>
        <w:t> </w:t>
      </w:r>
      <w:r>
        <w:rPr/>
        <w:t>empleado</w:t>
      </w:r>
      <w:r>
        <w:rPr>
          <w:spacing w:val="-9"/>
        </w:rPr>
        <w:t> </w:t>
      </w:r>
      <w:r>
        <w:rPr/>
        <w:t>o</w:t>
      </w:r>
      <w:r>
        <w:rPr>
          <w:spacing w:val="-12"/>
        </w:rPr>
        <w:t> </w:t>
      </w:r>
      <w:r>
        <w:rPr/>
        <w:t>funcionario de la misma, que durante el período en que laboró en dicha empresa, concentró todo el conocimiento especializado en algún proceso</w:t>
      </w:r>
      <w:r>
        <w:rPr>
          <w:spacing w:val="-21"/>
        </w:rPr>
        <w:t> </w:t>
      </w:r>
      <w:r>
        <w:rPr/>
        <w:t>clave.</w:t>
      </w:r>
    </w:p>
    <w:p>
      <w:pPr>
        <w:pStyle w:val="BodyText"/>
        <w:spacing w:line="357" w:lineRule="auto" w:before="2"/>
        <w:ind w:left="142" w:right="137" w:firstLine="707"/>
        <w:jc w:val="both"/>
        <w:rPr>
          <w:sz w:val="16"/>
        </w:rPr>
      </w:pPr>
      <w:r>
        <w:rPr/>
        <w:t>Dos casos de pérdidas con derivados fueron las causaron la disolución del banco británico Barings en 1995 y la crisis de Comercial Mexicana en 2008.</w:t>
      </w:r>
      <w:r>
        <w:rPr>
          <w:position w:val="8"/>
          <w:sz w:val="16"/>
        </w:rPr>
        <w:t>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r>
        <w:rPr/>
        <w:pict>
          <v:line style="position:absolute;mso-position-horizontal-relative:page;mso-position-vertical-relative:paragraph;z-index:1144;mso-wrap-distance-left:0;mso-wrap-distance-right:0" from="85.103996pt,12.901021pt" to="229.123996pt,12.901021pt" stroked="true" strokeweight=".599980pt" strokecolor="#000000">
            <w10:wrap type="topAndBottom"/>
          </v:line>
        </w:pict>
      </w:r>
    </w:p>
    <w:p>
      <w:pPr>
        <w:spacing w:before="78"/>
        <w:ind w:left="142" w:right="786" w:firstLine="0"/>
        <w:jc w:val="left"/>
        <w:rPr>
          <w:sz w:val="20"/>
        </w:rPr>
      </w:pPr>
      <w:r>
        <w:rPr>
          <w:position w:val="6"/>
          <w:sz w:val="13"/>
        </w:rPr>
        <w:t>4 </w:t>
      </w:r>
      <w:r>
        <w:rPr>
          <w:sz w:val="20"/>
        </w:rPr>
        <w:t>Ver Apéndice 1. Desastres financieros</w:t>
      </w:r>
    </w:p>
    <w:p>
      <w:pPr>
        <w:spacing w:after="0"/>
        <w:jc w:val="left"/>
        <w:rPr>
          <w:sz w:val="20"/>
        </w:rPr>
        <w:sectPr>
          <w:pgSz w:w="12240" w:h="15840"/>
          <w:pgMar w:header="731" w:footer="737" w:top="1180" w:bottom="920" w:left="1560" w:right="1560"/>
        </w:sectPr>
      </w:pPr>
    </w:p>
    <w:p>
      <w:pPr>
        <w:pStyle w:val="BodyText"/>
        <w:rPr>
          <w:sz w:val="20"/>
        </w:rPr>
      </w:pPr>
    </w:p>
    <w:p>
      <w:pPr>
        <w:pStyle w:val="BodyText"/>
        <w:spacing w:before="8"/>
        <w:rPr>
          <w:sz w:val="15"/>
        </w:rPr>
      </w:pPr>
    </w:p>
    <w:p>
      <w:pPr>
        <w:spacing w:before="73"/>
        <w:ind w:left="1728" w:right="786" w:firstLine="0"/>
        <w:jc w:val="left"/>
        <w:rPr>
          <w:sz w:val="22"/>
        </w:rPr>
      </w:pPr>
      <w:bookmarkStart w:name="_bookmark9" w:id="19"/>
      <w:bookmarkEnd w:id="19"/>
      <w:r>
        <w:rPr/>
      </w:r>
      <w:r>
        <w:rPr>
          <w:sz w:val="22"/>
        </w:rPr>
        <w:t>Tabla 01. Pérdidas con derivados: dos eventos relevantes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tabs>
          <w:tab w:pos="851" w:val="left" w:leader="none"/>
          <w:tab w:pos="2174" w:val="left" w:leader="none"/>
          <w:tab w:pos="3374" w:val="left" w:leader="none"/>
        </w:tabs>
        <w:spacing w:before="74"/>
        <w:ind w:left="142" w:right="0" w:firstLine="0"/>
        <w:jc w:val="left"/>
        <w:rPr>
          <w:sz w:val="20"/>
        </w:rPr>
      </w:pPr>
      <w:r>
        <w:rPr/>
        <w:pict>
          <v:shape style="position:absolute;margin-left:84.863998pt;margin-top:-104.640144pt;width:442.65pt;height:315.6pt;mso-position-horizontal-relative:page;mso-position-vertical-relative:paragraph;z-index:11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0"/>
                    <w:gridCol w:w="223"/>
                    <w:gridCol w:w="1099"/>
                    <w:gridCol w:w="221"/>
                    <w:gridCol w:w="979"/>
                    <w:gridCol w:w="221"/>
                    <w:gridCol w:w="5435"/>
                  </w:tblGrid>
                  <w:tr>
                    <w:trPr>
                      <w:trHeight w:val="250" w:hRule="exact"/>
                    </w:trPr>
                    <w:tc>
                      <w:tcPr>
                        <w:tcW w:w="660" w:type="dxa"/>
                        <w:tcBorders>
                          <w:left w:val="nil"/>
                          <w:bottom w:val="double" w:sz="4" w:space="0" w:color="000000"/>
                          <w:right w:val="nil"/>
                        </w:tcBorders>
                        <w:shd w:val="clear" w:color="auto" w:fill="DFDFDF"/>
                      </w:tcPr>
                      <w:p>
                        <w:pPr>
                          <w:pStyle w:val="TableParagraph"/>
                          <w:spacing w:line="227" w:lineRule="exact"/>
                          <w:ind w:left="85" w:right="87"/>
                          <w:jc w:val="center"/>
                          <w:rPr>
                            <w:sz w:val="20"/>
                          </w:rPr>
                        </w:pPr>
                        <w:r>
                          <w:rPr>
                            <w:sz w:val="20"/>
                          </w:rPr>
                          <w:t>Año</w:t>
                        </w:r>
                      </w:p>
                    </w:tc>
                    <w:tc>
                      <w:tcPr>
                        <w:tcW w:w="223" w:type="dxa"/>
                        <w:tcBorders>
                          <w:top w:val="nil"/>
                          <w:left w:val="single" w:sz="43" w:space="0" w:color="DFDFDF"/>
                          <w:bottom w:val="nil"/>
                          <w:right w:val="single" w:sz="43" w:space="0" w:color="DFDFDF"/>
                        </w:tcBorders>
                      </w:tcPr>
                      <w:p>
                        <w:pPr/>
                      </w:p>
                    </w:tc>
                    <w:tc>
                      <w:tcPr>
                        <w:tcW w:w="1099" w:type="dxa"/>
                        <w:tcBorders>
                          <w:left w:val="nil"/>
                          <w:bottom w:val="double" w:sz="4" w:space="0" w:color="000000"/>
                          <w:right w:val="nil"/>
                        </w:tcBorders>
                        <w:shd w:val="clear" w:color="auto" w:fill="DFDFDF"/>
                      </w:tcPr>
                      <w:p>
                        <w:pPr>
                          <w:pStyle w:val="TableParagraph"/>
                          <w:spacing w:line="227" w:lineRule="exact"/>
                          <w:ind w:left="208" w:right="154"/>
                          <w:rPr>
                            <w:sz w:val="20"/>
                          </w:rPr>
                        </w:pPr>
                        <w:r>
                          <w:rPr>
                            <w:sz w:val="20"/>
                          </w:rPr>
                          <w:t>Entidad</w:t>
                        </w:r>
                      </w:p>
                    </w:tc>
                    <w:tc>
                      <w:tcPr>
                        <w:tcW w:w="221" w:type="dxa"/>
                        <w:tcBorders>
                          <w:top w:val="nil"/>
                          <w:left w:val="single" w:sz="43" w:space="0" w:color="DFDFDF"/>
                          <w:bottom w:val="nil"/>
                          <w:right w:val="single" w:sz="43" w:space="0" w:color="DFDFDF"/>
                        </w:tcBorders>
                      </w:tcPr>
                      <w:p>
                        <w:pPr/>
                      </w:p>
                    </w:tc>
                    <w:tc>
                      <w:tcPr>
                        <w:tcW w:w="979" w:type="dxa"/>
                        <w:tcBorders>
                          <w:left w:val="nil"/>
                          <w:bottom w:val="double" w:sz="4" w:space="0" w:color="000000"/>
                          <w:right w:val="nil"/>
                        </w:tcBorders>
                        <w:shd w:val="clear" w:color="auto" w:fill="DFDFDF"/>
                      </w:tcPr>
                      <w:p>
                        <w:pPr>
                          <w:pStyle w:val="TableParagraph"/>
                          <w:spacing w:line="227" w:lineRule="exact"/>
                          <w:ind w:left="0" w:right="108"/>
                          <w:jc w:val="right"/>
                          <w:rPr>
                            <w:sz w:val="13"/>
                          </w:rPr>
                        </w:pPr>
                        <w:r>
                          <w:rPr>
                            <w:w w:val="95"/>
                            <w:sz w:val="20"/>
                          </w:rPr>
                          <w:t>Pérdida</w:t>
                        </w:r>
                        <w:r>
                          <w:rPr>
                            <w:w w:val="95"/>
                            <w:position w:val="6"/>
                            <w:sz w:val="13"/>
                          </w:rPr>
                          <w:t>5</w:t>
                        </w:r>
                      </w:p>
                    </w:tc>
                    <w:tc>
                      <w:tcPr>
                        <w:tcW w:w="221" w:type="dxa"/>
                        <w:tcBorders>
                          <w:top w:val="nil"/>
                          <w:left w:val="single" w:sz="43" w:space="0" w:color="DFDFDF"/>
                          <w:bottom w:val="nil"/>
                          <w:right w:val="single" w:sz="43" w:space="0" w:color="DFDFDF"/>
                        </w:tcBorders>
                      </w:tcPr>
                      <w:p>
                        <w:pPr/>
                      </w:p>
                    </w:tc>
                    <w:tc>
                      <w:tcPr>
                        <w:tcW w:w="5435" w:type="dxa"/>
                        <w:tcBorders>
                          <w:left w:val="nil"/>
                          <w:bottom w:val="double" w:sz="4" w:space="0" w:color="000000"/>
                          <w:right w:val="nil"/>
                        </w:tcBorders>
                        <w:shd w:val="clear" w:color="auto" w:fill="DFDFDF"/>
                      </w:tcPr>
                      <w:p>
                        <w:pPr>
                          <w:pStyle w:val="TableParagraph"/>
                          <w:spacing w:line="227" w:lineRule="exact"/>
                          <w:ind w:left="2363" w:right="2363"/>
                          <w:jc w:val="center"/>
                          <w:rPr>
                            <w:sz w:val="20"/>
                          </w:rPr>
                        </w:pPr>
                        <w:r>
                          <w:rPr>
                            <w:sz w:val="20"/>
                          </w:rPr>
                          <w:t>Suceso</w:t>
                        </w:r>
                      </w:p>
                    </w:tc>
                  </w:tr>
                  <w:tr>
                    <w:trPr>
                      <w:trHeight w:val="2158" w:hRule="exact"/>
                    </w:trPr>
                    <w:tc>
                      <w:tcPr>
                        <w:tcW w:w="660" w:type="dxa"/>
                        <w:tcBorders>
                          <w:top w:val="double" w:sz="4" w:space="0" w:color="000000"/>
                          <w:left w:val="nil"/>
                          <w:bottom w:val="nil"/>
                          <w:right w:val="nil"/>
                        </w:tcBorders>
                      </w:tcPr>
                      <w:p>
                        <w:pPr>
                          <w:pStyle w:val="TableParagraph"/>
                          <w:spacing w:before="57"/>
                          <w:ind w:left="87" w:right="87"/>
                          <w:jc w:val="center"/>
                          <w:rPr>
                            <w:sz w:val="20"/>
                          </w:rPr>
                        </w:pPr>
                        <w:r>
                          <w:rPr>
                            <w:sz w:val="20"/>
                          </w:rPr>
                          <w:t>1995</w:t>
                        </w:r>
                      </w:p>
                    </w:tc>
                    <w:tc>
                      <w:tcPr>
                        <w:tcW w:w="223" w:type="dxa"/>
                        <w:tcBorders>
                          <w:top w:val="nil"/>
                          <w:left w:val="nil"/>
                          <w:bottom w:val="nil"/>
                          <w:right w:val="nil"/>
                        </w:tcBorders>
                      </w:tcPr>
                      <w:p>
                        <w:pPr/>
                      </w:p>
                    </w:tc>
                    <w:tc>
                      <w:tcPr>
                        <w:tcW w:w="1099" w:type="dxa"/>
                        <w:tcBorders>
                          <w:top w:val="double" w:sz="4" w:space="0" w:color="000000"/>
                          <w:left w:val="nil"/>
                          <w:bottom w:val="nil"/>
                          <w:right w:val="nil"/>
                        </w:tcBorders>
                      </w:tcPr>
                      <w:p>
                        <w:pPr>
                          <w:pStyle w:val="TableParagraph"/>
                          <w:spacing w:before="57"/>
                          <w:ind w:left="108" w:right="154"/>
                          <w:rPr>
                            <w:sz w:val="20"/>
                          </w:rPr>
                        </w:pPr>
                        <w:r>
                          <w:rPr>
                            <w:w w:val="95"/>
                            <w:sz w:val="20"/>
                          </w:rPr>
                          <w:t>Barings </w:t>
                        </w:r>
                        <w:r>
                          <w:rPr>
                            <w:sz w:val="20"/>
                          </w:rPr>
                          <w:t>Bank</w:t>
                        </w:r>
                      </w:p>
                    </w:tc>
                    <w:tc>
                      <w:tcPr>
                        <w:tcW w:w="221" w:type="dxa"/>
                        <w:tcBorders>
                          <w:top w:val="nil"/>
                          <w:left w:val="nil"/>
                          <w:bottom w:val="nil"/>
                          <w:right w:val="nil"/>
                        </w:tcBorders>
                      </w:tcPr>
                      <w:p>
                        <w:pPr/>
                      </w:p>
                    </w:tc>
                    <w:tc>
                      <w:tcPr>
                        <w:tcW w:w="979" w:type="dxa"/>
                        <w:tcBorders>
                          <w:top w:val="double" w:sz="4" w:space="0" w:color="000000"/>
                          <w:left w:val="nil"/>
                          <w:bottom w:val="nil"/>
                          <w:right w:val="nil"/>
                        </w:tcBorders>
                      </w:tcPr>
                      <w:p>
                        <w:pPr>
                          <w:pStyle w:val="TableParagraph"/>
                          <w:spacing w:before="57"/>
                          <w:ind w:left="0" w:right="108"/>
                          <w:jc w:val="right"/>
                          <w:rPr>
                            <w:sz w:val="20"/>
                          </w:rPr>
                        </w:pPr>
                        <w:r>
                          <w:rPr>
                            <w:w w:val="95"/>
                            <w:sz w:val="20"/>
                          </w:rPr>
                          <w:t>1,400</w:t>
                        </w:r>
                      </w:p>
                    </w:tc>
                    <w:tc>
                      <w:tcPr>
                        <w:tcW w:w="221" w:type="dxa"/>
                        <w:tcBorders>
                          <w:top w:val="nil"/>
                          <w:left w:val="nil"/>
                          <w:bottom w:val="nil"/>
                          <w:right w:val="nil"/>
                        </w:tcBorders>
                      </w:tcPr>
                      <w:p>
                        <w:pPr/>
                      </w:p>
                    </w:tc>
                    <w:tc>
                      <w:tcPr>
                        <w:tcW w:w="5435" w:type="dxa"/>
                        <w:tcBorders>
                          <w:top w:val="double" w:sz="4" w:space="0" w:color="000000"/>
                          <w:left w:val="nil"/>
                          <w:bottom w:val="nil"/>
                          <w:right w:val="nil"/>
                        </w:tcBorders>
                      </w:tcPr>
                      <w:p>
                        <w:pPr>
                          <w:pStyle w:val="TableParagraph"/>
                          <w:spacing w:before="57"/>
                          <w:ind w:left="107" w:right="111"/>
                          <w:jc w:val="both"/>
                          <w:rPr>
                            <w:sz w:val="20"/>
                          </w:rPr>
                        </w:pPr>
                        <w:r>
                          <w:rPr>
                            <w:sz w:val="20"/>
                          </w:rPr>
                          <w:t>Nick Leeson</w:t>
                        </w:r>
                        <w:r>
                          <w:rPr>
                            <w:position w:val="6"/>
                            <w:sz w:val="13"/>
                          </w:rPr>
                          <w:t>6</w:t>
                        </w:r>
                        <w:r>
                          <w:rPr>
                            <w:sz w:val="20"/>
                          </w:rPr>
                          <w:t>, un operador del mercado de derivados que trabajaba en la subsidiaria del banco inglés Baring Brothers</w:t>
                        </w:r>
                        <w:r>
                          <w:rPr>
                            <w:position w:val="6"/>
                            <w:sz w:val="13"/>
                          </w:rPr>
                          <w:t>7 </w:t>
                        </w:r>
                        <w:r>
                          <w:rPr>
                            <w:sz w:val="20"/>
                          </w:rPr>
                          <w:t>en Singapour, sufrió pérdidas que rebasaban en exceso el capital del banco y llevó a la quiebra a la institución en febrero de 1995 con más de 1,400 millones de dólares. No fue un fraude, Nicholas Leeson perdió con futuros de Nikkei y empezó con 15 mil dólares. Se cometieron todos los errores posibles en administración</w:t>
                        </w:r>
                        <w:r>
                          <w:rPr>
                            <w:spacing w:val="-24"/>
                            <w:sz w:val="20"/>
                          </w:rPr>
                          <w:t> </w:t>
                        </w:r>
                        <w:r>
                          <w:rPr>
                            <w:sz w:val="20"/>
                          </w:rPr>
                          <w:t>de</w:t>
                        </w:r>
                      </w:p>
                      <w:p>
                        <w:pPr>
                          <w:pStyle w:val="TableParagraph"/>
                          <w:tabs>
                            <w:tab w:pos="5436" w:val="left" w:leader="none"/>
                          </w:tabs>
                          <w:ind w:left="-1" w:right="-3"/>
                          <w:rPr>
                            <w:sz w:val="20"/>
                          </w:rPr>
                        </w:pPr>
                        <w:r>
                          <w:rPr>
                            <w:w w:val="99"/>
                            <w:sz w:val="20"/>
                            <w:u w:val="single"/>
                          </w:rPr>
                          <w:t> </w:t>
                        </w:r>
                        <w:r>
                          <w:rPr>
                            <w:spacing w:val="-3"/>
                            <w:sz w:val="20"/>
                            <w:u w:val="single"/>
                          </w:rPr>
                          <w:t> </w:t>
                        </w:r>
                        <w:r>
                          <w:rPr>
                            <w:sz w:val="20"/>
                            <w:u w:val="single"/>
                          </w:rPr>
                          <w:t>riesgos.</w:t>
                          <w:tab/>
                        </w:r>
                      </w:p>
                    </w:tc>
                  </w:tr>
                  <w:tr>
                    <w:trPr>
                      <w:trHeight w:val="3899" w:hRule="exact"/>
                    </w:trPr>
                    <w:tc>
                      <w:tcPr>
                        <w:tcW w:w="660" w:type="dxa"/>
                        <w:tcBorders>
                          <w:top w:val="nil"/>
                          <w:left w:val="nil"/>
                          <w:bottom w:val="nil"/>
                          <w:right w:val="nil"/>
                        </w:tcBorders>
                      </w:tcPr>
                      <w:p>
                        <w:pPr>
                          <w:pStyle w:val="TableParagraph"/>
                          <w:spacing w:before="54"/>
                          <w:ind w:left="87" w:right="87"/>
                          <w:jc w:val="center"/>
                          <w:rPr>
                            <w:sz w:val="20"/>
                          </w:rPr>
                        </w:pPr>
                        <w:r>
                          <w:rPr>
                            <w:sz w:val="20"/>
                          </w:rPr>
                          <w:t>2008</w:t>
                        </w:r>
                      </w:p>
                    </w:tc>
                    <w:tc>
                      <w:tcPr>
                        <w:tcW w:w="223" w:type="dxa"/>
                        <w:tcBorders>
                          <w:top w:val="nil"/>
                          <w:left w:val="nil"/>
                          <w:bottom w:val="nil"/>
                          <w:right w:val="nil"/>
                        </w:tcBorders>
                      </w:tcPr>
                      <w:p>
                        <w:pPr/>
                      </w:p>
                    </w:tc>
                    <w:tc>
                      <w:tcPr>
                        <w:tcW w:w="1099" w:type="dxa"/>
                        <w:tcBorders>
                          <w:top w:val="nil"/>
                          <w:left w:val="nil"/>
                          <w:bottom w:val="nil"/>
                          <w:right w:val="nil"/>
                        </w:tcBorders>
                      </w:tcPr>
                      <w:p>
                        <w:pPr>
                          <w:pStyle w:val="TableParagraph"/>
                          <w:spacing w:before="54"/>
                          <w:ind w:left="108" w:right="154"/>
                          <w:rPr>
                            <w:sz w:val="13"/>
                          </w:rPr>
                        </w:pPr>
                        <w:r>
                          <w:rPr>
                            <w:sz w:val="20"/>
                          </w:rPr>
                          <w:t>Caso Comerci</w:t>
                        </w:r>
                        <w:r>
                          <w:rPr>
                            <w:position w:val="6"/>
                            <w:sz w:val="13"/>
                          </w:rPr>
                          <w:t>8</w:t>
                        </w:r>
                      </w:p>
                    </w:tc>
                    <w:tc>
                      <w:tcPr>
                        <w:tcW w:w="221" w:type="dxa"/>
                        <w:tcBorders>
                          <w:top w:val="nil"/>
                          <w:left w:val="nil"/>
                          <w:bottom w:val="nil"/>
                          <w:right w:val="nil"/>
                        </w:tcBorders>
                      </w:tcPr>
                      <w:p>
                        <w:pPr/>
                      </w:p>
                    </w:tc>
                    <w:tc>
                      <w:tcPr>
                        <w:tcW w:w="979" w:type="dxa"/>
                        <w:tcBorders>
                          <w:top w:val="nil"/>
                          <w:left w:val="nil"/>
                          <w:bottom w:val="nil"/>
                          <w:right w:val="nil"/>
                        </w:tcBorders>
                      </w:tcPr>
                      <w:p>
                        <w:pPr>
                          <w:pStyle w:val="TableParagraph"/>
                          <w:spacing w:before="54"/>
                          <w:ind w:left="0" w:right="108"/>
                          <w:jc w:val="right"/>
                          <w:rPr>
                            <w:sz w:val="20"/>
                          </w:rPr>
                        </w:pPr>
                        <w:r>
                          <w:rPr>
                            <w:w w:val="95"/>
                            <w:sz w:val="20"/>
                          </w:rPr>
                          <w:t>2,000</w:t>
                        </w:r>
                      </w:p>
                    </w:tc>
                    <w:tc>
                      <w:tcPr>
                        <w:tcW w:w="221" w:type="dxa"/>
                        <w:tcBorders>
                          <w:top w:val="nil"/>
                          <w:left w:val="nil"/>
                          <w:bottom w:val="nil"/>
                          <w:right w:val="nil"/>
                        </w:tcBorders>
                      </w:tcPr>
                      <w:p>
                        <w:pPr/>
                      </w:p>
                    </w:tc>
                    <w:tc>
                      <w:tcPr>
                        <w:tcW w:w="5435" w:type="dxa"/>
                        <w:tcBorders>
                          <w:top w:val="nil"/>
                          <w:left w:val="nil"/>
                          <w:bottom w:val="nil"/>
                          <w:right w:val="nil"/>
                        </w:tcBorders>
                      </w:tcPr>
                      <w:p>
                        <w:pPr>
                          <w:pStyle w:val="TableParagraph"/>
                          <w:ind w:left="107" w:right="109"/>
                          <w:jc w:val="both"/>
                          <w:rPr>
                            <w:sz w:val="20"/>
                          </w:rPr>
                        </w:pPr>
                        <w:r>
                          <w:rPr>
                            <w:sz w:val="20"/>
                          </w:rPr>
                          <w:t>El lunes 6 de octubre, un grupo de banqueros internacionales</w:t>
                        </w:r>
                        <w:r>
                          <w:rPr>
                            <w:position w:val="6"/>
                            <w:sz w:val="13"/>
                          </w:rPr>
                          <w:t>9 </w:t>
                        </w:r>
                        <w:r>
                          <w:rPr>
                            <w:sz w:val="20"/>
                          </w:rPr>
                          <w:t>llegó a las oficinas de Credit Suisse en el DF</w:t>
                        </w:r>
                        <w:r>
                          <w:rPr>
                            <w:spacing w:val="-12"/>
                            <w:sz w:val="20"/>
                          </w:rPr>
                          <w:t> </w:t>
                        </w:r>
                        <w:r>
                          <w:rPr>
                            <w:sz w:val="20"/>
                          </w:rPr>
                          <w:t>citados</w:t>
                        </w:r>
                        <w:r>
                          <w:rPr>
                            <w:spacing w:val="-12"/>
                            <w:sz w:val="20"/>
                          </w:rPr>
                          <w:t> </w:t>
                        </w:r>
                        <w:r>
                          <w:rPr>
                            <w:sz w:val="20"/>
                          </w:rPr>
                          <w:t>por</w:t>
                        </w:r>
                        <w:r>
                          <w:rPr>
                            <w:spacing w:val="-9"/>
                            <w:sz w:val="20"/>
                          </w:rPr>
                          <w:t> </w:t>
                        </w:r>
                        <w:r>
                          <w:rPr>
                            <w:sz w:val="20"/>
                          </w:rPr>
                          <w:t>Comercial</w:t>
                        </w:r>
                        <w:r>
                          <w:rPr>
                            <w:spacing w:val="-14"/>
                            <w:sz w:val="20"/>
                          </w:rPr>
                          <w:t> </w:t>
                        </w:r>
                        <w:r>
                          <w:rPr>
                            <w:sz w:val="20"/>
                          </w:rPr>
                          <w:t>Mexicana.</w:t>
                        </w:r>
                        <w:r>
                          <w:rPr>
                            <w:spacing w:val="-11"/>
                            <w:sz w:val="20"/>
                          </w:rPr>
                          <w:t> </w:t>
                        </w:r>
                        <w:r>
                          <w:rPr>
                            <w:sz w:val="20"/>
                          </w:rPr>
                          <w:t>Cada</w:t>
                        </w:r>
                        <w:r>
                          <w:rPr>
                            <w:spacing w:val="-11"/>
                            <w:sz w:val="20"/>
                          </w:rPr>
                          <w:t> </w:t>
                        </w:r>
                        <w:r>
                          <w:rPr>
                            <w:sz w:val="20"/>
                          </w:rPr>
                          <w:t>banco</w:t>
                        </w:r>
                        <w:r>
                          <w:rPr>
                            <w:spacing w:val="-11"/>
                            <w:sz w:val="20"/>
                          </w:rPr>
                          <w:t> </w:t>
                        </w:r>
                        <w:r>
                          <w:rPr>
                            <w:sz w:val="20"/>
                          </w:rPr>
                          <w:t>sabía</w:t>
                        </w:r>
                        <w:r>
                          <w:rPr>
                            <w:spacing w:val="-10"/>
                            <w:sz w:val="20"/>
                          </w:rPr>
                          <w:t> </w:t>
                        </w:r>
                        <w:r>
                          <w:rPr>
                            <w:sz w:val="20"/>
                          </w:rPr>
                          <w:t>que Comercial Mexicana había jugado a vender dólares para hacer dinero, pero ignoraba que ese juego lo multiplicó por seis al practicarlo con cada uno de ellos y, con ello, la empresa había perdido... hasta la</w:t>
                        </w:r>
                        <w:r>
                          <w:rPr>
                            <w:spacing w:val="-9"/>
                            <w:sz w:val="20"/>
                          </w:rPr>
                          <w:t> </w:t>
                        </w:r>
                        <w:r>
                          <w:rPr>
                            <w:sz w:val="20"/>
                          </w:rPr>
                          <w:t>camisa.</w:t>
                        </w:r>
                      </w:p>
                      <w:p>
                        <w:pPr>
                          <w:pStyle w:val="TableParagraph"/>
                          <w:ind w:left="107" w:right="107"/>
                          <w:jc w:val="both"/>
                          <w:rPr>
                            <w:sz w:val="20"/>
                          </w:rPr>
                        </w:pPr>
                        <w:r>
                          <w:rPr>
                            <w:sz w:val="20"/>
                          </w:rPr>
                          <w:t>El</w:t>
                        </w:r>
                        <w:r>
                          <w:rPr>
                            <w:spacing w:val="-11"/>
                            <w:sz w:val="20"/>
                          </w:rPr>
                          <w:t> </w:t>
                        </w:r>
                        <w:r>
                          <w:rPr>
                            <w:sz w:val="20"/>
                          </w:rPr>
                          <w:t>pánico</w:t>
                        </w:r>
                        <w:r>
                          <w:rPr>
                            <w:spacing w:val="-10"/>
                            <w:sz w:val="20"/>
                          </w:rPr>
                          <w:t> </w:t>
                        </w:r>
                        <w:r>
                          <w:rPr>
                            <w:sz w:val="20"/>
                          </w:rPr>
                          <w:t>cundió.</w:t>
                        </w:r>
                        <w:r>
                          <w:rPr>
                            <w:spacing w:val="-8"/>
                            <w:sz w:val="20"/>
                          </w:rPr>
                          <w:t> </w:t>
                        </w:r>
                        <w:r>
                          <w:rPr>
                            <w:sz w:val="20"/>
                          </w:rPr>
                          <w:t>En</w:t>
                        </w:r>
                        <w:r>
                          <w:rPr>
                            <w:spacing w:val="-8"/>
                            <w:sz w:val="20"/>
                          </w:rPr>
                          <w:t> </w:t>
                        </w:r>
                        <w:r>
                          <w:rPr>
                            <w:sz w:val="20"/>
                          </w:rPr>
                          <w:t>la</w:t>
                        </w:r>
                        <w:r>
                          <w:rPr>
                            <w:spacing w:val="-8"/>
                            <w:sz w:val="20"/>
                          </w:rPr>
                          <w:t> </w:t>
                        </w:r>
                        <w:r>
                          <w:rPr>
                            <w:sz w:val="20"/>
                          </w:rPr>
                          <w:t>vorágine,</w:t>
                        </w:r>
                        <w:r>
                          <w:rPr>
                            <w:spacing w:val="-11"/>
                            <w:sz w:val="20"/>
                          </w:rPr>
                          <w:t> </w:t>
                        </w:r>
                        <w:r>
                          <w:rPr>
                            <w:sz w:val="20"/>
                          </w:rPr>
                          <w:t>la</w:t>
                        </w:r>
                        <w:r>
                          <w:rPr>
                            <w:spacing w:val="-10"/>
                            <w:sz w:val="20"/>
                          </w:rPr>
                          <w:t> </w:t>
                        </w:r>
                        <w:r>
                          <w:rPr>
                            <w:sz w:val="20"/>
                          </w:rPr>
                          <w:t>BMV</w:t>
                        </w:r>
                        <w:r>
                          <w:rPr>
                            <w:spacing w:val="-11"/>
                            <w:sz w:val="20"/>
                          </w:rPr>
                          <w:t> </w:t>
                        </w:r>
                        <w:r>
                          <w:rPr>
                            <w:sz w:val="20"/>
                          </w:rPr>
                          <w:t>pidió</w:t>
                        </w:r>
                        <w:r>
                          <w:rPr>
                            <w:spacing w:val="-10"/>
                            <w:sz w:val="20"/>
                          </w:rPr>
                          <w:t> </w:t>
                        </w:r>
                        <w:r>
                          <w:rPr>
                            <w:sz w:val="20"/>
                          </w:rPr>
                          <w:t>a</w:t>
                        </w:r>
                        <w:r>
                          <w:rPr>
                            <w:spacing w:val="-8"/>
                            <w:sz w:val="20"/>
                          </w:rPr>
                          <w:t> </w:t>
                        </w:r>
                        <w:r>
                          <w:rPr>
                            <w:sz w:val="20"/>
                          </w:rPr>
                          <w:t>la</w:t>
                        </w:r>
                        <w:r>
                          <w:rPr>
                            <w:spacing w:val="-10"/>
                            <w:sz w:val="20"/>
                          </w:rPr>
                          <w:t> </w:t>
                        </w:r>
                        <w:r>
                          <w:rPr>
                            <w:sz w:val="20"/>
                          </w:rPr>
                          <w:t>empresa que sacara todo a la luz. Es más: les pidió a todas las empresas revelar sus posiciones en este juego de dólares, los ahora famosos</w:t>
                        </w:r>
                        <w:r>
                          <w:rPr>
                            <w:spacing w:val="-9"/>
                            <w:sz w:val="20"/>
                          </w:rPr>
                          <w:t> </w:t>
                        </w:r>
                        <w:r>
                          <w:rPr>
                            <w:sz w:val="20"/>
                          </w:rPr>
                          <w:t>derivados.</w:t>
                        </w:r>
                      </w:p>
                      <w:p>
                        <w:pPr>
                          <w:pStyle w:val="TableParagraph"/>
                          <w:ind w:left="107" w:right="115"/>
                          <w:jc w:val="both"/>
                          <w:rPr>
                            <w:sz w:val="20"/>
                          </w:rPr>
                        </w:pPr>
                        <w:r>
                          <w:rPr>
                            <w:sz w:val="20"/>
                          </w:rPr>
                          <w:t>En esos días, Wall Street se derrumbaba y todos los inversionistas querían salir de la Bolsa de NY.</w:t>
                        </w:r>
                      </w:p>
                      <w:p>
                        <w:pPr>
                          <w:pStyle w:val="TableParagraph"/>
                          <w:ind w:left="107" w:right="112"/>
                          <w:jc w:val="both"/>
                          <w:rPr>
                            <w:sz w:val="20"/>
                          </w:rPr>
                        </w:pPr>
                        <w:r>
                          <w:rPr>
                            <w:sz w:val="20"/>
                          </w:rPr>
                          <w:t>En México no había suficientes, lo que llevó el dólar a un nivel superior a los 14 pesos, por lo que Comercial Mexicana,  insolvente,  tramitó  su  concurso  mercantil por</w:t>
                        </w:r>
                      </w:p>
                      <w:p>
                        <w:pPr>
                          <w:pStyle w:val="TableParagraph"/>
                          <w:tabs>
                            <w:tab w:pos="5436" w:val="left" w:leader="none"/>
                          </w:tabs>
                          <w:ind w:left="-15" w:right="-3"/>
                          <w:rPr>
                            <w:sz w:val="20"/>
                          </w:rPr>
                        </w:pPr>
                        <w:r>
                          <w:rPr>
                            <w:w w:val="99"/>
                            <w:sz w:val="20"/>
                            <w:u w:val="single"/>
                          </w:rPr>
                          <w:t> </w:t>
                        </w:r>
                        <w:r>
                          <w:rPr>
                            <w:spacing w:val="11"/>
                            <w:sz w:val="20"/>
                            <w:u w:val="single"/>
                          </w:rPr>
                          <w:t> </w:t>
                        </w:r>
                        <w:r>
                          <w:rPr>
                            <w:sz w:val="20"/>
                            <w:u w:val="single"/>
                          </w:rPr>
                          <w:t>una deuda que superaba los 2 mil millones de</w:t>
                        </w:r>
                        <w:r>
                          <w:rPr>
                            <w:spacing w:val="-17"/>
                            <w:sz w:val="20"/>
                            <w:u w:val="single"/>
                          </w:rPr>
                          <w:t> </w:t>
                        </w:r>
                        <w:r>
                          <w:rPr>
                            <w:sz w:val="20"/>
                            <w:u w:val="single"/>
                          </w:rPr>
                          <w:t>dólares.</w:t>
                          <w:tab/>
                        </w:r>
                      </w:p>
                    </w:tc>
                  </w:tr>
                </w:tbl>
                <w:p>
                  <w:pPr>
                    <w:pStyle w:val="BodyText"/>
                  </w:pPr>
                </w:p>
              </w:txbxContent>
            </v:textbox>
            <w10:wrap type="none"/>
          </v:shape>
        </w:pict>
      </w:r>
      <w:r>
        <w:rPr>
          <w:w w:val="99"/>
          <w:sz w:val="20"/>
          <w:u w:val="single"/>
        </w:rPr>
        <w:t> </w:t>
      </w:r>
      <w:r>
        <w:rPr>
          <w:sz w:val="20"/>
          <w:u w:val="single"/>
        </w:rPr>
        <w:tab/>
      </w:r>
      <w:r>
        <w:rPr>
          <w:sz w:val="20"/>
        </w:rPr>
        <w:t>  </w:t>
      </w:r>
      <w:r>
        <w:rPr>
          <w:spacing w:val="6"/>
          <w:sz w:val="20"/>
        </w:rPr>
        <w:t> </w:t>
      </w:r>
      <w:r>
        <w:rPr>
          <w:w w:val="99"/>
          <w:sz w:val="20"/>
          <w:u w:val="single"/>
        </w:rPr>
        <w:t> </w:t>
      </w:r>
      <w:r>
        <w:rPr>
          <w:sz w:val="20"/>
          <w:u w:val="single"/>
        </w:rPr>
        <w:tab/>
      </w:r>
      <w:r>
        <w:rPr>
          <w:sz w:val="20"/>
        </w:rPr>
        <w:t>  </w:t>
      </w:r>
      <w:r>
        <w:rPr>
          <w:spacing w:val="4"/>
          <w:sz w:val="20"/>
        </w:rPr>
        <w:t> </w:t>
      </w:r>
      <w:r>
        <w:rPr>
          <w:w w:val="99"/>
          <w:sz w:val="20"/>
          <w:u w:val="single"/>
        </w:rPr>
        <w:t> </w:t>
      </w:r>
      <w:r>
        <w:rPr>
          <w:sz w:val="20"/>
          <w:u w:val="single"/>
        </w:rPr>
        <w:tab/>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tabs>
          <w:tab w:pos="851" w:val="left" w:leader="none"/>
          <w:tab w:pos="2174" w:val="left" w:leader="none"/>
          <w:tab w:pos="3374" w:val="left" w:leader="none"/>
        </w:tabs>
        <w:spacing w:before="0"/>
        <w:ind w:left="127" w:right="0" w:firstLine="0"/>
        <w:jc w:val="left"/>
        <w:rPr>
          <w:sz w:val="20"/>
        </w:rPr>
      </w:pPr>
      <w:r>
        <w:rPr>
          <w:w w:val="99"/>
          <w:sz w:val="20"/>
          <w:u w:val="single"/>
        </w:rPr>
        <w:t> </w:t>
      </w:r>
      <w:r>
        <w:rPr>
          <w:sz w:val="20"/>
          <w:u w:val="single"/>
        </w:rPr>
        <w:tab/>
      </w:r>
      <w:r>
        <w:rPr>
          <w:sz w:val="20"/>
        </w:rPr>
        <w:t>  </w:t>
      </w:r>
      <w:r>
        <w:rPr>
          <w:spacing w:val="-8"/>
          <w:sz w:val="20"/>
        </w:rPr>
        <w:t> </w:t>
      </w:r>
      <w:r>
        <w:rPr>
          <w:w w:val="99"/>
          <w:sz w:val="20"/>
          <w:u w:val="single"/>
        </w:rPr>
        <w:t> </w:t>
      </w:r>
      <w:r>
        <w:rPr>
          <w:sz w:val="20"/>
          <w:u w:val="single"/>
        </w:rPr>
        <w:tab/>
      </w:r>
      <w:r>
        <w:rPr>
          <w:sz w:val="20"/>
        </w:rPr>
        <w:t>  </w:t>
      </w:r>
      <w:r>
        <w:rPr>
          <w:spacing w:val="-11"/>
          <w:sz w:val="20"/>
        </w:rPr>
        <w:t> </w:t>
      </w:r>
      <w:r>
        <w:rPr>
          <w:w w:val="99"/>
          <w:sz w:val="20"/>
          <w:u w:val="single"/>
        </w:rPr>
        <w:t> </w:t>
      </w:r>
      <w:r>
        <w:rPr>
          <w:sz w:val="20"/>
          <w:u w:val="single"/>
        </w:rPr>
        <w:tab/>
      </w:r>
    </w:p>
    <w:p>
      <w:pPr>
        <w:pStyle w:val="BodyText"/>
        <w:rPr>
          <w:sz w:val="20"/>
        </w:rPr>
      </w:pPr>
    </w:p>
    <w:p>
      <w:pPr>
        <w:pStyle w:val="BodyText"/>
        <w:spacing w:line="360" w:lineRule="auto" w:before="194"/>
        <w:ind w:left="142" w:right="133" w:firstLine="707"/>
        <w:jc w:val="both"/>
      </w:pPr>
      <w:r>
        <w:rPr/>
        <w:t>El común denominador en estos desastres fue la ausencia de políticas y sistemas de administración de riesgos en las instituciones, que permitieran medir y monitorear</w:t>
      </w:r>
      <w:r>
        <w:rPr>
          <w:spacing w:val="-18"/>
        </w:rPr>
        <w:t> </w:t>
      </w:r>
      <w:r>
        <w:rPr/>
        <w:t>efectivamente</w:t>
      </w:r>
      <w:r>
        <w:rPr>
          <w:spacing w:val="-16"/>
        </w:rPr>
        <w:t> </w:t>
      </w:r>
      <w:r>
        <w:rPr/>
        <w:t>las</w:t>
      </w:r>
      <w:r>
        <w:rPr>
          <w:spacing w:val="-19"/>
        </w:rPr>
        <w:t> </w:t>
      </w:r>
      <w:r>
        <w:rPr/>
        <w:t>pérdidas</w:t>
      </w:r>
      <w:r>
        <w:rPr>
          <w:spacing w:val="-17"/>
        </w:rPr>
        <w:t> </w:t>
      </w:r>
      <w:r>
        <w:rPr/>
        <w:t>potenciales</w:t>
      </w:r>
      <w:r>
        <w:rPr>
          <w:spacing w:val="-17"/>
        </w:rPr>
        <w:t> </w:t>
      </w:r>
      <w:r>
        <w:rPr/>
        <w:t>de</w:t>
      </w:r>
      <w:r>
        <w:rPr>
          <w:spacing w:val="-17"/>
        </w:rPr>
        <w:t> </w:t>
      </w:r>
      <w:r>
        <w:rPr/>
        <w:t>las</w:t>
      </w:r>
      <w:r>
        <w:rPr>
          <w:spacing w:val="-19"/>
        </w:rPr>
        <w:t> </w:t>
      </w:r>
      <w:r>
        <w:rPr/>
        <w:t>posiciones</w:t>
      </w:r>
      <w:r>
        <w:rPr>
          <w:spacing w:val="-20"/>
        </w:rPr>
        <w:t> </w:t>
      </w:r>
      <w:r>
        <w:rPr/>
        <w:t>en</w:t>
      </w:r>
      <w:r>
        <w:rPr>
          <w:spacing w:val="-17"/>
        </w:rPr>
        <w:t> </w:t>
      </w:r>
      <w:r>
        <w:rPr/>
        <w:t>que</w:t>
      </w:r>
      <w:r>
        <w:rPr>
          <w:spacing w:val="-17"/>
        </w:rPr>
        <w:t> </w:t>
      </w:r>
      <w:r>
        <w:rPr/>
        <w:t>estaban involucradas esas</w:t>
      </w:r>
      <w:r>
        <w:rPr>
          <w:spacing w:val="-10"/>
        </w:rPr>
        <w:t> </w:t>
      </w:r>
      <w:r>
        <w:rPr/>
        <w:t>corporaciones.</w:t>
      </w: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1168;mso-wrap-distance-left:0;mso-wrap-distance-right:0" from="85.103996pt,10.175862pt" to="229.123996pt,10.175862pt" stroked="true" strokeweight=".599980pt" strokecolor="#000000">
            <w10:wrap type="topAndBottom"/>
          </v:line>
        </w:pict>
      </w:r>
    </w:p>
    <w:p>
      <w:pPr>
        <w:spacing w:before="78"/>
        <w:ind w:left="142" w:right="786" w:firstLine="0"/>
        <w:jc w:val="left"/>
        <w:rPr>
          <w:sz w:val="20"/>
        </w:rPr>
      </w:pPr>
      <w:r>
        <w:rPr>
          <w:position w:val="6"/>
          <w:sz w:val="13"/>
        </w:rPr>
        <w:t>5 </w:t>
      </w:r>
      <w:r>
        <w:rPr>
          <w:sz w:val="20"/>
        </w:rPr>
        <w:t>Miles de millones de dólares americanos.</w:t>
      </w:r>
    </w:p>
    <w:p>
      <w:pPr>
        <w:spacing w:before="0"/>
        <w:ind w:left="142" w:right="786" w:firstLine="0"/>
        <w:jc w:val="left"/>
        <w:rPr>
          <w:sz w:val="20"/>
        </w:rPr>
      </w:pPr>
      <w:r>
        <w:rPr>
          <w:position w:val="6"/>
          <w:sz w:val="13"/>
        </w:rPr>
        <w:t>6 </w:t>
      </w:r>
      <w:r>
        <w:rPr>
          <w:sz w:val="20"/>
        </w:rPr>
        <w:t>Ver:</w:t>
      </w:r>
    </w:p>
    <w:p>
      <w:pPr>
        <w:pStyle w:val="ListParagraph"/>
        <w:numPr>
          <w:ilvl w:val="0"/>
          <w:numId w:val="9"/>
        </w:numPr>
        <w:tabs>
          <w:tab w:pos="861" w:val="left" w:leader="none"/>
          <w:tab w:pos="862" w:val="left" w:leader="none"/>
        </w:tabs>
        <w:spacing w:line="289" w:lineRule="exact" w:before="2" w:after="0"/>
        <w:ind w:left="862" w:right="0" w:hanging="360"/>
        <w:jc w:val="left"/>
        <w:rPr>
          <w:sz w:val="20"/>
        </w:rPr>
      </w:pPr>
      <w:hyperlink r:id="rId11">
        <w:r>
          <w:rPr>
            <w:color w:val="0000FF"/>
            <w:sz w:val="20"/>
            <w:u w:val="single" w:color="0000FF"/>
          </w:rPr>
          <w:t>http://www.nickleeson.com/</w:t>
        </w:r>
      </w:hyperlink>
    </w:p>
    <w:p>
      <w:pPr>
        <w:pStyle w:val="ListParagraph"/>
        <w:numPr>
          <w:ilvl w:val="0"/>
          <w:numId w:val="9"/>
        </w:numPr>
        <w:tabs>
          <w:tab w:pos="861" w:val="left" w:leader="none"/>
          <w:tab w:pos="862" w:val="left" w:leader="none"/>
        </w:tabs>
        <w:spacing w:line="230" w:lineRule="auto" w:before="4" w:after="0"/>
        <w:ind w:left="862" w:right="3142" w:hanging="360"/>
        <w:jc w:val="left"/>
        <w:rPr>
          <w:sz w:val="20"/>
        </w:rPr>
      </w:pPr>
      <w:r>
        <w:rPr>
          <w:sz w:val="20"/>
        </w:rPr>
        <w:t>El Capitalismo en la cuerda floja, Mario Vargas Llosa; </w:t>
      </w:r>
      <w:hyperlink r:id="rId12">
        <w:r>
          <w:rPr>
            <w:color w:val="0000FF"/>
            <w:w w:val="95"/>
            <w:sz w:val="20"/>
            <w:u w:val="single" w:color="0000FF"/>
          </w:rPr>
          <w:t>http://www.galeon.com/froblesortega/elcapitalismoen.html</w:t>
        </w:r>
      </w:hyperlink>
    </w:p>
    <w:p>
      <w:pPr>
        <w:pStyle w:val="ListParagraph"/>
        <w:numPr>
          <w:ilvl w:val="0"/>
          <w:numId w:val="9"/>
        </w:numPr>
        <w:tabs>
          <w:tab w:pos="861" w:val="left" w:leader="none"/>
          <w:tab w:pos="862" w:val="left" w:leader="none"/>
        </w:tabs>
        <w:spacing w:line="289" w:lineRule="exact" w:before="3" w:after="0"/>
        <w:ind w:left="862" w:right="0" w:hanging="360"/>
        <w:jc w:val="left"/>
        <w:rPr>
          <w:sz w:val="20"/>
        </w:rPr>
      </w:pPr>
      <w:r>
        <w:rPr>
          <w:sz w:val="20"/>
        </w:rPr>
        <w:t>El fracaso del Banco Baring;</w:t>
      </w:r>
      <w:r>
        <w:rPr>
          <w:spacing w:val="-16"/>
          <w:sz w:val="20"/>
        </w:rPr>
        <w:t> </w:t>
      </w:r>
      <w:hyperlink r:id="rId13">
        <w:r>
          <w:rPr>
            <w:color w:val="0000FF"/>
            <w:sz w:val="20"/>
            <w:u w:val="single" w:color="0000FF"/>
          </w:rPr>
          <w:t>http://www.doeda.com/barings.spanish.html</w:t>
        </w:r>
      </w:hyperlink>
    </w:p>
    <w:p>
      <w:pPr>
        <w:pStyle w:val="ListParagraph"/>
        <w:numPr>
          <w:ilvl w:val="0"/>
          <w:numId w:val="9"/>
        </w:numPr>
        <w:tabs>
          <w:tab w:pos="861" w:val="left" w:leader="none"/>
          <w:tab w:pos="862" w:val="left" w:leader="none"/>
        </w:tabs>
        <w:spacing w:line="230" w:lineRule="auto" w:before="4" w:after="0"/>
        <w:ind w:left="862" w:right="648" w:hanging="360"/>
        <w:jc w:val="left"/>
        <w:rPr>
          <w:sz w:val="20"/>
        </w:rPr>
      </w:pPr>
      <w:r>
        <w:rPr>
          <w:sz w:val="20"/>
        </w:rPr>
        <w:t>La Cuenta Secreta, Nicholas Leeson, Editorial Sudamericana, 1996 (en inglés,</w:t>
      </w:r>
      <w:r>
        <w:rPr>
          <w:spacing w:val="-26"/>
          <w:sz w:val="20"/>
        </w:rPr>
        <w:t> </w:t>
      </w:r>
      <w:r>
        <w:rPr>
          <w:sz w:val="20"/>
        </w:rPr>
        <w:t>Rouge Trader),</w:t>
      </w:r>
      <w:r>
        <w:rPr>
          <w:spacing w:val="-19"/>
          <w:sz w:val="20"/>
        </w:rPr>
        <w:t> </w:t>
      </w:r>
      <w:hyperlink r:id="rId14">
        <w:r>
          <w:rPr>
            <w:color w:val="0000FF"/>
            <w:sz w:val="20"/>
            <w:u w:val="single" w:color="0000FF"/>
          </w:rPr>
          <w:t>http://www.amazon.com/88888-Cuenta-Secreta-Nick-Leeson/dp/9500711206</w:t>
        </w:r>
      </w:hyperlink>
    </w:p>
    <w:p>
      <w:pPr>
        <w:pStyle w:val="ListParagraph"/>
        <w:numPr>
          <w:ilvl w:val="0"/>
          <w:numId w:val="9"/>
        </w:numPr>
        <w:tabs>
          <w:tab w:pos="861" w:val="left" w:leader="none"/>
          <w:tab w:pos="862" w:val="left" w:leader="none"/>
        </w:tabs>
        <w:spacing w:line="288" w:lineRule="exact" w:before="3" w:after="0"/>
        <w:ind w:left="862" w:right="0" w:hanging="360"/>
        <w:jc w:val="left"/>
        <w:rPr>
          <w:sz w:val="20"/>
        </w:rPr>
      </w:pPr>
      <w:r>
        <w:rPr>
          <w:sz w:val="20"/>
        </w:rPr>
        <w:t>Roguer trade (DVD);</w:t>
      </w:r>
      <w:r>
        <w:rPr>
          <w:spacing w:val="-26"/>
          <w:sz w:val="20"/>
        </w:rPr>
        <w:t> </w:t>
      </w:r>
      <w:hyperlink r:id="rId15">
        <w:r>
          <w:rPr>
            <w:color w:val="0000FF"/>
            <w:sz w:val="20"/>
            <w:u w:val="single" w:color="0000FF"/>
          </w:rPr>
          <w:t>http://www.dvdempire.com/Exec/v4_item.asp?userid=&amp;item_id=9141</w:t>
        </w:r>
      </w:hyperlink>
    </w:p>
    <w:p>
      <w:pPr>
        <w:spacing w:line="224" w:lineRule="exact" w:before="0"/>
        <w:ind w:left="142" w:right="786" w:firstLine="0"/>
        <w:jc w:val="left"/>
        <w:rPr>
          <w:sz w:val="20"/>
        </w:rPr>
      </w:pPr>
      <w:r>
        <w:rPr>
          <w:position w:val="6"/>
          <w:sz w:val="13"/>
        </w:rPr>
        <w:t>7 </w:t>
      </w:r>
      <w:r>
        <w:rPr>
          <w:sz w:val="20"/>
        </w:rPr>
        <w:t>Ver: </w:t>
      </w:r>
      <w:hyperlink r:id="rId16">
        <w:r>
          <w:rPr>
            <w:color w:val="0000FF"/>
            <w:sz w:val="20"/>
            <w:u w:val="single" w:color="0000FF"/>
          </w:rPr>
          <w:t>http://es.wikipedia.org/wiki/Baring_Brothers </w:t>
        </w:r>
      </w:hyperlink>
      <w:r>
        <w:rPr>
          <w:sz w:val="20"/>
        </w:rPr>
        <w:t>y </w:t>
      </w:r>
      <w:hyperlink r:id="rId17">
        <w:r>
          <w:rPr>
            <w:color w:val="0000FF"/>
            <w:sz w:val="20"/>
            <w:u w:val="single" w:color="0000FF"/>
          </w:rPr>
          <w:t>http://www.bbbsa.ch/Default.aspx?p=9</w:t>
        </w:r>
      </w:hyperlink>
    </w:p>
    <w:p>
      <w:pPr>
        <w:spacing w:before="0"/>
        <w:ind w:left="142" w:right="157" w:firstLine="0"/>
        <w:jc w:val="left"/>
        <w:rPr>
          <w:sz w:val="20"/>
        </w:rPr>
      </w:pPr>
      <w:r>
        <w:rPr>
          <w:position w:val="6"/>
          <w:sz w:val="13"/>
        </w:rPr>
        <w:t>8 </w:t>
      </w:r>
      <w:r>
        <w:rPr>
          <w:sz w:val="20"/>
        </w:rPr>
        <w:t>Fuente: Reforma. 'Comercia' con dólares; pierde hasta la camisa. Jonathan Ruiz, Karla Rodríguez y José Eseverri. (15-Oct-2008).</w:t>
      </w:r>
    </w:p>
    <w:p>
      <w:pPr>
        <w:spacing w:before="0"/>
        <w:ind w:left="142" w:right="786" w:firstLine="0"/>
        <w:jc w:val="left"/>
        <w:rPr>
          <w:sz w:val="20"/>
        </w:rPr>
      </w:pPr>
      <w:r>
        <w:rPr>
          <w:position w:val="6"/>
          <w:sz w:val="13"/>
        </w:rPr>
        <w:t>9 </w:t>
      </w:r>
      <w:r>
        <w:rPr>
          <w:sz w:val="20"/>
        </w:rPr>
        <w:t>Goldman Sachs, Banamex, Barclays, Santander, Merrill Lynch y JP Morgan</w:t>
      </w:r>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38" w:firstLine="707"/>
        <w:jc w:val="both"/>
        <w:rPr>
          <w:sz w:val="16"/>
        </w:rPr>
      </w:pPr>
      <w:r>
        <w:rPr/>
        <w:t>Lo anterior trajo una corriente importante para la medición de riesgos con recomendaciones en relación con criterios para instituciones que tienen productos derivados</w:t>
      </w:r>
      <w:r>
        <w:rPr>
          <w:spacing w:val="-10"/>
        </w:rPr>
        <w:t> </w:t>
      </w:r>
      <w:r>
        <w:rPr/>
        <w:t>en</w:t>
      </w:r>
      <w:r>
        <w:rPr>
          <w:spacing w:val="-12"/>
        </w:rPr>
        <w:t> </w:t>
      </w:r>
      <w:r>
        <w:rPr/>
        <w:t>posición</w:t>
      </w:r>
      <w:r>
        <w:rPr>
          <w:spacing w:val="-12"/>
        </w:rPr>
        <w:t> </w:t>
      </w:r>
      <w:r>
        <w:rPr/>
        <w:t>de</w:t>
      </w:r>
      <w:r>
        <w:rPr>
          <w:spacing w:val="-9"/>
        </w:rPr>
        <w:t> </w:t>
      </w:r>
      <w:r>
        <w:rPr/>
        <w:t>riesgo,</w:t>
      </w:r>
      <w:r>
        <w:rPr>
          <w:spacing w:val="-10"/>
        </w:rPr>
        <w:t> </w:t>
      </w:r>
      <w:r>
        <w:rPr/>
        <w:t>entre</w:t>
      </w:r>
      <w:r>
        <w:rPr>
          <w:spacing w:val="-12"/>
        </w:rPr>
        <w:t> </w:t>
      </w:r>
      <w:r>
        <w:rPr/>
        <w:t>otras,</w:t>
      </w:r>
      <w:r>
        <w:rPr>
          <w:spacing w:val="-14"/>
        </w:rPr>
        <w:t> </w:t>
      </w:r>
      <w:r>
        <w:rPr/>
        <w:t>que</w:t>
      </w:r>
      <w:r>
        <w:rPr>
          <w:spacing w:val="-9"/>
        </w:rPr>
        <w:t> </w:t>
      </w:r>
      <w:r>
        <w:rPr/>
        <w:t>la</w:t>
      </w:r>
      <w:r>
        <w:rPr>
          <w:spacing w:val="-10"/>
        </w:rPr>
        <w:t> </w:t>
      </w:r>
      <w:r>
        <w:rPr/>
        <w:t>medición</w:t>
      </w:r>
      <w:r>
        <w:rPr>
          <w:spacing w:val="-9"/>
        </w:rPr>
        <w:t> </w:t>
      </w:r>
      <w:r>
        <w:rPr/>
        <w:t>cuantitativa</w:t>
      </w:r>
      <w:r>
        <w:rPr>
          <w:spacing w:val="-9"/>
        </w:rPr>
        <w:t> </w:t>
      </w:r>
      <w:r>
        <w:rPr/>
        <w:t>de</w:t>
      </w:r>
      <w:r>
        <w:rPr>
          <w:spacing w:val="-9"/>
        </w:rPr>
        <w:t> </w:t>
      </w:r>
      <w:r>
        <w:rPr/>
        <w:t>riesgos se hiciera mediante el cálculo del "valor en riesgo"</w:t>
      </w:r>
      <w:r>
        <w:rPr>
          <w:spacing w:val="-14"/>
        </w:rPr>
        <w:t> </w:t>
      </w:r>
      <w:r>
        <w:rPr/>
        <w:t>(VaR).</w:t>
      </w:r>
      <w:r>
        <w:rPr>
          <w:position w:val="8"/>
          <w:sz w:val="16"/>
        </w:rPr>
        <w:t>10</w:t>
      </w:r>
    </w:p>
    <w:p>
      <w:pPr>
        <w:pStyle w:val="BodyText"/>
        <w:rPr>
          <w:sz w:val="26"/>
        </w:rPr>
      </w:pPr>
    </w:p>
    <w:p>
      <w:pPr>
        <w:pStyle w:val="ListParagraph"/>
        <w:numPr>
          <w:ilvl w:val="1"/>
          <w:numId w:val="8"/>
        </w:numPr>
        <w:tabs>
          <w:tab w:pos="594" w:val="left" w:leader="none"/>
        </w:tabs>
        <w:spacing w:line="240" w:lineRule="auto" w:before="172" w:after="0"/>
        <w:ind w:left="593" w:right="0" w:hanging="451"/>
        <w:jc w:val="left"/>
        <w:rPr>
          <w:b/>
          <w:sz w:val="18"/>
        </w:rPr>
      </w:pPr>
      <w:bookmarkStart w:name="_bookmark10" w:id="20"/>
      <w:bookmarkEnd w:id="20"/>
      <w:r>
        <w:rPr/>
      </w:r>
      <w:bookmarkStart w:name="_bookmark10" w:id="21"/>
      <w:bookmarkEnd w:id="21"/>
      <w:r>
        <w:rPr>
          <w:b/>
          <w:sz w:val="28"/>
        </w:rPr>
        <w:t>E</w:t>
      </w:r>
      <w:r>
        <w:rPr>
          <w:b/>
          <w:sz w:val="22"/>
        </w:rPr>
        <w:t>L PROCESO DE ADMINISTRACIÓN DE</w:t>
      </w:r>
      <w:r>
        <w:rPr>
          <w:b/>
          <w:spacing w:val="-17"/>
          <w:sz w:val="22"/>
        </w:rPr>
        <w:t> </w:t>
      </w:r>
      <w:r>
        <w:rPr>
          <w:b/>
          <w:sz w:val="22"/>
        </w:rPr>
        <w:t>RIESGOS</w:t>
      </w:r>
      <w:r>
        <w:rPr>
          <w:b/>
          <w:position w:val="10"/>
          <w:sz w:val="18"/>
        </w:rPr>
        <w:t>11</w:t>
      </w:r>
    </w:p>
    <w:p>
      <w:pPr>
        <w:pStyle w:val="BodyText"/>
        <w:spacing w:line="360" w:lineRule="auto" w:before="241"/>
        <w:ind w:left="142" w:right="138" w:firstLine="707"/>
        <w:jc w:val="both"/>
      </w:pPr>
      <w:r>
        <w:rPr/>
        <w:t>La medición efectiva y cuantitativa del riesgo está dada por la probabilidad asociada</w:t>
      </w:r>
      <w:r>
        <w:rPr>
          <w:spacing w:val="-13"/>
        </w:rPr>
        <w:t> </w:t>
      </w:r>
      <w:r>
        <w:rPr/>
        <w:t>a</w:t>
      </w:r>
      <w:r>
        <w:rPr>
          <w:spacing w:val="-13"/>
        </w:rPr>
        <w:t> </w:t>
      </w:r>
      <w:r>
        <w:rPr/>
        <w:t>una</w:t>
      </w:r>
      <w:r>
        <w:rPr>
          <w:spacing w:val="-13"/>
        </w:rPr>
        <w:t> </w:t>
      </w:r>
      <w:r>
        <w:rPr/>
        <w:t>pérdida</w:t>
      </w:r>
      <w:r>
        <w:rPr>
          <w:spacing w:val="-11"/>
        </w:rPr>
        <w:t> </w:t>
      </w:r>
      <w:r>
        <w:rPr/>
        <w:t>potencial.</w:t>
      </w:r>
      <w:r>
        <w:rPr>
          <w:spacing w:val="-13"/>
        </w:rPr>
        <w:t> </w:t>
      </w:r>
      <w:r>
        <w:rPr/>
        <w:t>Los</w:t>
      </w:r>
      <w:r>
        <w:rPr>
          <w:spacing w:val="-14"/>
        </w:rPr>
        <w:t> </w:t>
      </w:r>
      <w:r>
        <w:rPr/>
        <w:t>seres</w:t>
      </w:r>
      <w:r>
        <w:rPr>
          <w:spacing w:val="-16"/>
        </w:rPr>
        <w:t> </w:t>
      </w:r>
      <w:r>
        <w:rPr/>
        <w:t>humanos</w:t>
      </w:r>
      <w:r>
        <w:rPr>
          <w:spacing w:val="-14"/>
        </w:rPr>
        <w:t> </w:t>
      </w:r>
      <w:r>
        <w:rPr/>
        <w:t>deben</w:t>
      </w:r>
      <w:r>
        <w:rPr>
          <w:spacing w:val="-13"/>
        </w:rPr>
        <w:t> </w:t>
      </w:r>
      <w:r>
        <w:rPr/>
        <w:t>reconocer</w:t>
      </w:r>
      <w:r>
        <w:rPr>
          <w:spacing w:val="-12"/>
        </w:rPr>
        <w:t> </w:t>
      </w:r>
      <w:r>
        <w:rPr/>
        <w:t>y</w:t>
      </w:r>
      <w:r>
        <w:rPr>
          <w:spacing w:val="-14"/>
        </w:rPr>
        <w:t> </w:t>
      </w:r>
      <w:r>
        <w:rPr/>
        <w:t>responder a las probabilidades que confrontan en cada decisión. La esencia de la administración de riesgos consiste en medir esas probabilidades en contextos de incertidumbre.</w:t>
      </w:r>
    </w:p>
    <w:p>
      <w:pPr>
        <w:pStyle w:val="BodyText"/>
        <w:spacing w:line="360" w:lineRule="auto" w:before="5"/>
        <w:ind w:left="142" w:right="137" w:firstLine="707"/>
        <w:jc w:val="both"/>
      </w:pPr>
      <w:r>
        <w:rPr/>
        <w:t>La administración del riesgo es el proceso mediante el cual se identifica, se mide y se controla la exposición al riesgo. En suma, la administración del riesgo financiero se ha convertido en una herramienta esencial para la sobrevivencia de cualquier negocio.</w:t>
      </w:r>
    </w:p>
    <w:p>
      <w:pPr>
        <w:pStyle w:val="BodyText"/>
        <w:spacing w:line="360" w:lineRule="auto" w:before="5"/>
        <w:ind w:left="142" w:right="137" w:firstLine="707"/>
        <w:jc w:val="both"/>
      </w:pPr>
      <w:r>
        <w:rPr/>
        <w:t>El proceso de administración de riesgos considera en primer lugar, la identificación de riesgos, en segundo lugar su cuantificación y control mediante el establecimiento de límites de tolerancia al riesgo y finalmente, la modificación o nulificación de dichos riesgos a través de disminuir la exposición a éstos, o de instrumentar una cobertura. En resumen:</w:t>
      </w:r>
    </w:p>
    <w:p>
      <w:pPr>
        <w:pStyle w:val="ListParagraph"/>
        <w:numPr>
          <w:ilvl w:val="2"/>
          <w:numId w:val="8"/>
        </w:numPr>
        <w:tabs>
          <w:tab w:pos="1274" w:val="left" w:leader="none"/>
          <w:tab w:pos="1275" w:val="left" w:leader="none"/>
        </w:tabs>
        <w:spacing w:line="240" w:lineRule="auto" w:before="3" w:after="0"/>
        <w:ind w:left="1274" w:right="0" w:hanging="357"/>
        <w:jc w:val="left"/>
        <w:rPr>
          <w:sz w:val="24"/>
        </w:rPr>
      </w:pPr>
      <w:r>
        <w:rPr>
          <w:sz w:val="24"/>
        </w:rPr>
        <w:t>Identificar la naturaleza y en dónde se</w:t>
      </w:r>
      <w:r>
        <w:rPr>
          <w:spacing w:val="-17"/>
          <w:sz w:val="24"/>
        </w:rPr>
        <w:t> </w:t>
      </w:r>
      <w:r>
        <w:rPr>
          <w:sz w:val="24"/>
        </w:rPr>
        <w:t>origina.</w:t>
      </w:r>
    </w:p>
    <w:p>
      <w:pPr>
        <w:pStyle w:val="ListParagraph"/>
        <w:numPr>
          <w:ilvl w:val="2"/>
          <w:numId w:val="8"/>
        </w:numPr>
        <w:tabs>
          <w:tab w:pos="1274" w:val="left" w:leader="none"/>
          <w:tab w:pos="1275" w:val="left" w:leader="none"/>
        </w:tabs>
        <w:spacing w:line="350" w:lineRule="auto" w:before="135" w:after="0"/>
        <w:ind w:left="1274" w:right="148" w:hanging="357"/>
        <w:jc w:val="left"/>
        <w:rPr>
          <w:sz w:val="24"/>
        </w:rPr>
      </w:pPr>
      <w:r>
        <w:rPr>
          <w:sz w:val="24"/>
        </w:rPr>
        <w:t>De que tamaño es el riesgo (medición) a través de una cifra (todos los modelos buscan llegar a</w:t>
      </w:r>
      <w:r>
        <w:rPr>
          <w:spacing w:val="-7"/>
          <w:sz w:val="24"/>
        </w:rPr>
        <w:t> </w:t>
      </w:r>
      <w:r>
        <w:rPr>
          <w:sz w:val="24"/>
        </w:rPr>
        <w:t>ella).</w:t>
      </w:r>
    </w:p>
    <w:p>
      <w:pPr>
        <w:pStyle w:val="ListParagraph"/>
        <w:numPr>
          <w:ilvl w:val="2"/>
          <w:numId w:val="8"/>
        </w:numPr>
        <w:tabs>
          <w:tab w:pos="1274" w:val="left" w:leader="none"/>
          <w:tab w:pos="1275" w:val="left" w:leader="none"/>
        </w:tabs>
        <w:spacing w:line="240" w:lineRule="auto" w:before="16" w:after="0"/>
        <w:ind w:left="1274" w:right="0" w:hanging="357"/>
        <w:jc w:val="left"/>
        <w:rPr>
          <w:sz w:val="24"/>
        </w:rPr>
      </w:pPr>
      <w:r>
        <w:rPr>
          <w:sz w:val="24"/>
        </w:rPr>
        <w:t>Decidir que hacer con el</w:t>
      </w:r>
      <w:r>
        <w:rPr>
          <w:spacing w:val="-12"/>
          <w:sz w:val="24"/>
        </w:rPr>
        <w:t> </w:t>
      </w:r>
      <w:r>
        <w:rPr>
          <w:sz w:val="24"/>
        </w:rPr>
        <w:t>riesgo:</w:t>
      </w:r>
    </w:p>
    <w:p>
      <w:pPr>
        <w:pStyle w:val="ListParagraph"/>
        <w:numPr>
          <w:ilvl w:val="3"/>
          <w:numId w:val="8"/>
        </w:numPr>
        <w:tabs>
          <w:tab w:pos="1503" w:val="left" w:leader="none"/>
        </w:tabs>
        <w:spacing w:line="240" w:lineRule="auto" w:before="135" w:after="0"/>
        <w:ind w:left="1502" w:right="0" w:hanging="228"/>
        <w:jc w:val="left"/>
        <w:rPr>
          <w:sz w:val="24"/>
        </w:rPr>
      </w:pPr>
      <w:r>
        <w:rPr>
          <w:sz w:val="24"/>
        </w:rPr>
        <w:t>Neutralizarlo totalmente (a través de</w:t>
      </w:r>
      <w:r>
        <w:rPr>
          <w:spacing w:val="-15"/>
          <w:sz w:val="24"/>
        </w:rPr>
        <w:t> </w:t>
      </w:r>
      <w:r>
        <w:rPr>
          <w:sz w:val="24"/>
        </w:rPr>
        <w:t>opciones)</w:t>
      </w:r>
    </w:p>
    <w:p>
      <w:pPr>
        <w:pStyle w:val="ListParagraph"/>
        <w:numPr>
          <w:ilvl w:val="3"/>
          <w:numId w:val="8"/>
        </w:numPr>
        <w:tabs>
          <w:tab w:pos="1503" w:val="left" w:leader="none"/>
        </w:tabs>
        <w:spacing w:line="240" w:lineRule="auto" w:before="139" w:after="0"/>
        <w:ind w:left="1502" w:right="0" w:hanging="228"/>
        <w:jc w:val="left"/>
        <w:rPr>
          <w:sz w:val="24"/>
        </w:rPr>
      </w:pPr>
      <w:r>
        <w:rPr>
          <w:sz w:val="24"/>
        </w:rPr>
        <w:t>Neutralizarlo</w:t>
      </w:r>
      <w:r>
        <w:rPr>
          <w:spacing w:val="-9"/>
          <w:sz w:val="24"/>
        </w:rPr>
        <w:t> </w:t>
      </w:r>
      <w:r>
        <w:rPr>
          <w:sz w:val="24"/>
        </w:rPr>
        <w:t>parcialmente</w:t>
      </w:r>
    </w:p>
    <w:p>
      <w:pPr>
        <w:pStyle w:val="ListParagraph"/>
        <w:numPr>
          <w:ilvl w:val="3"/>
          <w:numId w:val="8"/>
        </w:numPr>
        <w:tabs>
          <w:tab w:pos="1503" w:val="left" w:leader="none"/>
        </w:tabs>
        <w:spacing w:line="240" w:lineRule="auto" w:before="137" w:after="0"/>
        <w:ind w:left="1502" w:right="0" w:hanging="228"/>
        <w:jc w:val="left"/>
        <w:rPr>
          <w:sz w:val="24"/>
        </w:rPr>
      </w:pPr>
      <w:r>
        <w:rPr>
          <w:sz w:val="24"/>
        </w:rPr>
        <w:t>No neutralizarlo (seguir con la posición tal como</w:t>
      </w:r>
      <w:r>
        <w:rPr>
          <w:spacing w:val="-21"/>
          <w:sz w:val="24"/>
        </w:rPr>
        <w:t> </w:t>
      </w:r>
      <w:r>
        <w:rPr>
          <w:sz w:val="24"/>
        </w:rPr>
        <w:t>está)</w:t>
      </w:r>
    </w:p>
    <w:p>
      <w:pPr>
        <w:pStyle w:val="BodyText"/>
        <w:rPr>
          <w:sz w:val="20"/>
        </w:rPr>
      </w:pPr>
    </w:p>
    <w:p>
      <w:pPr>
        <w:pStyle w:val="BodyText"/>
        <w:spacing w:before="7"/>
        <w:rPr>
          <w:sz w:val="11"/>
        </w:rPr>
      </w:pPr>
      <w:r>
        <w:rPr/>
        <w:pict>
          <v:line style="position:absolute;mso-position-horizontal-relative:page;mso-position-vertical-relative:paragraph;z-index:1216;mso-wrap-distance-left:0;mso-wrap-distance-right:0" from="85.103996pt,8.93802pt" to="229.123996pt,8.93802pt" stroked="true" strokeweight=".599980pt" strokecolor="#000000">
            <w10:wrap type="topAndBottom"/>
          </v:line>
        </w:pict>
      </w:r>
    </w:p>
    <w:p>
      <w:pPr>
        <w:spacing w:before="78"/>
        <w:ind w:left="142" w:right="738" w:firstLine="0"/>
        <w:jc w:val="left"/>
        <w:rPr>
          <w:sz w:val="20"/>
        </w:rPr>
      </w:pPr>
      <w:r>
        <w:rPr>
          <w:position w:val="6"/>
          <w:sz w:val="13"/>
        </w:rPr>
        <w:t>10 </w:t>
      </w:r>
      <w:r>
        <w:rPr>
          <w:sz w:val="20"/>
        </w:rPr>
        <w:t>El concepto de VAR fue propuesto por el banco estadounidense JP Morgan en 1994 en su documento técnico denominado Riskmetrics, como modelo para medir cuantitativamente los riesgos de mercado en instrumentos financieros. Hoy en día es un estándar internacional.</w:t>
      </w:r>
    </w:p>
    <w:p>
      <w:pPr>
        <w:spacing w:before="0"/>
        <w:ind w:left="142" w:right="157" w:firstLine="0"/>
        <w:jc w:val="left"/>
        <w:rPr>
          <w:sz w:val="20"/>
        </w:rPr>
      </w:pPr>
      <w:r>
        <w:rPr>
          <w:position w:val="6"/>
          <w:sz w:val="13"/>
        </w:rPr>
        <w:t>11 </w:t>
      </w:r>
      <w:r>
        <w:rPr>
          <w:sz w:val="20"/>
        </w:rPr>
        <w:t>Fuente: </w:t>
      </w:r>
      <w:hyperlink r:id="rId10">
        <w:r>
          <w:rPr>
            <w:color w:val="0000FF"/>
            <w:sz w:val="20"/>
            <w:u w:val="single" w:color="0000FF"/>
          </w:rPr>
          <w:t>http://www.condusef.gob.mx/cultura_financiera/finanzas_personales/riesgos_fin.html</w:t>
        </w:r>
      </w:hyperlink>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36" w:firstLine="707"/>
        <w:jc w:val="both"/>
      </w:pPr>
      <w:r>
        <w:rPr/>
        <w:t>Los mecanismos de mercado para cubrir las exposiciones al riesgo son los contratos forward y de futuros, los swaps y el balance de activos con pasivos.</w:t>
      </w:r>
    </w:p>
    <w:p>
      <w:pPr>
        <w:pStyle w:val="BodyText"/>
        <w:spacing w:line="360" w:lineRule="auto" w:before="2"/>
        <w:ind w:left="142" w:right="145" w:firstLine="707"/>
        <w:jc w:val="both"/>
      </w:pPr>
      <w:r>
        <w:rPr/>
        <w:t>Un contrato forward es la obligación de entregar un activo especificado en una</w:t>
      </w:r>
      <w:r>
        <w:rPr>
          <w:spacing w:val="-11"/>
        </w:rPr>
        <w:t> </w:t>
      </w:r>
      <w:r>
        <w:rPr/>
        <w:t>fecha</w:t>
      </w:r>
      <w:r>
        <w:rPr>
          <w:spacing w:val="-8"/>
        </w:rPr>
        <w:t> </w:t>
      </w:r>
      <w:r>
        <w:rPr/>
        <w:t>de</w:t>
      </w:r>
      <w:r>
        <w:rPr>
          <w:spacing w:val="-8"/>
        </w:rPr>
        <w:t> </w:t>
      </w:r>
      <w:r>
        <w:rPr/>
        <w:t>entrega</w:t>
      </w:r>
      <w:r>
        <w:rPr>
          <w:spacing w:val="-8"/>
        </w:rPr>
        <w:t> </w:t>
      </w:r>
      <w:r>
        <w:rPr/>
        <w:t>futura</w:t>
      </w:r>
      <w:r>
        <w:rPr>
          <w:spacing w:val="-9"/>
        </w:rPr>
        <w:t> </w:t>
      </w:r>
      <w:r>
        <w:rPr/>
        <w:t>especificada</w:t>
      </w:r>
      <w:r>
        <w:rPr>
          <w:spacing w:val="-8"/>
        </w:rPr>
        <w:t> </w:t>
      </w:r>
      <w:r>
        <w:rPr/>
        <w:t>a</w:t>
      </w:r>
      <w:r>
        <w:rPr>
          <w:spacing w:val="-8"/>
        </w:rPr>
        <w:t> </w:t>
      </w:r>
      <w:r>
        <w:rPr/>
        <w:t>un</w:t>
      </w:r>
      <w:r>
        <w:rPr>
          <w:spacing w:val="-8"/>
        </w:rPr>
        <w:t> </w:t>
      </w:r>
      <w:r>
        <w:rPr/>
        <w:t>precio</w:t>
      </w:r>
      <w:r>
        <w:rPr>
          <w:spacing w:val="-9"/>
        </w:rPr>
        <w:t> </w:t>
      </w:r>
      <w:r>
        <w:rPr/>
        <w:t>especificado.</w:t>
      </w:r>
      <w:r>
        <w:rPr>
          <w:spacing w:val="-11"/>
        </w:rPr>
        <w:t> </w:t>
      </w:r>
      <w:r>
        <w:rPr/>
        <w:t>Los</w:t>
      </w:r>
      <w:r>
        <w:rPr>
          <w:spacing w:val="-9"/>
        </w:rPr>
        <w:t> </w:t>
      </w:r>
      <w:r>
        <w:rPr/>
        <w:t>contratos</w:t>
      </w:r>
      <w:r>
        <w:rPr>
          <w:spacing w:val="-12"/>
        </w:rPr>
        <w:t> </w:t>
      </w:r>
      <w:r>
        <w:rPr/>
        <w:t>de futuros son contratos forward estandarizados que se negocian en las</w:t>
      </w:r>
      <w:r>
        <w:rPr>
          <w:spacing w:val="-28"/>
        </w:rPr>
        <w:t> </w:t>
      </w:r>
      <w:r>
        <w:rPr/>
        <w:t>bolsas.</w:t>
      </w:r>
    </w:p>
    <w:p>
      <w:pPr>
        <w:pStyle w:val="BodyText"/>
        <w:spacing w:line="360" w:lineRule="auto" w:before="5"/>
        <w:ind w:left="142" w:right="140" w:firstLine="707"/>
        <w:jc w:val="both"/>
      </w:pPr>
      <w:r>
        <w:rPr/>
        <w:t>Un</w:t>
      </w:r>
      <w:r>
        <w:rPr>
          <w:spacing w:val="-6"/>
        </w:rPr>
        <w:t> </w:t>
      </w:r>
      <w:r>
        <w:rPr/>
        <w:t>contrato</w:t>
      </w:r>
      <w:r>
        <w:rPr>
          <w:spacing w:val="-6"/>
        </w:rPr>
        <w:t> </w:t>
      </w:r>
      <w:r>
        <w:rPr/>
        <w:t>swap</w:t>
      </w:r>
      <w:r>
        <w:rPr>
          <w:spacing w:val="-6"/>
        </w:rPr>
        <w:t> </w:t>
      </w:r>
      <w:r>
        <w:rPr/>
        <w:t>consta</w:t>
      </w:r>
      <w:r>
        <w:rPr>
          <w:spacing w:val="-6"/>
        </w:rPr>
        <w:t> </w:t>
      </w:r>
      <w:r>
        <w:rPr/>
        <w:t>de</w:t>
      </w:r>
      <w:r>
        <w:rPr>
          <w:spacing w:val="-8"/>
        </w:rPr>
        <w:t> </w:t>
      </w:r>
      <w:r>
        <w:rPr/>
        <w:t>dos</w:t>
      </w:r>
      <w:r>
        <w:rPr>
          <w:spacing w:val="-7"/>
        </w:rPr>
        <w:t> </w:t>
      </w:r>
      <w:r>
        <w:rPr/>
        <w:t>partes</w:t>
      </w:r>
      <w:r>
        <w:rPr>
          <w:spacing w:val="-7"/>
        </w:rPr>
        <w:t> </w:t>
      </w:r>
      <w:r>
        <w:rPr/>
        <w:t>que</w:t>
      </w:r>
      <w:r>
        <w:rPr>
          <w:spacing w:val="-6"/>
        </w:rPr>
        <w:t> </w:t>
      </w:r>
      <w:r>
        <w:rPr/>
        <w:t>intercambian</w:t>
      </w:r>
      <w:r>
        <w:rPr>
          <w:spacing w:val="-8"/>
        </w:rPr>
        <w:t> </w:t>
      </w:r>
      <w:r>
        <w:rPr/>
        <w:t>una</w:t>
      </w:r>
      <w:r>
        <w:rPr>
          <w:spacing w:val="-6"/>
        </w:rPr>
        <w:t> </w:t>
      </w:r>
      <w:r>
        <w:rPr/>
        <w:t>serie</w:t>
      </w:r>
      <w:r>
        <w:rPr>
          <w:spacing w:val="-6"/>
        </w:rPr>
        <w:t> </w:t>
      </w:r>
      <w:r>
        <w:rPr/>
        <w:t>de</w:t>
      </w:r>
      <w:r>
        <w:rPr>
          <w:spacing w:val="-6"/>
        </w:rPr>
        <w:t> </w:t>
      </w:r>
      <w:r>
        <w:rPr/>
        <w:t>pagos a</w:t>
      </w:r>
      <w:r>
        <w:rPr>
          <w:spacing w:val="-15"/>
        </w:rPr>
        <w:t> </w:t>
      </w:r>
      <w:r>
        <w:rPr/>
        <w:t>intervalos</w:t>
      </w:r>
      <w:r>
        <w:rPr>
          <w:spacing w:val="-15"/>
        </w:rPr>
        <w:t> </w:t>
      </w:r>
      <w:r>
        <w:rPr/>
        <w:t>especificados</w:t>
      </w:r>
      <w:r>
        <w:rPr>
          <w:spacing w:val="-18"/>
        </w:rPr>
        <w:t> </w:t>
      </w:r>
      <w:r>
        <w:rPr/>
        <w:t>durante</w:t>
      </w:r>
      <w:r>
        <w:rPr>
          <w:spacing w:val="-17"/>
        </w:rPr>
        <w:t> </w:t>
      </w:r>
      <w:r>
        <w:rPr/>
        <w:t>un</w:t>
      </w:r>
      <w:r>
        <w:rPr>
          <w:spacing w:val="-17"/>
        </w:rPr>
        <w:t> </w:t>
      </w:r>
      <w:r>
        <w:rPr/>
        <w:t>periodo</w:t>
      </w:r>
      <w:r>
        <w:rPr>
          <w:spacing w:val="-17"/>
        </w:rPr>
        <w:t> </w:t>
      </w:r>
      <w:r>
        <w:rPr/>
        <w:t>especificado.</w:t>
      </w:r>
      <w:r>
        <w:rPr>
          <w:spacing w:val="-15"/>
        </w:rPr>
        <w:t> </w:t>
      </w:r>
      <w:r>
        <w:rPr/>
        <w:t>Un</w:t>
      </w:r>
      <w:r>
        <w:rPr>
          <w:spacing w:val="-18"/>
        </w:rPr>
        <w:t> </w:t>
      </w:r>
      <w:r>
        <w:rPr/>
        <w:t>contrato</w:t>
      </w:r>
      <w:r>
        <w:rPr>
          <w:spacing w:val="-17"/>
        </w:rPr>
        <w:t> </w:t>
      </w:r>
      <w:r>
        <w:rPr/>
        <w:t>swap</w:t>
      </w:r>
      <w:r>
        <w:rPr>
          <w:spacing w:val="-15"/>
        </w:rPr>
        <w:t> </w:t>
      </w:r>
      <w:r>
        <w:rPr/>
        <w:t>puede exigir</w:t>
      </w:r>
      <w:r>
        <w:rPr>
          <w:spacing w:val="-6"/>
        </w:rPr>
        <w:t> </w:t>
      </w:r>
      <w:r>
        <w:rPr/>
        <w:t>el</w:t>
      </w:r>
      <w:r>
        <w:rPr>
          <w:spacing w:val="-6"/>
        </w:rPr>
        <w:t> </w:t>
      </w:r>
      <w:r>
        <w:rPr/>
        <w:t>intercambio</w:t>
      </w:r>
      <w:r>
        <w:rPr>
          <w:spacing w:val="-7"/>
        </w:rPr>
        <w:t> </w:t>
      </w:r>
      <w:r>
        <w:rPr/>
        <w:t>de</w:t>
      </w:r>
      <w:r>
        <w:rPr>
          <w:spacing w:val="-5"/>
        </w:rPr>
        <w:t> </w:t>
      </w:r>
      <w:r>
        <w:rPr/>
        <w:t>casi</w:t>
      </w:r>
      <w:r>
        <w:rPr>
          <w:spacing w:val="-8"/>
        </w:rPr>
        <w:t> </w:t>
      </w:r>
      <w:r>
        <w:rPr/>
        <w:t>cualquier</w:t>
      </w:r>
      <w:r>
        <w:rPr>
          <w:spacing w:val="-6"/>
        </w:rPr>
        <w:t> </w:t>
      </w:r>
      <w:r>
        <w:rPr/>
        <w:t>cosa.</w:t>
      </w:r>
      <w:r>
        <w:rPr>
          <w:spacing w:val="-7"/>
        </w:rPr>
        <w:t> </w:t>
      </w:r>
      <w:r>
        <w:rPr/>
        <w:t>Sin</w:t>
      </w:r>
      <w:r>
        <w:rPr>
          <w:spacing w:val="-7"/>
        </w:rPr>
        <w:t> </w:t>
      </w:r>
      <w:r>
        <w:rPr/>
        <w:t>embargo,</w:t>
      </w:r>
      <w:r>
        <w:rPr>
          <w:spacing w:val="-7"/>
        </w:rPr>
        <w:t> </w:t>
      </w:r>
      <w:r>
        <w:rPr/>
        <w:t>en</w:t>
      </w:r>
      <w:r>
        <w:rPr>
          <w:spacing w:val="-7"/>
        </w:rPr>
        <w:t> </w:t>
      </w:r>
      <w:r>
        <w:rPr/>
        <w:t>la</w:t>
      </w:r>
      <w:r>
        <w:rPr>
          <w:spacing w:val="-7"/>
        </w:rPr>
        <w:t> </w:t>
      </w:r>
      <w:r>
        <w:rPr/>
        <w:t>práctica,</w:t>
      </w:r>
      <w:r>
        <w:rPr>
          <w:spacing w:val="-5"/>
        </w:rPr>
        <w:t> </w:t>
      </w:r>
      <w:r>
        <w:rPr/>
        <w:t>la</w:t>
      </w:r>
      <w:r>
        <w:rPr>
          <w:spacing w:val="-9"/>
        </w:rPr>
        <w:t> </w:t>
      </w:r>
      <w:r>
        <w:rPr/>
        <w:t>mayoría de los contratos swap implica el intercambio de commodities, divisas o</w:t>
      </w:r>
      <w:r>
        <w:rPr>
          <w:spacing w:val="-26"/>
        </w:rPr>
        <w:t> </w:t>
      </w:r>
      <w:r>
        <w:rPr/>
        <w:t>valores.</w:t>
      </w:r>
    </w:p>
    <w:p>
      <w:pPr>
        <w:pStyle w:val="BodyText"/>
        <w:spacing w:line="360" w:lineRule="auto" w:before="5"/>
        <w:ind w:left="142" w:right="138" w:firstLine="707"/>
        <w:jc w:val="both"/>
      </w:pPr>
      <w:r>
        <w:rPr/>
        <w:t>Cuando existe más de una manera de cubrir una exposición al riesgo dada, el</w:t>
      </w:r>
      <w:r>
        <w:rPr>
          <w:spacing w:val="-10"/>
        </w:rPr>
        <w:t> </w:t>
      </w:r>
      <w:r>
        <w:rPr/>
        <w:t>mecanismo</w:t>
      </w:r>
      <w:r>
        <w:rPr>
          <w:spacing w:val="-10"/>
        </w:rPr>
        <w:t> </w:t>
      </w:r>
      <w:r>
        <w:rPr/>
        <w:t>elegido</w:t>
      </w:r>
      <w:r>
        <w:rPr>
          <w:spacing w:val="-12"/>
        </w:rPr>
        <w:t> </w:t>
      </w:r>
      <w:r>
        <w:rPr/>
        <w:t>deberá</w:t>
      </w:r>
      <w:r>
        <w:rPr>
          <w:spacing w:val="-9"/>
        </w:rPr>
        <w:t> </w:t>
      </w:r>
      <w:r>
        <w:rPr/>
        <w:t>ser</w:t>
      </w:r>
      <w:r>
        <w:rPr>
          <w:spacing w:val="-11"/>
        </w:rPr>
        <w:t> </w:t>
      </w:r>
      <w:r>
        <w:rPr/>
        <w:t>aquel</w:t>
      </w:r>
      <w:r>
        <w:rPr>
          <w:spacing w:val="-10"/>
        </w:rPr>
        <w:t> </w:t>
      </w:r>
      <w:r>
        <w:rPr/>
        <w:t>que</w:t>
      </w:r>
      <w:r>
        <w:rPr>
          <w:spacing w:val="-12"/>
        </w:rPr>
        <w:t> </w:t>
      </w:r>
      <w:r>
        <w:rPr/>
        <w:t>minimice</w:t>
      </w:r>
      <w:r>
        <w:rPr>
          <w:spacing w:val="-10"/>
        </w:rPr>
        <w:t> </w:t>
      </w:r>
      <w:r>
        <w:rPr/>
        <w:t>el</w:t>
      </w:r>
      <w:r>
        <w:rPr>
          <w:spacing w:val="-11"/>
        </w:rPr>
        <w:t> </w:t>
      </w:r>
      <w:r>
        <w:rPr/>
        <w:t>costo</w:t>
      </w:r>
      <w:r>
        <w:rPr>
          <w:spacing w:val="-10"/>
        </w:rPr>
        <w:t> </w:t>
      </w:r>
      <w:r>
        <w:rPr/>
        <w:t>de</w:t>
      </w:r>
      <w:r>
        <w:rPr>
          <w:spacing w:val="-8"/>
        </w:rPr>
        <w:t> </w:t>
      </w:r>
      <w:r>
        <w:rPr/>
        <w:t>lograr</w:t>
      </w:r>
      <w:r>
        <w:rPr>
          <w:spacing w:val="-10"/>
        </w:rPr>
        <w:t> </w:t>
      </w:r>
      <w:r>
        <w:rPr/>
        <w:t>la</w:t>
      </w:r>
      <w:r>
        <w:rPr>
          <w:spacing w:val="-9"/>
        </w:rPr>
        <w:t> </w:t>
      </w:r>
      <w:r>
        <w:rPr/>
        <w:t>reducción de riesgo</w:t>
      </w:r>
      <w:r>
        <w:rPr>
          <w:spacing w:val="-7"/>
        </w:rPr>
        <w:t> </w:t>
      </w:r>
      <w:r>
        <w:rPr/>
        <w:t>deseada.</w:t>
      </w:r>
    </w:p>
    <w:p>
      <w:pPr>
        <w:pStyle w:val="BodyText"/>
        <w:spacing w:line="360" w:lineRule="auto" w:before="5"/>
        <w:ind w:left="142" w:right="139" w:firstLine="707"/>
        <w:jc w:val="both"/>
      </w:pPr>
      <w:r>
        <w:rPr/>
        <w:t>Existe una diferencia fundamental entre aseguramiento y cobertura. Cuando usted se cubre, elimina el riesgo de pérdida cediendo el potencial de ganancia. Cuando se asegura, paga una prima para eliminar el riesgo de pérdida y retiene el potencial de ganancia.</w:t>
      </w:r>
    </w:p>
    <w:p>
      <w:pPr>
        <w:pStyle w:val="BodyText"/>
        <w:spacing w:before="5"/>
        <w:ind w:left="850" w:right="786"/>
      </w:pPr>
      <w:r>
        <w:rPr/>
        <w:t>Así, el proceso de inmnización se da a través de coberturas en:</w:t>
      </w:r>
    </w:p>
    <w:p>
      <w:pPr>
        <w:pStyle w:val="ListParagraph"/>
        <w:numPr>
          <w:ilvl w:val="3"/>
          <w:numId w:val="8"/>
        </w:numPr>
        <w:tabs>
          <w:tab w:pos="1503" w:val="left" w:leader="none"/>
        </w:tabs>
        <w:spacing w:line="240" w:lineRule="auto" w:before="137" w:after="0"/>
        <w:ind w:left="1502" w:right="0" w:hanging="228"/>
        <w:jc w:val="left"/>
        <w:rPr>
          <w:sz w:val="24"/>
        </w:rPr>
      </w:pPr>
      <w:r>
        <w:rPr>
          <w:sz w:val="24"/>
        </w:rPr>
        <w:t>derivados lineales (forwards, FRAs,</w:t>
      </w:r>
      <w:r>
        <w:rPr>
          <w:spacing w:val="-14"/>
          <w:sz w:val="24"/>
        </w:rPr>
        <w:t> </w:t>
      </w:r>
      <w:r>
        <w:rPr>
          <w:sz w:val="24"/>
        </w:rPr>
        <w:t>futuros)</w:t>
      </w:r>
    </w:p>
    <w:p>
      <w:pPr>
        <w:pStyle w:val="ListParagraph"/>
        <w:numPr>
          <w:ilvl w:val="3"/>
          <w:numId w:val="8"/>
        </w:numPr>
        <w:tabs>
          <w:tab w:pos="1503" w:val="left" w:leader="none"/>
        </w:tabs>
        <w:spacing w:line="240" w:lineRule="auto" w:before="139" w:after="0"/>
        <w:ind w:left="1502" w:right="0" w:hanging="228"/>
        <w:jc w:val="left"/>
        <w:rPr>
          <w:sz w:val="24"/>
        </w:rPr>
      </w:pPr>
      <w:r>
        <w:rPr>
          <w:sz w:val="24"/>
        </w:rPr>
        <w:t>derivados no lineales</w:t>
      </w:r>
      <w:r>
        <w:rPr>
          <w:spacing w:val="-9"/>
          <w:sz w:val="24"/>
        </w:rPr>
        <w:t> </w:t>
      </w:r>
      <w:r>
        <w:rPr>
          <w:sz w:val="24"/>
        </w:rPr>
        <w:t>(opciones)</w:t>
      </w:r>
    </w:p>
    <w:p>
      <w:pPr>
        <w:pStyle w:val="ListParagraph"/>
        <w:numPr>
          <w:ilvl w:val="3"/>
          <w:numId w:val="8"/>
        </w:numPr>
        <w:tabs>
          <w:tab w:pos="1503" w:val="left" w:leader="none"/>
        </w:tabs>
        <w:spacing w:line="240" w:lineRule="auto" w:before="137" w:after="0"/>
        <w:ind w:left="1502" w:right="0" w:hanging="228"/>
        <w:jc w:val="left"/>
        <w:rPr>
          <w:sz w:val="24"/>
        </w:rPr>
      </w:pPr>
      <w:r>
        <w:rPr>
          <w:sz w:val="24"/>
        </w:rPr>
        <w:t>derivados de</w:t>
      </w:r>
      <w:r>
        <w:rPr>
          <w:spacing w:val="-7"/>
          <w:sz w:val="24"/>
        </w:rPr>
        <w:t> </w:t>
      </w:r>
      <w:r>
        <w:rPr>
          <w:sz w:val="24"/>
        </w:rPr>
        <w:t>crédito</w:t>
      </w:r>
    </w:p>
    <w:p>
      <w:pPr>
        <w:pStyle w:val="BodyText"/>
        <w:spacing w:line="360" w:lineRule="auto" w:before="139"/>
        <w:ind w:left="142" w:right="136" w:firstLine="707"/>
        <w:jc w:val="both"/>
      </w:pPr>
      <w:r>
        <w:rPr/>
        <w:t>Para lograr una efectiva identificación de riesgo, es necesario considerar la naturaleza de los riesgos que se presentan en una sola transacción. Por ejemplo, los de mercado están asociados a la volatilidad, estructura de correlaciones y liquidez, pero éstos no pueden estar separados de otros, tales como riesgos operativos (riesgos de modelo, de fallas humanas o de sistemas) o riesgos de crédito (incumplimiento de contrapartes, riesgos en la custodia de valores, en la liquidación, en el degradamiento de la calificación crediticia de algún instrumento o problemas con el colateral o garantías). Por ejemplo, el riesgo de comprar una opción en el mercado de derivados (fuera de bolsa OTC), implica un riesgo de mercado pero también uno de crédito y riesgos operacionales al mismo tiempo.</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38" w:firstLine="707"/>
        <w:jc w:val="both"/>
      </w:pPr>
      <w:r>
        <w:rPr/>
        <w:t>El siguiente paso en el proceso de administración de riesgos es el que se refiere a la cuantificación. Este aspecto ha sido suficientemente explorado en materia de riesgos de mercado. Existen una serie de conceptos que cuantifican el riesgo</w:t>
      </w:r>
      <w:r>
        <w:rPr>
          <w:spacing w:val="-15"/>
        </w:rPr>
        <w:t> </w:t>
      </w:r>
      <w:r>
        <w:rPr/>
        <w:t>de</w:t>
      </w:r>
      <w:r>
        <w:rPr>
          <w:spacing w:val="-17"/>
        </w:rPr>
        <w:t> </w:t>
      </w:r>
      <w:r>
        <w:rPr/>
        <w:t>mercado,</w:t>
      </w:r>
      <w:r>
        <w:rPr>
          <w:spacing w:val="-15"/>
        </w:rPr>
        <w:t> </w:t>
      </w:r>
      <w:r>
        <w:rPr/>
        <w:t>entre</w:t>
      </w:r>
      <w:r>
        <w:rPr>
          <w:spacing w:val="-16"/>
        </w:rPr>
        <w:t> </w:t>
      </w:r>
      <w:r>
        <w:rPr/>
        <w:t>ellos</w:t>
      </w:r>
      <w:r>
        <w:rPr>
          <w:spacing w:val="-15"/>
        </w:rPr>
        <w:t> </w:t>
      </w:r>
      <w:r>
        <w:rPr/>
        <w:t>podemos</w:t>
      </w:r>
      <w:r>
        <w:rPr>
          <w:spacing w:val="-17"/>
        </w:rPr>
        <w:t> </w:t>
      </w:r>
      <w:r>
        <w:rPr/>
        <w:t>citar:</w:t>
      </w:r>
      <w:r>
        <w:rPr>
          <w:spacing w:val="-18"/>
        </w:rPr>
        <w:t> </w:t>
      </w:r>
      <w:r>
        <w:rPr/>
        <w:t>valor</w:t>
      </w:r>
      <w:r>
        <w:rPr>
          <w:spacing w:val="-16"/>
        </w:rPr>
        <w:t> </w:t>
      </w:r>
      <w:r>
        <w:rPr/>
        <w:t>en</w:t>
      </w:r>
      <w:r>
        <w:rPr>
          <w:spacing w:val="-15"/>
        </w:rPr>
        <w:t> </w:t>
      </w:r>
      <w:r>
        <w:rPr/>
        <w:t>riesgo,</w:t>
      </w:r>
      <w:r>
        <w:rPr>
          <w:spacing w:val="-17"/>
        </w:rPr>
        <w:t> </w:t>
      </w:r>
      <w:r>
        <w:rPr/>
        <w:t>duración,</w:t>
      </w:r>
      <w:r>
        <w:rPr>
          <w:spacing w:val="-17"/>
        </w:rPr>
        <w:t> </w:t>
      </w:r>
      <w:r>
        <w:rPr/>
        <w:t>convexidad, peor escenario, análisis de sensibilidad, beta, delta, etcétera. Muchas medidas de riesgo pueden ser utilizadas. En este artículo, ponemos especial atención al concepto de valor en riesgo (VaR) que se popularizó gracias a JP Morgan. El valor en riesgo es un estimado de la máxima pérdida esperada que puede sufrir un portafolio durante un período de tiempo específico y con un nivel de confianza o</w:t>
      </w:r>
      <w:r>
        <w:rPr>
          <w:spacing w:val="-40"/>
        </w:rPr>
        <w:t> </w:t>
      </w:r>
      <w:r>
        <w:rPr/>
        <w:t>de probabilidad</w:t>
      </w:r>
      <w:r>
        <w:rPr>
          <w:spacing w:val="-8"/>
        </w:rPr>
        <w:t> </w:t>
      </w:r>
      <w:r>
        <w:rPr/>
        <w:t>definido.</w:t>
      </w:r>
    </w:p>
    <w:p>
      <w:pPr>
        <w:pStyle w:val="BodyText"/>
        <w:spacing w:line="360" w:lineRule="auto" w:before="2"/>
        <w:ind w:left="142" w:right="139" w:firstLine="707"/>
        <w:jc w:val="both"/>
      </w:pPr>
      <w:r>
        <w:rPr/>
        <w:t>En el caso de riesgos de crédito, la cuantificación se realiza a partir del cálculo de la probabilidad de impago o de incumplimiento. JP Morgan ha publicado un documento técnico denominado Creditmetrics en el que pretende establecer un paradigma similar al del valor en riesgo pero instrumentado en riesgos de crédito. Es decir, un estimado de pérdidas esperadas por riesgo crediticio.</w:t>
      </w:r>
    </w:p>
    <w:p>
      <w:pPr>
        <w:pStyle w:val="BodyText"/>
        <w:spacing w:line="360" w:lineRule="auto" w:before="2"/>
        <w:ind w:left="142" w:right="145" w:firstLine="707"/>
        <w:jc w:val="both"/>
      </w:pPr>
      <w:r>
        <w:rPr/>
        <w:t>La utilidad de este concepto radica en que las instituciones financieras pueden crear reservas preventivas de pérdidas derivadas de incumplimientos de contrapartes o de problemas con el colateral.</w:t>
      </w:r>
    </w:p>
    <w:p>
      <w:pPr>
        <w:pStyle w:val="BodyText"/>
        <w:spacing w:line="360" w:lineRule="auto" w:before="5"/>
        <w:ind w:left="142" w:right="136" w:firstLine="707"/>
        <w:jc w:val="both"/>
      </w:pPr>
      <w:r>
        <w:rPr/>
        <w:t>Una cultura de riesgos, crean una ventaja competitiva frente a las demás. Asumen riesgos más conscientemente, se anticipan a los cambios adversos, se protegen o cubren sus posiciones de eventos inesperados y logran experiencia en el manejo de riesgos. Por el contrario, las instituciones que no tienen cultura de riesgos, posiblemente ganen más dinero en el corto plazo pero en el largo plazo convertirán sus riesgos en pérdidas importantes que pueden significar inclusive, la bancarrota.</w:t>
      </w:r>
    </w:p>
    <w:p>
      <w:pPr>
        <w:pStyle w:val="BodyText"/>
      </w:pPr>
    </w:p>
    <w:p>
      <w:pPr>
        <w:pStyle w:val="ListParagraph"/>
        <w:numPr>
          <w:ilvl w:val="1"/>
          <w:numId w:val="8"/>
        </w:numPr>
        <w:tabs>
          <w:tab w:pos="594" w:val="left" w:leader="none"/>
        </w:tabs>
        <w:spacing w:line="240" w:lineRule="auto" w:before="199" w:after="0"/>
        <w:ind w:left="593" w:right="0" w:hanging="451"/>
        <w:jc w:val="left"/>
        <w:rPr>
          <w:b/>
          <w:sz w:val="18"/>
        </w:rPr>
      </w:pPr>
      <w:bookmarkStart w:name="_bookmark11" w:id="22"/>
      <w:bookmarkEnd w:id="22"/>
      <w:r>
        <w:rPr/>
      </w:r>
      <w:bookmarkStart w:name="_bookmark11" w:id="23"/>
      <w:bookmarkEnd w:id="23"/>
      <w:r>
        <w:rPr>
          <w:b/>
          <w:sz w:val="28"/>
        </w:rPr>
        <w:t>E</w:t>
      </w:r>
      <w:r>
        <w:rPr>
          <w:b/>
          <w:sz w:val="22"/>
        </w:rPr>
        <w:t>VALUACION DEL RIESGO A TRAVÉS DEL</w:t>
      </w:r>
      <w:r>
        <w:rPr>
          <w:b/>
          <w:spacing w:val="-11"/>
          <w:sz w:val="22"/>
        </w:rPr>
        <w:t> </w:t>
      </w:r>
      <w:r>
        <w:rPr>
          <w:b/>
          <w:sz w:val="28"/>
        </w:rPr>
        <w:t>V</w:t>
      </w:r>
      <w:r>
        <w:rPr>
          <w:b/>
          <w:sz w:val="22"/>
        </w:rPr>
        <w:t>A</w:t>
      </w:r>
      <w:r>
        <w:rPr>
          <w:b/>
          <w:sz w:val="28"/>
        </w:rPr>
        <w:t>R</w:t>
      </w:r>
      <w:r>
        <w:rPr>
          <w:b/>
          <w:position w:val="10"/>
          <w:sz w:val="18"/>
        </w:rPr>
        <w:t>12</w:t>
      </w:r>
    </w:p>
    <w:p>
      <w:pPr>
        <w:pStyle w:val="BodyText"/>
        <w:spacing w:line="360" w:lineRule="auto" w:before="241"/>
        <w:ind w:left="142" w:right="136" w:firstLine="707"/>
        <w:jc w:val="both"/>
      </w:pPr>
      <w:r>
        <w:rPr/>
        <w:t>La elección de un portafolio de inversión descansa en conceptos asociados al retorno y al grado de liquidez de los instrumentos. La dimensión de riesgo se</w:t>
      </w:r>
    </w:p>
    <w:p>
      <w:pPr>
        <w:pStyle w:val="BodyText"/>
        <w:spacing w:before="2"/>
        <w:rPr>
          <w:sz w:val="12"/>
        </w:rPr>
      </w:pPr>
      <w:r>
        <w:rPr/>
        <w:pict>
          <v:line style="position:absolute;mso-position-horizontal-relative:page;mso-position-vertical-relative:paragraph;z-index:1240;mso-wrap-distance-left:0;mso-wrap-distance-right:0" from="85.103996pt,9.289918pt" to="229.123996pt,9.289918pt" stroked="true" strokeweight=".599980pt" strokecolor="#000000">
            <w10:wrap type="topAndBottom"/>
          </v:line>
        </w:pict>
      </w:r>
    </w:p>
    <w:p>
      <w:pPr>
        <w:spacing w:before="78"/>
        <w:ind w:left="142" w:right="786" w:firstLine="0"/>
        <w:jc w:val="left"/>
        <w:rPr>
          <w:sz w:val="20"/>
        </w:rPr>
      </w:pPr>
      <w:r>
        <w:rPr>
          <w:position w:val="6"/>
          <w:sz w:val="13"/>
        </w:rPr>
        <w:t>12 </w:t>
      </w:r>
      <w:r>
        <w:rPr>
          <w:sz w:val="20"/>
        </w:rPr>
        <w:t>Fuente: </w:t>
      </w:r>
      <w:hyperlink r:id="rId18">
        <w:r>
          <w:rPr>
            <w:color w:val="0000FF"/>
            <w:sz w:val="20"/>
            <w:u w:val="single" w:color="0000FF"/>
          </w:rPr>
          <w:t>http://ideas.repec.org/p/chb/bcchwp/67.html</w:t>
        </w:r>
      </w:hyperlink>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57" w:lineRule="auto" w:before="70"/>
        <w:ind w:left="142"/>
        <w:rPr>
          <w:sz w:val="16"/>
        </w:rPr>
      </w:pPr>
      <w:r>
        <w:rPr/>
        <w:t>suele</w:t>
      </w:r>
      <w:r>
        <w:rPr>
          <w:spacing w:val="-19"/>
        </w:rPr>
        <w:t> </w:t>
      </w:r>
      <w:r>
        <w:rPr/>
        <w:t>medir</w:t>
      </w:r>
      <w:r>
        <w:rPr>
          <w:spacing w:val="-17"/>
        </w:rPr>
        <w:t> </w:t>
      </w:r>
      <w:r>
        <w:rPr/>
        <w:t>a</w:t>
      </w:r>
      <w:r>
        <w:rPr>
          <w:spacing w:val="-19"/>
        </w:rPr>
        <w:t> </w:t>
      </w:r>
      <w:r>
        <w:rPr/>
        <w:t>través</w:t>
      </w:r>
      <w:r>
        <w:rPr>
          <w:spacing w:val="-17"/>
        </w:rPr>
        <w:t> </w:t>
      </w:r>
      <w:r>
        <w:rPr/>
        <w:t>de</w:t>
      </w:r>
      <w:r>
        <w:rPr>
          <w:spacing w:val="-17"/>
        </w:rPr>
        <w:t> </w:t>
      </w:r>
      <w:r>
        <w:rPr/>
        <w:t>diferentes</w:t>
      </w:r>
      <w:r>
        <w:rPr>
          <w:spacing w:val="-17"/>
        </w:rPr>
        <w:t> </w:t>
      </w:r>
      <w:r>
        <w:rPr/>
        <w:t>enfoques</w:t>
      </w:r>
      <w:r>
        <w:rPr>
          <w:spacing w:val="-15"/>
        </w:rPr>
        <w:t> </w:t>
      </w:r>
      <w:r>
        <w:rPr/>
        <w:t>que</w:t>
      </w:r>
      <w:r>
        <w:rPr>
          <w:spacing w:val="-17"/>
        </w:rPr>
        <w:t> </w:t>
      </w:r>
      <w:r>
        <w:rPr/>
        <w:t>van</w:t>
      </w:r>
      <w:r>
        <w:rPr>
          <w:spacing w:val="-17"/>
        </w:rPr>
        <w:t> </w:t>
      </w:r>
      <w:r>
        <w:rPr/>
        <w:t>desde</w:t>
      </w:r>
      <w:r>
        <w:rPr>
          <w:spacing w:val="-17"/>
        </w:rPr>
        <w:t> </w:t>
      </w:r>
      <w:r>
        <w:rPr/>
        <w:t>conceptos</w:t>
      </w:r>
      <w:r>
        <w:rPr>
          <w:spacing w:val="-17"/>
        </w:rPr>
        <w:t> </w:t>
      </w:r>
      <w:r>
        <w:rPr/>
        <w:t>simples</w:t>
      </w:r>
      <w:r>
        <w:rPr>
          <w:spacing w:val="-17"/>
        </w:rPr>
        <w:t> </w:t>
      </w:r>
      <w:r>
        <w:rPr/>
        <w:t>hasta métodos más sofisticados, por</w:t>
      </w:r>
      <w:r>
        <w:rPr>
          <w:spacing w:val="-16"/>
        </w:rPr>
        <w:t> </w:t>
      </w:r>
      <w:r>
        <w:rPr/>
        <w:t>ejemplo:</w:t>
      </w:r>
      <w:r>
        <w:rPr>
          <w:position w:val="8"/>
          <w:sz w:val="16"/>
        </w:rPr>
        <w:t>13</w:t>
      </w:r>
    </w:p>
    <w:p>
      <w:pPr>
        <w:pStyle w:val="ListParagraph"/>
        <w:numPr>
          <w:ilvl w:val="2"/>
          <w:numId w:val="8"/>
        </w:numPr>
        <w:tabs>
          <w:tab w:pos="1274" w:val="left" w:leader="none"/>
          <w:tab w:pos="1275" w:val="left" w:leader="none"/>
        </w:tabs>
        <w:spacing w:line="240" w:lineRule="auto" w:before="2" w:after="0"/>
        <w:ind w:left="1274" w:right="0" w:hanging="357"/>
        <w:jc w:val="left"/>
        <w:rPr>
          <w:sz w:val="24"/>
        </w:rPr>
      </w:pPr>
      <w:r>
        <w:rPr>
          <w:sz w:val="24"/>
        </w:rPr>
        <w:t>Análisis de Retorno</w:t>
      </w:r>
      <w:r>
        <w:rPr>
          <w:spacing w:val="-8"/>
          <w:sz w:val="24"/>
        </w:rPr>
        <w:t> </w:t>
      </w:r>
      <w:r>
        <w:rPr>
          <w:sz w:val="24"/>
        </w:rPr>
        <w:t>Total.</w:t>
      </w:r>
    </w:p>
    <w:p>
      <w:pPr>
        <w:pStyle w:val="ListParagraph"/>
        <w:numPr>
          <w:ilvl w:val="2"/>
          <w:numId w:val="8"/>
        </w:numPr>
        <w:tabs>
          <w:tab w:pos="1274" w:val="left" w:leader="none"/>
          <w:tab w:pos="1275" w:val="left" w:leader="none"/>
        </w:tabs>
        <w:spacing w:line="240" w:lineRule="auto" w:before="135" w:after="0"/>
        <w:ind w:left="1274" w:right="0" w:hanging="357"/>
        <w:jc w:val="left"/>
        <w:rPr>
          <w:sz w:val="24"/>
        </w:rPr>
      </w:pPr>
      <w:r>
        <w:rPr>
          <w:sz w:val="24"/>
        </w:rPr>
        <w:t>Determinación de una Frontera</w:t>
      </w:r>
      <w:r>
        <w:rPr>
          <w:spacing w:val="-15"/>
          <w:sz w:val="24"/>
        </w:rPr>
        <w:t> </w:t>
      </w:r>
      <w:r>
        <w:rPr>
          <w:sz w:val="24"/>
        </w:rPr>
        <w:t>Eficiente.</w:t>
      </w:r>
    </w:p>
    <w:p>
      <w:pPr>
        <w:pStyle w:val="ListParagraph"/>
        <w:numPr>
          <w:ilvl w:val="2"/>
          <w:numId w:val="8"/>
        </w:numPr>
        <w:tabs>
          <w:tab w:pos="1274" w:val="left" w:leader="none"/>
          <w:tab w:pos="1275" w:val="left" w:leader="none"/>
        </w:tabs>
        <w:spacing w:line="240" w:lineRule="auto" w:before="138" w:after="0"/>
        <w:ind w:left="1274" w:right="0" w:hanging="357"/>
        <w:jc w:val="left"/>
        <w:rPr>
          <w:sz w:val="24"/>
        </w:rPr>
      </w:pPr>
      <w:r>
        <w:rPr>
          <w:sz w:val="24"/>
        </w:rPr>
        <w:t>Valor en Riesgo </w:t>
      </w:r>
      <w:r>
        <w:rPr>
          <w:rFonts w:ascii="Symbol" w:hAnsi="Symbol"/>
          <w:sz w:val="24"/>
        </w:rPr>
        <w:t></w:t>
      </w:r>
      <w:r>
        <w:rPr>
          <w:sz w:val="24"/>
        </w:rPr>
        <w:t>Value at Risk</w:t>
      </w:r>
      <w:r>
        <w:rPr>
          <w:rFonts w:ascii="Symbol" w:hAnsi="Symbol"/>
          <w:sz w:val="24"/>
        </w:rPr>
        <w:t></w:t>
      </w:r>
      <w:r>
        <w:rPr>
          <w:rFonts w:ascii="Times New Roman" w:hAnsi="Times New Roman"/>
          <w:spacing w:val="-3"/>
          <w:sz w:val="24"/>
        </w:rPr>
        <w:t> </w:t>
      </w:r>
      <w:r>
        <w:rPr>
          <w:sz w:val="24"/>
        </w:rPr>
        <w:t>(VaR).</w:t>
      </w:r>
    </w:p>
    <w:p>
      <w:pPr>
        <w:pStyle w:val="ListParagraph"/>
        <w:numPr>
          <w:ilvl w:val="3"/>
          <w:numId w:val="8"/>
        </w:numPr>
        <w:tabs>
          <w:tab w:pos="1503" w:val="left" w:leader="none"/>
        </w:tabs>
        <w:spacing w:line="240" w:lineRule="auto" w:before="144" w:after="0"/>
        <w:ind w:left="1502" w:right="0" w:hanging="228"/>
        <w:jc w:val="left"/>
        <w:rPr>
          <w:sz w:val="24"/>
        </w:rPr>
      </w:pPr>
      <w:r>
        <w:rPr>
          <w:sz w:val="24"/>
        </w:rPr>
        <w:t>Método</w:t>
      </w:r>
      <w:r>
        <w:rPr>
          <w:spacing w:val="-3"/>
          <w:sz w:val="24"/>
        </w:rPr>
        <w:t> </w:t>
      </w:r>
      <w:r>
        <w:rPr>
          <w:sz w:val="24"/>
        </w:rPr>
        <w:t>Delta-Normal.</w:t>
      </w:r>
    </w:p>
    <w:p>
      <w:pPr>
        <w:pStyle w:val="ListParagraph"/>
        <w:numPr>
          <w:ilvl w:val="3"/>
          <w:numId w:val="8"/>
        </w:numPr>
        <w:tabs>
          <w:tab w:pos="1503" w:val="left" w:leader="none"/>
        </w:tabs>
        <w:spacing w:line="240" w:lineRule="auto" w:before="139" w:after="0"/>
        <w:ind w:left="1502" w:right="0" w:hanging="228"/>
        <w:jc w:val="left"/>
        <w:rPr>
          <w:sz w:val="24"/>
        </w:rPr>
      </w:pPr>
      <w:r>
        <w:rPr>
          <w:sz w:val="24"/>
        </w:rPr>
        <w:t>Método de Simulación</w:t>
      </w:r>
      <w:r>
        <w:rPr>
          <w:spacing w:val="-12"/>
          <w:sz w:val="24"/>
        </w:rPr>
        <w:t> </w:t>
      </w:r>
      <w:r>
        <w:rPr>
          <w:sz w:val="24"/>
        </w:rPr>
        <w:t>Histórica.</w:t>
      </w:r>
    </w:p>
    <w:p>
      <w:pPr>
        <w:pStyle w:val="ListParagraph"/>
        <w:numPr>
          <w:ilvl w:val="3"/>
          <w:numId w:val="8"/>
        </w:numPr>
        <w:tabs>
          <w:tab w:pos="1503" w:val="left" w:leader="none"/>
        </w:tabs>
        <w:spacing w:line="240" w:lineRule="auto" w:before="137" w:after="0"/>
        <w:ind w:left="1502" w:right="0" w:hanging="228"/>
        <w:jc w:val="left"/>
        <w:rPr>
          <w:sz w:val="24"/>
        </w:rPr>
      </w:pPr>
      <w:r>
        <w:rPr>
          <w:sz w:val="24"/>
        </w:rPr>
        <w:t>Método de Stress-Testing o Método de Situaciones</w:t>
      </w:r>
      <w:r>
        <w:rPr>
          <w:spacing w:val="-18"/>
          <w:sz w:val="24"/>
        </w:rPr>
        <w:t> </w:t>
      </w:r>
      <w:r>
        <w:rPr>
          <w:sz w:val="24"/>
        </w:rPr>
        <w:t>Extremas.</w:t>
      </w:r>
    </w:p>
    <w:p>
      <w:pPr>
        <w:pStyle w:val="ListParagraph"/>
        <w:numPr>
          <w:ilvl w:val="3"/>
          <w:numId w:val="8"/>
        </w:numPr>
        <w:tabs>
          <w:tab w:pos="1503" w:val="left" w:leader="none"/>
        </w:tabs>
        <w:spacing w:line="240" w:lineRule="auto" w:before="140" w:after="0"/>
        <w:ind w:left="1502" w:right="0" w:hanging="228"/>
        <w:jc w:val="left"/>
        <w:rPr>
          <w:sz w:val="24"/>
        </w:rPr>
      </w:pPr>
      <w:r>
        <w:rPr>
          <w:sz w:val="24"/>
        </w:rPr>
        <w:t>Teoría de Valores Extremos</w:t>
      </w:r>
      <w:r>
        <w:rPr>
          <w:spacing w:val="-13"/>
          <w:sz w:val="24"/>
        </w:rPr>
        <w:t> </w:t>
      </w:r>
      <w:r>
        <w:rPr>
          <w:sz w:val="24"/>
        </w:rPr>
        <w:t>(EVT).</w:t>
      </w:r>
    </w:p>
    <w:p>
      <w:pPr>
        <w:pStyle w:val="ListParagraph"/>
        <w:numPr>
          <w:ilvl w:val="3"/>
          <w:numId w:val="8"/>
        </w:numPr>
        <w:tabs>
          <w:tab w:pos="1503" w:val="left" w:leader="none"/>
        </w:tabs>
        <w:spacing w:line="240" w:lineRule="auto" w:before="137" w:after="0"/>
        <w:ind w:left="1502" w:right="0" w:hanging="228"/>
        <w:jc w:val="left"/>
        <w:rPr>
          <w:sz w:val="24"/>
        </w:rPr>
      </w:pPr>
      <w:r>
        <w:rPr>
          <w:sz w:val="24"/>
        </w:rPr>
        <w:t>Método de Simulaciones de Monte</w:t>
      </w:r>
      <w:r>
        <w:rPr>
          <w:spacing w:val="-13"/>
          <w:sz w:val="24"/>
        </w:rPr>
        <w:t> </w:t>
      </w:r>
      <w:r>
        <w:rPr>
          <w:sz w:val="24"/>
        </w:rPr>
        <w:t>Carlo.</w:t>
      </w:r>
    </w:p>
    <w:p>
      <w:pPr>
        <w:pStyle w:val="ListParagraph"/>
        <w:numPr>
          <w:ilvl w:val="2"/>
          <w:numId w:val="8"/>
        </w:numPr>
        <w:tabs>
          <w:tab w:pos="1274" w:val="left" w:leader="none"/>
          <w:tab w:pos="1275" w:val="left" w:leader="none"/>
        </w:tabs>
        <w:spacing w:line="240" w:lineRule="auto" w:before="140" w:after="0"/>
        <w:ind w:left="1274" w:right="0" w:hanging="357"/>
        <w:jc w:val="left"/>
        <w:rPr>
          <w:sz w:val="24"/>
        </w:rPr>
      </w:pPr>
      <w:r>
        <w:rPr>
          <w:sz w:val="24"/>
        </w:rPr>
        <w:t>Tracking</w:t>
      </w:r>
      <w:r>
        <w:rPr>
          <w:spacing w:val="-3"/>
          <w:sz w:val="24"/>
        </w:rPr>
        <w:t> </w:t>
      </w:r>
      <w:r>
        <w:rPr>
          <w:sz w:val="24"/>
        </w:rPr>
        <w:t>Error.</w:t>
      </w:r>
    </w:p>
    <w:p>
      <w:pPr>
        <w:pStyle w:val="BodyText"/>
        <w:spacing w:line="360" w:lineRule="auto" w:before="135"/>
        <w:ind w:left="142" w:right="138" w:firstLine="707"/>
        <w:jc w:val="both"/>
      </w:pPr>
      <w:r>
        <w:rPr/>
        <w:t>Estas</w:t>
      </w:r>
      <w:r>
        <w:rPr>
          <w:spacing w:val="-13"/>
        </w:rPr>
        <w:t> </w:t>
      </w:r>
      <w:r>
        <w:rPr/>
        <w:t>metodologías</w:t>
      </w:r>
      <w:r>
        <w:rPr>
          <w:spacing w:val="-10"/>
        </w:rPr>
        <w:t> </w:t>
      </w:r>
      <w:r>
        <w:rPr/>
        <w:t>tienen</w:t>
      </w:r>
      <w:r>
        <w:rPr>
          <w:spacing w:val="-12"/>
        </w:rPr>
        <w:t> </w:t>
      </w:r>
      <w:r>
        <w:rPr/>
        <w:t>la</w:t>
      </w:r>
      <w:r>
        <w:rPr>
          <w:spacing w:val="-12"/>
        </w:rPr>
        <w:t> </w:t>
      </w:r>
      <w:r>
        <w:rPr/>
        <w:t>ventaja</w:t>
      </w:r>
      <w:r>
        <w:rPr>
          <w:spacing w:val="-12"/>
        </w:rPr>
        <w:t> </w:t>
      </w:r>
      <w:r>
        <w:rPr/>
        <w:t>de</w:t>
      </w:r>
      <w:r>
        <w:rPr>
          <w:spacing w:val="-12"/>
        </w:rPr>
        <w:t> </w:t>
      </w:r>
      <w:r>
        <w:rPr/>
        <w:t>entregar</w:t>
      </w:r>
      <w:r>
        <w:rPr>
          <w:spacing w:val="-11"/>
        </w:rPr>
        <w:t> </w:t>
      </w:r>
      <w:r>
        <w:rPr/>
        <w:t>un</w:t>
      </w:r>
      <w:r>
        <w:rPr>
          <w:spacing w:val="-12"/>
        </w:rPr>
        <w:t> </w:t>
      </w:r>
      <w:r>
        <w:rPr/>
        <w:t>marco</w:t>
      </w:r>
      <w:r>
        <w:rPr>
          <w:spacing w:val="-12"/>
        </w:rPr>
        <w:t> </w:t>
      </w:r>
      <w:r>
        <w:rPr/>
        <w:t>de</w:t>
      </w:r>
      <w:r>
        <w:rPr>
          <w:spacing w:val="-12"/>
        </w:rPr>
        <w:t> </w:t>
      </w:r>
      <w:r>
        <w:rPr/>
        <w:t>referencia</w:t>
      </w:r>
      <w:r>
        <w:rPr>
          <w:spacing w:val="-10"/>
        </w:rPr>
        <w:t> </w:t>
      </w:r>
      <w:r>
        <w:rPr/>
        <w:t>que permita formalizar la discusión del tema del riesgo en portafolios de inversión, de manera</w:t>
      </w:r>
      <w:r>
        <w:rPr>
          <w:spacing w:val="-8"/>
        </w:rPr>
        <w:t> </w:t>
      </w:r>
      <w:r>
        <w:rPr/>
        <w:t>de</w:t>
      </w:r>
      <w:r>
        <w:rPr>
          <w:spacing w:val="-7"/>
        </w:rPr>
        <w:t> </w:t>
      </w:r>
      <w:r>
        <w:rPr/>
        <w:t>ampliar</w:t>
      </w:r>
      <w:r>
        <w:rPr>
          <w:spacing w:val="-8"/>
        </w:rPr>
        <w:t> </w:t>
      </w:r>
      <w:r>
        <w:rPr/>
        <w:t>el</w:t>
      </w:r>
      <w:r>
        <w:rPr>
          <w:spacing w:val="-8"/>
        </w:rPr>
        <w:t> </w:t>
      </w:r>
      <w:r>
        <w:rPr/>
        <w:t>horizonte</w:t>
      </w:r>
      <w:r>
        <w:rPr>
          <w:spacing w:val="-7"/>
        </w:rPr>
        <w:t> </w:t>
      </w:r>
      <w:r>
        <w:rPr/>
        <w:t>de</w:t>
      </w:r>
      <w:r>
        <w:rPr>
          <w:spacing w:val="-7"/>
        </w:rPr>
        <w:t> </w:t>
      </w:r>
      <w:r>
        <w:rPr/>
        <w:t>evaluación</w:t>
      </w:r>
      <w:r>
        <w:rPr>
          <w:spacing w:val="-4"/>
        </w:rPr>
        <w:t> </w:t>
      </w:r>
      <w:r>
        <w:rPr/>
        <w:t>de</w:t>
      </w:r>
      <w:r>
        <w:rPr>
          <w:spacing w:val="-7"/>
        </w:rPr>
        <w:t> </w:t>
      </w:r>
      <w:r>
        <w:rPr/>
        <w:t>una</w:t>
      </w:r>
      <w:r>
        <w:rPr>
          <w:spacing w:val="-7"/>
        </w:rPr>
        <w:t> </w:t>
      </w:r>
      <w:r>
        <w:rPr/>
        <w:t>cartera</w:t>
      </w:r>
      <w:r>
        <w:rPr>
          <w:spacing w:val="-8"/>
        </w:rPr>
        <w:t> </w:t>
      </w:r>
      <w:r>
        <w:rPr/>
        <w:t>considerando</w:t>
      </w:r>
      <w:r>
        <w:rPr>
          <w:spacing w:val="-7"/>
        </w:rPr>
        <w:t> </w:t>
      </w:r>
      <w:r>
        <w:rPr/>
        <w:t>criterios de riesgo, adicionalmente a consideraciones de</w:t>
      </w:r>
      <w:r>
        <w:rPr>
          <w:spacing w:val="-12"/>
        </w:rPr>
        <w:t> </w:t>
      </w:r>
      <w:r>
        <w:rPr/>
        <w:t>retorno.</w:t>
      </w:r>
    </w:p>
    <w:p>
      <w:pPr>
        <w:pStyle w:val="BodyText"/>
        <w:spacing w:line="360" w:lineRule="auto" w:before="5"/>
        <w:ind w:left="142" w:right="136" w:firstLine="707"/>
        <w:jc w:val="both"/>
        <w:rPr>
          <w:sz w:val="16"/>
        </w:rPr>
      </w:pPr>
      <w:r>
        <w:rPr/>
        <w:t>La aplicación de estos métodos va más allá del análisis de un portafolio en particular.</w:t>
      </w:r>
      <w:r>
        <w:rPr>
          <w:spacing w:val="-19"/>
        </w:rPr>
        <w:t> </w:t>
      </w:r>
      <w:r>
        <w:rPr/>
        <w:t>La</w:t>
      </w:r>
      <w:r>
        <w:rPr>
          <w:spacing w:val="-18"/>
        </w:rPr>
        <w:t> </w:t>
      </w:r>
      <w:r>
        <w:rPr/>
        <w:t>utilización</w:t>
      </w:r>
      <w:r>
        <w:rPr>
          <w:spacing w:val="-15"/>
        </w:rPr>
        <w:t> </w:t>
      </w:r>
      <w:r>
        <w:rPr/>
        <w:t>de</w:t>
      </w:r>
      <w:r>
        <w:rPr>
          <w:spacing w:val="-13"/>
        </w:rPr>
        <w:t> </w:t>
      </w:r>
      <w:r>
        <w:rPr/>
        <w:t>criterios</w:t>
      </w:r>
      <w:r>
        <w:rPr>
          <w:spacing w:val="-19"/>
        </w:rPr>
        <w:t> </w:t>
      </w:r>
      <w:r>
        <w:rPr/>
        <w:t>de</w:t>
      </w:r>
      <w:r>
        <w:rPr>
          <w:spacing w:val="-18"/>
        </w:rPr>
        <w:t> </w:t>
      </w:r>
      <w:r>
        <w:rPr/>
        <w:t>VaR</w:t>
      </w:r>
      <w:r>
        <w:rPr>
          <w:spacing w:val="-19"/>
        </w:rPr>
        <w:t> </w:t>
      </w:r>
      <w:r>
        <w:rPr/>
        <w:t>para</w:t>
      </w:r>
      <w:r>
        <w:rPr>
          <w:spacing w:val="-16"/>
        </w:rPr>
        <w:t> </w:t>
      </w:r>
      <w:r>
        <w:rPr/>
        <w:t>el</w:t>
      </w:r>
      <w:r>
        <w:rPr>
          <w:spacing w:val="-17"/>
        </w:rPr>
        <w:t> </w:t>
      </w:r>
      <w:r>
        <w:rPr/>
        <w:t>control</w:t>
      </w:r>
      <w:r>
        <w:rPr>
          <w:spacing w:val="-19"/>
        </w:rPr>
        <w:t> </w:t>
      </w:r>
      <w:r>
        <w:rPr/>
        <w:t>del</w:t>
      </w:r>
      <w:r>
        <w:rPr>
          <w:spacing w:val="-19"/>
        </w:rPr>
        <w:t> </w:t>
      </w:r>
      <w:r>
        <w:rPr/>
        <w:t>riesgo</w:t>
      </w:r>
      <w:r>
        <w:rPr>
          <w:spacing w:val="-16"/>
        </w:rPr>
        <w:t> </w:t>
      </w:r>
      <w:r>
        <w:rPr/>
        <w:t>de</w:t>
      </w:r>
      <w:r>
        <w:rPr>
          <w:spacing w:val="-18"/>
        </w:rPr>
        <w:t> </w:t>
      </w:r>
      <w:r>
        <w:rPr/>
        <w:t>instituciones bancarias</w:t>
      </w:r>
      <w:r>
        <w:rPr>
          <w:spacing w:val="-14"/>
        </w:rPr>
        <w:t> </w:t>
      </w:r>
      <w:r>
        <w:rPr/>
        <w:t>está</w:t>
      </w:r>
      <w:r>
        <w:rPr>
          <w:spacing w:val="-13"/>
        </w:rPr>
        <w:t> </w:t>
      </w:r>
      <w:r>
        <w:rPr/>
        <w:t>siendo</w:t>
      </w:r>
      <w:r>
        <w:rPr>
          <w:spacing w:val="-16"/>
        </w:rPr>
        <w:t> </w:t>
      </w:r>
      <w:r>
        <w:rPr/>
        <w:t>cada</w:t>
      </w:r>
      <w:r>
        <w:rPr>
          <w:spacing w:val="-13"/>
        </w:rPr>
        <w:t> </w:t>
      </w:r>
      <w:r>
        <w:rPr/>
        <w:t>vez</w:t>
      </w:r>
      <w:r>
        <w:rPr>
          <w:spacing w:val="-16"/>
        </w:rPr>
        <w:t> </w:t>
      </w:r>
      <w:r>
        <w:rPr/>
        <w:t>más</w:t>
      </w:r>
      <w:r>
        <w:rPr>
          <w:spacing w:val="-14"/>
        </w:rPr>
        <w:t> </w:t>
      </w:r>
      <w:r>
        <w:rPr/>
        <w:t>discutida,</w:t>
      </w:r>
      <w:r>
        <w:rPr>
          <w:spacing w:val="-13"/>
        </w:rPr>
        <w:t> </w:t>
      </w:r>
      <w:r>
        <w:rPr/>
        <w:t>y</w:t>
      </w:r>
      <w:r>
        <w:rPr>
          <w:spacing w:val="-11"/>
        </w:rPr>
        <w:t> </w:t>
      </w:r>
      <w:r>
        <w:rPr/>
        <w:t>de</w:t>
      </w:r>
      <w:r>
        <w:rPr>
          <w:spacing w:val="-13"/>
        </w:rPr>
        <w:t> </w:t>
      </w:r>
      <w:r>
        <w:rPr/>
        <w:t>hecho</w:t>
      </w:r>
      <w:r>
        <w:rPr>
          <w:spacing w:val="-13"/>
        </w:rPr>
        <w:t> </w:t>
      </w:r>
      <w:r>
        <w:rPr/>
        <w:t>el</w:t>
      </w:r>
      <w:r>
        <w:rPr>
          <w:spacing w:val="-14"/>
        </w:rPr>
        <w:t> </w:t>
      </w:r>
      <w:r>
        <w:rPr/>
        <w:t>Comité</w:t>
      </w:r>
      <w:r>
        <w:rPr>
          <w:spacing w:val="-13"/>
        </w:rPr>
        <w:t> </w:t>
      </w:r>
      <w:r>
        <w:rPr/>
        <w:t>de</w:t>
      </w:r>
      <w:r>
        <w:rPr>
          <w:spacing w:val="-13"/>
        </w:rPr>
        <w:t> </w:t>
      </w:r>
      <w:r>
        <w:rPr/>
        <w:t>Basilea</w:t>
      </w:r>
      <w:r>
        <w:rPr>
          <w:spacing w:val="-13"/>
        </w:rPr>
        <w:t> </w:t>
      </w:r>
      <w:r>
        <w:rPr/>
        <w:t>está recomendando su utilización para la determinación del capital requerido por los bancos para respaldar sus</w:t>
      </w:r>
      <w:r>
        <w:rPr>
          <w:spacing w:val="-13"/>
        </w:rPr>
        <w:t> </w:t>
      </w:r>
      <w:r>
        <w:rPr/>
        <w:t>operaciones.</w:t>
      </w:r>
      <w:r>
        <w:rPr>
          <w:position w:val="8"/>
          <w:sz w:val="16"/>
        </w:rPr>
        <w:t>14</w:t>
      </w:r>
    </w:p>
    <w:p>
      <w:pPr>
        <w:pStyle w:val="BodyText"/>
        <w:spacing w:line="360" w:lineRule="auto"/>
        <w:ind w:left="142" w:right="136" w:firstLine="707"/>
        <w:jc w:val="both"/>
      </w:pPr>
      <w:r>
        <w:rPr/>
        <w:t>El concepto de Value at Risk, o valoración del riesgo, proviene de la necesidad de cuantificar con determinado nivel de significancia o incertidumbre el monto o porcentaje de pérdida que un activo (o un portafolio) enfrentará en un período predefinido de tiempo.</w:t>
      </w:r>
    </w:p>
    <w:p>
      <w:pPr>
        <w:pStyle w:val="BodyText"/>
        <w:spacing w:line="360" w:lineRule="auto" w:before="3"/>
        <w:ind w:left="142" w:right="137" w:firstLine="707"/>
        <w:jc w:val="both"/>
      </w:pPr>
      <w:r>
        <w:rPr/>
        <w:t>El valor en riesgo (VaR) es un modelo estadístico, basado en la teoría de probabilidad que resume en un solo número la pérdida potencial máxima que se puede sufrir en una posición de riesgo dado un nivel de confianza elevado (95 o</w:t>
      </w:r>
      <w:r>
        <w:rPr>
          <w:spacing w:val="-37"/>
        </w:rPr>
        <w:t> </w:t>
      </w:r>
      <w:r>
        <w:rPr/>
        <w:t>99 por ciento) y en un período de tiempo</w:t>
      </w:r>
      <w:r>
        <w:rPr>
          <w:spacing w:val="-20"/>
        </w:rPr>
        <w:t> </w:t>
      </w:r>
      <w:r>
        <w:rPr/>
        <w:t>determinado.</w:t>
      </w:r>
    </w:p>
    <w:p>
      <w:pPr>
        <w:pStyle w:val="BodyText"/>
        <w:rPr>
          <w:sz w:val="20"/>
        </w:rPr>
      </w:pPr>
    </w:p>
    <w:p>
      <w:pPr>
        <w:pStyle w:val="BodyText"/>
        <w:spacing w:before="2"/>
        <w:rPr>
          <w:sz w:val="20"/>
        </w:rPr>
      </w:pPr>
      <w:r>
        <w:rPr/>
        <w:pict>
          <v:line style="position:absolute;mso-position-horizontal-relative:page;mso-position-vertical-relative:paragraph;z-index:1264;mso-wrap-distance-left:0;mso-wrap-distance-right:0" from="85.103996pt,13.870855pt" to="229.123996pt,13.870855pt" stroked="true" strokeweight=".60004pt" strokecolor="#000000">
            <w10:wrap type="topAndBottom"/>
          </v:line>
        </w:pict>
      </w:r>
    </w:p>
    <w:p>
      <w:pPr>
        <w:spacing w:before="78"/>
        <w:ind w:left="142" w:right="786" w:firstLine="0"/>
        <w:jc w:val="left"/>
        <w:rPr>
          <w:sz w:val="20"/>
        </w:rPr>
      </w:pPr>
      <w:r>
        <w:rPr>
          <w:position w:val="6"/>
          <w:sz w:val="13"/>
        </w:rPr>
        <w:t>13 </w:t>
      </w:r>
      <w:r>
        <w:rPr>
          <w:sz w:val="20"/>
        </w:rPr>
        <w:t>Ver Apéndice 4. Métodos de evaluacion del riesgo para portafolios de inversión.</w:t>
      </w:r>
    </w:p>
    <w:p>
      <w:pPr>
        <w:spacing w:before="0"/>
        <w:ind w:left="142" w:right="786" w:firstLine="0"/>
        <w:jc w:val="left"/>
        <w:rPr>
          <w:sz w:val="20"/>
        </w:rPr>
      </w:pPr>
      <w:r>
        <w:rPr>
          <w:position w:val="6"/>
          <w:sz w:val="13"/>
        </w:rPr>
        <w:t>14 </w:t>
      </w:r>
      <w:r>
        <w:rPr>
          <w:sz w:val="20"/>
        </w:rPr>
        <w:t>Ver Apéndice 2. Acuerdo de Basilea y Apéndice 3. Recomendaciones del Grupo G-30.</w:t>
      </w:r>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45" w:firstLine="707"/>
        <w:jc w:val="both"/>
      </w:pPr>
      <w:r>
        <w:rPr/>
        <w:t>Existen diversas alternativas para generar la matriz de varianzas y covarianzas con la cual se cuantifica el VaR:</w:t>
      </w:r>
    </w:p>
    <w:p>
      <w:pPr>
        <w:pStyle w:val="ListParagraph"/>
        <w:numPr>
          <w:ilvl w:val="2"/>
          <w:numId w:val="8"/>
        </w:numPr>
        <w:tabs>
          <w:tab w:pos="1274" w:val="left" w:leader="none"/>
          <w:tab w:pos="1275" w:val="left" w:leader="none"/>
        </w:tabs>
        <w:spacing w:line="240" w:lineRule="auto" w:before="3" w:after="0"/>
        <w:ind w:left="1274" w:right="0" w:hanging="357"/>
        <w:jc w:val="left"/>
        <w:rPr>
          <w:sz w:val="24"/>
        </w:rPr>
      </w:pPr>
      <w:r>
        <w:rPr>
          <w:sz w:val="24"/>
        </w:rPr>
        <w:t>Método</w:t>
      </w:r>
      <w:r>
        <w:rPr>
          <w:spacing w:val="-3"/>
          <w:sz w:val="24"/>
        </w:rPr>
        <w:t> </w:t>
      </w:r>
      <w:r>
        <w:rPr>
          <w:sz w:val="24"/>
        </w:rPr>
        <w:t>Delta-Normal</w:t>
      </w:r>
    </w:p>
    <w:p>
      <w:pPr>
        <w:pStyle w:val="BodyText"/>
        <w:spacing w:line="360" w:lineRule="auto" w:before="135"/>
        <w:ind w:left="142" w:right="137" w:firstLine="707"/>
        <w:jc w:val="both"/>
      </w:pPr>
      <w:r>
        <w:rPr/>
        <w:t>El método más simple de cálculo del VaR es el método delta-normal. Este consiste en asumir que los retornos tienen una distribución normal e idénticamente distribuida.</w:t>
      </w:r>
    </w:p>
    <w:p>
      <w:pPr>
        <w:pStyle w:val="BodyText"/>
        <w:spacing w:line="360" w:lineRule="auto" w:before="5"/>
        <w:ind w:left="142" w:right="148" w:firstLine="707"/>
        <w:jc w:val="both"/>
      </w:pPr>
      <w:r>
        <w:rPr/>
        <w:t>El algoritmo para calcular el VaR partiría definiendo la matriz de varianzas y covarianzas con la base histórica de retornos.</w:t>
      </w:r>
    </w:p>
    <w:p>
      <w:pPr>
        <w:pStyle w:val="ListParagraph"/>
        <w:numPr>
          <w:ilvl w:val="2"/>
          <w:numId w:val="8"/>
        </w:numPr>
        <w:tabs>
          <w:tab w:pos="1274" w:val="left" w:leader="none"/>
          <w:tab w:pos="1275" w:val="left" w:leader="none"/>
        </w:tabs>
        <w:spacing w:line="240" w:lineRule="auto" w:before="6" w:after="0"/>
        <w:ind w:left="1274" w:right="0" w:hanging="357"/>
        <w:jc w:val="left"/>
        <w:rPr>
          <w:sz w:val="24"/>
        </w:rPr>
      </w:pPr>
      <w:r>
        <w:rPr>
          <w:sz w:val="24"/>
        </w:rPr>
        <w:t>Método de Simulación</w:t>
      </w:r>
      <w:r>
        <w:rPr>
          <w:spacing w:val="-10"/>
          <w:sz w:val="24"/>
        </w:rPr>
        <w:t> </w:t>
      </w:r>
      <w:r>
        <w:rPr>
          <w:sz w:val="24"/>
        </w:rPr>
        <w:t>Histórica</w:t>
      </w:r>
    </w:p>
    <w:p>
      <w:pPr>
        <w:pStyle w:val="BodyText"/>
        <w:spacing w:line="360" w:lineRule="auto" w:before="135"/>
        <w:ind w:left="142" w:right="138" w:firstLine="707"/>
        <w:jc w:val="both"/>
      </w:pPr>
      <w:r>
        <w:rPr/>
        <w:t>Una segunda alternativa consiste en aplicar el vector de ponderadores de inversión vigentes a una serie representativa de retornos históricos, de manera de generar una secuencia de valores de portafolio que pueden ser representados estadísticamente por un histograma. A partir de esta secuencia de valoración histórica</w:t>
      </w:r>
      <w:r>
        <w:rPr>
          <w:spacing w:val="-5"/>
        </w:rPr>
        <w:t> </w:t>
      </w:r>
      <w:r>
        <w:rPr/>
        <w:t>que</w:t>
      </w:r>
      <w:r>
        <w:rPr>
          <w:spacing w:val="-5"/>
        </w:rPr>
        <w:t> </w:t>
      </w:r>
      <w:r>
        <w:rPr/>
        <w:t>define</w:t>
      </w:r>
      <w:r>
        <w:rPr>
          <w:spacing w:val="-7"/>
        </w:rPr>
        <w:t> </w:t>
      </w:r>
      <w:r>
        <w:rPr/>
        <w:t>una</w:t>
      </w:r>
      <w:r>
        <w:rPr>
          <w:spacing w:val="-5"/>
        </w:rPr>
        <w:t> </w:t>
      </w:r>
      <w:r>
        <w:rPr/>
        <w:t>cierta</w:t>
      </w:r>
      <w:r>
        <w:rPr>
          <w:spacing w:val="-4"/>
        </w:rPr>
        <w:t> </w:t>
      </w:r>
      <w:r>
        <w:rPr/>
        <w:t>distribución</w:t>
      </w:r>
      <w:r>
        <w:rPr>
          <w:spacing w:val="-5"/>
        </w:rPr>
        <w:t> </w:t>
      </w:r>
      <w:r>
        <w:rPr/>
        <w:t>de</w:t>
      </w:r>
      <w:r>
        <w:rPr>
          <w:spacing w:val="-7"/>
        </w:rPr>
        <w:t> </w:t>
      </w:r>
      <w:r>
        <w:rPr/>
        <w:t>probabilidades,</w:t>
      </w:r>
      <w:r>
        <w:rPr>
          <w:spacing w:val="-5"/>
        </w:rPr>
        <w:t> </w:t>
      </w:r>
      <w:r>
        <w:rPr/>
        <w:t>se</w:t>
      </w:r>
      <w:r>
        <w:rPr>
          <w:spacing w:val="-5"/>
        </w:rPr>
        <w:t> </w:t>
      </w:r>
      <w:r>
        <w:rPr/>
        <w:t>procede</w:t>
      </w:r>
      <w:r>
        <w:rPr>
          <w:spacing w:val="-7"/>
        </w:rPr>
        <w:t> </w:t>
      </w:r>
      <w:r>
        <w:rPr/>
        <w:t>a</w:t>
      </w:r>
      <w:r>
        <w:rPr>
          <w:spacing w:val="-5"/>
        </w:rPr>
        <w:t> </w:t>
      </w:r>
      <w:r>
        <w:rPr/>
        <w:t>calcular el</w:t>
      </w:r>
      <w:r>
        <w:rPr>
          <w:spacing w:val="-1"/>
        </w:rPr>
        <w:t> </w:t>
      </w:r>
      <w:r>
        <w:rPr/>
        <w:t>VaR.</w:t>
      </w:r>
    </w:p>
    <w:p>
      <w:pPr>
        <w:pStyle w:val="BodyText"/>
        <w:spacing w:line="360" w:lineRule="auto" w:before="5"/>
        <w:ind w:left="142" w:right="136" w:firstLine="707"/>
        <w:jc w:val="both"/>
      </w:pPr>
      <w:r>
        <w:rPr/>
        <w:t>La metodología de simulación histórica es equivalente analíticamente al método delta-normal revisado en la sección anterior, a menos que la matriz de varianzas y covarianzas sea alimentada de información proveniente de opciones, donde</w:t>
      </w:r>
      <w:r>
        <w:rPr>
          <w:spacing w:val="-19"/>
        </w:rPr>
        <w:t> </w:t>
      </w:r>
      <w:r>
        <w:rPr/>
        <w:t>en</w:t>
      </w:r>
      <w:r>
        <w:rPr>
          <w:spacing w:val="-19"/>
        </w:rPr>
        <w:t> </w:t>
      </w:r>
      <w:r>
        <w:rPr/>
        <w:t>cuyo</w:t>
      </w:r>
      <w:r>
        <w:rPr>
          <w:spacing w:val="-19"/>
        </w:rPr>
        <w:t> </w:t>
      </w:r>
      <w:r>
        <w:rPr/>
        <w:t>caso</w:t>
      </w:r>
      <w:r>
        <w:rPr>
          <w:spacing w:val="-19"/>
        </w:rPr>
        <w:t> </w:t>
      </w:r>
      <w:r>
        <w:rPr/>
        <w:t>se</w:t>
      </w:r>
      <w:r>
        <w:rPr>
          <w:spacing w:val="-21"/>
        </w:rPr>
        <w:t> </w:t>
      </w:r>
      <w:r>
        <w:rPr/>
        <w:t>reemplazaría</w:t>
      </w:r>
      <w:r>
        <w:rPr>
          <w:spacing w:val="-19"/>
        </w:rPr>
        <w:t> </w:t>
      </w:r>
      <w:r>
        <w:rPr/>
        <w:t>la</w:t>
      </w:r>
      <w:r>
        <w:rPr>
          <w:spacing w:val="-17"/>
        </w:rPr>
        <w:t> </w:t>
      </w:r>
      <w:r>
        <w:rPr/>
        <w:t>volatilidad</w:t>
      </w:r>
      <w:r>
        <w:rPr>
          <w:spacing w:val="-19"/>
        </w:rPr>
        <w:t> </w:t>
      </w:r>
      <w:r>
        <w:rPr/>
        <w:t>histórica</w:t>
      </w:r>
      <w:r>
        <w:rPr>
          <w:spacing w:val="-19"/>
        </w:rPr>
        <w:t> </w:t>
      </w:r>
      <w:r>
        <w:rPr/>
        <w:t>por</w:t>
      </w:r>
      <w:r>
        <w:rPr>
          <w:spacing w:val="-20"/>
        </w:rPr>
        <w:t> </w:t>
      </w:r>
      <w:r>
        <w:rPr/>
        <w:t>la</w:t>
      </w:r>
      <w:r>
        <w:rPr>
          <w:spacing w:val="-19"/>
        </w:rPr>
        <w:t> </w:t>
      </w:r>
      <w:r>
        <w:rPr/>
        <w:t>volatilidad</w:t>
      </w:r>
      <w:r>
        <w:rPr>
          <w:spacing w:val="-12"/>
        </w:rPr>
        <w:t> </w:t>
      </w:r>
      <w:r>
        <w:rPr/>
        <w:t>implícita en las</w:t>
      </w:r>
      <w:r>
        <w:rPr>
          <w:spacing w:val="-4"/>
        </w:rPr>
        <w:t> </w:t>
      </w:r>
      <w:r>
        <w:rPr/>
        <w:t>opciones.</w:t>
      </w:r>
    </w:p>
    <w:p>
      <w:pPr>
        <w:pStyle w:val="ListParagraph"/>
        <w:numPr>
          <w:ilvl w:val="2"/>
          <w:numId w:val="8"/>
        </w:numPr>
        <w:tabs>
          <w:tab w:pos="1274" w:val="left" w:leader="none"/>
          <w:tab w:pos="1275" w:val="left" w:leader="none"/>
        </w:tabs>
        <w:spacing w:line="240" w:lineRule="auto" w:before="3" w:after="0"/>
        <w:ind w:left="1274" w:right="0" w:hanging="357"/>
        <w:jc w:val="left"/>
        <w:rPr>
          <w:sz w:val="24"/>
        </w:rPr>
      </w:pPr>
      <w:r>
        <w:rPr>
          <w:sz w:val="24"/>
        </w:rPr>
        <w:t>Método de Stress-Testing o Método de Situaciones</w:t>
      </w:r>
      <w:r>
        <w:rPr>
          <w:spacing w:val="-18"/>
          <w:sz w:val="24"/>
        </w:rPr>
        <w:t> </w:t>
      </w:r>
      <w:r>
        <w:rPr>
          <w:sz w:val="24"/>
        </w:rPr>
        <w:t>Extremas</w:t>
      </w:r>
    </w:p>
    <w:p>
      <w:pPr>
        <w:pStyle w:val="BodyText"/>
        <w:spacing w:line="360" w:lineRule="auto" w:before="137"/>
        <w:ind w:left="142" w:right="134" w:firstLine="707"/>
        <w:jc w:val="both"/>
      </w:pPr>
      <w:r>
        <w:rPr/>
        <w:t>Es común asumir que los retornos son procesos estocásticos estacionarios que</w:t>
      </w:r>
      <w:r>
        <w:rPr>
          <w:spacing w:val="-5"/>
        </w:rPr>
        <w:t> </w:t>
      </w:r>
      <w:r>
        <w:rPr/>
        <w:t>obedecen</w:t>
      </w:r>
      <w:r>
        <w:rPr>
          <w:spacing w:val="-7"/>
        </w:rPr>
        <w:t> </w:t>
      </w:r>
      <w:r>
        <w:rPr/>
        <w:t>a</w:t>
      </w:r>
      <w:r>
        <w:rPr>
          <w:spacing w:val="-7"/>
        </w:rPr>
        <w:t> </w:t>
      </w:r>
      <w:r>
        <w:rPr/>
        <w:t>una</w:t>
      </w:r>
      <w:r>
        <w:rPr>
          <w:spacing w:val="-5"/>
        </w:rPr>
        <w:t> </w:t>
      </w:r>
      <w:r>
        <w:rPr/>
        <w:t>cierta</w:t>
      </w:r>
      <w:r>
        <w:rPr>
          <w:spacing w:val="-4"/>
        </w:rPr>
        <w:t> </w:t>
      </w:r>
      <w:r>
        <w:rPr/>
        <w:t>distribución</w:t>
      </w:r>
      <w:r>
        <w:rPr>
          <w:spacing w:val="-6"/>
        </w:rPr>
        <w:t> </w:t>
      </w:r>
      <w:r>
        <w:rPr/>
        <w:t>normal.</w:t>
      </w:r>
      <w:r>
        <w:rPr>
          <w:spacing w:val="-5"/>
        </w:rPr>
        <w:t> </w:t>
      </w:r>
      <w:r>
        <w:rPr/>
        <w:t>Sin</w:t>
      </w:r>
      <w:r>
        <w:rPr>
          <w:spacing w:val="-7"/>
        </w:rPr>
        <w:t> </w:t>
      </w:r>
      <w:r>
        <w:rPr/>
        <w:t>embargo</w:t>
      </w:r>
      <w:r>
        <w:rPr>
          <w:spacing w:val="-5"/>
        </w:rPr>
        <w:t> </w:t>
      </w:r>
      <w:r>
        <w:rPr/>
        <w:t>la</w:t>
      </w:r>
      <w:r>
        <w:rPr>
          <w:spacing w:val="-7"/>
        </w:rPr>
        <w:t> </w:t>
      </w:r>
      <w:r>
        <w:rPr/>
        <w:t>existencia</w:t>
      </w:r>
      <w:r>
        <w:rPr>
          <w:spacing w:val="-7"/>
        </w:rPr>
        <w:t> </w:t>
      </w:r>
      <w:r>
        <w:rPr/>
        <w:t>frecuente de outliers</w:t>
      </w:r>
      <w:r>
        <w:rPr>
          <w:position w:val="8"/>
          <w:sz w:val="16"/>
        </w:rPr>
        <w:t>15 </w:t>
      </w:r>
      <w:r>
        <w:rPr/>
        <w:t>debilita tal supuesto. El método de Stress-Testing incrementa la ponderación de los eventos extremos negativos en la secuencia de valoración del portafolio.</w:t>
      </w:r>
      <w:r>
        <w:rPr>
          <w:spacing w:val="-12"/>
        </w:rPr>
        <w:t> </w:t>
      </w:r>
      <w:r>
        <w:rPr/>
        <w:t>Por</w:t>
      </w:r>
      <w:r>
        <w:rPr>
          <w:spacing w:val="-13"/>
        </w:rPr>
        <w:t> </w:t>
      </w:r>
      <w:r>
        <w:rPr/>
        <w:t>medio</w:t>
      </w:r>
      <w:r>
        <w:rPr>
          <w:spacing w:val="-14"/>
        </w:rPr>
        <w:t> </w:t>
      </w:r>
      <w:r>
        <w:rPr/>
        <w:t>de</w:t>
      </w:r>
      <w:r>
        <w:rPr>
          <w:spacing w:val="-12"/>
        </w:rPr>
        <w:t> </w:t>
      </w:r>
      <w:r>
        <w:rPr/>
        <w:t>la</w:t>
      </w:r>
      <w:r>
        <w:rPr>
          <w:spacing w:val="-12"/>
        </w:rPr>
        <w:t> </w:t>
      </w:r>
      <w:r>
        <w:rPr/>
        <w:t>recreación</w:t>
      </w:r>
      <w:r>
        <w:rPr>
          <w:spacing w:val="-12"/>
        </w:rPr>
        <w:t> </w:t>
      </w:r>
      <w:r>
        <w:rPr/>
        <w:t>de</w:t>
      </w:r>
      <w:r>
        <w:rPr>
          <w:spacing w:val="-12"/>
        </w:rPr>
        <w:t> </w:t>
      </w:r>
      <w:r>
        <w:rPr/>
        <w:t>escenarios</w:t>
      </w:r>
      <w:r>
        <w:rPr>
          <w:spacing w:val="-13"/>
        </w:rPr>
        <w:t> </w:t>
      </w:r>
      <w:r>
        <w:rPr/>
        <w:t>adversos</w:t>
      </w:r>
      <w:r>
        <w:rPr>
          <w:spacing w:val="-12"/>
        </w:rPr>
        <w:t> </w:t>
      </w:r>
      <w:r>
        <w:rPr/>
        <w:t>históricos,</w:t>
      </w:r>
      <w:r>
        <w:rPr>
          <w:spacing w:val="-12"/>
        </w:rPr>
        <w:t> </w:t>
      </w:r>
      <w:r>
        <w:rPr/>
        <w:t>o</w:t>
      </w:r>
      <w:r>
        <w:rPr>
          <w:spacing w:val="-12"/>
        </w:rPr>
        <w:t> </w:t>
      </w:r>
      <w:r>
        <w:rPr/>
        <w:t>la</w:t>
      </w:r>
      <w:r>
        <w:rPr>
          <w:spacing w:val="-14"/>
        </w:rPr>
        <w:t> </w:t>
      </w:r>
      <w:r>
        <w:rPr/>
        <w:t>simple creación</w:t>
      </w:r>
      <w:r>
        <w:rPr>
          <w:spacing w:val="-11"/>
        </w:rPr>
        <w:t> </w:t>
      </w:r>
      <w:r>
        <w:rPr/>
        <w:t>de</w:t>
      </w:r>
      <w:r>
        <w:rPr>
          <w:spacing w:val="-12"/>
        </w:rPr>
        <w:t> </w:t>
      </w:r>
      <w:r>
        <w:rPr/>
        <w:t>eventos</w:t>
      </w:r>
      <w:r>
        <w:rPr>
          <w:spacing w:val="-11"/>
        </w:rPr>
        <w:t> </w:t>
      </w:r>
      <w:r>
        <w:rPr/>
        <w:t>negativos,</w:t>
      </w:r>
      <w:r>
        <w:rPr>
          <w:spacing w:val="-12"/>
        </w:rPr>
        <w:t> </w:t>
      </w:r>
      <w:r>
        <w:rPr/>
        <w:t>este</w:t>
      </w:r>
      <w:r>
        <w:rPr>
          <w:spacing w:val="-11"/>
        </w:rPr>
        <w:t> </w:t>
      </w:r>
      <w:r>
        <w:rPr/>
        <w:t>método</w:t>
      </w:r>
      <w:r>
        <w:rPr>
          <w:spacing w:val="-12"/>
        </w:rPr>
        <w:t> </w:t>
      </w:r>
      <w:r>
        <w:rPr/>
        <w:t>cuantifica</w:t>
      </w:r>
      <w:r>
        <w:rPr>
          <w:spacing w:val="-12"/>
        </w:rPr>
        <w:t> </w:t>
      </w:r>
      <w:r>
        <w:rPr/>
        <w:t>los</w:t>
      </w:r>
      <w:r>
        <w:rPr>
          <w:spacing w:val="-12"/>
        </w:rPr>
        <w:t> </w:t>
      </w:r>
      <w:r>
        <w:rPr/>
        <w:t>cambios</w:t>
      </w:r>
      <w:r>
        <w:rPr>
          <w:spacing w:val="-14"/>
        </w:rPr>
        <w:t> </w:t>
      </w:r>
      <w:r>
        <w:rPr/>
        <w:t>probables</w:t>
      </w:r>
      <w:r>
        <w:rPr>
          <w:spacing w:val="-14"/>
        </w:rPr>
        <w:t> </w:t>
      </w:r>
      <w:r>
        <w:rPr/>
        <w:t>en</w:t>
      </w:r>
      <w:r>
        <w:rPr>
          <w:spacing w:val="-12"/>
        </w:rPr>
        <w:t> </w:t>
      </w:r>
      <w:r>
        <w:rPr/>
        <w:t>los valores del</w:t>
      </w:r>
      <w:r>
        <w:rPr>
          <w:spacing w:val="-4"/>
        </w:rPr>
        <w:t> </w:t>
      </w:r>
      <w:r>
        <w:rPr/>
        <w:t>portafolio.</w:t>
      </w: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1288;mso-wrap-distance-left:0;mso-wrap-distance-right:0" from="85.103996pt,15.331864pt" to="229.123996pt,15.331864pt" stroked="true" strokeweight=".599980pt" strokecolor="#000000">
            <w10:wrap type="topAndBottom"/>
          </v:line>
        </w:pict>
      </w:r>
    </w:p>
    <w:p>
      <w:pPr>
        <w:spacing w:before="78"/>
        <w:ind w:left="142" w:right="786" w:firstLine="0"/>
        <w:jc w:val="left"/>
        <w:rPr>
          <w:sz w:val="20"/>
        </w:rPr>
      </w:pPr>
      <w:r>
        <w:rPr>
          <w:position w:val="6"/>
          <w:sz w:val="13"/>
        </w:rPr>
        <w:t>15 </w:t>
      </w:r>
      <w:r>
        <w:rPr>
          <w:sz w:val="20"/>
        </w:rPr>
        <w:t>Fuente: </w:t>
      </w:r>
      <w:hyperlink r:id="rId19">
        <w:r>
          <w:rPr>
            <w:color w:val="0000FF"/>
            <w:sz w:val="20"/>
            <w:u w:val="single" w:color="0000FF"/>
          </w:rPr>
          <w:t>http://en.wikipedia.org/wiki/Outlier</w:t>
        </w:r>
      </w:hyperlink>
    </w:p>
    <w:p>
      <w:pPr>
        <w:spacing w:after="0"/>
        <w:jc w:val="left"/>
        <w:rPr>
          <w:sz w:val="20"/>
        </w:rPr>
        <w:sectPr>
          <w:pgSz w:w="12240" w:h="15840"/>
          <w:pgMar w:header="731" w:footer="737" w:top="1180" w:bottom="920" w:left="1560" w:right="1560"/>
        </w:sectPr>
      </w:pPr>
    </w:p>
    <w:p>
      <w:pPr>
        <w:pStyle w:val="BodyText"/>
        <w:rPr>
          <w:sz w:val="20"/>
        </w:rPr>
      </w:pPr>
    </w:p>
    <w:p>
      <w:pPr>
        <w:pStyle w:val="BodyText"/>
        <w:spacing w:before="3"/>
        <w:rPr>
          <w:sz w:val="17"/>
        </w:rPr>
      </w:pPr>
    </w:p>
    <w:p>
      <w:pPr>
        <w:pStyle w:val="ListParagraph"/>
        <w:numPr>
          <w:ilvl w:val="2"/>
          <w:numId w:val="8"/>
        </w:numPr>
        <w:tabs>
          <w:tab w:pos="1274" w:val="left" w:leader="none"/>
          <w:tab w:pos="1275" w:val="left" w:leader="none"/>
        </w:tabs>
        <w:spacing w:line="240" w:lineRule="auto" w:before="56" w:after="0"/>
        <w:ind w:left="1274" w:right="0" w:hanging="357"/>
        <w:jc w:val="left"/>
        <w:rPr>
          <w:sz w:val="24"/>
        </w:rPr>
      </w:pPr>
      <w:r>
        <w:rPr>
          <w:sz w:val="24"/>
        </w:rPr>
        <w:t>Teoría de Valores Extremos</w:t>
      </w:r>
      <w:r>
        <w:rPr>
          <w:spacing w:val="-13"/>
          <w:sz w:val="24"/>
        </w:rPr>
        <w:t> </w:t>
      </w:r>
      <w:r>
        <w:rPr>
          <w:sz w:val="24"/>
        </w:rPr>
        <w:t>(EVT)</w:t>
      </w:r>
    </w:p>
    <w:p>
      <w:pPr>
        <w:pStyle w:val="BodyText"/>
        <w:spacing w:line="360" w:lineRule="auto" w:before="135"/>
        <w:ind w:left="142" w:right="138" w:firstLine="707"/>
        <w:jc w:val="right"/>
      </w:pPr>
      <w:r>
        <w:rPr/>
        <w:t>La teoría de valores extremos estudia, mediante métodos no paramétricos,</w:t>
      </w:r>
      <w:r>
        <w:rPr>
          <w:w w:val="100"/>
        </w:rPr>
        <w:t> </w:t>
      </w:r>
      <w:r>
        <w:rPr/>
        <w:t>las colas de una distribución</w:t>
      </w:r>
      <w:r>
        <w:rPr>
          <w:spacing w:val="50"/>
        </w:rPr>
        <w:t> </w:t>
      </w:r>
      <w:r>
        <w:rPr/>
        <w:t>que no necesariamente requiere ser conocida. El</w:t>
      </w:r>
      <w:r>
        <w:rPr>
          <w:w w:val="99"/>
        </w:rPr>
        <w:t> </w:t>
      </w:r>
      <w:r>
        <w:rPr/>
        <w:t>parámetro que resume las características (grosor) de la cola de una distribución es el Tail Index (Indice de Cola), y existen diversos estimadores para este estadístico.</w:t>
      </w:r>
    </w:p>
    <w:p>
      <w:pPr>
        <w:pStyle w:val="BodyText"/>
        <w:spacing w:line="360" w:lineRule="auto" w:before="2"/>
        <w:ind w:left="142" w:right="140" w:firstLine="707"/>
        <w:jc w:val="both"/>
      </w:pPr>
      <w:r>
        <w:rPr/>
        <w:t>El</w:t>
      </w:r>
      <w:r>
        <w:rPr>
          <w:spacing w:val="-5"/>
        </w:rPr>
        <w:t> </w:t>
      </w:r>
      <w:r>
        <w:rPr/>
        <w:t>cálculo</w:t>
      </w:r>
      <w:r>
        <w:rPr>
          <w:spacing w:val="-6"/>
        </w:rPr>
        <w:t> </w:t>
      </w:r>
      <w:r>
        <w:rPr/>
        <w:t>efectuado</w:t>
      </w:r>
      <w:r>
        <w:rPr>
          <w:spacing w:val="-6"/>
        </w:rPr>
        <w:t> </w:t>
      </w:r>
      <w:r>
        <w:rPr/>
        <w:t>por</w:t>
      </w:r>
      <w:r>
        <w:rPr>
          <w:spacing w:val="-5"/>
        </w:rPr>
        <w:t> </w:t>
      </w:r>
      <w:r>
        <w:rPr/>
        <w:t>la</w:t>
      </w:r>
      <w:r>
        <w:rPr>
          <w:spacing w:val="-6"/>
        </w:rPr>
        <w:t> </w:t>
      </w:r>
      <w:r>
        <w:rPr/>
        <w:t>metodología</w:t>
      </w:r>
      <w:r>
        <w:rPr>
          <w:spacing w:val="-4"/>
        </w:rPr>
        <w:t> </w:t>
      </w:r>
      <w:r>
        <w:rPr/>
        <w:t>de</w:t>
      </w:r>
      <w:r>
        <w:rPr>
          <w:spacing w:val="-4"/>
        </w:rPr>
        <w:t> </w:t>
      </w:r>
      <w:r>
        <w:rPr/>
        <w:t>valores</w:t>
      </w:r>
      <w:r>
        <w:rPr>
          <w:spacing w:val="-4"/>
        </w:rPr>
        <w:t> </w:t>
      </w:r>
      <w:r>
        <w:rPr/>
        <w:t>extremos</w:t>
      </w:r>
      <w:r>
        <w:rPr>
          <w:spacing w:val="-4"/>
        </w:rPr>
        <w:t> </w:t>
      </w:r>
      <w:r>
        <w:rPr/>
        <w:t>(EVT)</w:t>
      </w:r>
      <w:r>
        <w:rPr>
          <w:spacing w:val="-7"/>
        </w:rPr>
        <w:t> </w:t>
      </w:r>
      <w:r>
        <w:rPr/>
        <w:t>es</w:t>
      </w:r>
      <w:r>
        <w:rPr>
          <w:spacing w:val="-7"/>
        </w:rPr>
        <w:t> </w:t>
      </w:r>
      <w:r>
        <w:rPr/>
        <w:t>el</w:t>
      </w:r>
      <w:r>
        <w:rPr>
          <w:spacing w:val="-5"/>
        </w:rPr>
        <w:t> </w:t>
      </w:r>
      <w:r>
        <w:rPr/>
        <w:t>que mejor captura la forma de la cola de la distribución y reporta un incremento en las probabilidades de ocurrencia de</w:t>
      </w:r>
      <w:r>
        <w:rPr>
          <w:spacing w:val="-10"/>
        </w:rPr>
        <w:t> </w:t>
      </w:r>
      <w:r>
        <w:rPr/>
        <w:t>“outliers”.</w:t>
      </w:r>
    </w:p>
    <w:p>
      <w:pPr>
        <w:pStyle w:val="ListParagraph"/>
        <w:numPr>
          <w:ilvl w:val="2"/>
          <w:numId w:val="8"/>
        </w:numPr>
        <w:tabs>
          <w:tab w:pos="1274" w:val="left" w:leader="none"/>
          <w:tab w:pos="1275" w:val="left" w:leader="none"/>
        </w:tabs>
        <w:spacing w:line="240" w:lineRule="auto" w:before="6" w:after="0"/>
        <w:ind w:left="1274" w:right="0" w:hanging="357"/>
        <w:jc w:val="left"/>
        <w:rPr>
          <w:sz w:val="24"/>
        </w:rPr>
      </w:pPr>
      <w:r>
        <w:rPr>
          <w:sz w:val="24"/>
        </w:rPr>
        <w:t>Método de Simulaciones de Monte</w:t>
      </w:r>
      <w:r>
        <w:rPr>
          <w:spacing w:val="-13"/>
          <w:sz w:val="24"/>
        </w:rPr>
        <w:t> </w:t>
      </w:r>
      <w:r>
        <w:rPr>
          <w:sz w:val="24"/>
        </w:rPr>
        <w:t>Carlo</w:t>
      </w:r>
    </w:p>
    <w:p>
      <w:pPr>
        <w:pStyle w:val="BodyText"/>
        <w:spacing w:line="360" w:lineRule="auto" w:before="135"/>
        <w:ind w:left="142" w:right="138" w:firstLine="707"/>
        <w:jc w:val="both"/>
      </w:pPr>
      <w:r>
        <w:rPr/>
        <w:t>Consiste en la generación de múltiples iteraciones para los retornos de un activo</w:t>
      </w:r>
      <w:r>
        <w:rPr>
          <w:spacing w:val="-4"/>
        </w:rPr>
        <w:t> </w:t>
      </w:r>
      <w:r>
        <w:rPr/>
        <w:t>(o</w:t>
      </w:r>
      <w:r>
        <w:rPr>
          <w:spacing w:val="-4"/>
        </w:rPr>
        <w:t> </w:t>
      </w:r>
      <w:r>
        <w:rPr/>
        <w:t>activos)</w:t>
      </w:r>
      <w:r>
        <w:rPr>
          <w:spacing w:val="-5"/>
        </w:rPr>
        <w:t> </w:t>
      </w:r>
      <w:r>
        <w:rPr/>
        <w:t>con</w:t>
      </w:r>
      <w:r>
        <w:rPr>
          <w:spacing w:val="-4"/>
        </w:rPr>
        <w:t> </w:t>
      </w:r>
      <w:r>
        <w:rPr/>
        <w:t>un</w:t>
      </w:r>
      <w:r>
        <w:rPr>
          <w:spacing w:val="-1"/>
        </w:rPr>
        <w:t> </w:t>
      </w:r>
      <w:r>
        <w:rPr/>
        <w:t>horizonte</w:t>
      </w:r>
      <w:r>
        <w:rPr>
          <w:spacing w:val="-3"/>
        </w:rPr>
        <w:t> </w:t>
      </w:r>
      <w:r>
        <w:rPr/>
        <w:t>predefinido,</w:t>
      </w:r>
      <w:r>
        <w:rPr>
          <w:spacing w:val="-4"/>
        </w:rPr>
        <w:t> </w:t>
      </w:r>
      <w:r>
        <w:rPr/>
        <w:t>como</w:t>
      </w:r>
      <w:r>
        <w:rPr>
          <w:spacing w:val="-4"/>
        </w:rPr>
        <w:t> </w:t>
      </w:r>
      <w:r>
        <w:rPr/>
        <w:t>por</w:t>
      </w:r>
      <w:r>
        <w:rPr>
          <w:spacing w:val="-5"/>
        </w:rPr>
        <w:t> </w:t>
      </w:r>
      <w:r>
        <w:rPr/>
        <w:t>ejemplo</w:t>
      </w:r>
      <w:r>
        <w:rPr>
          <w:spacing w:val="-4"/>
        </w:rPr>
        <w:t> </w:t>
      </w:r>
      <w:r>
        <w:rPr/>
        <w:t>una</w:t>
      </w:r>
      <w:r>
        <w:rPr>
          <w:spacing w:val="-4"/>
        </w:rPr>
        <w:t> </w:t>
      </w:r>
      <w:r>
        <w:rPr/>
        <w:t>semana</w:t>
      </w:r>
      <w:r>
        <w:rPr>
          <w:spacing w:val="-6"/>
        </w:rPr>
        <w:t> </w:t>
      </w:r>
      <w:r>
        <w:rPr/>
        <w:t>o</w:t>
      </w:r>
      <w:r>
        <w:rPr>
          <w:spacing w:val="-4"/>
        </w:rPr>
        <w:t> </w:t>
      </w:r>
      <w:r>
        <w:rPr/>
        <w:t>un mes. Estas realizaciones deben ser generadas a partir de una función de distribución de probabilidades que represente al proceso estocástico</w:t>
      </w:r>
      <w:r>
        <w:rPr>
          <w:spacing w:val="-23"/>
        </w:rPr>
        <w:t> </w:t>
      </w:r>
      <w:r>
        <w:rPr/>
        <w:t>simulado.</w:t>
      </w:r>
    </w:p>
    <w:p>
      <w:pPr>
        <w:pStyle w:val="BodyText"/>
        <w:spacing w:line="360" w:lineRule="auto" w:before="5"/>
        <w:ind w:left="142" w:right="134" w:firstLine="707"/>
        <w:jc w:val="both"/>
      </w:pPr>
      <w:r>
        <w:rPr/>
        <w:t>Una</w:t>
      </w:r>
      <w:r>
        <w:rPr>
          <w:spacing w:val="-14"/>
        </w:rPr>
        <w:t> </w:t>
      </w:r>
      <w:r>
        <w:rPr/>
        <w:t>vez</w:t>
      </w:r>
      <w:r>
        <w:rPr>
          <w:spacing w:val="-17"/>
        </w:rPr>
        <w:t> </w:t>
      </w:r>
      <w:r>
        <w:rPr/>
        <w:t>simuladas</w:t>
      </w:r>
      <w:r>
        <w:rPr>
          <w:spacing w:val="-15"/>
        </w:rPr>
        <w:t> </w:t>
      </w:r>
      <w:r>
        <w:rPr/>
        <w:t>las</w:t>
      </w:r>
      <w:r>
        <w:rPr>
          <w:spacing w:val="-18"/>
        </w:rPr>
        <w:t> </w:t>
      </w:r>
      <w:r>
        <w:rPr/>
        <w:t>diversas</w:t>
      </w:r>
      <w:r>
        <w:rPr>
          <w:spacing w:val="-15"/>
        </w:rPr>
        <w:t> </w:t>
      </w:r>
      <w:r>
        <w:rPr/>
        <w:t>trayectorias</w:t>
      </w:r>
      <w:r>
        <w:rPr>
          <w:spacing w:val="-15"/>
        </w:rPr>
        <w:t> </w:t>
      </w:r>
      <w:r>
        <w:rPr/>
        <w:t>(por</w:t>
      </w:r>
      <w:r>
        <w:rPr>
          <w:spacing w:val="-16"/>
        </w:rPr>
        <w:t> </w:t>
      </w:r>
      <w:r>
        <w:rPr/>
        <w:t>ejemplo,</w:t>
      </w:r>
      <w:r>
        <w:rPr>
          <w:spacing w:val="-16"/>
        </w:rPr>
        <w:t> </w:t>
      </w:r>
      <w:r>
        <w:rPr/>
        <w:t>10,000</w:t>
      </w:r>
      <w:r>
        <w:rPr>
          <w:spacing w:val="-16"/>
        </w:rPr>
        <w:t> </w:t>
      </w:r>
      <w:r>
        <w:rPr/>
        <w:t>iteraciones) se obtienen los valores del retorno para el horizonte de inversión o análisis preestablecido (5 días o un mes). Con estos 10,000 valores se procede a calcular la desviación estándar del retorno del activo, de manera de generar su</w:t>
      </w:r>
      <w:r>
        <w:rPr>
          <w:spacing w:val="-24"/>
        </w:rPr>
        <w:t> </w:t>
      </w:r>
      <w:r>
        <w:rPr/>
        <w:t>VaR.</w:t>
      </w:r>
    </w:p>
    <w:p>
      <w:pPr>
        <w:pStyle w:val="BodyText"/>
        <w:spacing w:line="360" w:lineRule="auto" w:before="5"/>
        <w:ind w:left="142" w:right="142" w:firstLine="707"/>
        <w:jc w:val="both"/>
      </w:pPr>
      <w:r>
        <w:rPr/>
        <w:t>La generación de procesos estocásticos a través de simulaciones de Monte Carlo es un avance necesario en la medida que se tienen portafolios con instrumentos asimétricos, como por ejemplo Opciones.</w:t>
      </w:r>
    </w:p>
    <w:p>
      <w:pPr>
        <w:pStyle w:val="BodyText"/>
        <w:spacing w:line="360" w:lineRule="auto" w:before="2"/>
        <w:ind w:left="142" w:right="136" w:firstLine="707"/>
        <w:jc w:val="both"/>
      </w:pPr>
      <w:r>
        <w:rPr/>
        <w:t>Si la cartera contiene solamente instrumentos lineales, los resultados del proceso de simulación de Monte Carlo serán equivalentes al resultado del análisis de simulación histórica, o a la metodología de Delta- Normal si no consideramos la volatilidad implícita en las opciones. La ventaja de esta metodología emerge de su flexibilidad</w:t>
      </w:r>
      <w:r>
        <w:rPr>
          <w:spacing w:val="-7"/>
        </w:rPr>
        <w:t> </w:t>
      </w:r>
      <w:r>
        <w:rPr/>
        <w:t>para</w:t>
      </w:r>
      <w:r>
        <w:rPr>
          <w:spacing w:val="-8"/>
        </w:rPr>
        <w:t> </w:t>
      </w:r>
      <w:r>
        <w:rPr/>
        <w:t>evaluar</w:t>
      </w:r>
      <w:r>
        <w:rPr>
          <w:spacing w:val="-7"/>
        </w:rPr>
        <w:t> </w:t>
      </w:r>
      <w:r>
        <w:rPr/>
        <w:t>el</w:t>
      </w:r>
      <w:r>
        <w:rPr>
          <w:spacing w:val="-7"/>
        </w:rPr>
        <w:t> </w:t>
      </w:r>
      <w:r>
        <w:rPr/>
        <w:t>riesgo</w:t>
      </w:r>
      <w:r>
        <w:rPr>
          <w:spacing w:val="-8"/>
        </w:rPr>
        <w:t> </w:t>
      </w:r>
      <w:r>
        <w:rPr/>
        <w:t>de</w:t>
      </w:r>
      <w:r>
        <w:rPr>
          <w:spacing w:val="-8"/>
        </w:rPr>
        <w:t> </w:t>
      </w:r>
      <w:r>
        <w:rPr/>
        <w:t>portafolios</w:t>
      </w:r>
      <w:r>
        <w:rPr>
          <w:spacing w:val="-6"/>
        </w:rPr>
        <w:t> </w:t>
      </w:r>
      <w:r>
        <w:rPr/>
        <w:t>cuyos</w:t>
      </w:r>
      <w:r>
        <w:rPr>
          <w:spacing w:val="-6"/>
        </w:rPr>
        <w:t> </w:t>
      </w:r>
      <w:r>
        <w:rPr/>
        <w:t>retornos</w:t>
      </w:r>
      <w:r>
        <w:rPr>
          <w:spacing w:val="-8"/>
        </w:rPr>
        <w:t> </w:t>
      </w:r>
      <w:r>
        <w:rPr/>
        <w:t>son</w:t>
      </w:r>
      <w:r>
        <w:rPr>
          <w:spacing w:val="-8"/>
        </w:rPr>
        <w:t> </w:t>
      </w:r>
      <w:r>
        <w:rPr/>
        <w:t>necesariamente asimétricos, como suele suceder en portafolios que contienen opciones sobre instrumentos o</w:t>
      </w:r>
      <w:r>
        <w:rPr>
          <w:spacing w:val="-6"/>
        </w:rPr>
        <w:t> </w:t>
      </w:r>
      <w:r>
        <w:rPr/>
        <w:t>monedas.</w:t>
      </w:r>
    </w:p>
    <w:p>
      <w:pPr>
        <w:pStyle w:val="BodyText"/>
        <w:spacing w:line="360" w:lineRule="auto" w:before="5"/>
        <w:ind w:left="142" w:right="140" w:firstLine="707"/>
        <w:jc w:val="both"/>
      </w:pPr>
      <w:r>
        <w:rPr/>
        <w:t>Cada uno de los métodos tiene ventajas y desventajas. En la medida que el portafolio</w:t>
      </w:r>
      <w:r>
        <w:rPr>
          <w:spacing w:val="-6"/>
        </w:rPr>
        <w:t> </w:t>
      </w:r>
      <w:r>
        <w:rPr/>
        <w:t>analizado</w:t>
      </w:r>
      <w:r>
        <w:rPr>
          <w:spacing w:val="-7"/>
        </w:rPr>
        <w:t> </w:t>
      </w:r>
      <w:r>
        <w:rPr/>
        <w:t>no</w:t>
      </w:r>
      <w:r>
        <w:rPr>
          <w:spacing w:val="-9"/>
        </w:rPr>
        <w:t> </w:t>
      </w:r>
      <w:r>
        <w:rPr/>
        <w:t>contenga</w:t>
      </w:r>
      <w:r>
        <w:rPr>
          <w:spacing w:val="-7"/>
        </w:rPr>
        <w:t> </w:t>
      </w:r>
      <w:r>
        <w:rPr/>
        <w:t>activos</w:t>
      </w:r>
      <w:r>
        <w:rPr>
          <w:spacing w:val="-8"/>
        </w:rPr>
        <w:t> </w:t>
      </w:r>
      <w:r>
        <w:rPr/>
        <w:t>no</w:t>
      </w:r>
      <w:r>
        <w:rPr>
          <w:spacing w:val="-7"/>
        </w:rPr>
        <w:t> </w:t>
      </w:r>
      <w:r>
        <w:rPr/>
        <w:t>lineales</w:t>
      </w:r>
      <w:r>
        <w:rPr>
          <w:spacing w:val="-7"/>
        </w:rPr>
        <w:t> </w:t>
      </w:r>
      <w:r>
        <w:rPr/>
        <w:t>como</w:t>
      </w:r>
      <w:r>
        <w:rPr>
          <w:spacing w:val="-9"/>
        </w:rPr>
        <w:t> </w:t>
      </w:r>
      <w:r>
        <w:rPr/>
        <w:t>opciones,</w:t>
      </w:r>
      <w:r>
        <w:rPr>
          <w:spacing w:val="-10"/>
        </w:rPr>
        <w:t> </w:t>
      </w:r>
      <w:r>
        <w:rPr/>
        <w:t>se</w:t>
      </w:r>
      <w:r>
        <w:rPr>
          <w:spacing w:val="-7"/>
        </w:rPr>
        <w:t> </w:t>
      </w:r>
      <w:r>
        <w:rPr/>
        <w:t>recomienda usar métodos simples como el delta-normal o simulación histórica, los cuales generan</w:t>
      </w:r>
      <w:r>
        <w:rPr>
          <w:spacing w:val="51"/>
        </w:rPr>
        <w:t> </w:t>
      </w:r>
      <w:r>
        <w:rPr/>
        <w:t>una</w:t>
      </w:r>
      <w:r>
        <w:rPr>
          <w:spacing w:val="51"/>
        </w:rPr>
        <w:t> </w:t>
      </w:r>
      <w:r>
        <w:rPr/>
        <w:t>matriz</w:t>
      </w:r>
      <w:r>
        <w:rPr>
          <w:spacing w:val="48"/>
        </w:rPr>
        <w:t> </w:t>
      </w:r>
      <w:r>
        <w:rPr/>
        <w:t>de</w:t>
      </w:r>
      <w:r>
        <w:rPr>
          <w:spacing w:val="51"/>
        </w:rPr>
        <w:t> </w:t>
      </w:r>
      <w:r>
        <w:rPr/>
        <w:t>riesgos</w:t>
      </w:r>
      <w:r>
        <w:rPr>
          <w:spacing w:val="50"/>
        </w:rPr>
        <w:t> </w:t>
      </w:r>
      <w:r>
        <w:rPr/>
        <w:t>en</w:t>
      </w:r>
      <w:r>
        <w:rPr>
          <w:spacing w:val="51"/>
        </w:rPr>
        <w:t> </w:t>
      </w:r>
      <w:r>
        <w:rPr/>
        <w:t>base</w:t>
      </w:r>
      <w:r>
        <w:rPr>
          <w:spacing w:val="51"/>
        </w:rPr>
        <w:t> </w:t>
      </w:r>
      <w:r>
        <w:rPr/>
        <w:t>a</w:t>
      </w:r>
      <w:r>
        <w:rPr>
          <w:spacing w:val="48"/>
        </w:rPr>
        <w:t> </w:t>
      </w:r>
      <w:r>
        <w:rPr/>
        <w:t>información</w:t>
      </w:r>
      <w:r>
        <w:rPr>
          <w:spacing w:val="59"/>
        </w:rPr>
        <w:t> </w:t>
      </w:r>
      <w:r>
        <w:rPr/>
        <w:t>de</w:t>
      </w:r>
      <w:r>
        <w:rPr>
          <w:spacing w:val="51"/>
        </w:rPr>
        <w:t> </w:t>
      </w:r>
      <w:r>
        <w:rPr/>
        <w:t>opciones</w:t>
      </w:r>
      <w:r>
        <w:rPr>
          <w:spacing w:val="50"/>
        </w:rPr>
        <w:t> </w:t>
      </w:r>
      <w:r>
        <w:rPr/>
        <w:t>(volatilidad</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42"/>
        <w:jc w:val="both"/>
      </w:pPr>
      <w:r>
        <w:rPr/>
        <w:t>implícita) o en base a retornos históricos. Sin embargo, si el portafolio dispone de activos no lineales es recomendable la utilización del método de simulación de Monte Carlo.</w:t>
      </w:r>
    </w:p>
    <w:p>
      <w:pPr>
        <w:pStyle w:val="BodyText"/>
      </w:pPr>
    </w:p>
    <w:p>
      <w:pPr>
        <w:pStyle w:val="ListParagraph"/>
        <w:numPr>
          <w:ilvl w:val="1"/>
          <w:numId w:val="8"/>
        </w:numPr>
        <w:tabs>
          <w:tab w:pos="596" w:val="left" w:leader="none"/>
        </w:tabs>
        <w:spacing w:line="240" w:lineRule="auto" w:before="207" w:after="0"/>
        <w:ind w:left="595" w:right="0" w:hanging="453"/>
        <w:jc w:val="both"/>
        <w:rPr>
          <w:b/>
          <w:sz w:val="22"/>
        </w:rPr>
      </w:pPr>
      <w:bookmarkStart w:name="_bookmark12" w:id="24"/>
      <w:bookmarkEnd w:id="24"/>
      <w:r>
        <w:rPr/>
      </w:r>
      <w:bookmarkStart w:name="_bookmark12" w:id="25"/>
      <w:bookmarkEnd w:id="25"/>
      <w:r>
        <w:rPr>
          <w:b/>
          <w:sz w:val="28"/>
        </w:rPr>
        <w:t>C</w:t>
      </w:r>
      <w:r>
        <w:rPr>
          <w:b/>
          <w:sz w:val="22"/>
        </w:rPr>
        <w:t>ONCEPTOS FUNDAMENTALES DE</w:t>
      </w:r>
      <w:r>
        <w:rPr>
          <w:b/>
          <w:spacing w:val="-16"/>
          <w:sz w:val="22"/>
        </w:rPr>
        <w:t> </w:t>
      </w:r>
      <w:r>
        <w:rPr>
          <w:b/>
          <w:sz w:val="22"/>
        </w:rPr>
        <w:t>ESTADÍSTICA</w:t>
      </w:r>
    </w:p>
    <w:p>
      <w:pPr>
        <w:pStyle w:val="BodyText"/>
        <w:spacing w:line="360" w:lineRule="auto" w:before="241"/>
        <w:ind w:left="142" w:firstLine="707"/>
      </w:pPr>
      <w:r>
        <w:rPr/>
        <w:t>Parte de la media (µ) y la desviación estándar de los rendimientos, no de los precios.</w:t>
      </w:r>
    </w:p>
    <w:p>
      <w:pPr>
        <w:pStyle w:val="Heading3"/>
        <w:spacing w:before="123"/>
      </w:pPr>
      <w:r>
        <w:rPr/>
        <w:t>Rendimiento</w:t>
      </w:r>
    </w:p>
    <w:p>
      <w:pPr>
        <w:pStyle w:val="BodyText"/>
        <w:spacing w:before="57"/>
        <w:ind w:left="850" w:right="786"/>
        <w:rPr>
          <w:sz w:val="16"/>
        </w:rPr>
      </w:pPr>
      <w:r>
        <w:rPr/>
        <w:t>Variación en los precios del activo al inicio y al final del periodo.</w:t>
      </w:r>
      <w:r>
        <w:rPr>
          <w:position w:val="8"/>
          <w:sz w:val="16"/>
        </w:rPr>
        <w:t>16</w:t>
      </w:r>
    </w:p>
    <w:p>
      <w:pPr>
        <w:pStyle w:val="BodyText"/>
        <w:spacing w:before="3"/>
        <w:rPr>
          <w:sz w:val="13"/>
        </w:rPr>
      </w:pPr>
    </w:p>
    <w:p>
      <w:pPr>
        <w:spacing w:line="171" w:lineRule="exact" w:before="73"/>
        <w:ind w:left="167" w:right="0" w:firstLine="0"/>
        <w:jc w:val="center"/>
        <w:rPr>
          <w:rFonts w:ascii="Symbol" w:hAnsi="Symbol"/>
          <w:sz w:val="23"/>
        </w:rPr>
      </w:pPr>
      <w:r>
        <w:rPr>
          <w:rFonts w:ascii="Symbol" w:hAnsi="Symbol"/>
          <w:w w:val="105"/>
          <w:sz w:val="23"/>
        </w:rPr>
        <w:t></w:t>
      </w:r>
      <w:r>
        <w:rPr>
          <w:rFonts w:ascii="Times New Roman" w:hAnsi="Times New Roman"/>
          <w:w w:val="105"/>
          <w:sz w:val="23"/>
        </w:rPr>
        <w:t> </w:t>
      </w:r>
      <w:r>
        <w:rPr>
          <w:rFonts w:ascii="Times New Roman" w:hAnsi="Times New Roman"/>
          <w:i/>
          <w:w w:val="105"/>
          <w:position w:val="2"/>
          <w:sz w:val="23"/>
        </w:rPr>
        <w:t>VF </w:t>
      </w:r>
      <w:r>
        <w:rPr>
          <w:rFonts w:ascii="Symbol" w:hAnsi="Symbol"/>
          <w:w w:val="105"/>
          <w:sz w:val="23"/>
        </w:rPr>
        <w:t></w:t>
      </w:r>
    </w:p>
    <w:p>
      <w:pPr>
        <w:spacing w:after="0" w:line="171" w:lineRule="exact"/>
        <w:jc w:val="center"/>
        <w:rPr>
          <w:rFonts w:ascii="Symbol" w:hAnsi="Symbol"/>
          <w:sz w:val="23"/>
        </w:rPr>
        <w:sectPr>
          <w:pgSz w:w="12240" w:h="15840"/>
          <w:pgMar w:header="731" w:footer="737" w:top="1180" w:bottom="920" w:left="1560" w:right="1560"/>
        </w:sectPr>
      </w:pPr>
    </w:p>
    <w:p>
      <w:pPr>
        <w:pStyle w:val="BodyText"/>
        <w:rPr>
          <w:rFonts w:ascii="Symbol" w:hAnsi="Symbol"/>
          <w:sz w:val="20"/>
        </w:rPr>
      </w:pPr>
    </w:p>
    <w:p>
      <w:pPr>
        <w:pStyle w:val="BodyText"/>
        <w:spacing w:before="3"/>
        <w:rPr>
          <w:rFonts w:ascii="Symbol" w:hAnsi="Symbol"/>
          <w:sz w:val="23"/>
        </w:rPr>
      </w:pPr>
    </w:p>
    <w:p>
      <w:pPr>
        <w:spacing w:before="0"/>
        <w:ind w:left="142" w:right="0" w:firstLine="0"/>
        <w:jc w:val="left"/>
        <w:rPr>
          <w:sz w:val="20"/>
        </w:rPr>
      </w:pPr>
      <w:r>
        <w:rPr>
          <w:w w:val="95"/>
          <w:sz w:val="20"/>
        </w:rPr>
        <w:t>Donde:</w:t>
      </w:r>
    </w:p>
    <w:p>
      <w:pPr>
        <w:spacing w:line="215" w:lineRule="exact" w:before="0"/>
        <w:ind w:left="142" w:right="0" w:firstLine="0"/>
        <w:jc w:val="left"/>
        <w:rPr>
          <w:rFonts w:ascii="Symbol" w:hAnsi="Symbol"/>
          <w:sz w:val="23"/>
        </w:rPr>
      </w:pPr>
      <w:r>
        <w:rPr/>
        <w:br w:type="column"/>
      </w:r>
      <w:r>
        <w:rPr>
          <w:rFonts w:ascii="Times New Roman" w:hAnsi="Times New Roman"/>
          <w:i/>
          <w:w w:val="105"/>
          <w:sz w:val="23"/>
        </w:rPr>
        <w:t>R</w:t>
      </w:r>
      <w:r>
        <w:rPr>
          <w:rFonts w:ascii="Symbol" w:hAnsi="Symbol"/>
          <w:w w:val="105"/>
          <w:sz w:val="23"/>
        </w:rPr>
        <w:t></w:t>
      </w:r>
      <w:r>
        <w:rPr>
          <w:rFonts w:ascii="Times New Roman" w:hAnsi="Times New Roman"/>
          <w:w w:val="105"/>
          <w:sz w:val="23"/>
        </w:rPr>
        <w:t> </w:t>
      </w:r>
      <w:r>
        <w:rPr>
          <w:rFonts w:ascii="Symbol" w:hAnsi="Symbol"/>
          <w:w w:val="105"/>
          <w:sz w:val="23"/>
        </w:rPr>
        <w:t></w:t>
      </w:r>
      <w:r>
        <w:rPr>
          <w:rFonts w:ascii="Times New Roman" w:hAnsi="Times New Roman"/>
          <w:w w:val="105"/>
          <w:sz w:val="23"/>
        </w:rPr>
        <w:t> ln</w:t>
      </w:r>
      <w:r>
        <w:rPr>
          <w:rFonts w:ascii="Symbol" w:hAnsi="Symbol"/>
          <w:w w:val="105"/>
          <w:position w:val="-1"/>
          <w:sz w:val="23"/>
        </w:rPr>
        <w:t></w:t>
      </w:r>
    </w:p>
    <w:p>
      <w:pPr>
        <w:spacing w:line="245" w:lineRule="exact" w:before="0"/>
        <w:ind w:left="0" w:right="0" w:firstLine="0"/>
        <w:jc w:val="right"/>
        <w:rPr>
          <w:rFonts w:ascii="Times New Roman" w:hAnsi="Times New Roman"/>
          <w:i/>
          <w:sz w:val="23"/>
        </w:rPr>
      </w:pPr>
      <w:r>
        <w:rPr/>
        <w:pict>
          <v:line style="position:absolute;mso-position-horizontal-relative:page;mso-position-vertical-relative:paragraph;z-index:1336" from="302.482544pt,-3.704434pt" to="318.437227pt,-3.704434pt" stroked="true" strokeweight=".136247pt" strokecolor="#000000">
            <w10:wrap type="none"/>
          </v:line>
        </w:pict>
      </w:r>
      <w:r>
        <w:rPr>
          <w:rFonts w:ascii="Symbol" w:hAnsi="Symbol"/>
          <w:w w:val="105"/>
          <w:position w:val="-2"/>
          <w:sz w:val="23"/>
        </w:rPr>
        <w:t></w:t>
      </w:r>
      <w:r>
        <w:rPr>
          <w:rFonts w:ascii="Times New Roman" w:hAnsi="Times New Roman"/>
          <w:w w:val="105"/>
          <w:position w:val="-2"/>
          <w:sz w:val="23"/>
        </w:rPr>
        <w:t> </w:t>
      </w:r>
      <w:r>
        <w:rPr>
          <w:rFonts w:ascii="Times New Roman" w:hAnsi="Times New Roman"/>
          <w:i/>
          <w:w w:val="105"/>
          <w:sz w:val="23"/>
        </w:rPr>
        <w:t>VI</w:t>
      </w:r>
    </w:p>
    <w:p>
      <w:pPr>
        <w:spacing w:line="220" w:lineRule="exact" w:before="0"/>
        <w:ind w:left="67" w:right="0" w:firstLine="0"/>
        <w:jc w:val="left"/>
        <w:rPr>
          <w:rFonts w:ascii="Times New Roman" w:hAnsi="Times New Roman"/>
          <w:sz w:val="23"/>
        </w:rPr>
      </w:pPr>
      <w:r>
        <w:rPr/>
        <w:br w:type="column"/>
      </w:r>
      <w:r>
        <w:rPr>
          <w:rFonts w:ascii="Symbol" w:hAnsi="Symbol"/>
          <w:w w:val="105"/>
          <w:position w:val="-1"/>
          <w:sz w:val="23"/>
        </w:rPr>
        <w:t></w:t>
      </w:r>
      <w:r>
        <w:rPr>
          <w:rFonts w:ascii="Symbol" w:hAnsi="Symbol"/>
          <w:w w:val="105"/>
          <w:sz w:val="23"/>
        </w:rPr>
        <w:t></w:t>
      </w:r>
      <w:r>
        <w:rPr>
          <w:rFonts w:ascii="Times New Roman" w:hAnsi="Times New Roman"/>
          <w:w w:val="105"/>
          <w:sz w:val="23"/>
        </w:rPr>
        <w:t>100</w:t>
      </w:r>
    </w:p>
    <w:p>
      <w:pPr>
        <w:spacing w:line="237" w:lineRule="exact" w:before="0"/>
        <w:ind w:left="67" w:right="0" w:firstLine="0"/>
        <w:jc w:val="left"/>
        <w:rPr>
          <w:rFonts w:ascii="Symbol" w:hAnsi="Symbol"/>
          <w:sz w:val="23"/>
        </w:rPr>
      </w:pPr>
      <w:r>
        <w:rPr>
          <w:rFonts w:ascii="Symbol" w:hAnsi="Symbol"/>
          <w:w w:val="104"/>
          <w:sz w:val="23"/>
        </w:rPr>
        <w:t></w:t>
      </w:r>
    </w:p>
    <w:p>
      <w:pPr>
        <w:spacing w:after="0" w:line="237" w:lineRule="exact"/>
        <w:jc w:val="left"/>
        <w:rPr>
          <w:rFonts w:ascii="Symbol" w:hAnsi="Symbol"/>
          <w:sz w:val="23"/>
        </w:rPr>
        <w:sectPr>
          <w:type w:val="continuous"/>
          <w:pgSz w:w="12240" w:h="15840"/>
          <w:pgMar w:top="720" w:bottom="280" w:left="1560" w:right="1560"/>
          <w:cols w:num="3" w:equalWidth="0">
            <w:col w:w="786" w:space="2769"/>
            <w:col w:w="1171" w:space="40"/>
            <w:col w:w="4354"/>
          </w:cols>
        </w:sectPr>
      </w:pPr>
    </w:p>
    <w:p>
      <w:pPr>
        <w:spacing w:line="302" w:lineRule="auto" w:before="60"/>
        <w:ind w:left="850" w:right="1495" w:firstLine="0"/>
        <w:jc w:val="left"/>
        <w:rPr>
          <w:sz w:val="20"/>
        </w:rPr>
      </w:pPr>
      <w:r>
        <w:rPr>
          <w:sz w:val="20"/>
        </w:rPr>
        <w:t>R° = Tasa de crecimiento (Rendimiento porcentual geométrico del activo). VF = Precio del activo en el momento t.</w:t>
      </w:r>
    </w:p>
    <w:p>
      <w:pPr>
        <w:spacing w:before="2"/>
        <w:ind w:left="850" w:right="786" w:firstLine="0"/>
        <w:jc w:val="left"/>
        <w:rPr>
          <w:sz w:val="20"/>
        </w:rPr>
      </w:pPr>
      <w:r>
        <w:rPr>
          <w:sz w:val="20"/>
        </w:rPr>
        <w:t>VI = Precio del activo en el momento t-1.</w:t>
      </w:r>
    </w:p>
    <w:p>
      <w:pPr>
        <w:pStyle w:val="BodyText"/>
        <w:rPr>
          <w:sz w:val="20"/>
        </w:rPr>
      </w:pPr>
    </w:p>
    <w:p>
      <w:pPr>
        <w:pStyle w:val="BodyText"/>
        <w:spacing w:before="2"/>
        <w:rPr>
          <w:sz w:val="21"/>
        </w:rPr>
      </w:pPr>
    </w:p>
    <w:p>
      <w:pPr>
        <w:pStyle w:val="BodyText"/>
        <w:spacing w:line="360" w:lineRule="auto"/>
        <w:ind w:left="142" w:right="142" w:firstLine="707"/>
        <w:jc w:val="both"/>
      </w:pPr>
      <w:r>
        <w:rPr/>
        <w:t>Se</w:t>
      </w:r>
      <w:r>
        <w:rPr>
          <w:spacing w:val="-12"/>
        </w:rPr>
        <w:t> </w:t>
      </w:r>
      <w:r>
        <w:rPr/>
        <w:t>asume</w:t>
      </w:r>
      <w:r>
        <w:rPr>
          <w:spacing w:val="-12"/>
        </w:rPr>
        <w:t> </w:t>
      </w:r>
      <w:r>
        <w:rPr/>
        <w:t>que</w:t>
      </w:r>
      <w:r>
        <w:rPr>
          <w:spacing w:val="-12"/>
        </w:rPr>
        <w:t> </w:t>
      </w:r>
      <w:r>
        <w:rPr/>
        <w:t>los</w:t>
      </w:r>
      <w:r>
        <w:rPr>
          <w:spacing w:val="-14"/>
        </w:rPr>
        <w:t> </w:t>
      </w:r>
      <w:r>
        <w:rPr/>
        <w:t>rendimientos</w:t>
      </w:r>
      <w:r>
        <w:rPr>
          <w:spacing w:val="-13"/>
        </w:rPr>
        <w:t> </w:t>
      </w:r>
      <w:r>
        <w:rPr/>
        <w:t>de</w:t>
      </w:r>
      <w:r>
        <w:rPr>
          <w:spacing w:val="-12"/>
        </w:rPr>
        <w:t> </w:t>
      </w:r>
      <w:r>
        <w:rPr/>
        <w:t>los</w:t>
      </w:r>
      <w:r>
        <w:rPr>
          <w:spacing w:val="-14"/>
        </w:rPr>
        <w:t> </w:t>
      </w:r>
      <w:r>
        <w:rPr/>
        <w:t>activos</w:t>
      </w:r>
      <w:r>
        <w:rPr>
          <w:spacing w:val="-13"/>
        </w:rPr>
        <w:t> </w:t>
      </w:r>
      <w:r>
        <w:rPr/>
        <w:t>se</w:t>
      </w:r>
      <w:r>
        <w:rPr>
          <w:spacing w:val="-12"/>
        </w:rPr>
        <w:t> </w:t>
      </w:r>
      <w:r>
        <w:rPr/>
        <w:t>distribuyen</w:t>
      </w:r>
      <w:r>
        <w:rPr>
          <w:spacing w:val="-14"/>
        </w:rPr>
        <w:t> </w:t>
      </w:r>
      <w:r>
        <w:rPr/>
        <w:t>de</w:t>
      </w:r>
      <w:r>
        <w:rPr>
          <w:spacing w:val="-14"/>
        </w:rPr>
        <w:t> </w:t>
      </w:r>
      <w:r>
        <w:rPr/>
        <w:t>forma</w:t>
      </w:r>
      <w:r>
        <w:rPr>
          <w:spacing w:val="-12"/>
        </w:rPr>
        <w:t> </w:t>
      </w:r>
      <w:r>
        <w:rPr/>
        <w:t>normal por</w:t>
      </w:r>
      <w:r>
        <w:rPr>
          <w:spacing w:val="-7"/>
        </w:rPr>
        <w:t> </w:t>
      </w:r>
      <w:r>
        <w:rPr/>
        <w:t>lo</w:t>
      </w:r>
      <w:r>
        <w:rPr>
          <w:spacing w:val="-6"/>
        </w:rPr>
        <w:t> </w:t>
      </w:r>
      <w:r>
        <w:rPr/>
        <w:t>que</w:t>
      </w:r>
      <w:r>
        <w:rPr>
          <w:spacing w:val="-6"/>
        </w:rPr>
        <w:t> </w:t>
      </w:r>
      <w:r>
        <w:rPr/>
        <w:t>necesitamos</w:t>
      </w:r>
      <w:r>
        <w:rPr>
          <w:spacing w:val="-7"/>
        </w:rPr>
        <w:t> </w:t>
      </w:r>
      <w:r>
        <w:rPr/>
        <w:t>conocer</w:t>
      </w:r>
      <w:r>
        <w:rPr>
          <w:spacing w:val="-7"/>
        </w:rPr>
        <w:t> </w:t>
      </w:r>
      <w:r>
        <w:rPr/>
        <w:t>el</w:t>
      </w:r>
      <w:r>
        <w:rPr>
          <w:spacing w:val="-7"/>
        </w:rPr>
        <w:t> </w:t>
      </w:r>
      <w:r>
        <w:rPr/>
        <w:t>rendimiento</w:t>
      </w:r>
      <w:r>
        <w:rPr>
          <w:spacing w:val="-6"/>
        </w:rPr>
        <w:t> </w:t>
      </w:r>
      <w:r>
        <w:rPr/>
        <w:t>medio</w:t>
      </w:r>
      <w:r>
        <w:rPr>
          <w:spacing w:val="-6"/>
        </w:rPr>
        <w:t> </w:t>
      </w:r>
      <w:r>
        <w:rPr/>
        <w:t>y</w:t>
      </w:r>
      <w:r>
        <w:rPr>
          <w:spacing w:val="-9"/>
        </w:rPr>
        <w:t> </w:t>
      </w:r>
      <w:r>
        <w:rPr/>
        <w:t>la</w:t>
      </w:r>
      <w:r>
        <w:rPr>
          <w:spacing w:val="-4"/>
        </w:rPr>
        <w:t> </w:t>
      </w:r>
      <w:r>
        <w:rPr/>
        <w:t>volatilidad</w:t>
      </w:r>
      <w:r>
        <w:rPr>
          <w:spacing w:val="-6"/>
        </w:rPr>
        <w:t> </w:t>
      </w:r>
      <w:r>
        <w:rPr/>
        <w:t>del</w:t>
      </w:r>
      <w:r>
        <w:rPr>
          <w:spacing w:val="-7"/>
        </w:rPr>
        <w:t> </w:t>
      </w:r>
      <w:r>
        <w:rPr/>
        <w:t>activo,</w:t>
      </w:r>
      <w:r>
        <w:rPr>
          <w:spacing w:val="-6"/>
        </w:rPr>
        <w:t> </w:t>
      </w:r>
      <w:r>
        <w:rPr/>
        <w:t>que definirán la</w:t>
      </w:r>
      <w:r>
        <w:rPr>
          <w:spacing w:val="-6"/>
        </w:rPr>
        <w:t> </w:t>
      </w:r>
      <w:r>
        <w:rPr/>
        <w:t>distribución.</w:t>
      </w:r>
    </w:p>
    <w:p>
      <w:pPr>
        <w:pStyle w:val="BodyText"/>
        <w:spacing w:line="360" w:lineRule="auto" w:before="2"/>
        <w:ind w:left="142" w:right="142" w:firstLine="707"/>
        <w:jc w:val="both"/>
      </w:pPr>
      <w:r>
        <w:rPr/>
        <w:t>En</w:t>
      </w:r>
      <w:r>
        <w:rPr>
          <w:spacing w:val="-12"/>
        </w:rPr>
        <w:t> </w:t>
      </w:r>
      <w:r>
        <w:rPr/>
        <w:t>este</w:t>
      </w:r>
      <w:r>
        <w:rPr>
          <w:spacing w:val="-11"/>
        </w:rPr>
        <w:t> </w:t>
      </w:r>
      <w:r>
        <w:rPr/>
        <w:t>apartado</w:t>
      </w:r>
      <w:r>
        <w:rPr>
          <w:spacing w:val="-10"/>
        </w:rPr>
        <w:t> </w:t>
      </w:r>
      <w:r>
        <w:rPr/>
        <w:t>se</w:t>
      </w:r>
      <w:r>
        <w:rPr>
          <w:spacing w:val="-12"/>
        </w:rPr>
        <w:t> </w:t>
      </w:r>
      <w:r>
        <w:rPr/>
        <w:t>presentan</w:t>
      </w:r>
      <w:r>
        <w:rPr>
          <w:spacing w:val="-12"/>
        </w:rPr>
        <w:t> </w:t>
      </w:r>
      <w:r>
        <w:rPr/>
        <w:t>los</w:t>
      </w:r>
      <w:r>
        <w:rPr>
          <w:spacing w:val="-13"/>
        </w:rPr>
        <w:t> </w:t>
      </w:r>
      <w:r>
        <w:rPr/>
        <w:t>fundamentos</w:t>
      </w:r>
      <w:r>
        <w:rPr>
          <w:spacing w:val="-13"/>
        </w:rPr>
        <w:t> </w:t>
      </w:r>
      <w:r>
        <w:rPr/>
        <w:t>de</w:t>
      </w:r>
      <w:r>
        <w:rPr>
          <w:spacing w:val="-12"/>
        </w:rPr>
        <w:t> </w:t>
      </w:r>
      <w:r>
        <w:rPr/>
        <w:t>probabilidad</w:t>
      </w:r>
      <w:r>
        <w:rPr>
          <w:spacing w:val="-12"/>
        </w:rPr>
        <w:t> </w:t>
      </w:r>
      <w:r>
        <w:rPr/>
        <w:t>y</w:t>
      </w:r>
      <w:r>
        <w:rPr>
          <w:spacing w:val="-15"/>
        </w:rPr>
        <w:t> </w:t>
      </w:r>
      <w:r>
        <w:rPr/>
        <w:t>estadística del modelo. Se parte de la media (µ) y la desviación estándar de los rendimientos, no de los</w:t>
      </w:r>
      <w:r>
        <w:rPr>
          <w:spacing w:val="-4"/>
        </w:rPr>
        <w:t> </w:t>
      </w:r>
      <w:r>
        <w:rPr/>
        <w:t>precios.</w:t>
      </w:r>
    </w:p>
    <w:p>
      <w:pPr>
        <w:pStyle w:val="BodyText"/>
        <w:spacing w:line="360" w:lineRule="auto" w:before="5"/>
        <w:ind w:left="142" w:right="144" w:firstLine="707"/>
        <w:jc w:val="both"/>
      </w:pPr>
      <w:r>
        <w:rPr/>
        <w:t>Tasa de rendimiento total se puede representar como la suma del componente de ingreso por dividendos y el componente de cambio de precio:</w:t>
      </w:r>
    </w:p>
    <w:p>
      <w:pPr>
        <w:spacing w:after="0" w:line="360" w:lineRule="auto"/>
        <w:jc w:val="both"/>
        <w:sectPr>
          <w:type w:val="continuous"/>
          <w:pgSz w:w="12240" w:h="15840"/>
          <w:pgMar w:top="720" w:bottom="280" w:left="1560" w:right="1560"/>
        </w:sectPr>
      </w:pPr>
    </w:p>
    <w:p>
      <w:pPr>
        <w:pStyle w:val="BodyText"/>
        <w:spacing w:before="125"/>
        <w:ind w:left="142" w:right="-11"/>
      </w:pPr>
      <w:r>
        <w:rPr/>
        <w:t>Rendimiento</w:t>
      </w:r>
      <w:r>
        <w:rPr>
          <w:spacing w:val="-11"/>
        </w:rPr>
        <w:t> </w:t>
      </w:r>
      <w:r>
        <w:rPr/>
        <w:t>esperados</w:t>
      </w:r>
    </w:p>
    <w:p>
      <w:pPr>
        <w:pStyle w:val="BodyText"/>
        <w:rPr>
          <w:sz w:val="46"/>
        </w:rPr>
      </w:pPr>
      <w:r>
        <w:rPr/>
        <w:br w:type="column"/>
      </w:r>
      <w:r>
        <w:rPr>
          <w:sz w:val="46"/>
        </w:rPr>
      </w:r>
    </w:p>
    <w:p>
      <w:pPr>
        <w:spacing w:line="386" w:lineRule="exact" w:before="0"/>
        <w:ind w:left="142" w:right="0" w:firstLine="0"/>
        <w:jc w:val="left"/>
        <w:rPr>
          <w:rFonts w:ascii="Times New Roman" w:hAnsi="Times New Roman"/>
          <w:i/>
          <w:sz w:val="14"/>
        </w:rPr>
      </w:pPr>
      <w:r>
        <w:rPr/>
        <w:pict>
          <v:line style="position:absolute;mso-position-horizontal-relative:page;mso-position-vertical-relative:paragraph;z-index:-98584" from="276.406311pt,16.876617pt" to="294.946894pt,16.876617pt" stroked="true" strokeweight=".138679pt" strokecolor="#000000">
            <w10:wrap type="none"/>
          </v:line>
        </w:pict>
      </w:r>
      <w:r>
        <w:rPr/>
        <w:pict>
          <v:line style="position:absolute;mso-position-horizontal-relative:page;mso-position-vertical-relative:paragraph;z-index:-98560" from="307.570557pt,16.876617pt" to="353.835469pt,16.876617pt" stroked="true" strokeweight=".138679pt" strokecolor="#000000">
            <w10:wrap type="none"/>
          </v:line>
        </w:pict>
      </w:r>
      <w:r>
        <w:rPr>
          <w:rFonts w:ascii="Times New Roman" w:hAnsi="Times New Roman"/>
          <w:i/>
          <w:position w:val="-14"/>
          <w:sz w:val="24"/>
        </w:rPr>
        <w:t>r </w:t>
      </w:r>
      <w:r>
        <w:rPr>
          <w:rFonts w:ascii="Symbol" w:hAnsi="Symbol"/>
          <w:position w:val="-14"/>
          <w:sz w:val="24"/>
        </w:rPr>
        <w:t></w:t>
      </w:r>
      <w:r>
        <w:rPr>
          <w:rFonts w:ascii="Times New Roman" w:hAnsi="Times New Roman"/>
          <w:position w:val="-14"/>
          <w:sz w:val="24"/>
        </w:rPr>
        <w:t>  </w:t>
      </w:r>
      <w:r>
        <w:rPr>
          <w:rFonts w:ascii="Times New Roman" w:hAnsi="Times New Roman"/>
          <w:i/>
          <w:sz w:val="24"/>
        </w:rPr>
        <w:t>DE </w:t>
      </w:r>
      <w:r>
        <w:rPr>
          <w:rFonts w:ascii="Symbol" w:hAnsi="Symbol"/>
          <w:position w:val="-14"/>
          <w:sz w:val="24"/>
        </w:rPr>
        <w:t></w:t>
      </w:r>
      <w:r>
        <w:rPr>
          <w:rFonts w:ascii="Times New Roman" w:hAnsi="Times New Roman"/>
          <w:position w:val="-14"/>
          <w:sz w:val="24"/>
        </w:rPr>
        <w:t> </w:t>
      </w:r>
      <w:r>
        <w:rPr>
          <w:rFonts w:ascii="Times New Roman" w:hAnsi="Times New Roman"/>
          <w:sz w:val="24"/>
        </w:rPr>
        <w:t>Pr</w:t>
      </w:r>
      <w:r>
        <w:rPr>
          <w:rFonts w:ascii="Times New Roman" w:hAnsi="Times New Roman"/>
          <w:i/>
          <w:position w:val="-5"/>
          <w:sz w:val="14"/>
        </w:rPr>
        <w:t>t </w:t>
      </w:r>
      <w:r>
        <w:rPr>
          <w:rFonts w:ascii="Symbol" w:hAnsi="Symbol"/>
          <w:position w:val="-5"/>
          <w:sz w:val="14"/>
        </w:rPr>
        <w:t></w:t>
      </w:r>
      <w:r>
        <w:rPr>
          <w:rFonts w:ascii="Times New Roman" w:hAnsi="Times New Roman"/>
          <w:position w:val="-5"/>
          <w:sz w:val="14"/>
        </w:rPr>
        <w:t>1 </w:t>
      </w:r>
      <w:r>
        <w:rPr>
          <w:rFonts w:ascii="Symbol" w:hAnsi="Symbol"/>
          <w:sz w:val="24"/>
        </w:rPr>
        <w:t></w:t>
      </w:r>
      <w:r>
        <w:rPr>
          <w:rFonts w:ascii="Times New Roman" w:hAnsi="Times New Roman"/>
          <w:sz w:val="24"/>
        </w:rPr>
        <w:t> Pr</w:t>
      </w:r>
      <w:r>
        <w:rPr>
          <w:rFonts w:ascii="Times New Roman" w:hAnsi="Times New Roman"/>
          <w:i/>
          <w:position w:val="-5"/>
          <w:sz w:val="14"/>
        </w:rPr>
        <w:t>t</w:t>
      </w:r>
    </w:p>
    <w:p>
      <w:pPr>
        <w:spacing w:after="0" w:line="386" w:lineRule="exact"/>
        <w:jc w:val="left"/>
        <w:rPr>
          <w:rFonts w:ascii="Times New Roman" w:hAnsi="Times New Roman"/>
          <w:sz w:val="14"/>
        </w:rPr>
        <w:sectPr>
          <w:type w:val="continuous"/>
          <w:pgSz w:w="12240" w:h="15840"/>
          <w:pgMar w:top="720" w:bottom="280" w:left="1560" w:right="1560"/>
          <w:cols w:num="2" w:equalWidth="0">
            <w:col w:w="2675" w:space="778"/>
            <w:col w:w="5667"/>
          </w:cols>
        </w:sectPr>
      </w:pPr>
    </w:p>
    <w:p>
      <w:pPr>
        <w:tabs>
          <w:tab w:pos="951" w:val="left" w:leader="none"/>
        </w:tabs>
        <w:spacing w:line="284" w:lineRule="exact" w:before="0"/>
        <w:ind w:left="51" w:right="0" w:firstLine="0"/>
        <w:jc w:val="center"/>
        <w:rPr>
          <w:rFonts w:ascii="Times New Roman"/>
          <w:i/>
          <w:sz w:val="14"/>
        </w:rPr>
      </w:pPr>
      <w:r>
        <w:rPr>
          <w:rFonts w:ascii="Times New Roman"/>
          <w:spacing w:val="-3"/>
          <w:sz w:val="24"/>
        </w:rPr>
        <w:t>Pr</w:t>
      </w:r>
      <w:r>
        <w:rPr>
          <w:rFonts w:ascii="Times New Roman"/>
          <w:i/>
          <w:spacing w:val="-3"/>
          <w:position w:val="-5"/>
          <w:sz w:val="14"/>
        </w:rPr>
        <w:t>t</w:t>
        <w:tab/>
      </w:r>
      <w:r>
        <w:rPr>
          <w:rFonts w:ascii="Times New Roman"/>
          <w:spacing w:val="-3"/>
          <w:sz w:val="24"/>
        </w:rPr>
        <w:t>Pr</w:t>
      </w:r>
      <w:r>
        <w:rPr>
          <w:rFonts w:ascii="Times New Roman"/>
          <w:i/>
          <w:spacing w:val="-3"/>
          <w:position w:val="-5"/>
          <w:sz w:val="14"/>
        </w:rPr>
        <w:t>t</w:t>
      </w:r>
    </w:p>
    <w:p>
      <w:pPr>
        <w:pStyle w:val="BodyText"/>
        <w:spacing w:before="1"/>
        <w:rPr>
          <w:rFonts w:ascii="Times New Roman"/>
          <w:i/>
          <w:sz w:val="16"/>
        </w:rPr>
      </w:pPr>
    </w:p>
    <w:p>
      <w:pPr>
        <w:spacing w:before="74"/>
        <w:ind w:left="1051" w:right="786" w:firstLine="0"/>
        <w:jc w:val="left"/>
        <w:rPr>
          <w:sz w:val="20"/>
        </w:rPr>
      </w:pPr>
      <w:r>
        <w:rPr>
          <w:i/>
          <w:sz w:val="20"/>
        </w:rPr>
        <w:t>r </w:t>
      </w:r>
      <w:r>
        <w:rPr>
          <w:sz w:val="20"/>
        </w:rPr>
        <w:t>= Componente de ingreso por dividendos + Componente de cambio de precio</w:t>
      </w:r>
    </w:p>
    <w:p>
      <w:pPr>
        <w:pStyle w:val="BodyText"/>
        <w:rPr>
          <w:sz w:val="20"/>
        </w:rPr>
      </w:pPr>
    </w:p>
    <w:p>
      <w:pPr>
        <w:pStyle w:val="BodyText"/>
        <w:rPr>
          <w:sz w:val="20"/>
        </w:rPr>
      </w:pPr>
    </w:p>
    <w:p>
      <w:pPr>
        <w:pStyle w:val="BodyText"/>
        <w:spacing w:before="4"/>
        <w:rPr>
          <w:sz w:val="26"/>
        </w:rPr>
      </w:pPr>
      <w:r>
        <w:rPr/>
        <w:pict>
          <v:line style="position:absolute;mso-position-horizontal-relative:page;mso-position-vertical-relative:paragraph;z-index:1312;mso-wrap-distance-left:0;mso-wrap-distance-right:0" from="85.103996pt,17.422819pt" to="229.123996pt,17.422819pt" stroked="true" strokeweight=".599980pt" strokecolor="#000000">
            <w10:wrap type="topAndBottom"/>
          </v:line>
        </w:pict>
      </w:r>
    </w:p>
    <w:p>
      <w:pPr>
        <w:pStyle w:val="BodyText"/>
        <w:spacing w:before="1"/>
        <w:rPr>
          <w:sz w:val="6"/>
        </w:rPr>
      </w:pPr>
    </w:p>
    <w:p>
      <w:pPr>
        <w:spacing w:after="0"/>
        <w:rPr>
          <w:sz w:val="6"/>
        </w:rPr>
        <w:sectPr>
          <w:type w:val="continuous"/>
          <w:pgSz w:w="12240" w:h="15840"/>
          <w:pgMar w:top="720" w:bottom="280" w:left="1560" w:right="1560"/>
        </w:sectPr>
      </w:pPr>
    </w:p>
    <w:p>
      <w:pPr>
        <w:spacing w:line="39" w:lineRule="exact" w:before="23"/>
        <w:ind w:left="142" w:right="-4" w:firstLine="0"/>
        <w:jc w:val="left"/>
        <w:rPr>
          <w:sz w:val="20"/>
        </w:rPr>
      </w:pPr>
      <w:r>
        <w:rPr>
          <w:position w:val="6"/>
          <w:sz w:val="13"/>
        </w:rPr>
        <w:t>16 </w:t>
      </w:r>
      <w:r>
        <w:rPr>
          <w:sz w:val="20"/>
        </w:rPr>
        <w:t>Rendimiento </w:t>
      </w:r>
      <w:r>
        <w:rPr>
          <w:sz w:val="20"/>
          <w:u w:val="single"/>
        </w:rPr>
        <w:t>Discreto</w:t>
      </w:r>
      <w:r>
        <w:rPr>
          <w:sz w:val="20"/>
        </w:rPr>
        <w:t>:</w:t>
      </w:r>
    </w:p>
    <w:p>
      <w:pPr>
        <w:spacing w:line="39" w:lineRule="exact" w:before="23"/>
        <w:ind w:left="142" w:right="0" w:firstLine="0"/>
        <w:jc w:val="left"/>
        <w:rPr>
          <w:sz w:val="20"/>
        </w:rPr>
      </w:pPr>
      <w:r>
        <w:rPr/>
        <w:br w:type="column"/>
      </w:r>
      <w:r>
        <w:rPr>
          <w:rFonts w:ascii="Symbol" w:hAnsi="Symbol"/>
          <w:position w:val="-9"/>
          <w:sz w:val="17"/>
        </w:rPr>
        <w:t></w:t>
      </w:r>
      <w:r>
        <w:rPr>
          <w:rFonts w:ascii="Times New Roman" w:hAnsi="Times New Roman"/>
          <w:position w:val="-9"/>
          <w:sz w:val="17"/>
        </w:rPr>
        <w:t> </w:t>
      </w:r>
      <w:r>
        <w:rPr>
          <w:rFonts w:ascii="Times New Roman" w:hAnsi="Times New Roman"/>
          <w:i/>
          <w:position w:val="2"/>
          <w:sz w:val="17"/>
        </w:rPr>
        <w:t>VF  </w:t>
      </w:r>
      <w:r>
        <w:rPr>
          <w:rFonts w:ascii="Times New Roman" w:hAnsi="Times New Roman"/>
          <w:position w:val="-7"/>
          <w:sz w:val="17"/>
        </w:rPr>
        <w:t>1</w:t>
      </w:r>
      <w:r>
        <w:rPr>
          <w:rFonts w:ascii="Symbol" w:hAnsi="Symbol"/>
          <w:position w:val="-9"/>
          <w:sz w:val="17"/>
        </w:rPr>
        <w:t></w:t>
      </w:r>
      <w:r>
        <w:rPr>
          <w:rFonts w:ascii="Times New Roman" w:hAnsi="Times New Roman"/>
          <w:position w:val="-9"/>
          <w:sz w:val="17"/>
        </w:rPr>
        <w:t> </w:t>
      </w:r>
      <w:r>
        <w:rPr>
          <w:rFonts w:ascii="Symbol" w:hAnsi="Symbol"/>
          <w:position w:val="-7"/>
          <w:sz w:val="17"/>
        </w:rPr>
        <w:t></w:t>
      </w:r>
      <w:r>
        <w:rPr>
          <w:rFonts w:ascii="Times New Roman" w:hAnsi="Times New Roman"/>
          <w:position w:val="-7"/>
          <w:sz w:val="17"/>
        </w:rPr>
        <w:t>100 </w:t>
      </w:r>
      <w:r>
        <w:rPr>
          <w:sz w:val="20"/>
        </w:rPr>
        <w:t>; Rendimiento Contínuo:</w:t>
      </w:r>
    </w:p>
    <w:p>
      <w:pPr>
        <w:spacing w:line="32" w:lineRule="exact" w:before="29"/>
        <w:ind w:left="142" w:right="0" w:firstLine="0"/>
        <w:jc w:val="left"/>
        <w:rPr>
          <w:rFonts w:ascii="Symbol" w:hAnsi="Symbol"/>
          <w:sz w:val="17"/>
        </w:rPr>
      </w:pPr>
      <w:r>
        <w:rPr/>
        <w:br w:type="column"/>
      </w:r>
      <w:r>
        <w:rPr>
          <w:rFonts w:ascii="Symbol" w:hAnsi="Symbol"/>
          <w:sz w:val="17"/>
        </w:rPr>
        <w:t></w:t>
      </w:r>
      <w:r>
        <w:rPr>
          <w:rFonts w:ascii="Times New Roman" w:hAnsi="Times New Roman"/>
          <w:sz w:val="17"/>
        </w:rPr>
        <w:t> </w:t>
      </w:r>
      <w:r>
        <w:rPr>
          <w:rFonts w:ascii="Times New Roman" w:hAnsi="Times New Roman"/>
          <w:i/>
          <w:position w:val="1"/>
          <w:sz w:val="17"/>
        </w:rPr>
        <w:t>VF </w:t>
      </w:r>
      <w:r>
        <w:rPr>
          <w:rFonts w:ascii="Symbol" w:hAnsi="Symbol"/>
          <w:sz w:val="17"/>
        </w:rPr>
        <w:t></w:t>
      </w:r>
    </w:p>
    <w:p>
      <w:pPr>
        <w:spacing w:after="0" w:line="32" w:lineRule="exact"/>
        <w:jc w:val="left"/>
        <w:rPr>
          <w:rFonts w:ascii="Symbol" w:hAnsi="Symbol"/>
          <w:sz w:val="17"/>
        </w:rPr>
        <w:sectPr>
          <w:type w:val="continuous"/>
          <w:pgSz w:w="12240" w:h="15840"/>
          <w:pgMar w:top="720" w:bottom="280" w:left="1560" w:right="1560"/>
          <w:cols w:num="3" w:equalWidth="0">
            <w:col w:w="2307" w:space="285"/>
            <w:col w:w="3308" w:space="421"/>
            <w:col w:w="2799"/>
          </w:cols>
        </w:sectPr>
      </w:pPr>
    </w:p>
    <w:p>
      <w:pPr>
        <w:tabs>
          <w:tab w:pos="3090" w:val="left" w:leader="none"/>
          <w:tab w:pos="5034" w:val="left" w:leader="none"/>
          <w:tab w:pos="5884" w:val="left" w:leader="none"/>
        </w:tabs>
        <w:spacing w:line="226" w:lineRule="exact" w:before="0"/>
        <w:ind w:left="2395" w:right="0" w:firstLine="0"/>
        <w:jc w:val="left"/>
        <w:rPr>
          <w:rFonts w:ascii="Times New Roman" w:hAnsi="Times New Roman"/>
          <w:sz w:val="17"/>
        </w:rPr>
      </w:pPr>
      <w:r>
        <w:rPr/>
        <w:pict>
          <v:shape style="position:absolute;margin-left:232.380295pt;margin-top:4.623286pt;width:4.7pt;height:8.5pt;mso-position-horizontal-relative:page;mso-position-vertical-relative:paragraph;z-index:-98512" type="#_x0000_t202" filled="false" stroked="false">
            <v:textbox inset="0,0,0,0">
              <w:txbxContent>
                <w:p>
                  <w:pPr>
                    <w:spacing w:line="169" w:lineRule="exact" w:before="0"/>
                    <w:ind w:left="0" w:right="0" w:firstLine="0"/>
                    <w:jc w:val="left"/>
                    <w:rPr>
                      <w:rFonts w:ascii="Symbol" w:hAnsi="Symbol"/>
                      <w:sz w:val="17"/>
                    </w:rPr>
                  </w:pPr>
                  <w:r>
                    <w:rPr>
                      <w:rFonts w:ascii="Symbol" w:hAnsi="Symbol"/>
                      <w:w w:val="100"/>
                      <w:sz w:val="17"/>
                    </w:rPr>
                    <w:t></w:t>
                  </w:r>
                </w:p>
              </w:txbxContent>
            </v:textbox>
            <w10:wrap type="none"/>
          </v:shape>
        </w:pict>
      </w:r>
      <w:r>
        <w:rPr>
          <w:rFonts w:ascii="Times New Roman" w:hAnsi="Times New Roman"/>
          <w:i/>
          <w:position w:val="-8"/>
          <w:sz w:val="17"/>
        </w:rPr>
        <w:t>R</w:t>
      </w:r>
      <w:r>
        <w:rPr>
          <w:rFonts w:ascii="Symbol" w:hAnsi="Symbol"/>
          <w:position w:val="-8"/>
          <w:sz w:val="17"/>
        </w:rPr>
        <w:t></w:t>
      </w:r>
      <w:r>
        <w:rPr>
          <w:rFonts w:ascii="Times New Roman" w:hAnsi="Times New Roman"/>
          <w:spacing w:val="-6"/>
          <w:position w:val="-8"/>
          <w:sz w:val="17"/>
        </w:rPr>
        <w:t> </w:t>
      </w:r>
      <w:r>
        <w:rPr>
          <w:rFonts w:ascii="Symbol" w:hAnsi="Symbol"/>
          <w:position w:val="-8"/>
          <w:sz w:val="17"/>
        </w:rPr>
        <w:t></w:t>
      </w:r>
      <w:r>
        <w:rPr>
          <w:rFonts w:ascii="Times New Roman" w:hAnsi="Times New Roman"/>
          <w:spacing w:val="-8"/>
          <w:position w:val="-8"/>
          <w:sz w:val="17"/>
        </w:rPr>
        <w:t> </w:t>
      </w:r>
      <w:r>
        <w:rPr>
          <w:rFonts w:ascii="Symbol" w:hAnsi="Symbol"/>
          <w:sz w:val="17"/>
        </w:rPr>
        <w:t></w:t>
      </w:r>
      <w:r>
        <w:rPr>
          <w:rFonts w:ascii="Times New Roman" w:hAnsi="Times New Roman"/>
          <w:sz w:val="17"/>
          <w:u w:val="single"/>
        </w:rPr>
        <w:tab/>
      </w:r>
      <w:r>
        <w:rPr>
          <w:rFonts w:ascii="Symbol" w:hAnsi="Symbol"/>
          <w:sz w:val="17"/>
        </w:rPr>
        <w:t></w:t>
      </w:r>
      <w:r>
        <w:rPr>
          <w:rFonts w:ascii="Times New Roman" w:hAnsi="Times New Roman"/>
          <w:sz w:val="17"/>
        </w:rPr>
        <w:tab/>
      </w:r>
      <w:r>
        <w:rPr>
          <w:rFonts w:ascii="Times New Roman" w:hAnsi="Times New Roman"/>
          <w:w w:val="100"/>
          <w:sz w:val="17"/>
          <w:u w:val="single"/>
        </w:rPr>
        <w:t> </w:t>
      </w:r>
      <w:r>
        <w:rPr>
          <w:rFonts w:ascii="Times New Roman" w:hAnsi="Times New Roman"/>
          <w:sz w:val="17"/>
          <w:u w:val="single"/>
        </w:rPr>
        <w:tab/>
      </w:r>
    </w:p>
    <w:p>
      <w:pPr>
        <w:tabs>
          <w:tab w:pos="873" w:val="left" w:leader="none"/>
        </w:tabs>
        <w:spacing w:line="169" w:lineRule="exact" w:before="56"/>
        <w:ind w:left="64" w:right="0" w:firstLine="0"/>
        <w:jc w:val="left"/>
        <w:rPr>
          <w:rFonts w:ascii="Times New Roman" w:hAnsi="Times New Roman"/>
          <w:sz w:val="17"/>
        </w:rPr>
      </w:pPr>
      <w:r>
        <w:rPr/>
        <w:br w:type="column"/>
      </w:r>
      <w:r>
        <w:rPr>
          <w:rFonts w:ascii="Times New Roman" w:hAnsi="Times New Roman"/>
          <w:i/>
          <w:position w:val="2"/>
          <w:sz w:val="17"/>
        </w:rPr>
        <w:t>R</w:t>
      </w:r>
      <w:r>
        <w:rPr>
          <w:rFonts w:ascii="Symbol" w:hAnsi="Symbol"/>
          <w:position w:val="2"/>
          <w:sz w:val="17"/>
        </w:rPr>
        <w:t></w:t>
      </w:r>
      <w:r>
        <w:rPr>
          <w:rFonts w:ascii="Times New Roman" w:hAnsi="Times New Roman"/>
          <w:spacing w:val="-6"/>
          <w:position w:val="2"/>
          <w:sz w:val="17"/>
        </w:rPr>
        <w:t> </w:t>
      </w:r>
      <w:r>
        <w:rPr>
          <w:rFonts w:ascii="Symbol" w:hAnsi="Symbol"/>
          <w:position w:val="2"/>
          <w:sz w:val="17"/>
        </w:rPr>
        <w:t></w:t>
      </w:r>
      <w:r>
        <w:rPr>
          <w:rFonts w:ascii="Times New Roman" w:hAnsi="Times New Roman"/>
          <w:spacing w:val="-5"/>
          <w:position w:val="2"/>
          <w:sz w:val="17"/>
        </w:rPr>
        <w:t> </w:t>
      </w:r>
      <w:r>
        <w:rPr>
          <w:rFonts w:ascii="Times New Roman" w:hAnsi="Times New Roman"/>
          <w:position w:val="2"/>
          <w:sz w:val="17"/>
        </w:rPr>
        <w:t>ln</w:t>
      </w:r>
      <w:r>
        <w:rPr>
          <w:rFonts w:ascii="Symbol" w:hAnsi="Symbol"/>
          <w:sz w:val="17"/>
        </w:rPr>
        <w:t></w:t>
      </w:r>
      <w:r>
        <w:rPr>
          <w:rFonts w:ascii="Times New Roman" w:hAnsi="Times New Roman"/>
          <w:sz w:val="17"/>
        </w:rPr>
        <w:tab/>
      </w:r>
      <w:r>
        <w:rPr>
          <w:rFonts w:ascii="Symbol" w:hAnsi="Symbol"/>
          <w:sz w:val="17"/>
        </w:rPr>
        <w:t></w:t>
      </w:r>
      <w:r>
        <w:rPr>
          <w:rFonts w:ascii="Times New Roman" w:hAnsi="Times New Roman"/>
          <w:spacing w:val="-13"/>
          <w:sz w:val="17"/>
        </w:rPr>
        <w:t> </w:t>
      </w:r>
      <w:r>
        <w:rPr>
          <w:rFonts w:ascii="Symbol" w:hAnsi="Symbol"/>
          <w:position w:val="2"/>
          <w:sz w:val="17"/>
        </w:rPr>
        <w:t></w:t>
      </w:r>
      <w:r>
        <w:rPr>
          <w:rFonts w:ascii="Times New Roman" w:hAnsi="Times New Roman"/>
          <w:position w:val="2"/>
          <w:sz w:val="17"/>
        </w:rPr>
        <w:t>100</w:t>
      </w:r>
    </w:p>
    <w:p>
      <w:pPr>
        <w:spacing w:after="0" w:line="169" w:lineRule="exact"/>
        <w:jc w:val="left"/>
        <w:rPr>
          <w:rFonts w:ascii="Times New Roman" w:hAnsi="Times New Roman"/>
          <w:sz w:val="17"/>
        </w:rPr>
        <w:sectPr>
          <w:type w:val="continuous"/>
          <w:pgSz w:w="12240" w:h="15840"/>
          <w:pgMar w:top="720" w:bottom="280" w:left="1560" w:right="1560"/>
          <w:cols w:num="2" w:equalWidth="0">
            <w:col w:w="5885" w:space="40"/>
            <w:col w:w="3195"/>
          </w:cols>
        </w:sectPr>
      </w:pPr>
    </w:p>
    <w:p>
      <w:pPr>
        <w:tabs>
          <w:tab w:pos="3280" w:val="left" w:leader="none"/>
          <w:tab w:pos="6464" w:val="left" w:leader="none"/>
        </w:tabs>
        <w:spacing w:line="194" w:lineRule="exact" w:before="0"/>
        <w:ind w:left="2734" w:right="786" w:firstLine="0"/>
        <w:jc w:val="left"/>
        <w:rPr>
          <w:rFonts w:ascii="Symbol" w:hAnsi="Symbol"/>
          <w:sz w:val="17"/>
        </w:rPr>
      </w:pPr>
      <w:r>
        <w:rPr/>
        <w:pict>
          <v:line style="position:absolute;mso-position-horizontal-relative:page;mso-position-vertical-relative:paragraph;z-index:-98536" from="405.776184pt,-1.644064pt" to="417.041493pt,-1.644064pt" stroked="true" strokeweight=".097318pt" strokecolor="#000000">
            <w10:wrap type="none"/>
          </v:line>
        </w:pict>
      </w:r>
      <w:r>
        <w:rPr>
          <w:rFonts w:ascii="Symbol" w:hAnsi="Symbol"/>
          <w:position w:val="-1"/>
          <w:sz w:val="17"/>
        </w:rPr>
        <w:t></w:t>
      </w:r>
      <w:r>
        <w:rPr>
          <w:rFonts w:ascii="Times New Roman" w:hAnsi="Times New Roman"/>
          <w:spacing w:val="-5"/>
          <w:position w:val="-1"/>
          <w:sz w:val="17"/>
        </w:rPr>
        <w:t> </w:t>
      </w:r>
      <w:r>
        <w:rPr>
          <w:rFonts w:ascii="Times New Roman" w:hAnsi="Times New Roman"/>
          <w:i/>
          <w:sz w:val="17"/>
        </w:rPr>
        <w:t>VI</w:t>
        <w:tab/>
      </w:r>
      <w:r>
        <w:rPr>
          <w:rFonts w:ascii="Symbol" w:hAnsi="Symbol"/>
          <w:position w:val="-1"/>
          <w:sz w:val="17"/>
        </w:rPr>
        <w:t></w:t>
      </w:r>
      <w:r>
        <w:rPr>
          <w:rFonts w:ascii="Times New Roman" w:hAnsi="Times New Roman"/>
          <w:position w:val="-1"/>
          <w:sz w:val="17"/>
        </w:rPr>
        <w:tab/>
      </w:r>
      <w:r>
        <w:rPr>
          <w:rFonts w:ascii="Symbol" w:hAnsi="Symbol"/>
          <w:position w:val="-1"/>
          <w:sz w:val="17"/>
        </w:rPr>
        <w:t></w:t>
      </w:r>
      <w:r>
        <w:rPr>
          <w:rFonts w:ascii="Times New Roman" w:hAnsi="Times New Roman"/>
          <w:position w:val="-1"/>
          <w:sz w:val="17"/>
        </w:rPr>
        <w:t> </w:t>
      </w:r>
      <w:r>
        <w:rPr>
          <w:rFonts w:ascii="Times New Roman" w:hAnsi="Times New Roman"/>
          <w:i/>
          <w:sz w:val="17"/>
        </w:rPr>
        <w:t>VI</w:t>
      </w:r>
      <w:r>
        <w:rPr>
          <w:rFonts w:ascii="Times New Roman" w:hAnsi="Times New Roman"/>
          <w:i/>
          <w:spacing w:val="21"/>
          <w:sz w:val="17"/>
        </w:rPr>
        <w:t> </w:t>
      </w:r>
      <w:r>
        <w:rPr>
          <w:rFonts w:ascii="Symbol" w:hAnsi="Symbol"/>
          <w:position w:val="-1"/>
          <w:sz w:val="17"/>
        </w:rPr>
        <w:t></w:t>
      </w:r>
    </w:p>
    <w:p>
      <w:pPr>
        <w:spacing w:after="0" w:line="194" w:lineRule="exact"/>
        <w:jc w:val="left"/>
        <w:rPr>
          <w:rFonts w:ascii="Symbol" w:hAnsi="Symbol"/>
          <w:sz w:val="17"/>
        </w:rPr>
        <w:sectPr>
          <w:type w:val="continuous"/>
          <w:pgSz w:w="12240" w:h="15840"/>
          <w:pgMar w:top="720" w:bottom="280" w:left="1560" w:right="1560"/>
        </w:sectPr>
      </w:pPr>
    </w:p>
    <w:p>
      <w:pPr>
        <w:pStyle w:val="BodyText"/>
        <w:rPr>
          <w:rFonts w:ascii="Symbol" w:hAnsi="Symbol"/>
          <w:sz w:val="20"/>
        </w:rPr>
      </w:pPr>
    </w:p>
    <w:p>
      <w:pPr>
        <w:spacing w:after="0"/>
        <w:rPr>
          <w:rFonts w:ascii="Symbol" w:hAnsi="Symbol"/>
          <w:sz w:val="20"/>
        </w:rPr>
        <w:sectPr>
          <w:pgSz w:w="12240" w:h="15840"/>
          <w:pgMar w:header="731" w:footer="737" w:top="1180" w:bottom="920" w:left="1360" w:right="1360"/>
        </w:sectPr>
      </w:pPr>
    </w:p>
    <w:p>
      <w:pPr>
        <w:pStyle w:val="BodyText"/>
        <w:spacing w:before="5"/>
        <w:rPr>
          <w:rFonts w:ascii="Symbol" w:hAnsi="Symbol"/>
          <w:sz w:val="19"/>
        </w:rPr>
      </w:pPr>
    </w:p>
    <w:p>
      <w:pPr>
        <w:spacing w:before="0"/>
        <w:ind w:left="342" w:right="0" w:firstLine="0"/>
        <w:jc w:val="left"/>
        <w:rPr>
          <w:sz w:val="20"/>
        </w:rPr>
      </w:pPr>
      <w:r>
        <w:rPr>
          <w:w w:val="95"/>
          <w:sz w:val="20"/>
        </w:rPr>
        <w:t>Donde:</w:t>
      </w:r>
    </w:p>
    <w:p>
      <w:pPr>
        <w:pStyle w:val="BodyText"/>
        <w:rPr>
          <w:sz w:val="20"/>
        </w:rPr>
      </w:pPr>
      <w:r>
        <w:rPr/>
        <w:br w:type="column"/>
      </w:r>
      <w:r>
        <w:rPr>
          <w:sz w:val="20"/>
        </w:rPr>
      </w:r>
    </w:p>
    <w:p>
      <w:pPr>
        <w:pStyle w:val="BodyText"/>
        <w:spacing w:before="8"/>
        <w:rPr>
          <w:sz w:val="20"/>
        </w:rPr>
      </w:pPr>
    </w:p>
    <w:p>
      <w:pPr>
        <w:spacing w:before="0"/>
        <w:ind w:left="24" w:right="5816" w:firstLine="0"/>
        <w:jc w:val="left"/>
        <w:rPr>
          <w:sz w:val="20"/>
        </w:rPr>
      </w:pPr>
      <w:r>
        <w:rPr>
          <w:sz w:val="20"/>
        </w:rPr>
        <w:t>DE = Dividendo en efectivo Prt = Precio inicial</w:t>
      </w:r>
    </w:p>
    <w:p>
      <w:pPr>
        <w:spacing w:before="0"/>
        <w:ind w:left="24" w:right="0" w:firstLine="0"/>
        <w:jc w:val="left"/>
        <w:rPr>
          <w:sz w:val="20"/>
        </w:rPr>
      </w:pPr>
      <w:r>
        <w:rPr>
          <w:sz w:val="20"/>
        </w:rPr>
        <w:t>Prt+1 = Precio final de una acción</w:t>
      </w:r>
    </w:p>
    <w:p>
      <w:pPr>
        <w:spacing w:after="0"/>
        <w:jc w:val="left"/>
        <w:rPr>
          <w:sz w:val="20"/>
        </w:rPr>
        <w:sectPr>
          <w:type w:val="continuous"/>
          <w:pgSz w:w="12240" w:h="15840"/>
          <w:pgMar w:top="720" w:bottom="280" w:left="1360" w:right="1360"/>
          <w:cols w:num="2" w:equalWidth="0">
            <w:col w:w="986" w:space="40"/>
            <w:col w:w="8494"/>
          </w:cols>
        </w:sectPr>
      </w:pPr>
    </w:p>
    <w:p>
      <w:pPr>
        <w:pStyle w:val="BodyText"/>
        <w:spacing w:before="8"/>
        <w:rPr>
          <w:sz w:val="14"/>
        </w:rPr>
      </w:pPr>
    </w:p>
    <w:p>
      <w:pPr>
        <w:pStyle w:val="BodyText"/>
        <w:spacing w:line="360" w:lineRule="auto" w:before="70"/>
        <w:ind w:left="342" w:right="340" w:firstLine="707"/>
        <w:jc w:val="both"/>
      </w:pPr>
      <w:r>
        <w:rPr/>
        <w:t>La</w:t>
      </w:r>
      <w:r>
        <w:rPr>
          <w:spacing w:val="-9"/>
        </w:rPr>
        <w:t> </w:t>
      </w:r>
      <w:r>
        <w:rPr/>
        <w:t>tasa</w:t>
      </w:r>
      <w:r>
        <w:rPr>
          <w:spacing w:val="-12"/>
        </w:rPr>
        <w:t> </w:t>
      </w:r>
      <w:r>
        <w:rPr/>
        <w:t>esperada</w:t>
      </w:r>
      <w:r>
        <w:rPr>
          <w:spacing w:val="-12"/>
        </w:rPr>
        <w:t> </w:t>
      </w:r>
      <w:r>
        <w:rPr/>
        <w:t>de</w:t>
      </w:r>
      <w:r>
        <w:rPr>
          <w:spacing w:val="-7"/>
        </w:rPr>
        <w:t> </w:t>
      </w:r>
      <w:r>
        <w:rPr/>
        <w:t>rendimiento</w:t>
      </w:r>
      <w:r>
        <w:rPr>
          <w:spacing w:val="-11"/>
        </w:rPr>
        <w:t> </w:t>
      </w:r>
      <w:r>
        <w:rPr/>
        <w:t>(la</w:t>
      </w:r>
      <w:r>
        <w:rPr>
          <w:spacing w:val="-12"/>
        </w:rPr>
        <w:t> </w:t>
      </w:r>
      <w:r>
        <w:rPr/>
        <w:t>media)</w:t>
      </w:r>
      <w:r>
        <w:rPr>
          <w:spacing w:val="-10"/>
        </w:rPr>
        <w:t> </w:t>
      </w:r>
      <w:r>
        <w:rPr/>
        <w:t>se</w:t>
      </w:r>
      <w:r>
        <w:rPr>
          <w:spacing w:val="-9"/>
        </w:rPr>
        <w:t> </w:t>
      </w:r>
      <w:r>
        <w:rPr/>
        <w:t>define</w:t>
      </w:r>
      <w:r>
        <w:rPr>
          <w:spacing w:val="-11"/>
        </w:rPr>
        <w:t> </w:t>
      </w:r>
      <w:r>
        <w:rPr/>
        <w:t>como</w:t>
      </w:r>
      <w:r>
        <w:rPr>
          <w:spacing w:val="-12"/>
        </w:rPr>
        <w:t> </w:t>
      </w:r>
      <w:r>
        <w:rPr/>
        <w:t>la</w:t>
      </w:r>
      <w:r>
        <w:rPr>
          <w:spacing w:val="-12"/>
        </w:rPr>
        <w:t> </w:t>
      </w:r>
      <w:r>
        <w:rPr/>
        <w:t>suma</w:t>
      </w:r>
      <w:r>
        <w:rPr>
          <w:spacing w:val="-12"/>
        </w:rPr>
        <w:t> </w:t>
      </w:r>
      <w:r>
        <w:rPr/>
        <w:t>de</w:t>
      </w:r>
      <w:r>
        <w:rPr>
          <w:spacing w:val="-9"/>
        </w:rPr>
        <w:t> </w:t>
      </w:r>
      <w:r>
        <w:rPr/>
        <w:t>todos los resultados posibles de cada tasa de rendimiento posible, multiplicados por la probabilidad respectiva de que</w:t>
      </w:r>
      <w:r>
        <w:rPr>
          <w:spacing w:val="-15"/>
        </w:rPr>
        <w:t> </w:t>
      </w:r>
      <w:r>
        <w:rPr/>
        <w:t>ocurran:</w:t>
      </w:r>
    </w:p>
    <w:p>
      <w:pPr>
        <w:pStyle w:val="BodyText"/>
        <w:spacing w:before="125"/>
        <w:ind w:left="342" w:right="383"/>
      </w:pPr>
      <w:r>
        <w:rPr/>
        <w:t>Rendimiento esperado</w:t>
      </w:r>
    </w:p>
    <w:p>
      <w:pPr>
        <w:pStyle w:val="BodyText"/>
        <w:spacing w:before="4"/>
        <w:rPr>
          <w:sz w:val="14"/>
        </w:rPr>
      </w:pPr>
    </w:p>
    <w:p>
      <w:pPr>
        <w:spacing w:line="118" w:lineRule="exact" w:before="0"/>
        <w:ind w:left="336" w:right="0" w:firstLine="0"/>
        <w:jc w:val="center"/>
        <w:rPr>
          <w:rFonts w:ascii="Times New Roman"/>
          <w:i/>
          <w:sz w:val="14"/>
        </w:rPr>
      </w:pPr>
      <w:r>
        <w:rPr>
          <w:rFonts w:ascii="Times New Roman"/>
          <w:i/>
          <w:w w:val="101"/>
          <w:sz w:val="14"/>
        </w:rPr>
        <w:t>n</w:t>
      </w:r>
    </w:p>
    <w:p>
      <w:pPr>
        <w:spacing w:line="374" w:lineRule="exact" w:before="0"/>
        <w:ind w:left="679" w:right="712" w:firstLine="0"/>
        <w:jc w:val="center"/>
        <w:rPr>
          <w:rFonts w:ascii="Times New Roman" w:hAnsi="Times New Roman"/>
          <w:i/>
          <w:sz w:val="14"/>
        </w:rPr>
      </w:pPr>
      <w:r>
        <w:rPr>
          <w:rFonts w:ascii="Times New Roman" w:hAnsi="Times New Roman"/>
          <w:i/>
          <w:sz w:val="24"/>
        </w:rPr>
        <w:t>E</w:t>
      </w:r>
      <w:r>
        <w:rPr>
          <w:rFonts w:ascii="Times New Roman" w:hAnsi="Times New Roman"/>
          <w:sz w:val="24"/>
        </w:rPr>
        <w:t>(</w:t>
      </w:r>
      <w:r>
        <w:rPr>
          <w:rFonts w:ascii="Times New Roman" w:hAnsi="Times New Roman"/>
          <w:i/>
          <w:sz w:val="24"/>
        </w:rPr>
        <w:t>r</w:t>
      </w:r>
      <w:r>
        <w:rPr>
          <w:rFonts w:ascii="Times New Roman" w:hAnsi="Times New Roman"/>
          <w:sz w:val="24"/>
        </w:rPr>
        <w:t>) </w:t>
      </w:r>
      <w:r>
        <w:rPr>
          <w:rFonts w:ascii="Symbol" w:hAnsi="Symbol"/>
          <w:sz w:val="24"/>
        </w:rPr>
        <w:t></w:t>
      </w:r>
      <w:r>
        <w:rPr>
          <w:rFonts w:ascii="Times New Roman" w:hAnsi="Times New Roman"/>
          <w:sz w:val="24"/>
        </w:rPr>
        <w:t> </w:t>
      </w:r>
      <w:r>
        <w:rPr>
          <w:rFonts w:ascii="Symbol" w:hAnsi="Symbol"/>
          <w:position w:val="-5"/>
          <w:sz w:val="36"/>
        </w:rPr>
        <w:t></w:t>
      </w:r>
      <w:r>
        <w:rPr>
          <w:rFonts w:ascii="Times New Roman" w:hAnsi="Times New Roman"/>
          <w:position w:val="-5"/>
          <w:sz w:val="36"/>
        </w:rPr>
        <w:t> </w:t>
      </w:r>
      <w:r>
        <w:rPr>
          <w:rFonts w:ascii="Times New Roman" w:hAnsi="Times New Roman"/>
          <w:i/>
          <w:sz w:val="24"/>
        </w:rPr>
        <w:t>P</w:t>
      </w:r>
      <w:r>
        <w:rPr>
          <w:rFonts w:ascii="Times New Roman" w:hAnsi="Times New Roman"/>
          <w:i/>
          <w:position w:val="-5"/>
          <w:sz w:val="14"/>
        </w:rPr>
        <w:t>i </w:t>
      </w:r>
      <w:r>
        <w:rPr>
          <w:rFonts w:ascii="Times New Roman" w:hAnsi="Times New Roman"/>
          <w:i/>
          <w:sz w:val="24"/>
        </w:rPr>
        <w:t>r</w:t>
      </w:r>
      <w:r>
        <w:rPr>
          <w:rFonts w:ascii="Times New Roman" w:hAnsi="Times New Roman"/>
          <w:i/>
          <w:position w:val="-5"/>
          <w:sz w:val="14"/>
        </w:rPr>
        <w:t>i</w:t>
      </w:r>
    </w:p>
    <w:p>
      <w:pPr>
        <w:spacing w:line="148" w:lineRule="exact" w:before="0"/>
        <w:ind w:left="1058" w:right="712" w:firstLine="0"/>
        <w:jc w:val="center"/>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p>
      <w:pPr>
        <w:pStyle w:val="BodyText"/>
        <w:spacing w:before="9"/>
        <w:rPr>
          <w:rFonts w:ascii="Times New Roman"/>
          <w:sz w:val="15"/>
        </w:rPr>
      </w:pPr>
    </w:p>
    <w:p>
      <w:pPr>
        <w:spacing w:before="74"/>
        <w:ind w:left="800" w:right="383" w:firstLine="0"/>
        <w:jc w:val="left"/>
        <w:rPr>
          <w:sz w:val="20"/>
        </w:rPr>
      </w:pPr>
      <w:r>
        <w:rPr>
          <w:sz w:val="20"/>
        </w:rPr>
        <w:t>Rendimiento esperado = Suma de (Probabilidad del rendimiento) x (Rendimiento posible)</w:t>
      </w:r>
    </w:p>
    <w:p>
      <w:pPr>
        <w:pStyle w:val="BodyText"/>
        <w:rPr>
          <w:sz w:val="20"/>
        </w:rPr>
      </w:pPr>
    </w:p>
    <w:p>
      <w:pPr>
        <w:pStyle w:val="BodyText"/>
        <w:spacing w:line="357" w:lineRule="auto" w:before="129"/>
        <w:ind w:left="342" w:right="335" w:firstLine="707"/>
        <w:jc w:val="both"/>
      </w:pPr>
      <w:r>
        <w:rPr/>
        <w:t>La </w:t>
      </w:r>
      <w:r>
        <w:rPr>
          <w:i/>
        </w:rPr>
        <w:t>Ganancia de Capital </w:t>
      </w:r>
      <w:r>
        <w:rPr/>
        <w:t>es la diferencia originada entre el precio de un activo</w:t>
      </w:r>
      <w:r>
        <w:rPr>
          <w:position w:val="8"/>
          <w:sz w:val="16"/>
        </w:rPr>
        <w:t>17 </w:t>
      </w:r>
      <w:r>
        <w:rPr/>
        <w:t>en un momento determinado por las fechas </w:t>
      </w:r>
      <w:r>
        <w:rPr>
          <w:i/>
        </w:rPr>
        <w:t>t </w:t>
      </w:r>
      <w:r>
        <w:rPr/>
        <w:t>y </w:t>
      </w:r>
      <w:r>
        <w:rPr>
          <w:i/>
        </w:rPr>
        <w:t>t</w:t>
      </w:r>
      <w:r>
        <w:rPr>
          <w:rFonts w:ascii="Symbol" w:hAnsi="Symbol"/>
        </w:rPr>
        <w:t></w:t>
      </w:r>
      <w:r>
        <w:rPr>
          <w:i/>
        </w:rPr>
        <w:t>k</w:t>
      </w:r>
      <w:r>
        <w:rPr/>
        <w:t>. Evidentemente, si la </w:t>
      </w:r>
      <w:r>
        <w:rPr>
          <w:position w:val="1"/>
        </w:rPr>
        <w:t>diferencia es negativa, se le considera una pérdida.</w:t>
      </w:r>
      <w:r>
        <w:rPr>
          <w:position w:val="9"/>
          <w:sz w:val="16"/>
        </w:rPr>
        <w:t>18 </w:t>
      </w:r>
      <w:r>
        <w:rPr>
          <w:position w:val="1"/>
        </w:rPr>
        <w:t>Su valor se determina por G</w:t>
      </w:r>
      <w:r>
        <w:rPr>
          <w:sz w:val="16"/>
        </w:rPr>
        <w:t>t</w:t>
      </w:r>
      <w:r>
        <w:rPr>
          <w:position w:val="1"/>
        </w:rPr>
        <w:t>:</w:t>
      </w:r>
    </w:p>
    <w:p>
      <w:pPr>
        <w:pStyle w:val="BodyText"/>
        <w:spacing w:before="1"/>
        <w:rPr>
          <w:sz w:val="25"/>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9"/>
        <w:gridCol w:w="8137"/>
      </w:tblGrid>
      <w:tr>
        <w:trPr>
          <w:trHeight w:val="504" w:hRule="exact"/>
        </w:trPr>
        <w:tc>
          <w:tcPr>
            <w:tcW w:w="1169" w:type="dxa"/>
          </w:tcPr>
          <w:p>
            <w:pPr/>
          </w:p>
        </w:tc>
        <w:tc>
          <w:tcPr>
            <w:tcW w:w="8137" w:type="dxa"/>
          </w:tcPr>
          <w:p>
            <w:pPr>
              <w:pStyle w:val="TableParagraph"/>
              <w:spacing w:line="295" w:lineRule="exact"/>
              <w:ind w:left="2469" w:right="43"/>
              <w:rPr>
                <w:rFonts w:ascii="Times New Roman" w:hAnsi="Times New Roman"/>
                <w:i/>
                <w:sz w:val="14"/>
              </w:rPr>
            </w:pPr>
            <w:r>
              <w:rPr>
                <w:rFonts w:ascii="Times New Roman" w:hAnsi="Times New Roman"/>
                <w:i/>
                <w:sz w:val="25"/>
              </w:rPr>
              <w:t>G</w:t>
            </w:r>
            <w:r>
              <w:rPr>
                <w:rFonts w:ascii="Times New Roman" w:hAnsi="Times New Roman"/>
                <w:i/>
                <w:position w:val="-5"/>
                <w:sz w:val="14"/>
              </w:rPr>
              <w:t>t  </w:t>
            </w:r>
            <w:r>
              <w:rPr>
                <w:rFonts w:ascii="Symbol" w:hAnsi="Symbol"/>
                <w:sz w:val="25"/>
              </w:rPr>
              <w:t></w:t>
            </w:r>
            <w:r>
              <w:rPr>
                <w:rFonts w:ascii="Times New Roman" w:hAnsi="Times New Roman"/>
                <w:sz w:val="25"/>
              </w:rPr>
              <w:t> </w:t>
            </w:r>
            <w:r>
              <w:rPr>
                <w:rFonts w:ascii="Times New Roman" w:hAnsi="Times New Roman"/>
                <w:i/>
                <w:sz w:val="25"/>
              </w:rPr>
              <w:t>P</w:t>
            </w:r>
            <w:r>
              <w:rPr>
                <w:rFonts w:ascii="Times New Roman" w:hAnsi="Times New Roman"/>
                <w:i/>
                <w:position w:val="-5"/>
                <w:sz w:val="14"/>
              </w:rPr>
              <w:t>t     </w:t>
            </w:r>
            <w:r>
              <w:rPr>
                <w:rFonts w:ascii="Symbol" w:hAnsi="Symbol"/>
                <w:sz w:val="25"/>
              </w:rPr>
              <w:t></w:t>
            </w:r>
            <w:r>
              <w:rPr>
                <w:rFonts w:ascii="Times New Roman" w:hAnsi="Times New Roman"/>
                <w:sz w:val="25"/>
              </w:rPr>
              <w:t> </w:t>
            </w:r>
            <w:r>
              <w:rPr>
                <w:rFonts w:ascii="Times New Roman" w:hAnsi="Times New Roman"/>
                <w:i/>
                <w:sz w:val="25"/>
              </w:rPr>
              <w:t>P</w:t>
            </w:r>
            <w:r>
              <w:rPr>
                <w:rFonts w:ascii="Times New Roman" w:hAnsi="Times New Roman"/>
                <w:i/>
                <w:position w:val="-5"/>
                <w:sz w:val="14"/>
              </w:rPr>
              <w:t>t </w:t>
            </w:r>
            <w:r>
              <w:rPr>
                <w:rFonts w:ascii="Symbol" w:hAnsi="Symbol"/>
                <w:position w:val="-5"/>
                <w:sz w:val="14"/>
              </w:rPr>
              <w:t></w:t>
            </w:r>
            <w:r>
              <w:rPr>
                <w:rFonts w:ascii="Times New Roman" w:hAnsi="Times New Roman"/>
                <w:i/>
                <w:position w:val="-5"/>
                <w:sz w:val="14"/>
              </w:rPr>
              <w:t>k</w:t>
            </w:r>
          </w:p>
        </w:tc>
      </w:tr>
      <w:tr>
        <w:trPr>
          <w:trHeight w:val="822" w:hRule="exact"/>
        </w:trPr>
        <w:tc>
          <w:tcPr>
            <w:tcW w:w="1169" w:type="dxa"/>
          </w:tcPr>
          <w:p>
            <w:pPr>
              <w:pStyle w:val="TableParagraph"/>
              <w:spacing w:before="10"/>
              <w:ind w:left="0"/>
              <w:rPr>
                <w:sz w:val="15"/>
              </w:rPr>
            </w:pPr>
          </w:p>
          <w:p>
            <w:pPr>
              <w:pStyle w:val="TableParagraph"/>
              <w:ind w:left="200"/>
              <w:rPr>
                <w:sz w:val="20"/>
              </w:rPr>
            </w:pPr>
            <w:r>
              <w:rPr>
                <w:sz w:val="20"/>
              </w:rPr>
              <w:t>Donde:</w:t>
            </w:r>
          </w:p>
        </w:tc>
        <w:tc>
          <w:tcPr>
            <w:tcW w:w="8137" w:type="dxa"/>
          </w:tcPr>
          <w:p>
            <w:pPr>
              <w:pStyle w:val="TableParagraph"/>
              <w:spacing w:before="4"/>
              <w:ind w:left="0"/>
              <w:rPr>
                <w:sz w:val="20"/>
              </w:rPr>
            </w:pPr>
          </w:p>
          <w:p>
            <w:pPr>
              <w:pStyle w:val="TableParagraph"/>
              <w:spacing w:line="254" w:lineRule="auto"/>
              <w:ind w:left="324" w:right="43" w:firstLine="31"/>
              <w:rPr>
                <w:sz w:val="20"/>
              </w:rPr>
            </w:pPr>
            <w:r>
              <w:rPr>
                <w:rFonts w:ascii="Times New Roman" w:hAnsi="Times New Roman"/>
                <w:i/>
                <w:sz w:val="20"/>
              </w:rPr>
              <w:t>G</w:t>
            </w:r>
            <w:r>
              <w:rPr>
                <w:rFonts w:ascii="Times New Roman" w:hAnsi="Times New Roman"/>
                <w:i/>
                <w:position w:val="-5"/>
                <w:sz w:val="20"/>
              </w:rPr>
              <w:t>t </w:t>
            </w:r>
            <w:r>
              <w:rPr>
                <w:rFonts w:ascii="Symbol" w:hAnsi="Symbol"/>
                <w:sz w:val="20"/>
              </w:rPr>
              <w:t></w:t>
            </w:r>
            <w:r>
              <w:rPr>
                <w:rFonts w:ascii="Times New Roman" w:hAnsi="Times New Roman"/>
                <w:sz w:val="20"/>
              </w:rPr>
              <w:t> </w:t>
            </w:r>
            <w:r>
              <w:rPr>
                <w:sz w:val="20"/>
              </w:rPr>
              <w:t>Ganacia o pérdida de capital. Es el cambio, en términos absolutos, del precio de un activo entre el periodo </w:t>
            </w:r>
            <w:r>
              <w:rPr>
                <w:i/>
                <w:sz w:val="20"/>
              </w:rPr>
              <w:t>t </w:t>
            </w:r>
            <w:r>
              <w:rPr>
                <w:sz w:val="20"/>
              </w:rPr>
              <w:t>y </w:t>
            </w:r>
            <w:r>
              <w:rPr>
                <w:i/>
                <w:sz w:val="20"/>
              </w:rPr>
              <w:t>t</w:t>
            </w:r>
            <w:r>
              <w:rPr>
                <w:sz w:val="20"/>
              </w:rPr>
              <w:t>-1.</w:t>
            </w:r>
          </w:p>
        </w:tc>
      </w:tr>
      <w:tr>
        <w:trPr>
          <w:trHeight w:val="603" w:hRule="exact"/>
        </w:trPr>
        <w:tc>
          <w:tcPr>
            <w:tcW w:w="1169" w:type="dxa"/>
          </w:tcPr>
          <w:p>
            <w:pPr/>
          </w:p>
        </w:tc>
        <w:tc>
          <w:tcPr>
            <w:tcW w:w="8137" w:type="dxa"/>
          </w:tcPr>
          <w:p>
            <w:pPr>
              <w:pStyle w:val="TableParagraph"/>
              <w:spacing w:line="247" w:lineRule="auto" w:before="15"/>
              <w:ind w:left="324" w:right="43" w:firstLine="45"/>
              <w:rPr>
                <w:sz w:val="20"/>
              </w:rPr>
            </w:pPr>
            <w:r>
              <w:rPr>
                <w:rFonts w:ascii="Times New Roman" w:hAnsi="Times New Roman"/>
                <w:i/>
                <w:sz w:val="20"/>
              </w:rPr>
              <w:t>P</w:t>
            </w:r>
            <w:r>
              <w:rPr>
                <w:rFonts w:ascii="Times New Roman" w:hAnsi="Times New Roman"/>
                <w:i/>
                <w:position w:val="-6"/>
                <w:sz w:val="20"/>
              </w:rPr>
              <w:t>t </w:t>
            </w:r>
            <w:r>
              <w:rPr>
                <w:rFonts w:ascii="Symbol" w:hAnsi="Symbol"/>
                <w:sz w:val="20"/>
              </w:rPr>
              <w:t></w:t>
            </w:r>
            <w:r>
              <w:rPr>
                <w:rFonts w:ascii="Times New Roman" w:hAnsi="Times New Roman"/>
                <w:sz w:val="20"/>
              </w:rPr>
              <w:t> </w:t>
            </w:r>
            <w:r>
              <w:rPr>
                <w:sz w:val="20"/>
              </w:rPr>
              <w:t>Precio de un activo en la fecha </w:t>
            </w:r>
            <w:r>
              <w:rPr>
                <w:i/>
                <w:sz w:val="20"/>
              </w:rPr>
              <w:t>t </w:t>
            </w:r>
            <w:r>
              <w:rPr>
                <w:sz w:val="20"/>
              </w:rPr>
              <w:t>(un día determinado de operación en la bolsa de valores)</w:t>
            </w:r>
          </w:p>
        </w:tc>
      </w:tr>
      <w:tr>
        <w:trPr>
          <w:trHeight w:val="580" w:hRule="exact"/>
        </w:trPr>
        <w:tc>
          <w:tcPr>
            <w:tcW w:w="1169" w:type="dxa"/>
          </w:tcPr>
          <w:p>
            <w:pPr/>
          </w:p>
        </w:tc>
        <w:tc>
          <w:tcPr>
            <w:tcW w:w="8137" w:type="dxa"/>
          </w:tcPr>
          <w:p>
            <w:pPr>
              <w:pStyle w:val="TableParagraph"/>
              <w:spacing w:before="7"/>
              <w:ind w:left="324" w:right="43" w:firstLine="44"/>
              <w:rPr>
                <w:sz w:val="20"/>
              </w:rPr>
            </w:pPr>
            <w:r>
              <w:rPr>
                <w:rFonts w:ascii="Times New Roman" w:hAnsi="Times New Roman"/>
                <w:i/>
                <w:sz w:val="21"/>
              </w:rPr>
              <w:t>P</w:t>
            </w:r>
            <w:r>
              <w:rPr>
                <w:rFonts w:ascii="Times New Roman" w:hAnsi="Times New Roman"/>
                <w:i/>
                <w:position w:val="-8"/>
                <w:sz w:val="21"/>
              </w:rPr>
              <w:t>t</w:t>
            </w:r>
            <w:r>
              <w:rPr>
                <w:rFonts w:ascii="Symbol" w:hAnsi="Symbol"/>
                <w:position w:val="-8"/>
                <w:sz w:val="21"/>
              </w:rPr>
              <w:t></w:t>
            </w:r>
            <w:r>
              <w:rPr>
                <w:rFonts w:ascii="Times New Roman" w:hAnsi="Times New Roman"/>
                <w:i/>
                <w:position w:val="-8"/>
                <w:sz w:val="21"/>
              </w:rPr>
              <w:t>k </w:t>
            </w:r>
            <w:r>
              <w:rPr>
                <w:rFonts w:ascii="Symbol" w:hAnsi="Symbol"/>
                <w:sz w:val="21"/>
              </w:rPr>
              <w:t></w:t>
            </w:r>
            <w:r>
              <w:rPr>
                <w:rFonts w:ascii="Times New Roman" w:hAnsi="Times New Roman"/>
                <w:sz w:val="21"/>
              </w:rPr>
              <w:t> </w:t>
            </w:r>
            <w:r>
              <w:rPr>
                <w:sz w:val="20"/>
              </w:rPr>
              <w:t>Precio de un activo en la fecha </w:t>
            </w:r>
            <w:r>
              <w:rPr>
                <w:i/>
                <w:sz w:val="20"/>
              </w:rPr>
              <w:t>t</w:t>
            </w:r>
            <w:r>
              <w:rPr>
                <w:sz w:val="20"/>
              </w:rPr>
              <w:t>-</w:t>
            </w:r>
            <w:r>
              <w:rPr>
                <w:i/>
                <w:sz w:val="20"/>
              </w:rPr>
              <w:t>k </w:t>
            </w:r>
            <w:r>
              <w:rPr>
                <w:sz w:val="20"/>
              </w:rPr>
              <w:t>(fecha de operación histórica que puede ser desde 1 día hasta </w:t>
            </w:r>
            <w:r>
              <w:rPr>
                <w:i/>
                <w:sz w:val="20"/>
              </w:rPr>
              <w:t>k </w:t>
            </w:r>
            <w:r>
              <w:rPr>
                <w:sz w:val="20"/>
              </w:rPr>
              <w:t>días)</w:t>
            </w:r>
          </w:p>
        </w:tc>
      </w:tr>
    </w:tbl>
    <w:p>
      <w:pPr>
        <w:pStyle w:val="BodyText"/>
        <w:rPr>
          <w:sz w:val="20"/>
        </w:rPr>
      </w:pPr>
    </w:p>
    <w:p>
      <w:pPr>
        <w:pStyle w:val="BodyText"/>
        <w:rPr>
          <w:sz w:val="20"/>
        </w:rPr>
      </w:pPr>
    </w:p>
    <w:p>
      <w:pPr>
        <w:pStyle w:val="BodyText"/>
        <w:spacing w:before="203"/>
        <w:ind w:left="342" w:right="383"/>
      </w:pPr>
      <w:r>
        <w:rPr/>
        <w:t>Rendimiento discreto y continuo</w:t>
      </w:r>
    </w:p>
    <w:p>
      <w:pPr>
        <w:pStyle w:val="BodyText"/>
        <w:spacing w:line="360" w:lineRule="auto" w:before="194"/>
        <w:ind w:left="342" w:right="335" w:firstLine="707"/>
        <w:jc w:val="both"/>
      </w:pPr>
      <w:r>
        <w:rPr/>
        <w:t>Una forma de medir el riesgo es a través del cambio (o </w:t>
      </w:r>
      <w:r>
        <w:rPr>
          <w:i/>
        </w:rPr>
        <w:t>rendimiento</w:t>
      </w:r>
      <w:r>
        <w:rPr/>
        <w:t>) en el precio</w:t>
      </w:r>
      <w:r>
        <w:rPr>
          <w:spacing w:val="-11"/>
        </w:rPr>
        <w:t> </w:t>
      </w:r>
      <w:r>
        <w:rPr/>
        <w:t>de</w:t>
      </w:r>
      <w:r>
        <w:rPr>
          <w:spacing w:val="-11"/>
        </w:rPr>
        <w:t> </w:t>
      </w:r>
      <w:r>
        <w:rPr/>
        <w:t>de</w:t>
      </w:r>
      <w:r>
        <w:rPr>
          <w:spacing w:val="-11"/>
        </w:rPr>
        <w:t> </w:t>
      </w:r>
      <w:r>
        <w:rPr/>
        <w:t>las</w:t>
      </w:r>
      <w:r>
        <w:rPr>
          <w:spacing w:val="-11"/>
        </w:rPr>
        <w:t> </w:t>
      </w:r>
      <w:r>
        <w:rPr/>
        <w:t>acciones</w:t>
      </w:r>
      <w:r>
        <w:rPr>
          <w:spacing w:val="-12"/>
        </w:rPr>
        <w:t> </w:t>
      </w:r>
      <w:r>
        <w:rPr/>
        <w:t>en</w:t>
      </w:r>
      <w:r>
        <w:rPr>
          <w:spacing w:val="-11"/>
        </w:rPr>
        <w:t> </w:t>
      </w:r>
      <w:r>
        <w:rPr/>
        <w:t>términos</w:t>
      </w:r>
      <w:r>
        <w:rPr>
          <w:spacing w:val="-12"/>
        </w:rPr>
        <w:t> </w:t>
      </w:r>
      <w:r>
        <w:rPr/>
        <w:t>relativos.</w:t>
      </w:r>
      <w:r>
        <w:rPr>
          <w:spacing w:val="-11"/>
        </w:rPr>
        <w:t> </w:t>
      </w:r>
      <w:r>
        <w:rPr/>
        <w:t>Esta</w:t>
      </w:r>
      <w:r>
        <w:rPr>
          <w:spacing w:val="-10"/>
        </w:rPr>
        <w:t> </w:t>
      </w:r>
      <w:r>
        <w:rPr/>
        <w:t>variación</w:t>
      </w:r>
      <w:r>
        <w:rPr>
          <w:spacing w:val="-10"/>
        </w:rPr>
        <w:t> </w:t>
      </w:r>
      <w:r>
        <w:rPr/>
        <w:t>es</w:t>
      </w:r>
      <w:r>
        <w:rPr>
          <w:spacing w:val="-12"/>
        </w:rPr>
        <w:t> </w:t>
      </w:r>
      <w:r>
        <w:rPr/>
        <w:t>el</w:t>
      </w:r>
      <w:r>
        <w:rPr>
          <w:spacing w:val="-14"/>
        </w:rPr>
        <w:t> </w:t>
      </w:r>
      <w:r>
        <w:rPr/>
        <w:t>cambio</w:t>
      </w:r>
      <w:r>
        <w:rPr>
          <w:spacing w:val="-11"/>
        </w:rPr>
        <w:t> </w:t>
      </w:r>
      <w:r>
        <w:rPr/>
        <w:t>relativo, o porcentaje de rendimiento, en el precio del activo, al inicio y al final del periodo, y se puede calcular de forma </w:t>
      </w:r>
      <w:r>
        <w:rPr>
          <w:i/>
        </w:rPr>
        <w:t>discreta </w:t>
      </w:r>
      <w:r>
        <w:rPr/>
        <w:t>(lineal) o </w:t>
      </w:r>
      <w:r>
        <w:rPr>
          <w:i/>
        </w:rPr>
        <w:t>continua</w:t>
      </w:r>
      <w:r>
        <w:rPr>
          <w:i/>
          <w:spacing w:val="-19"/>
        </w:rPr>
        <w:t> </w:t>
      </w:r>
      <w:r>
        <w:rPr/>
        <w:t>(geométrica).</w:t>
      </w:r>
    </w:p>
    <w:p>
      <w:pPr>
        <w:pStyle w:val="BodyText"/>
        <w:rPr>
          <w:sz w:val="20"/>
        </w:rPr>
      </w:pPr>
    </w:p>
    <w:p>
      <w:pPr>
        <w:pStyle w:val="BodyText"/>
        <w:spacing w:before="10"/>
        <w:rPr>
          <w:sz w:val="11"/>
        </w:rPr>
      </w:pPr>
      <w:r>
        <w:rPr/>
        <w:pict>
          <v:line style="position:absolute;mso-position-horizontal-relative:page;mso-position-vertical-relative:paragraph;z-index:1456;mso-wrap-distance-left:0;mso-wrap-distance-right:0" from="85.103996pt,9.074891pt" to="229.123996pt,9.074891pt" stroked="true" strokeweight=".599980pt" strokecolor="#000000">
            <w10:wrap type="topAndBottom"/>
          </v:line>
        </w:pict>
      </w:r>
    </w:p>
    <w:p>
      <w:pPr>
        <w:spacing w:before="78"/>
        <w:ind w:left="342" w:right="383" w:firstLine="0"/>
        <w:jc w:val="left"/>
        <w:rPr>
          <w:sz w:val="20"/>
        </w:rPr>
      </w:pPr>
      <w:r>
        <w:rPr>
          <w:position w:val="6"/>
          <w:sz w:val="13"/>
        </w:rPr>
        <w:t>17 </w:t>
      </w:r>
      <w:r>
        <w:rPr>
          <w:sz w:val="20"/>
        </w:rPr>
        <w:t>Para efectos de este apunte, nos referimos a “precio de un activo” a la cotización de diaria de los índices bursátiles objeto de estudio, al precio de una acción o la cotización de una moneda.</w:t>
      </w:r>
    </w:p>
    <w:p>
      <w:pPr>
        <w:spacing w:before="0"/>
        <w:ind w:left="342" w:right="383" w:firstLine="0"/>
        <w:jc w:val="left"/>
        <w:rPr>
          <w:sz w:val="20"/>
        </w:rPr>
      </w:pPr>
      <w:r>
        <w:rPr>
          <w:position w:val="6"/>
          <w:sz w:val="13"/>
        </w:rPr>
        <w:t>18 </w:t>
      </w:r>
      <w:r>
        <w:rPr>
          <w:sz w:val="20"/>
        </w:rPr>
        <w:t>La ganancia o pérdida de capital se registra como tal una vez que se vendió la acción. Hasta antes de ese momento, se le denomina como </w:t>
      </w:r>
      <w:r>
        <w:rPr>
          <w:i/>
          <w:sz w:val="20"/>
        </w:rPr>
        <w:t>plusvalía </w:t>
      </w:r>
      <w:r>
        <w:rPr>
          <w:sz w:val="20"/>
        </w:rPr>
        <w:t>o </w:t>
      </w:r>
      <w:r>
        <w:rPr>
          <w:i/>
          <w:sz w:val="20"/>
        </w:rPr>
        <w:t>minusvalía </w:t>
      </w:r>
      <w:r>
        <w:rPr>
          <w:sz w:val="20"/>
        </w:rPr>
        <w:t>de la inversión.</w:t>
      </w:r>
    </w:p>
    <w:p>
      <w:pPr>
        <w:spacing w:after="0"/>
        <w:jc w:val="left"/>
        <w:rPr>
          <w:sz w:val="20"/>
        </w:rPr>
        <w:sectPr>
          <w:type w:val="continuous"/>
          <w:pgSz w:w="12240" w:h="15840"/>
          <w:pgMar w:top="720" w:bottom="280" w:left="1360" w:right="1360"/>
        </w:sectPr>
      </w:pPr>
    </w:p>
    <w:p>
      <w:pPr>
        <w:pStyle w:val="BodyText"/>
        <w:rPr>
          <w:sz w:val="20"/>
        </w:rPr>
      </w:pPr>
    </w:p>
    <w:p>
      <w:pPr>
        <w:pStyle w:val="BodyText"/>
        <w:spacing w:before="9"/>
        <w:rPr>
          <w:sz w:val="15"/>
        </w:rPr>
      </w:pPr>
    </w:p>
    <w:p>
      <w:pPr>
        <w:spacing w:before="70"/>
        <w:ind w:left="1050" w:right="383" w:firstLine="0"/>
        <w:jc w:val="left"/>
        <w:rPr>
          <w:i/>
          <w:sz w:val="24"/>
        </w:rPr>
      </w:pPr>
      <w:r>
        <w:rPr>
          <w:i/>
          <w:sz w:val="24"/>
        </w:rPr>
        <w:t>Variación discreta:</w:t>
      </w:r>
    </w:p>
    <w:p>
      <w:pPr>
        <w:pStyle w:val="BodyText"/>
        <w:rPr>
          <w:i/>
          <w:sz w:val="20"/>
        </w:rPr>
      </w:pPr>
    </w:p>
    <w:p>
      <w:pPr>
        <w:pStyle w:val="BodyText"/>
        <w:spacing w:before="6"/>
        <w:rPr>
          <w:i/>
          <w:sz w:val="16"/>
        </w:rPr>
      </w:pPr>
    </w:p>
    <w:p>
      <w:pPr>
        <w:tabs>
          <w:tab w:pos="819" w:val="left" w:leader="none"/>
        </w:tabs>
        <w:spacing w:line="194" w:lineRule="exact" w:before="56"/>
        <w:ind w:left="0" w:right="712" w:firstLine="0"/>
        <w:jc w:val="center"/>
        <w:rPr>
          <w:rFonts w:ascii="Symbol" w:hAnsi="Symbol"/>
          <w:sz w:val="25"/>
        </w:rPr>
      </w:pPr>
      <w:r>
        <w:rPr>
          <w:rFonts w:ascii="Symbol" w:hAnsi="Symbol"/>
          <w:position w:val="1"/>
          <w:sz w:val="25"/>
        </w:rPr>
        <w:t></w:t>
      </w:r>
      <w:r>
        <w:rPr>
          <w:rFonts w:ascii="Times New Roman" w:hAnsi="Times New Roman"/>
          <w:position w:val="1"/>
          <w:sz w:val="25"/>
        </w:rPr>
        <w:t> </w:t>
      </w:r>
      <w:r>
        <w:rPr>
          <w:rFonts w:ascii="Times New Roman" w:hAnsi="Times New Roman"/>
          <w:spacing w:val="5"/>
          <w:position w:val="1"/>
          <w:sz w:val="25"/>
        </w:rPr>
        <w:t> </w:t>
      </w:r>
      <w:r>
        <w:rPr>
          <w:rFonts w:ascii="Times New Roman" w:hAnsi="Times New Roman"/>
          <w:i/>
          <w:sz w:val="25"/>
        </w:rPr>
        <w:t>P</w:t>
        <w:tab/>
      </w:r>
      <w:r>
        <w:rPr>
          <w:rFonts w:ascii="Symbol" w:hAnsi="Symbol"/>
          <w:position w:val="1"/>
          <w:sz w:val="25"/>
        </w:rPr>
        <w:t></w:t>
      </w:r>
    </w:p>
    <w:p>
      <w:pPr>
        <w:spacing w:line="174" w:lineRule="exact" w:before="0"/>
        <w:ind w:left="980" w:right="1694" w:firstLine="0"/>
        <w:jc w:val="center"/>
        <w:rPr>
          <w:rFonts w:ascii="Times New Roman" w:hAnsi="Times New Roman"/>
          <w:sz w:val="25"/>
        </w:rPr>
      </w:pPr>
      <w:r>
        <w:rPr>
          <w:rFonts w:ascii="Times New Roman" w:hAnsi="Times New Roman"/>
          <w:i/>
          <w:spacing w:val="17"/>
          <w:w w:val="95"/>
          <w:sz w:val="25"/>
        </w:rPr>
        <w:t>R</w:t>
      </w:r>
      <w:r>
        <w:rPr>
          <w:rFonts w:ascii="Times New Roman" w:hAnsi="Times New Roman"/>
          <w:i/>
          <w:w w:val="99"/>
          <w:position w:val="11"/>
          <w:sz w:val="14"/>
        </w:rPr>
        <w:t>o</w:t>
      </w:r>
      <w:r>
        <w:rPr>
          <w:rFonts w:ascii="Times New Roman" w:hAnsi="Times New Roman"/>
          <w:i/>
          <w:position w:val="11"/>
          <w:sz w:val="14"/>
        </w:rPr>
        <w:t>  </w:t>
      </w:r>
      <w:r>
        <w:rPr>
          <w:rFonts w:ascii="Times New Roman" w:hAnsi="Times New Roman"/>
          <w:i/>
          <w:spacing w:val="-4"/>
          <w:position w:val="11"/>
          <w:sz w:val="14"/>
        </w:rPr>
        <w:t> </w:t>
      </w:r>
      <w:r>
        <w:rPr>
          <w:rFonts w:ascii="Symbol" w:hAnsi="Symbol"/>
          <w:w w:val="95"/>
          <w:sz w:val="25"/>
        </w:rPr>
        <w:t></w:t>
      </w:r>
      <w:r>
        <w:rPr>
          <w:rFonts w:ascii="Times New Roman" w:hAnsi="Times New Roman"/>
          <w:spacing w:val="-17"/>
          <w:sz w:val="25"/>
        </w:rPr>
        <w:t> </w:t>
      </w:r>
      <w:r>
        <w:rPr>
          <w:rFonts w:ascii="Symbol" w:hAnsi="Symbol"/>
          <w:spacing w:val="-93"/>
          <w:w w:val="95"/>
          <w:position w:val="-9"/>
          <w:sz w:val="25"/>
        </w:rPr>
        <w:t></w:t>
      </w:r>
      <w:r>
        <w:rPr>
          <w:rFonts w:ascii="Symbol" w:hAnsi="Symbol"/>
          <w:w w:val="95"/>
          <w:position w:val="1"/>
          <w:sz w:val="25"/>
        </w:rPr>
        <w:t></w:t>
      </w:r>
      <w:r>
        <w:rPr>
          <w:rFonts w:ascii="Times New Roman" w:hAnsi="Times New Roman"/>
          <w:spacing w:val="-27"/>
          <w:position w:val="1"/>
          <w:sz w:val="25"/>
        </w:rPr>
        <w:t> </w:t>
      </w:r>
      <w:r>
        <w:rPr>
          <w:rFonts w:ascii="Times New Roman" w:hAnsi="Times New Roman"/>
          <w:i/>
          <w:w w:val="99"/>
          <w:position w:val="10"/>
          <w:sz w:val="14"/>
          <w:u w:val="single"/>
        </w:rPr>
        <w:t> </w:t>
      </w:r>
      <w:r>
        <w:rPr>
          <w:rFonts w:ascii="Times New Roman" w:hAnsi="Times New Roman"/>
          <w:i/>
          <w:position w:val="10"/>
          <w:sz w:val="14"/>
          <w:u w:val="single"/>
        </w:rPr>
        <w:t>     </w:t>
      </w:r>
      <w:r>
        <w:rPr>
          <w:rFonts w:ascii="Times New Roman" w:hAnsi="Times New Roman"/>
          <w:i/>
          <w:w w:val="99"/>
          <w:position w:val="10"/>
          <w:sz w:val="14"/>
          <w:u w:val="single"/>
        </w:rPr>
        <w:t>t</w:t>
      </w:r>
      <w:r>
        <w:rPr>
          <w:rFonts w:ascii="Times New Roman" w:hAnsi="Times New Roman"/>
          <w:i/>
          <w:position w:val="10"/>
          <w:sz w:val="14"/>
          <w:u w:val="single"/>
        </w:rPr>
        <w:t>   </w:t>
      </w:r>
      <w:r>
        <w:rPr>
          <w:rFonts w:ascii="Times New Roman" w:hAnsi="Times New Roman"/>
          <w:i/>
          <w:spacing w:val="-7"/>
          <w:position w:val="10"/>
          <w:sz w:val="14"/>
          <w:u w:val="single"/>
        </w:rPr>
        <w:t> </w:t>
      </w:r>
      <w:r>
        <w:rPr>
          <w:rFonts w:ascii="Times New Roman" w:hAnsi="Times New Roman"/>
          <w:i/>
          <w:spacing w:val="8"/>
          <w:position w:val="10"/>
          <w:sz w:val="14"/>
        </w:rPr>
        <w:t> </w:t>
      </w:r>
      <w:r>
        <w:rPr>
          <w:rFonts w:ascii="Symbol" w:hAnsi="Symbol"/>
          <w:spacing w:val="14"/>
          <w:w w:val="95"/>
          <w:sz w:val="25"/>
        </w:rPr>
        <w:t></w:t>
      </w:r>
      <w:r>
        <w:rPr>
          <w:rFonts w:ascii="Times New Roman" w:hAnsi="Times New Roman"/>
          <w:spacing w:val="-1"/>
          <w:w w:val="95"/>
          <w:sz w:val="25"/>
        </w:rPr>
        <w:t>1</w:t>
      </w:r>
      <w:r>
        <w:rPr>
          <w:rFonts w:ascii="Symbol" w:hAnsi="Symbol"/>
          <w:spacing w:val="-93"/>
          <w:w w:val="95"/>
          <w:position w:val="-9"/>
          <w:sz w:val="25"/>
        </w:rPr>
        <w:t></w:t>
      </w:r>
      <w:r>
        <w:rPr>
          <w:rFonts w:ascii="Symbol" w:hAnsi="Symbol"/>
          <w:w w:val="95"/>
          <w:position w:val="1"/>
          <w:sz w:val="25"/>
        </w:rPr>
        <w:t></w:t>
      </w:r>
      <w:r>
        <w:rPr>
          <w:rFonts w:ascii="Times New Roman" w:hAnsi="Times New Roman"/>
          <w:spacing w:val="-36"/>
          <w:position w:val="1"/>
          <w:sz w:val="25"/>
        </w:rPr>
        <w:t> </w:t>
      </w:r>
      <w:r>
        <w:rPr>
          <w:rFonts w:ascii="Symbol" w:hAnsi="Symbol"/>
          <w:spacing w:val="3"/>
          <w:w w:val="95"/>
          <w:sz w:val="25"/>
        </w:rPr>
        <w:t></w:t>
      </w:r>
      <w:r>
        <w:rPr>
          <w:rFonts w:ascii="Times New Roman" w:hAnsi="Times New Roman"/>
          <w:w w:val="95"/>
          <w:sz w:val="25"/>
        </w:rPr>
        <w:t>100</w:t>
      </w:r>
    </w:p>
    <w:p>
      <w:pPr>
        <w:tabs>
          <w:tab w:pos="509" w:val="left" w:leader="none"/>
        </w:tabs>
        <w:spacing w:line="109" w:lineRule="exact" w:before="0"/>
        <w:ind w:left="0" w:right="1694" w:firstLine="0"/>
        <w:jc w:val="center"/>
        <w:rPr>
          <w:rFonts w:ascii="Times New Roman"/>
          <w:i/>
          <w:sz w:val="25"/>
        </w:rPr>
      </w:pPr>
      <w:r>
        <w:rPr>
          <w:rFonts w:ascii="Times New Roman"/>
          <w:i/>
          <w:sz w:val="14"/>
        </w:rPr>
        <w:t>D</w:t>
        <w:tab/>
      </w:r>
      <w:r>
        <w:rPr>
          <w:rFonts w:ascii="Times New Roman"/>
          <w:i/>
          <w:position w:val="-12"/>
          <w:sz w:val="25"/>
        </w:rPr>
        <w:t>P</w:t>
      </w:r>
    </w:p>
    <w:p>
      <w:pPr>
        <w:tabs>
          <w:tab w:pos="819" w:val="left" w:leader="none"/>
        </w:tabs>
        <w:spacing w:line="259" w:lineRule="exact" w:before="0"/>
        <w:ind w:left="0" w:right="712" w:firstLine="0"/>
        <w:jc w:val="center"/>
        <w:rPr>
          <w:rFonts w:ascii="Symbol" w:hAnsi="Symbol"/>
          <w:sz w:val="25"/>
        </w:rPr>
      </w:pPr>
      <w:r>
        <w:rPr>
          <w:rFonts w:ascii="Symbol" w:hAnsi="Symbol"/>
          <w:sz w:val="25"/>
        </w:rPr>
        <w:t></w:t>
      </w:r>
      <w:r>
        <w:rPr>
          <w:rFonts w:ascii="Times New Roman" w:hAnsi="Times New Roman"/>
          <w:sz w:val="25"/>
        </w:rPr>
        <w:t> </w:t>
      </w:r>
      <w:r>
        <w:rPr>
          <w:rFonts w:ascii="Times New Roman" w:hAnsi="Times New Roman"/>
          <w:spacing w:val="38"/>
          <w:sz w:val="25"/>
        </w:rPr>
        <w:t> </w:t>
      </w:r>
      <w:r>
        <w:rPr>
          <w:rFonts w:ascii="Times New Roman" w:hAnsi="Times New Roman"/>
          <w:i/>
          <w:sz w:val="14"/>
        </w:rPr>
        <w:t>t</w:t>
      </w:r>
      <w:r>
        <w:rPr>
          <w:rFonts w:ascii="Times New Roman" w:hAnsi="Times New Roman"/>
          <w:i/>
          <w:spacing w:val="-23"/>
          <w:sz w:val="14"/>
        </w:rPr>
        <w:t> </w:t>
      </w:r>
      <w:r>
        <w:rPr>
          <w:rFonts w:ascii="Symbol" w:hAnsi="Symbol"/>
          <w:spacing w:val="3"/>
          <w:sz w:val="14"/>
        </w:rPr>
        <w:t></w:t>
      </w:r>
      <w:r>
        <w:rPr>
          <w:rFonts w:ascii="Times New Roman" w:hAnsi="Times New Roman"/>
          <w:i/>
          <w:spacing w:val="3"/>
          <w:sz w:val="14"/>
        </w:rPr>
        <w:t>k</w:t>
        <w:tab/>
      </w:r>
      <w:r>
        <w:rPr>
          <w:rFonts w:ascii="Symbol" w:hAnsi="Symbol"/>
          <w:sz w:val="25"/>
        </w:rPr>
        <w:t></w:t>
      </w:r>
    </w:p>
    <w:p>
      <w:pPr>
        <w:pStyle w:val="BodyText"/>
        <w:rPr>
          <w:rFonts w:ascii="Symbol" w:hAnsi="Symbol"/>
          <w:sz w:val="20"/>
        </w:rPr>
      </w:pPr>
    </w:p>
    <w:p>
      <w:pPr>
        <w:pStyle w:val="BodyText"/>
        <w:rPr>
          <w:rFonts w:ascii="Symbol" w:hAnsi="Symbol"/>
          <w:sz w:val="15"/>
        </w:rPr>
      </w:pPr>
    </w:p>
    <w:p>
      <w:pPr>
        <w:spacing w:before="70"/>
        <w:ind w:left="1050" w:right="383" w:firstLine="0"/>
        <w:jc w:val="left"/>
        <w:rPr>
          <w:i/>
          <w:sz w:val="24"/>
        </w:rPr>
      </w:pPr>
      <w:r>
        <w:rPr>
          <w:i/>
          <w:sz w:val="24"/>
        </w:rPr>
        <w:t>Variación continua:</w:t>
      </w:r>
    </w:p>
    <w:p>
      <w:pPr>
        <w:pStyle w:val="BodyText"/>
        <w:rPr>
          <w:i/>
          <w:sz w:val="20"/>
        </w:rPr>
      </w:pPr>
    </w:p>
    <w:p>
      <w:pPr>
        <w:pStyle w:val="BodyText"/>
        <w:spacing w:before="1"/>
        <w:rPr>
          <w:i/>
          <w:sz w:val="25"/>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9"/>
        <w:gridCol w:w="8142"/>
      </w:tblGrid>
      <w:tr>
        <w:trPr>
          <w:trHeight w:val="890" w:hRule="exact"/>
        </w:trPr>
        <w:tc>
          <w:tcPr>
            <w:tcW w:w="1169" w:type="dxa"/>
          </w:tcPr>
          <w:p>
            <w:pPr/>
          </w:p>
        </w:tc>
        <w:tc>
          <w:tcPr>
            <w:tcW w:w="8142" w:type="dxa"/>
          </w:tcPr>
          <w:p>
            <w:pPr>
              <w:pStyle w:val="TableParagraph"/>
              <w:spacing w:line="272" w:lineRule="exact"/>
              <w:ind w:left="2148"/>
              <w:rPr>
                <w:rFonts w:ascii="Times New Roman" w:hAnsi="Times New Roman"/>
                <w:sz w:val="25"/>
              </w:rPr>
            </w:pPr>
            <w:r>
              <w:rPr>
                <w:rFonts w:ascii="Times New Roman" w:hAnsi="Times New Roman"/>
                <w:i/>
                <w:sz w:val="25"/>
              </w:rPr>
              <w:t>R</w:t>
            </w:r>
            <w:r>
              <w:rPr>
                <w:rFonts w:ascii="Times New Roman" w:hAnsi="Times New Roman"/>
                <w:i/>
                <w:position w:val="11"/>
                <w:sz w:val="14"/>
              </w:rPr>
              <w:t>o  </w:t>
            </w:r>
            <w:r>
              <w:rPr>
                <w:rFonts w:ascii="Symbol" w:hAnsi="Symbol"/>
                <w:sz w:val="25"/>
              </w:rPr>
              <w:t></w:t>
            </w:r>
            <w:r>
              <w:rPr>
                <w:rFonts w:ascii="Times New Roman" w:hAnsi="Times New Roman"/>
                <w:sz w:val="25"/>
              </w:rPr>
              <w:t> </w:t>
            </w:r>
            <w:r>
              <w:rPr>
                <w:rFonts w:ascii="Symbol" w:hAnsi="Symbol"/>
                <w:position w:val="17"/>
                <w:sz w:val="25"/>
              </w:rPr>
              <w:t></w:t>
            </w:r>
            <w:r>
              <w:rPr>
                <w:rFonts w:ascii="Times New Roman" w:hAnsi="Times New Roman"/>
                <w:position w:val="17"/>
                <w:sz w:val="25"/>
              </w:rPr>
              <w:t> </w:t>
            </w:r>
            <w:r>
              <w:rPr>
                <w:rFonts w:ascii="Times New Roman" w:hAnsi="Times New Roman"/>
                <w:sz w:val="25"/>
              </w:rPr>
              <w:t>ln  </w:t>
            </w:r>
            <w:r>
              <w:rPr>
                <w:rFonts w:ascii="Times New Roman" w:hAnsi="Times New Roman"/>
                <w:i/>
                <w:position w:val="16"/>
                <w:sz w:val="25"/>
              </w:rPr>
              <w:t>P</w:t>
            </w:r>
            <w:r>
              <w:rPr>
                <w:rFonts w:ascii="Times New Roman" w:hAnsi="Times New Roman"/>
                <w:i/>
                <w:position w:val="10"/>
                <w:sz w:val="14"/>
                <w:u w:val="single"/>
              </w:rPr>
              <w:t>t   </w:t>
            </w:r>
            <w:r>
              <w:rPr>
                <w:rFonts w:ascii="Symbol" w:hAnsi="Symbol"/>
                <w:position w:val="17"/>
                <w:sz w:val="25"/>
              </w:rPr>
              <w:t></w:t>
            </w:r>
            <w:r>
              <w:rPr>
                <w:rFonts w:ascii="Times New Roman" w:hAnsi="Times New Roman"/>
                <w:position w:val="17"/>
                <w:sz w:val="25"/>
              </w:rPr>
              <w:t> </w:t>
            </w:r>
            <w:r>
              <w:rPr>
                <w:rFonts w:ascii="Symbol" w:hAnsi="Symbol"/>
                <w:sz w:val="25"/>
              </w:rPr>
              <w:t></w:t>
            </w:r>
            <w:r>
              <w:rPr>
                <w:rFonts w:ascii="Times New Roman" w:hAnsi="Times New Roman"/>
                <w:sz w:val="25"/>
              </w:rPr>
              <w:t>100</w:t>
            </w:r>
          </w:p>
          <w:p>
            <w:pPr>
              <w:pStyle w:val="TableParagraph"/>
              <w:tabs>
                <w:tab w:pos="2665" w:val="left" w:leader="none"/>
                <w:tab w:pos="3037" w:val="left" w:leader="none"/>
                <w:tab w:pos="3423" w:val="left" w:leader="none"/>
              </w:tabs>
              <w:spacing w:line="234" w:lineRule="exact"/>
              <w:ind w:left="2287"/>
              <w:rPr>
                <w:rFonts w:ascii="Symbol" w:hAnsi="Symbol"/>
                <w:sz w:val="25"/>
              </w:rPr>
            </w:pPr>
            <w:r>
              <w:rPr>
                <w:rFonts w:ascii="Times New Roman" w:hAnsi="Times New Roman"/>
                <w:i/>
                <w:position w:val="-7"/>
                <w:sz w:val="14"/>
              </w:rPr>
              <w:t>C</w:t>
              <w:tab/>
            </w:r>
            <w:r>
              <w:rPr>
                <w:rFonts w:ascii="Symbol" w:hAnsi="Symbol"/>
                <w:spacing w:val="-46"/>
                <w:position w:val="-10"/>
                <w:sz w:val="25"/>
              </w:rPr>
              <w:t></w:t>
            </w:r>
            <w:r>
              <w:rPr>
                <w:rFonts w:ascii="Symbol" w:hAnsi="Symbol"/>
                <w:spacing w:val="-46"/>
                <w:sz w:val="25"/>
              </w:rPr>
              <w:t></w:t>
            </w:r>
            <w:r>
              <w:rPr>
                <w:rFonts w:ascii="Times New Roman" w:hAnsi="Times New Roman"/>
                <w:spacing w:val="-46"/>
                <w:sz w:val="25"/>
              </w:rPr>
              <w:tab/>
            </w:r>
            <w:r>
              <w:rPr>
                <w:rFonts w:ascii="Times New Roman" w:hAnsi="Times New Roman"/>
                <w:i/>
                <w:position w:val="-20"/>
                <w:sz w:val="25"/>
              </w:rPr>
              <w:t>P</w:t>
              <w:tab/>
            </w:r>
            <w:r>
              <w:rPr>
                <w:rFonts w:ascii="Symbol" w:hAnsi="Symbol"/>
                <w:spacing w:val="-46"/>
                <w:position w:val="-10"/>
                <w:sz w:val="25"/>
              </w:rPr>
              <w:t></w:t>
            </w:r>
            <w:r>
              <w:rPr>
                <w:rFonts w:ascii="Symbol" w:hAnsi="Symbol"/>
                <w:spacing w:val="-46"/>
                <w:sz w:val="25"/>
              </w:rPr>
              <w:t></w:t>
            </w:r>
          </w:p>
          <w:p>
            <w:pPr>
              <w:pStyle w:val="TableParagraph"/>
              <w:tabs>
                <w:tab w:pos="3147" w:val="left" w:leader="none"/>
              </w:tabs>
              <w:spacing w:line="185" w:lineRule="exact"/>
              <w:ind w:left="2665"/>
              <w:rPr>
                <w:rFonts w:ascii="Symbol" w:hAnsi="Symbol"/>
                <w:sz w:val="25"/>
              </w:rPr>
            </w:pPr>
            <w:r>
              <w:rPr>
                <w:rFonts w:ascii="Symbol" w:hAnsi="Symbol"/>
                <w:sz w:val="25"/>
              </w:rPr>
              <w:t></w:t>
            </w:r>
            <w:r>
              <w:rPr>
                <w:rFonts w:ascii="Times New Roman" w:hAnsi="Times New Roman"/>
                <w:sz w:val="25"/>
              </w:rPr>
              <w:tab/>
            </w:r>
            <w:r>
              <w:rPr>
                <w:rFonts w:ascii="Times New Roman" w:hAnsi="Times New Roman"/>
                <w:i/>
                <w:sz w:val="14"/>
              </w:rPr>
              <w:t>t </w:t>
            </w:r>
            <w:r>
              <w:rPr>
                <w:rFonts w:ascii="Symbol" w:hAnsi="Symbol"/>
                <w:spacing w:val="2"/>
                <w:sz w:val="14"/>
              </w:rPr>
              <w:t></w:t>
            </w:r>
            <w:r>
              <w:rPr>
                <w:rFonts w:ascii="Times New Roman" w:hAnsi="Times New Roman"/>
                <w:i/>
                <w:spacing w:val="2"/>
                <w:sz w:val="14"/>
              </w:rPr>
              <w:t>k</w:t>
            </w:r>
            <w:r>
              <w:rPr>
                <w:rFonts w:ascii="Times New Roman" w:hAnsi="Times New Roman"/>
                <w:i/>
                <w:spacing w:val="17"/>
                <w:sz w:val="14"/>
              </w:rPr>
              <w:t> </w:t>
            </w:r>
            <w:r>
              <w:rPr>
                <w:rFonts w:ascii="Symbol" w:hAnsi="Symbol"/>
                <w:sz w:val="25"/>
              </w:rPr>
              <w:t></w:t>
            </w:r>
          </w:p>
        </w:tc>
      </w:tr>
      <w:tr>
        <w:trPr>
          <w:trHeight w:val="803" w:hRule="exact"/>
        </w:trPr>
        <w:tc>
          <w:tcPr>
            <w:tcW w:w="1169" w:type="dxa"/>
          </w:tcPr>
          <w:p>
            <w:pPr>
              <w:pStyle w:val="TableParagraph"/>
              <w:spacing w:before="10"/>
              <w:ind w:left="0"/>
              <w:rPr>
                <w:i/>
                <w:sz w:val="15"/>
              </w:rPr>
            </w:pPr>
          </w:p>
          <w:p>
            <w:pPr>
              <w:pStyle w:val="TableParagraph"/>
              <w:ind w:left="200"/>
              <w:rPr>
                <w:sz w:val="20"/>
              </w:rPr>
            </w:pPr>
            <w:r>
              <w:rPr>
                <w:sz w:val="20"/>
              </w:rPr>
              <w:t>Donde:</w:t>
            </w:r>
          </w:p>
        </w:tc>
        <w:tc>
          <w:tcPr>
            <w:tcW w:w="8142" w:type="dxa"/>
          </w:tcPr>
          <w:p>
            <w:pPr>
              <w:pStyle w:val="TableParagraph"/>
              <w:spacing w:line="228" w:lineRule="exact" w:before="213"/>
              <w:ind w:left="369"/>
              <w:rPr>
                <w:sz w:val="20"/>
              </w:rPr>
            </w:pPr>
            <w:r>
              <w:rPr>
                <w:rFonts w:ascii="Times New Roman" w:hAnsi="Times New Roman"/>
                <w:i/>
                <w:sz w:val="20"/>
              </w:rPr>
              <w:t>R</w:t>
            </w:r>
            <w:r>
              <w:rPr>
                <w:rFonts w:ascii="Times New Roman" w:hAnsi="Times New Roman"/>
                <w:i/>
                <w:position w:val="11"/>
                <w:sz w:val="14"/>
              </w:rPr>
              <w:t>o  </w:t>
            </w:r>
            <w:r>
              <w:rPr>
                <w:rFonts w:ascii="Symbol" w:hAnsi="Symbol"/>
                <w:sz w:val="20"/>
              </w:rPr>
              <w:t></w:t>
            </w:r>
            <w:r>
              <w:rPr>
                <w:rFonts w:ascii="Times New Roman" w:hAnsi="Times New Roman"/>
                <w:sz w:val="20"/>
              </w:rPr>
              <w:t> </w:t>
            </w:r>
            <w:r>
              <w:rPr>
                <w:sz w:val="20"/>
              </w:rPr>
              <w:t>Rendimiento discreto. Es el cambio, en términos relativos, del precio de un activo</w:t>
            </w:r>
          </w:p>
          <w:p>
            <w:pPr>
              <w:pStyle w:val="TableParagraph"/>
              <w:spacing w:line="104" w:lineRule="exact"/>
              <w:ind w:left="500"/>
              <w:rPr>
                <w:rFonts w:ascii="Times New Roman"/>
                <w:i/>
                <w:sz w:val="14"/>
              </w:rPr>
            </w:pPr>
            <w:r>
              <w:rPr>
                <w:rFonts w:ascii="Times New Roman"/>
                <w:i/>
                <w:w w:val="103"/>
                <w:sz w:val="14"/>
              </w:rPr>
              <w:t>D</w:t>
            </w:r>
          </w:p>
          <w:p>
            <w:pPr>
              <w:pStyle w:val="TableParagraph"/>
              <w:spacing w:before="6"/>
              <w:ind w:left="324"/>
              <w:rPr>
                <w:sz w:val="20"/>
              </w:rPr>
            </w:pPr>
            <w:r>
              <w:rPr>
                <w:sz w:val="20"/>
              </w:rPr>
              <w:t>entre el periodo </w:t>
            </w:r>
            <w:r>
              <w:rPr>
                <w:i/>
                <w:sz w:val="20"/>
              </w:rPr>
              <w:t>t </w:t>
            </w:r>
            <w:r>
              <w:rPr>
                <w:sz w:val="20"/>
              </w:rPr>
              <w:t>y </w:t>
            </w:r>
            <w:r>
              <w:rPr>
                <w:i/>
                <w:sz w:val="20"/>
              </w:rPr>
              <w:t>t</w:t>
            </w:r>
            <w:r>
              <w:rPr>
                <w:sz w:val="20"/>
              </w:rPr>
              <w:t>-</w:t>
            </w:r>
            <w:r>
              <w:rPr>
                <w:i/>
                <w:sz w:val="20"/>
              </w:rPr>
              <w:t>k</w:t>
            </w:r>
            <w:r>
              <w:rPr>
                <w:sz w:val="20"/>
              </w:rPr>
              <w:t>.</w:t>
            </w:r>
          </w:p>
        </w:tc>
      </w:tr>
      <w:tr>
        <w:trPr>
          <w:trHeight w:val="832" w:hRule="exact"/>
        </w:trPr>
        <w:tc>
          <w:tcPr>
            <w:tcW w:w="1169" w:type="dxa"/>
          </w:tcPr>
          <w:p>
            <w:pPr/>
          </w:p>
        </w:tc>
        <w:tc>
          <w:tcPr>
            <w:tcW w:w="8142" w:type="dxa"/>
          </w:tcPr>
          <w:p>
            <w:pPr>
              <w:pStyle w:val="TableParagraph"/>
              <w:spacing w:line="229" w:lineRule="exact" w:before="18"/>
              <w:ind w:left="369"/>
              <w:rPr>
                <w:sz w:val="20"/>
              </w:rPr>
            </w:pPr>
            <w:r>
              <w:rPr>
                <w:rFonts w:ascii="Times New Roman" w:hAnsi="Times New Roman"/>
                <w:i/>
                <w:sz w:val="21"/>
              </w:rPr>
              <w:t>R</w:t>
            </w:r>
            <w:r>
              <w:rPr>
                <w:rFonts w:ascii="Times New Roman" w:hAnsi="Times New Roman"/>
                <w:i/>
                <w:position w:val="11"/>
                <w:sz w:val="14"/>
              </w:rPr>
              <w:t>o  </w:t>
            </w:r>
            <w:r>
              <w:rPr>
                <w:rFonts w:ascii="Symbol" w:hAnsi="Symbol"/>
                <w:sz w:val="21"/>
              </w:rPr>
              <w:t></w:t>
            </w:r>
            <w:r>
              <w:rPr>
                <w:rFonts w:ascii="Times New Roman" w:hAnsi="Times New Roman"/>
                <w:sz w:val="21"/>
              </w:rPr>
              <w:t> </w:t>
            </w:r>
            <w:r>
              <w:rPr>
                <w:sz w:val="20"/>
              </w:rPr>
              <w:t>Rendimiento continuo. Es el cambio, en términos relativos, del logaritmo natural</w:t>
            </w:r>
          </w:p>
          <w:p>
            <w:pPr>
              <w:pStyle w:val="TableParagraph"/>
              <w:spacing w:line="104" w:lineRule="exact"/>
              <w:ind w:left="491"/>
              <w:rPr>
                <w:rFonts w:ascii="Times New Roman"/>
                <w:i/>
                <w:sz w:val="14"/>
              </w:rPr>
            </w:pPr>
            <w:r>
              <w:rPr>
                <w:rFonts w:ascii="Times New Roman"/>
                <w:i/>
                <w:w w:val="104"/>
                <w:sz w:val="14"/>
              </w:rPr>
              <w:t>C</w:t>
            </w:r>
          </w:p>
          <w:p>
            <w:pPr>
              <w:pStyle w:val="TableParagraph"/>
              <w:spacing w:before="25"/>
              <w:ind w:left="324" w:right="182"/>
              <w:rPr>
                <w:i/>
                <w:sz w:val="20"/>
              </w:rPr>
            </w:pPr>
            <w:r>
              <w:rPr>
                <w:sz w:val="20"/>
              </w:rPr>
              <w:t>del rendimiento de los precios (</w:t>
            </w:r>
            <w:r>
              <w:rPr>
                <w:i/>
                <w:sz w:val="20"/>
              </w:rPr>
              <w:t>log precios</w:t>
            </w:r>
            <w:r>
              <w:rPr>
                <w:sz w:val="20"/>
              </w:rPr>
              <w:t>) de un activo entre el periodo </w:t>
            </w:r>
            <w:r>
              <w:rPr>
                <w:i/>
                <w:sz w:val="20"/>
              </w:rPr>
              <w:t>t </w:t>
            </w:r>
            <w:r>
              <w:rPr>
                <w:sz w:val="20"/>
              </w:rPr>
              <w:t>y </w:t>
            </w:r>
            <w:r>
              <w:rPr>
                <w:i/>
                <w:sz w:val="20"/>
              </w:rPr>
              <w:t>t</w:t>
            </w:r>
            <w:r>
              <w:rPr>
                <w:sz w:val="20"/>
              </w:rPr>
              <w:t>-</w:t>
            </w:r>
            <w:r>
              <w:rPr>
                <w:i/>
                <w:sz w:val="20"/>
              </w:rPr>
              <w:t>k</w:t>
            </w:r>
            <w:r>
              <w:rPr>
                <w:sz w:val="20"/>
              </w:rPr>
              <w:t>. A este cambio en el precio se le conoce como </w:t>
            </w:r>
            <w:r>
              <w:rPr>
                <w:i/>
                <w:sz w:val="20"/>
              </w:rPr>
              <w:t>rendimiento compuesto en forma continua.</w:t>
            </w:r>
          </w:p>
        </w:tc>
      </w:tr>
    </w:tbl>
    <w:p>
      <w:pPr>
        <w:pStyle w:val="BodyText"/>
        <w:rPr>
          <w:i/>
          <w:sz w:val="20"/>
        </w:rPr>
      </w:pPr>
    </w:p>
    <w:p>
      <w:pPr>
        <w:pStyle w:val="BodyText"/>
        <w:spacing w:line="360" w:lineRule="auto" w:before="191"/>
        <w:ind w:left="342" w:right="337" w:firstLine="707"/>
        <w:jc w:val="both"/>
      </w:pPr>
      <w:r>
        <w:rPr/>
        <w:t>En nuestro caso, sólo consideraremos los rendimientos porcentuales calculados en forma </w:t>
      </w:r>
      <w:r>
        <w:rPr>
          <w:i/>
        </w:rPr>
        <w:t>continua </w:t>
      </w:r>
      <w:r>
        <w:rPr/>
        <w:t>(</w:t>
      </w:r>
      <w:r>
        <w:rPr>
          <w:i/>
        </w:rPr>
        <w:t>log precios</w:t>
      </w:r>
      <w:r>
        <w:rPr/>
        <w:t>) dado que tienen propiedades estadísticas atractivas a través del uso de logaritmos al permitir que la curva se “suavice” (quitar crestas y valles) y por lo tanto la curva será más representativa sobre el comportamiento de la emisora.</w:t>
      </w:r>
    </w:p>
    <w:p>
      <w:pPr>
        <w:pStyle w:val="BodyText"/>
        <w:spacing w:line="360" w:lineRule="auto" w:before="2"/>
        <w:ind w:left="342" w:right="335" w:firstLine="707"/>
        <w:jc w:val="both"/>
      </w:pPr>
      <w:r>
        <w:rPr/>
        <w:t>Para</w:t>
      </w:r>
      <w:r>
        <w:rPr>
          <w:spacing w:val="-7"/>
        </w:rPr>
        <w:t> </w:t>
      </w:r>
      <w:r>
        <w:rPr/>
        <w:t>ilustrar</w:t>
      </w:r>
      <w:r>
        <w:rPr>
          <w:spacing w:val="-7"/>
        </w:rPr>
        <w:t> </w:t>
      </w:r>
      <w:r>
        <w:rPr/>
        <w:t>los</w:t>
      </w:r>
      <w:r>
        <w:rPr>
          <w:spacing w:val="-7"/>
        </w:rPr>
        <w:t> </w:t>
      </w:r>
      <w:r>
        <w:rPr/>
        <w:t>diferentes</w:t>
      </w:r>
      <w:r>
        <w:rPr>
          <w:spacing w:val="-7"/>
        </w:rPr>
        <w:t> </w:t>
      </w:r>
      <w:r>
        <w:rPr/>
        <w:t>resultados,</w:t>
      </w:r>
      <w:r>
        <w:rPr>
          <w:spacing w:val="-9"/>
        </w:rPr>
        <w:t> </w:t>
      </w:r>
      <w:r>
        <w:rPr/>
        <w:t>en</w:t>
      </w:r>
      <w:r>
        <w:rPr>
          <w:spacing w:val="-3"/>
        </w:rPr>
        <w:t> </w:t>
      </w:r>
      <w:r>
        <w:rPr/>
        <w:t>la</w:t>
      </w:r>
      <w:r>
        <w:rPr>
          <w:spacing w:val="-11"/>
        </w:rPr>
        <w:t> </w:t>
      </w:r>
      <w:r>
        <w:rPr/>
        <w:t>Tabla</w:t>
      </w:r>
      <w:r>
        <w:rPr>
          <w:spacing w:val="-8"/>
        </w:rPr>
        <w:t> </w:t>
      </w:r>
      <w:r>
        <w:rPr/>
        <w:t>2</w:t>
      </w:r>
      <w:r>
        <w:rPr>
          <w:spacing w:val="-6"/>
        </w:rPr>
        <w:t> </w:t>
      </w:r>
      <w:r>
        <w:rPr/>
        <w:t>se</w:t>
      </w:r>
      <w:r>
        <w:rPr>
          <w:spacing w:val="-8"/>
        </w:rPr>
        <w:t> </w:t>
      </w:r>
      <w:r>
        <w:rPr/>
        <w:t>presenta</w:t>
      </w:r>
      <w:r>
        <w:rPr>
          <w:spacing w:val="-6"/>
        </w:rPr>
        <w:t> </w:t>
      </w:r>
      <w:r>
        <w:rPr/>
        <w:t>la</w:t>
      </w:r>
      <w:r>
        <w:rPr>
          <w:spacing w:val="-6"/>
        </w:rPr>
        <w:t> </w:t>
      </w:r>
      <w:r>
        <w:rPr/>
        <w:t>cotización mínima registrada por el Índice de Precios y Cotizaciones (IPC) de la Bolsa Mexicana</w:t>
      </w:r>
      <w:r>
        <w:rPr>
          <w:spacing w:val="-11"/>
        </w:rPr>
        <w:t> </w:t>
      </w:r>
      <w:r>
        <w:rPr/>
        <w:t>de</w:t>
      </w:r>
      <w:r>
        <w:rPr>
          <w:spacing w:val="-13"/>
        </w:rPr>
        <w:t> </w:t>
      </w:r>
      <w:r>
        <w:rPr/>
        <w:t>Valores</w:t>
      </w:r>
      <w:r>
        <w:rPr>
          <w:spacing w:val="-14"/>
        </w:rPr>
        <w:t> </w:t>
      </w:r>
      <w:r>
        <w:rPr/>
        <w:t>(BMV)</w:t>
      </w:r>
      <w:r>
        <w:rPr>
          <w:spacing w:val="-12"/>
        </w:rPr>
        <w:t> </w:t>
      </w:r>
      <w:r>
        <w:rPr/>
        <w:t>en</w:t>
      </w:r>
      <w:r>
        <w:rPr>
          <w:spacing w:val="-13"/>
        </w:rPr>
        <w:t> </w:t>
      </w:r>
      <w:r>
        <w:rPr/>
        <w:t>la</w:t>
      </w:r>
      <w:r>
        <w:rPr>
          <w:spacing w:val="-11"/>
        </w:rPr>
        <w:t> </w:t>
      </w:r>
      <w:r>
        <w:rPr/>
        <w:t>última</w:t>
      </w:r>
      <w:r>
        <w:rPr>
          <w:spacing w:val="-13"/>
        </w:rPr>
        <w:t> </w:t>
      </w:r>
      <w:r>
        <w:rPr/>
        <w:t>semana</w:t>
      </w:r>
      <w:r>
        <w:rPr>
          <w:spacing w:val="-13"/>
        </w:rPr>
        <w:t> </w:t>
      </w:r>
      <w:r>
        <w:rPr/>
        <w:t>de</w:t>
      </w:r>
      <w:r>
        <w:rPr>
          <w:spacing w:val="-13"/>
        </w:rPr>
        <w:t> </w:t>
      </w:r>
      <w:r>
        <w:rPr/>
        <w:t>operación</w:t>
      </w:r>
      <w:r>
        <w:rPr>
          <w:spacing w:val="-13"/>
        </w:rPr>
        <w:t> </w:t>
      </w:r>
      <w:r>
        <w:rPr/>
        <w:t>del</w:t>
      </w:r>
      <w:r>
        <w:rPr>
          <w:spacing w:val="-12"/>
        </w:rPr>
        <w:t> </w:t>
      </w:r>
      <w:r>
        <w:rPr/>
        <w:t>año</w:t>
      </w:r>
      <w:r>
        <w:rPr>
          <w:spacing w:val="-13"/>
        </w:rPr>
        <w:t> </w:t>
      </w:r>
      <w:r>
        <w:rPr/>
        <w:t>2012.</w:t>
      </w:r>
      <w:r>
        <w:rPr>
          <w:spacing w:val="-13"/>
        </w:rPr>
        <w:t> </w:t>
      </w:r>
      <w:r>
        <w:rPr/>
        <w:t>En</w:t>
      </w:r>
      <w:r>
        <w:rPr>
          <w:spacing w:val="-13"/>
        </w:rPr>
        <w:t> </w:t>
      </w:r>
      <w:r>
        <w:rPr/>
        <w:t>ella se aprecian las variaciones de precios diarios en términos absolutos (ganancia o pérdida de capital) y relativos (rendimiento porcentual) por el método discreto y el continuo.</w:t>
      </w:r>
    </w:p>
    <w:p>
      <w:pPr>
        <w:spacing w:after="0" w:line="360" w:lineRule="auto"/>
        <w:jc w:val="both"/>
        <w:sectPr>
          <w:pgSz w:w="12240" w:h="15840"/>
          <w:pgMar w:header="731" w:footer="737" w:top="1180" w:bottom="920" w:left="1360" w:right="1360"/>
        </w:sectPr>
      </w:pPr>
    </w:p>
    <w:p>
      <w:pPr>
        <w:pStyle w:val="BodyText"/>
        <w:rPr>
          <w:sz w:val="20"/>
        </w:rPr>
      </w:pPr>
    </w:p>
    <w:p>
      <w:pPr>
        <w:pStyle w:val="BodyText"/>
        <w:spacing w:before="8"/>
        <w:rPr>
          <w:sz w:val="15"/>
        </w:rPr>
      </w:pPr>
    </w:p>
    <w:p>
      <w:pPr>
        <w:spacing w:before="73"/>
        <w:ind w:left="2653" w:right="786" w:firstLine="0"/>
        <w:jc w:val="left"/>
        <w:rPr>
          <w:sz w:val="22"/>
        </w:rPr>
      </w:pPr>
      <w:bookmarkStart w:name="_bookmark13" w:id="26"/>
      <w:bookmarkEnd w:id="26"/>
      <w:r>
        <w:rPr/>
      </w:r>
      <w:r>
        <w:rPr>
          <w:sz w:val="22"/>
        </w:rPr>
        <w:t>Tabla 02. Rendimientos diarios del IPC</w:t>
      </w:r>
    </w:p>
    <w:p>
      <w:pPr>
        <w:pStyle w:val="BodyText"/>
        <w:spacing w:before="6"/>
        <w:rPr>
          <w:sz w:val="5"/>
        </w:rPr>
      </w:pPr>
    </w:p>
    <w:tbl>
      <w:tblPr>
        <w:tblW w:w="0" w:type="auto"/>
        <w:jc w:val="left"/>
        <w:tblInd w:w="1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1"/>
        <w:gridCol w:w="221"/>
        <w:gridCol w:w="1106"/>
        <w:gridCol w:w="223"/>
        <w:gridCol w:w="1073"/>
        <w:gridCol w:w="221"/>
        <w:gridCol w:w="1339"/>
        <w:gridCol w:w="223"/>
        <w:gridCol w:w="1340"/>
      </w:tblGrid>
      <w:tr>
        <w:trPr>
          <w:trHeight w:val="874" w:hRule="exact"/>
        </w:trPr>
        <w:tc>
          <w:tcPr>
            <w:tcW w:w="1051" w:type="dxa"/>
            <w:tcBorders>
              <w:left w:val="nil"/>
              <w:bottom w:val="double" w:sz="4" w:space="0" w:color="000000"/>
              <w:right w:val="nil"/>
            </w:tcBorders>
            <w:shd w:val="clear" w:color="auto" w:fill="DFDFDF"/>
          </w:tcPr>
          <w:p>
            <w:pPr>
              <w:pStyle w:val="TableParagraph"/>
              <w:spacing w:before="10"/>
              <w:ind w:left="0"/>
              <w:rPr>
                <w:sz w:val="26"/>
              </w:rPr>
            </w:pPr>
          </w:p>
          <w:p>
            <w:pPr>
              <w:pStyle w:val="TableParagraph"/>
              <w:ind w:left="84" w:right="89"/>
              <w:jc w:val="center"/>
              <w:rPr>
                <w:sz w:val="20"/>
              </w:rPr>
            </w:pPr>
            <w:r>
              <w:rPr>
                <w:sz w:val="20"/>
              </w:rPr>
              <w:t>Fecha</w:t>
            </w:r>
          </w:p>
        </w:tc>
        <w:tc>
          <w:tcPr>
            <w:tcW w:w="221" w:type="dxa"/>
            <w:tcBorders>
              <w:top w:val="nil"/>
              <w:left w:val="nil"/>
              <w:bottom w:val="nil"/>
              <w:right w:val="nil"/>
            </w:tcBorders>
          </w:tcPr>
          <w:p>
            <w:pPr/>
          </w:p>
        </w:tc>
        <w:tc>
          <w:tcPr>
            <w:tcW w:w="1106" w:type="dxa"/>
            <w:tcBorders>
              <w:left w:val="nil"/>
              <w:bottom w:val="double" w:sz="4" w:space="0" w:color="000000"/>
              <w:right w:val="nil"/>
            </w:tcBorders>
            <w:shd w:val="clear" w:color="auto" w:fill="DFDFDF"/>
          </w:tcPr>
          <w:p>
            <w:pPr>
              <w:pStyle w:val="TableParagraph"/>
              <w:spacing w:before="129"/>
              <w:ind w:left="86" w:right="88"/>
              <w:jc w:val="center"/>
              <w:rPr>
                <w:sz w:val="20"/>
              </w:rPr>
            </w:pPr>
            <w:r>
              <w:rPr>
                <w:sz w:val="20"/>
              </w:rPr>
              <w:t>IPC Min</w:t>
            </w:r>
          </w:p>
          <w:p>
            <w:pPr>
              <w:pStyle w:val="TableParagraph"/>
              <w:spacing w:before="59"/>
              <w:ind w:left="76" w:right="88"/>
              <w:jc w:val="center"/>
              <w:rPr>
                <w:rFonts w:ascii="Times New Roman"/>
                <w:i/>
                <w:sz w:val="20"/>
              </w:rPr>
            </w:pPr>
            <w:r>
              <w:rPr>
                <w:rFonts w:ascii="Times New Roman"/>
                <w:i/>
                <w:sz w:val="20"/>
              </w:rPr>
              <w:t>P</w:t>
            </w:r>
            <w:r>
              <w:rPr>
                <w:rFonts w:ascii="Times New Roman"/>
                <w:i/>
                <w:position w:val="-6"/>
                <w:sz w:val="20"/>
              </w:rPr>
              <w:t>t</w:t>
            </w:r>
          </w:p>
        </w:tc>
        <w:tc>
          <w:tcPr>
            <w:tcW w:w="223" w:type="dxa"/>
            <w:tcBorders>
              <w:top w:val="nil"/>
              <w:left w:val="nil"/>
              <w:bottom w:val="nil"/>
              <w:right w:val="nil"/>
            </w:tcBorders>
          </w:tcPr>
          <w:p>
            <w:pPr/>
          </w:p>
        </w:tc>
        <w:tc>
          <w:tcPr>
            <w:tcW w:w="1073" w:type="dxa"/>
            <w:tcBorders>
              <w:left w:val="nil"/>
              <w:bottom w:val="double" w:sz="4" w:space="0" w:color="000000"/>
              <w:right w:val="nil"/>
            </w:tcBorders>
            <w:shd w:val="clear" w:color="auto" w:fill="DFDFDF"/>
          </w:tcPr>
          <w:p>
            <w:pPr>
              <w:pStyle w:val="TableParagraph"/>
              <w:spacing w:before="14"/>
              <w:ind w:left="109" w:right="110"/>
              <w:jc w:val="center"/>
              <w:rPr>
                <w:sz w:val="20"/>
              </w:rPr>
            </w:pPr>
            <w:r>
              <w:rPr>
                <w:w w:val="95"/>
                <w:sz w:val="20"/>
              </w:rPr>
              <w:t>Ganancia </w:t>
            </w:r>
            <w:r>
              <w:rPr>
                <w:sz w:val="20"/>
              </w:rPr>
              <w:t>Capital</w:t>
            </w:r>
          </w:p>
          <w:p>
            <w:pPr>
              <w:pStyle w:val="TableParagraph"/>
              <w:spacing w:before="58"/>
              <w:ind w:left="94" w:right="110"/>
              <w:jc w:val="center"/>
              <w:rPr>
                <w:rFonts w:ascii="Times New Roman"/>
                <w:i/>
                <w:sz w:val="20"/>
              </w:rPr>
            </w:pPr>
            <w:r>
              <w:rPr>
                <w:rFonts w:ascii="Times New Roman"/>
                <w:i/>
                <w:sz w:val="20"/>
              </w:rPr>
              <w:t>G</w:t>
            </w:r>
            <w:r>
              <w:rPr>
                <w:rFonts w:ascii="Times New Roman"/>
                <w:i/>
                <w:position w:val="-6"/>
                <w:sz w:val="20"/>
              </w:rPr>
              <w:t>t</w:t>
            </w:r>
          </w:p>
        </w:tc>
        <w:tc>
          <w:tcPr>
            <w:tcW w:w="221" w:type="dxa"/>
            <w:tcBorders>
              <w:top w:val="nil"/>
              <w:left w:val="nil"/>
              <w:bottom w:val="nil"/>
              <w:right w:val="nil"/>
            </w:tcBorders>
          </w:tcPr>
          <w:p>
            <w:pPr/>
          </w:p>
        </w:tc>
        <w:tc>
          <w:tcPr>
            <w:tcW w:w="1339" w:type="dxa"/>
            <w:tcBorders>
              <w:left w:val="nil"/>
              <w:bottom w:val="double" w:sz="4" w:space="0" w:color="000000"/>
              <w:right w:val="nil"/>
            </w:tcBorders>
            <w:shd w:val="clear" w:color="auto" w:fill="DFDFDF"/>
          </w:tcPr>
          <w:p>
            <w:pPr>
              <w:pStyle w:val="TableParagraph"/>
              <w:spacing w:before="9"/>
              <w:ind w:left="302" w:hanging="195"/>
              <w:rPr>
                <w:sz w:val="20"/>
              </w:rPr>
            </w:pPr>
            <w:r>
              <w:rPr>
                <w:w w:val="95"/>
                <w:sz w:val="20"/>
              </w:rPr>
              <w:t>Rendimiento </w:t>
            </w:r>
            <w:r>
              <w:rPr>
                <w:sz w:val="20"/>
              </w:rPr>
              <w:t>Discreto</w:t>
            </w:r>
          </w:p>
          <w:p>
            <w:pPr>
              <w:pStyle w:val="TableParagraph"/>
              <w:spacing w:line="124" w:lineRule="auto" w:before="117"/>
              <w:ind w:left="677" w:right="541" w:hanging="124"/>
              <w:rPr>
                <w:rFonts w:ascii="Times New Roman"/>
                <w:i/>
                <w:sz w:val="14"/>
              </w:rPr>
            </w:pPr>
            <w:r>
              <w:rPr>
                <w:rFonts w:ascii="Times New Roman"/>
                <w:i/>
                <w:position w:val="-10"/>
                <w:sz w:val="20"/>
              </w:rPr>
              <w:t>R</w:t>
            </w:r>
            <w:r>
              <w:rPr>
                <w:rFonts w:ascii="Times New Roman"/>
                <w:i/>
                <w:sz w:val="14"/>
              </w:rPr>
              <w:t>o </w:t>
            </w:r>
            <w:r>
              <w:rPr>
                <w:rFonts w:ascii="Times New Roman"/>
                <w:i/>
                <w:sz w:val="14"/>
              </w:rPr>
              <w:t>D</w:t>
            </w:r>
          </w:p>
        </w:tc>
        <w:tc>
          <w:tcPr>
            <w:tcW w:w="223" w:type="dxa"/>
            <w:tcBorders>
              <w:top w:val="nil"/>
              <w:left w:val="nil"/>
              <w:bottom w:val="nil"/>
              <w:right w:val="nil"/>
            </w:tcBorders>
          </w:tcPr>
          <w:p>
            <w:pPr/>
          </w:p>
        </w:tc>
        <w:tc>
          <w:tcPr>
            <w:tcW w:w="1340" w:type="dxa"/>
            <w:tcBorders>
              <w:left w:val="nil"/>
              <w:bottom w:val="double" w:sz="4" w:space="0" w:color="000000"/>
              <w:right w:val="nil"/>
            </w:tcBorders>
            <w:shd w:val="clear" w:color="auto" w:fill="DFDFDF"/>
          </w:tcPr>
          <w:p>
            <w:pPr>
              <w:pStyle w:val="TableParagraph"/>
              <w:ind w:left="268" w:right="89" w:hanging="161"/>
              <w:rPr>
                <w:sz w:val="20"/>
              </w:rPr>
            </w:pPr>
            <w:r>
              <w:rPr>
                <w:sz w:val="20"/>
              </w:rPr>
              <w:t>Rendimiento</w:t>
            </w:r>
            <w:r>
              <w:rPr>
                <w:w w:val="99"/>
                <w:sz w:val="20"/>
              </w:rPr>
              <w:t> </w:t>
            </w:r>
            <w:r>
              <w:rPr>
                <w:sz w:val="20"/>
              </w:rPr>
              <w:t>Continuo</w:t>
            </w:r>
          </w:p>
          <w:p>
            <w:pPr>
              <w:pStyle w:val="TableParagraph"/>
              <w:spacing w:line="132" w:lineRule="auto" w:before="117"/>
              <w:ind w:left="679" w:right="547" w:hanging="119"/>
              <w:rPr>
                <w:rFonts w:ascii="Times New Roman"/>
                <w:i/>
                <w:sz w:val="14"/>
              </w:rPr>
            </w:pPr>
            <w:r>
              <w:rPr>
                <w:rFonts w:ascii="Times New Roman"/>
                <w:i/>
                <w:position w:val="-10"/>
                <w:sz w:val="21"/>
              </w:rPr>
              <w:t>R</w:t>
            </w:r>
            <w:r>
              <w:rPr>
                <w:rFonts w:ascii="Times New Roman"/>
                <w:i/>
                <w:sz w:val="14"/>
              </w:rPr>
              <w:t>o </w:t>
            </w:r>
            <w:r>
              <w:rPr>
                <w:rFonts w:ascii="Times New Roman"/>
                <w:i/>
                <w:sz w:val="14"/>
              </w:rPr>
              <w:t>C</w:t>
            </w:r>
          </w:p>
        </w:tc>
      </w:tr>
      <w:tr>
        <w:trPr>
          <w:trHeight w:val="345" w:hRule="exact"/>
        </w:trPr>
        <w:tc>
          <w:tcPr>
            <w:tcW w:w="1051" w:type="dxa"/>
            <w:tcBorders>
              <w:top w:val="double" w:sz="4" w:space="0" w:color="000000"/>
              <w:left w:val="nil"/>
              <w:bottom w:val="nil"/>
              <w:right w:val="nil"/>
            </w:tcBorders>
          </w:tcPr>
          <w:p>
            <w:pPr>
              <w:pStyle w:val="TableParagraph"/>
              <w:spacing w:before="59"/>
              <w:ind w:left="87" w:right="89"/>
              <w:jc w:val="center"/>
              <w:rPr>
                <w:sz w:val="20"/>
              </w:rPr>
            </w:pPr>
            <w:r>
              <w:rPr>
                <w:sz w:val="20"/>
              </w:rPr>
              <w:t>21-dic-12</w:t>
            </w:r>
          </w:p>
        </w:tc>
        <w:tc>
          <w:tcPr>
            <w:tcW w:w="221" w:type="dxa"/>
            <w:tcBorders>
              <w:top w:val="nil"/>
              <w:left w:val="nil"/>
              <w:bottom w:val="nil"/>
              <w:right w:val="nil"/>
            </w:tcBorders>
          </w:tcPr>
          <w:p>
            <w:pPr/>
          </w:p>
        </w:tc>
        <w:tc>
          <w:tcPr>
            <w:tcW w:w="1106" w:type="dxa"/>
            <w:tcBorders>
              <w:top w:val="double" w:sz="4" w:space="0" w:color="000000"/>
              <w:left w:val="nil"/>
              <w:bottom w:val="nil"/>
              <w:right w:val="nil"/>
            </w:tcBorders>
          </w:tcPr>
          <w:p>
            <w:pPr>
              <w:pStyle w:val="TableParagraph"/>
              <w:spacing w:before="59"/>
              <w:ind w:left="88" w:right="88"/>
              <w:jc w:val="center"/>
              <w:rPr>
                <w:sz w:val="20"/>
              </w:rPr>
            </w:pPr>
            <w:r>
              <w:rPr>
                <w:sz w:val="20"/>
              </w:rPr>
              <w:t>43,302.60</w:t>
            </w:r>
          </w:p>
        </w:tc>
        <w:tc>
          <w:tcPr>
            <w:tcW w:w="223" w:type="dxa"/>
            <w:tcBorders>
              <w:top w:val="nil"/>
              <w:left w:val="nil"/>
              <w:bottom w:val="nil"/>
              <w:right w:val="nil"/>
            </w:tcBorders>
          </w:tcPr>
          <w:p>
            <w:pPr/>
          </w:p>
        </w:tc>
        <w:tc>
          <w:tcPr>
            <w:tcW w:w="1073" w:type="dxa"/>
            <w:tcBorders>
              <w:top w:val="double" w:sz="4" w:space="0" w:color="000000"/>
              <w:left w:val="nil"/>
              <w:bottom w:val="nil"/>
              <w:right w:val="nil"/>
            </w:tcBorders>
          </w:tcPr>
          <w:p>
            <w:pPr>
              <w:pStyle w:val="TableParagraph"/>
              <w:spacing w:before="59"/>
              <w:ind w:left="109" w:right="107"/>
              <w:jc w:val="center"/>
              <w:rPr>
                <w:sz w:val="20"/>
              </w:rPr>
            </w:pPr>
            <w:r>
              <w:rPr>
                <w:sz w:val="20"/>
              </w:rPr>
              <w:t>---</w:t>
            </w:r>
          </w:p>
        </w:tc>
        <w:tc>
          <w:tcPr>
            <w:tcW w:w="221" w:type="dxa"/>
            <w:tcBorders>
              <w:top w:val="nil"/>
              <w:left w:val="nil"/>
              <w:bottom w:val="nil"/>
              <w:right w:val="nil"/>
            </w:tcBorders>
          </w:tcPr>
          <w:p>
            <w:pPr/>
          </w:p>
        </w:tc>
        <w:tc>
          <w:tcPr>
            <w:tcW w:w="1339" w:type="dxa"/>
            <w:tcBorders>
              <w:top w:val="double" w:sz="4" w:space="0" w:color="000000"/>
              <w:left w:val="nil"/>
              <w:bottom w:val="nil"/>
              <w:right w:val="nil"/>
            </w:tcBorders>
          </w:tcPr>
          <w:p>
            <w:pPr>
              <w:pStyle w:val="TableParagraph"/>
              <w:spacing w:before="59"/>
              <w:ind w:left="549" w:right="549"/>
              <w:jc w:val="center"/>
              <w:rPr>
                <w:sz w:val="20"/>
              </w:rPr>
            </w:pPr>
            <w:r>
              <w:rPr>
                <w:sz w:val="20"/>
              </w:rPr>
              <w:t>---</w:t>
            </w:r>
          </w:p>
        </w:tc>
        <w:tc>
          <w:tcPr>
            <w:tcW w:w="223" w:type="dxa"/>
            <w:tcBorders>
              <w:top w:val="nil"/>
              <w:left w:val="nil"/>
              <w:bottom w:val="nil"/>
              <w:right w:val="nil"/>
            </w:tcBorders>
          </w:tcPr>
          <w:p>
            <w:pPr/>
          </w:p>
        </w:tc>
        <w:tc>
          <w:tcPr>
            <w:tcW w:w="1340" w:type="dxa"/>
            <w:tcBorders>
              <w:top w:val="double" w:sz="4" w:space="0" w:color="000000"/>
              <w:left w:val="nil"/>
              <w:bottom w:val="nil"/>
              <w:right w:val="nil"/>
            </w:tcBorders>
          </w:tcPr>
          <w:p>
            <w:pPr>
              <w:pStyle w:val="TableParagraph"/>
              <w:spacing w:before="59"/>
              <w:ind w:left="549" w:right="549"/>
              <w:jc w:val="center"/>
              <w:rPr>
                <w:sz w:val="20"/>
              </w:rPr>
            </w:pPr>
            <w:r>
              <w:rPr>
                <w:sz w:val="20"/>
              </w:rPr>
              <w:t>---</w:t>
            </w:r>
          </w:p>
        </w:tc>
      </w:tr>
      <w:tr>
        <w:trPr>
          <w:trHeight w:val="290" w:hRule="exact"/>
        </w:trPr>
        <w:tc>
          <w:tcPr>
            <w:tcW w:w="1051" w:type="dxa"/>
            <w:tcBorders>
              <w:top w:val="nil"/>
              <w:left w:val="nil"/>
              <w:bottom w:val="nil"/>
              <w:right w:val="nil"/>
            </w:tcBorders>
          </w:tcPr>
          <w:p>
            <w:pPr>
              <w:pStyle w:val="TableParagraph"/>
              <w:spacing w:before="19"/>
              <w:ind w:left="87" w:right="89"/>
              <w:jc w:val="center"/>
              <w:rPr>
                <w:sz w:val="20"/>
              </w:rPr>
            </w:pPr>
            <w:r>
              <w:rPr>
                <w:sz w:val="20"/>
              </w:rPr>
              <w:t>24-dic-12</w:t>
            </w:r>
          </w:p>
        </w:tc>
        <w:tc>
          <w:tcPr>
            <w:tcW w:w="221" w:type="dxa"/>
            <w:tcBorders>
              <w:top w:val="nil"/>
              <w:left w:val="nil"/>
              <w:bottom w:val="nil"/>
              <w:right w:val="nil"/>
            </w:tcBorders>
          </w:tcPr>
          <w:p>
            <w:pPr/>
          </w:p>
        </w:tc>
        <w:tc>
          <w:tcPr>
            <w:tcW w:w="1106" w:type="dxa"/>
            <w:tcBorders>
              <w:top w:val="nil"/>
              <w:left w:val="nil"/>
              <w:bottom w:val="nil"/>
              <w:right w:val="nil"/>
            </w:tcBorders>
          </w:tcPr>
          <w:p>
            <w:pPr>
              <w:pStyle w:val="TableParagraph"/>
              <w:spacing w:before="19"/>
              <w:ind w:left="88" w:right="88"/>
              <w:jc w:val="center"/>
              <w:rPr>
                <w:sz w:val="20"/>
              </w:rPr>
            </w:pPr>
            <w:r>
              <w:rPr>
                <w:sz w:val="20"/>
              </w:rPr>
              <w:t>43,483.16</w:t>
            </w:r>
          </w:p>
        </w:tc>
        <w:tc>
          <w:tcPr>
            <w:tcW w:w="223" w:type="dxa"/>
            <w:tcBorders>
              <w:top w:val="nil"/>
              <w:left w:val="nil"/>
              <w:bottom w:val="nil"/>
              <w:right w:val="nil"/>
            </w:tcBorders>
          </w:tcPr>
          <w:p>
            <w:pPr/>
          </w:p>
        </w:tc>
        <w:tc>
          <w:tcPr>
            <w:tcW w:w="1073" w:type="dxa"/>
            <w:tcBorders>
              <w:top w:val="nil"/>
              <w:left w:val="nil"/>
              <w:bottom w:val="nil"/>
              <w:right w:val="nil"/>
            </w:tcBorders>
          </w:tcPr>
          <w:p>
            <w:pPr>
              <w:pStyle w:val="TableParagraph"/>
              <w:spacing w:before="19"/>
              <w:ind w:left="352"/>
              <w:rPr>
                <w:sz w:val="20"/>
              </w:rPr>
            </w:pPr>
            <w:r>
              <w:rPr>
                <w:sz w:val="20"/>
              </w:rPr>
              <w:t>180.56</w:t>
            </w:r>
          </w:p>
        </w:tc>
        <w:tc>
          <w:tcPr>
            <w:tcW w:w="221" w:type="dxa"/>
            <w:tcBorders>
              <w:top w:val="nil"/>
              <w:left w:val="nil"/>
              <w:bottom w:val="nil"/>
              <w:right w:val="nil"/>
            </w:tcBorders>
          </w:tcPr>
          <w:p>
            <w:pPr/>
          </w:p>
        </w:tc>
        <w:tc>
          <w:tcPr>
            <w:tcW w:w="1339" w:type="dxa"/>
            <w:tcBorders>
              <w:top w:val="nil"/>
              <w:left w:val="nil"/>
              <w:bottom w:val="nil"/>
              <w:right w:val="nil"/>
            </w:tcBorders>
          </w:tcPr>
          <w:p>
            <w:pPr>
              <w:pStyle w:val="TableParagraph"/>
              <w:spacing w:before="19"/>
              <w:ind w:left="-15" w:right="109"/>
              <w:jc w:val="right"/>
              <w:rPr>
                <w:sz w:val="20"/>
              </w:rPr>
            </w:pPr>
            <w:r>
              <w:rPr>
                <w:sz w:val="20"/>
              </w:rPr>
              <w:t>0.4170%</w:t>
            </w:r>
          </w:p>
        </w:tc>
        <w:tc>
          <w:tcPr>
            <w:tcW w:w="223" w:type="dxa"/>
            <w:tcBorders>
              <w:top w:val="nil"/>
              <w:left w:val="nil"/>
              <w:bottom w:val="nil"/>
              <w:right w:val="nil"/>
            </w:tcBorders>
          </w:tcPr>
          <w:p>
            <w:pPr/>
          </w:p>
        </w:tc>
        <w:tc>
          <w:tcPr>
            <w:tcW w:w="1340" w:type="dxa"/>
            <w:tcBorders>
              <w:top w:val="nil"/>
              <w:left w:val="nil"/>
              <w:bottom w:val="nil"/>
              <w:right w:val="nil"/>
            </w:tcBorders>
          </w:tcPr>
          <w:p>
            <w:pPr>
              <w:pStyle w:val="TableParagraph"/>
              <w:spacing w:before="19"/>
              <w:ind w:left="-17" w:right="109"/>
              <w:jc w:val="right"/>
              <w:rPr>
                <w:sz w:val="20"/>
              </w:rPr>
            </w:pPr>
            <w:r>
              <w:rPr>
                <w:sz w:val="20"/>
              </w:rPr>
              <w:t>0.4161%</w:t>
            </w:r>
          </w:p>
        </w:tc>
      </w:tr>
      <w:tr>
        <w:trPr>
          <w:trHeight w:val="289" w:hRule="exact"/>
        </w:trPr>
        <w:tc>
          <w:tcPr>
            <w:tcW w:w="1051" w:type="dxa"/>
            <w:tcBorders>
              <w:top w:val="nil"/>
              <w:left w:val="nil"/>
              <w:bottom w:val="nil"/>
              <w:right w:val="nil"/>
            </w:tcBorders>
          </w:tcPr>
          <w:p>
            <w:pPr>
              <w:pStyle w:val="TableParagraph"/>
              <w:spacing w:before="19"/>
              <w:ind w:left="87" w:right="89"/>
              <w:jc w:val="center"/>
              <w:rPr>
                <w:sz w:val="20"/>
              </w:rPr>
            </w:pPr>
            <w:r>
              <w:rPr>
                <w:sz w:val="20"/>
              </w:rPr>
              <w:t>26-dic-12</w:t>
            </w:r>
          </w:p>
        </w:tc>
        <w:tc>
          <w:tcPr>
            <w:tcW w:w="221" w:type="dxa"/>
            <w:tcBorders>
              <w:top w:val="nil"/>
              <w:left w:val="nil"/>
              <w:bottom w:val="nil"/>
              <w:right w:val="nil"/>
            </w:tcBorders>
          </w:tcPr>
          <w:p>
            <w:pPr/>
          </w:p>
        </w:tc>
        <w:tc>
          <w:tcPr>
            <w:tcW w:w="1106" w:type="dxa"/>
            <w:tcBorders>
              <w:top w:val="nil"/>
              <w:left w:val="nil"/>
              <w:bottom w:val="nil"/>
              <w:right w:val="nil"/>
            </w:tcBorders>
          </w:tcPr>
          <w:p>
            <w:pPr>
              <w:pStyle w:val="TableParagraph"/>
              <w:spacing w:before="19"/>
              <w:ind w:left="88" w:right="88"/>
              <w:jc w:val="center"/>
              <w:rPr>
                <w:sz w:val="20"/>
              </w:rPr>
            </w:pPr>
            <w:r>
              <w:rPr>
                <w:sz w:val="20"/>
              </w:rPr>
              <w:t>43,434.83</w:t>
            </w:r>
          </w:p>
        </w:tc>
        <w:tc>
          <w:tcPr>
            <w:tcW w:w="223" w:type="dxa"/>
            <w:tcBorders>
              <w:top w:val="nil"/>
              <w:left w:val="nil"/>
              <w:bottom w:val="nil"/>
              <w:right w:val="nil"/>
            </w:tcBorders>
          </w:tcPr>
          <w:p>
            <w:pPr/>
          </w:p>
        </w:tc>
        <w:tc>
          <w:tcPr>
            <w:tcW w:w="1073" w:type="dxa"/>
            <w:tcBorders>
              <w:top w:val="nil"/>
              <w:left w:val="nil"/>
              <w:bottom w:val="nil"/>
              <w:right w:val="nil"/>
            </w:tcBorders>
          </w:tcPr>
          <w:p>
            <w:pPr>
              <w:pStyle w:val="TableParagraph"/>
              <w:spacing w:before="19"/>
              <w:ind w:left="-17" w:right="108"/>
              <w:jc w:val="right"/>
              <w:rPr>
                <w:sz w:val="20"/>
              </w:rPr>
            </w:pPr>
            <w:r>
              <w:rPr>
                <w:w w:val="95"/>
                <w:sz w:val="20"/>
              </w:rPr>
              <w:t>-48.33</w:t>
            </w:r>
          </w:p>
        </w:tc>
        <w:tc>
          <w:tcPr>
            <w:tcW w:w="221" w:type="dxa"/>
            <w:tcBorders>
              <w:top w:val="nil"/>
              <w:left w:val="nil"/>
              <w:bottom w:val="nil"/>
              <w:right w:val="nil"/>
            </w:tcBorders>
          </w:tcPr>
          <w:p>
            <w:pPr/>
          </w:p>
        </w:tc>
        <w:tc>
          <w:tcPr>
            <w:tcW w:w="1339" w:type="dxa"/>
            <w:tcBorders>
              <w:top w:val="nil"/>
              <w:left w:val="nil"/>
              <w:bottom w:val="nil"/>
              <w:right w:val="nil"/>
            </w:tcBorders>
          </w:tcPr>
          <w:p>
            <w:pPr>
              <w:pStyle w:val="TableParagraph"/>
              <w:spacing w:before="19"/>
              <w:ind w:left="374"/>
              <w:rPr>
                <w:sz w:val="20"/>
              </w:rPr>
            </w:pPr>
            <w:r>
              <w:rPr>
                <w:sz w:val="20"/>
              </w:rPr>
              <w:t>-0.1111%</w:t>
            </w:r>
          </w:p>
        </w:tc>
        <w:tc>
          <w:tcPr>
            <w:tcW w:w="223" w:type="dxa"/>
            <w:tcBorders>
              <w:top w:val="nil"/>
              <w:left w:val="nil"/>
              <w:bottom w:val="nil"/>
              <w:right w:val="nil"/>
            </w:tcBorders>
          </w:tcPr>
          <w:p>
            <w:pPr/>
          </w:p>
        </w:tc>
        <w:tc>
          <w:tcPr>
            <w:tcW w:w="1340" w:type="dxa"/>
            <w:tcBorders>
              <w:top w:val="nil"/>
              <w:left w:val="nil"/>
              <w:bottom w:val="nil"/>
              <w:right w:val="nil"/>
            </w:tcBorders>
          </w:tcPr>
          <w:p>
            <w:pPr>
              <w:pStyle w:val="TableParagraph"/>
              <w:spacing w:before="19"/>
              <w:ind w:left="-17" w:right="109"/>
              <w:jc w:val="right"/>
              <w:rPr>
                <w:sz w:val="20"/>
              </w:rPr>
            </w:pPr>
            <w:r>
              <w:rPr>
                <w:sz w:val="20"/>
              </w:rPr>
              <w:t>-0.1112%</w:t>
            </w:r>
          </w:p>
        </w:tc>
      </w:tr>
      <w:tr>
        <w:trPr>
          <w:trHeight w:val="289" w:hRule="exact"/>
        </w:trPr>
        <w:tc>
          <w:tcPr>
            <w:tcW w:w="1051" w:type="dxa"/>
            <w:tcBorders>
              <w:top w:val="nil"/>
              <w:left w:val="nil"/>
              <w:bottom w:val="nil"/>
              <w:right w:val="nil"/>
            </w:tcBorders>
          </w:tcPr>
          <w:p>
            <w:pPr>
              <w:pStyle w:val="TableParagraph"/>
              <w:spacing w:before="18"/>
              <w:ind w:left="87" w:right="89"/>
              <w:jc w:val="center"/>
              <w:rPr>
                <w:sz w:val="20"/>
              </w:rPr>
            </w:pPr>
            <w:r>
              <w:rPr>
                <w:sz w:val="20"/>
              </w:rPr>
              <w:t>27-dic-12</w:t>
            </w:r>
          </w:p>
        </w:tc>
        <w:tc>
          <w:tcPr>
            <w:tcW w:w="221" w:type="dxa"/>
            <w:tcBorders>
              <w:top w:val="nil"/>
              <w:left w:val="nil"/>
              <w:bottom w:val="nil"/>
              <w:right w:val="nil"/>
            </w:tcBorders>
          </w:tcPr>
          <w:p>
            <w:pPr/>
          </w:p>
        </w:tc>
        <w:tc>
          <w:tcPr>
            <w:tcW w:w="1106" w:type="dxa"/>
            <w:tcBorders>
              <w:top w:val="nil"/>
              <w:left w:val="nil"/>
              <w:bottom w:val="nil"/>
              <w:right w:val="nil"/>
            </w:tcBorders>
          </w:tcPr>
          <w:p>
            <w:pPr>
              <w:pStyle w:val="TableParagraph"/>
              <w:spacing w:before="18"/>
              <w:ind w:left="88" w:right="88"/>
              <w:jc w:val="center"/>
              <w:rPr>
                <w:sz w:val="20"/>
              </w:rPr>
            </w:pPr>
            <w:r>
              <w:rPr>
                <w:sz w:val="20"/>
              </w:rPr>
              <w:t>43,330.93</w:t>
            </w:r>
          </w:p>
        </w:tc>
        <w:tc>
          <w:tcPr>
            <w:tcW w:w="223" w:type="dxa"/>
            <w:tcBorders>
              <w:top w:val="nil"/>
              <w:left w:val="nil"/>
              <w:bottom w:val="nil"/>
              <w:right w:val="nil"/>
            </w:tcBorders>
          </w:tcPr>
          <w:p>
            <w:pPr/>
          </w:p>
        </w:tc>
        <w:tc>
          <w:tcPr>
            <w:tcW w:w="1073" w:type="dxa"/>
            <w:tcBorders>
              <w:top w:val="nil"/>
              <w:left w:val="nil"/>
              <w:bottom w:val="nil"/>
              <w:right w:val="nil"/>
            </w:tcBorders>
          </w:tcPr>
          <w:p>
            <w:pPr>
              <w:pStyle w:val="TableParagraph"/>
              <w:spacing w:before="18"/>
              <w:ind w:left="285"/>
              <w:rPr>
                <w:sz w:val="20"/>
              </w:rPr>
            </w:pPr>
            <w:r>
              <w:rPr>
                <w:sz w:val="20"/>
              </w:rPr>
              <w:t>-103.90</w:t>
            </w:r>
          </w:p>
        </w:tc>
        <w:tc>
          <w:tcPr>
            <w:tcW w:w="221" w:type="dxa"/>
            <w:tcBorders>
              <w:top w:val="nil"/>
              <w:left w:val="nil"/>
              <w:bottom w:val="nil"/>
              <w:right w:val="nil"/>
            </w:tcBorders>
          </w:tcPr>
          <w:p>
            <w:pPr/>
          </w:p>
        </w:tc>
        <w:tc>
          <w:tcPr>
            <w:tcW w:w="1339" w:type="dxa"/>
            <w:tcBorders>
              <w:top w:val="nil"/>
              <w:left w:val="nil"/>
              <w:bottom w:val="nil"/>
              <w:right w:val="nil"/>
            </w:tcBorders>
          </w:tcPr>
          <w:p>
            <w:pPr>
              <w:pStyle w:val="TableParagraph"/>
              <w:spacing w:before="18"/>
              <w:ind w:left="374"/>
              <w:rPr>
                <w:sz w:val="20"/>
              </w:rPr>
            </w:pPr>
            <w:r>
              <w:rPr>
                <w:sz w:val="20"/>
              </w:rPr>
              <w:t>-0.2392%</w:t>
            </w:r>
          </w:p>
        </w:tc>
        <w:tc>
          <w:tcPr>
            <w:tcW w:w="223" w:type="dxa"/>
            <w:tcBorders>
              <w:top w:val="nil"/>
              <w:left w:val="nil"/>
              <w:bottom w:val="nil"/>
              <w:right w:val="nil"/>
            </w:tcBorders>
          </w:tcPr>
          <w:p>
            <w:pPr/>
          </w:p>
        </w:tc>
        <w:tc>
          <w:tcPr>
            <w:tcW w:w="1340" w:type="dxa"/>
            <w:tcBorders>
              <w:top w:val="nil"/>
              <w:left w:val="nil"/>
              <w:bottom w:val="nil"/>
              <w:right w:val="nil"/>
            </w:tcBorders>
          </w:tcPr>
          <w:p>
            <w:pPr>
              <w:pStyle w:val="TableParagraph"/>
              <w:spacing w:before="18"/>
              <w:ind w:left="-17" w:right="109"/>
              <w:jc w:val="right"/>
              <w:rPr>
                <w:sz w:val="20"/>
              </w:rPr>
            </w:pPr>
            <w:r>
              <w:rPr>
                <w:sz w:val="20"/>
              </w:rPr>
              <w:t>-0.2395%</w:t>
            </w:r>
          </w:p>
        </w:tc>
      </w:tr>
      <w:tr>
        <w:trPr>
          <w:trHeight w:val="290" w:hRule="exact"/>
        </w:trPr>
        <w:tc>
          <w:tcPr>
            <w:tcW w:w="1051" w:type="dxa"/>
            <w:tcBorders>
              <w:top w:val="nil"/>
              <w:left w:val="nil"/>
              <w:bottom w:val="nil"/>
              <w:right w:val="nil"/>
            </w:tcBorders>
          </w:tcPr>
          <w:p>
            <w:pPr>
              <w:pStyle w:val="TableParagraph"/>
              <w:spacing w:before="19"/>
              <w:ind w:left="87" w:right="89"/>
              <w:jc w:val="center"/>
              <w:rPr>
                <w:sz w:val="20"/>
              </w:rPr>
            </w:pPr>
            <w:r>
              <w:rPr>
                <w:sz w:val="20"/>
              </w:rPr>
              <w:t>28-dic-12</w:t>
            </w:r>
          </w:p>
        </w:tc>
        <w:tc>
          <w:tcPr>
            <w:tcW w:w="221" w:type="dxa"/>
            <w:tcBorders>
              <w:top w:val="nil"/>
              <w:left w:val="nil"/>
              <w:bottom w:val="nil"/>
              <w:right w:val="nil"/>
            </w:tcBorders>
          </w:tcPr>
          <w:p>
            <w:pPr/>
          </w:p>
        </w:tc>
        <w:tc>
          <w:tcPr>
            <w:tcW w:w="1106" w:type="dxa"/>
            <w:tcBorders>
              <w:top w:val="nil"/>
              <w:left w:val="nil"/>
              <w:bottom w:val="nil"/>
              <w:right w:val="nil"/>
            </w:tcBorders>
          </w:tcPr>
          <w:p>
            <w:pPr>
              <w:pStyle w:val="TableParagraph"/>
              <w:spacing w:before="19"/>
              <w:ind w:left="88" w:right="88"/>
              <w:jc w:val="center"/>
              <w:rPr>
                <w:sz w:val="20"/>
              </w:rPr>
            </w:pPr>
            <w:r>
              <w:rPr>
                <w:sz w:val="20"/>
              </w:rPr>
              <w:t>43,451.81</w:t>
            </w:r>
          </w:p>
        </w:tc>
        <w:tc>
          <w:tcPr>
            <w:tcW w:w="223" w:type="dxa"/>
            <w:tcBorders>
              <w:top w:val="nil"/>
              <w:left w:val="nil"/>
              <w:bottom w:val="nil"/>
              <w:right w:val="nil"/>
            </w:tcBorders>
          </w:tcPr>
          <w:p>
            <w:pPr/>
          </w:p>
        </w:tc>
        <w:tc>
          <w:tcPr>
            <w:tcW w:w="1073" w:type="dxa"/>
            <w:tcBorders>
              <w:top w:val="nil"/>
              <w:left w:val="nil"/>
              <w:bottom w:val="nil"/>
              <w:right w:val="nil"/>
            </w:tcBorders>
          </w:tcPr>
          <w:p>
            <w:pPr>
              <w:pStyle w:val="TableParagraph"/>
              <w:spacing w:before="19"/>
              <w:ind w:left="352"/>
              <w:rPr>
                <w:sz w:val="20"/>
              </w:rPr>
            </w:pPr>
            <w:r>
              <w:rPr>
                <w:sz w:val="20"/>
              </w:rPr>
              <w:t>120.88</w:t>
            </w:r>
          </w:p>
        </w:tc>
        <w:tc>
          <w:tcPr>
            <w:tcW w:w="221" w:type="dxa"/>
            <w:tcBorders>
              <w:top w:val="nil"/>
              <w:left w:val="nil"/>
              <w:bottom w:val="nil"/>
              <w:right w:val="nil"/>
            </w:tcBorders>
          </w:tcPr>
          <w:p>
            <w:pPr/>
          </w:p>
        </w:tc>
        <w:tc>
          <w:tcPr>
            <w:tcW w:w="1339" w:type="dxa"/>
            <w:tcBorders>
              <w:top w:val="nil"/>
              <w:left w:val="nil"/>
              <w:bottom w:val="nil"/>
              <w:right w:val="nil"/>
            </w:tcBorders>
          </w:tcPr>
          <w:p>
            <w:pPr>
              <w:pStyle w:val="TableParagraph"/>
              <w:spacing w:before="19"/>
              <w:ind w:left="-15" w:right="109"/>
              <w:jc w:val="right"/>
              <w:rPr>
                <w:sz w:val="20"/>
              </w:rPr>
            </w:pPr>
            <w:r>
              <w:rPr>
                <w:sz w:val="20"/>
              </w:rPr>
              <w:t>0.2790%</w:t>
            </w:r>
          </w:p>
        </w:tc>
        <w:tc>
          <w:tcPr>
            <w:tcW w:w="223" w:type="dxa"/>
            <w:tcBorders>
              <w:top w:val="nil"/>
              <w:left w:val="nil"/>
              <w:bottom w:val="nil"/>
              <w:right w:val="nil"/>
            </w:tcBorders>
          </w:tcPr>
          <w:p>
            <w:pPr/>
          </w:p>
        </w:tc>
        <w:tc>
          <w:tcPr>
            <w:tcW w:w="1340" w:type="dxa"/>
            <w:tcBorders>
              <w:top w:val="nil"/>
              <w:left w:val="nil"/>
              <w:bottom w:val="nil"/>
              <w:right w:val="nil"/>
            </w:tcBorders>
          </w:tcPr>
          <w:p>
            <w:pPr>
              <w:pStyle w:val="TableParagraph"/>
              <w:spacing w:before="19"/>
              <w:ind w:left="-17" w:right="109"/>
              <w:jc w:val="right"/>
              <w:rPr>
                <w:sz w:val="20"/>
              </w:rPr>
            </w:pPr>
            <w:r>
              <w:rPr>
                <w:sz w:val="20"/>
              </w:rPr>
              <w:t>0.2786%</w:t>
            </w:r>
          </w:p>
        </w:tc>
      </w:tr>
      <w:tr>
        <w:trPr>
          <w:trHeight w:val="245" w:hRule="exact"/>
        </w:trPr>
        <w:tc>
          <w:tcPr>
            <w:tcW w:w="1051" w:type="dxa"/>
            <w:tcBorders>
              <w:top w:val="nil"/>
              <w:left w:val="nil"/>
              <w:bottom w:val="nil"/>
              <w:right w:val="nil"/>
            </w:tcBorders>
          </w:tcPr>
          <w:p>
            <w:pPr>
              <w:pStyle w:val="TableParagraph"/>
              <w:spacing w:before="19"/>
              <w:ind w:left="-15"/>
              <w:jc w:val="center"/>
              <w:rPr>
                <w:sz w:val="20"/>
              </w:rPr>
            </w:pPr>
            <w:r>
              <w:rPr>
                <w:w w:val="99"/>
                <w:sz w:val="20"/>
                <w:u w:val="single"/>
              </w:rPr>
              <w:t> </w:t>
            </w:r>
            <w:r>
              <w:rPr>
                <w:spacing w:val="11"/>
                <w:sz w:val="20"/>
                <w:u w:val="single"/>
              </w:rPr>
              <w:t> </w:t>
            </w:r>
            <w:r>
              <w:rPr>
                <w:sz w:val="20"/>
                <w:u w:val="single"/>
              </w:rPr>
              <w:t>31-dic-12</w:t>
            </w:r>
            <w:r>
              <w:rPr>
                <w:spacing w:val="1"/>
                <w:sz w:val="20"/>
                <w:u w:val="single"/>
              </w:rPr>
              <w:t> </w:t>
            </w:r>
          </w:p>
        </w:tc>
        <w:tc>
          <w:tcPr>
            <w:tcW w:w="221" w:type="dxa"/>
            <w:tcBorders>
              <w:top w:val="nil"/>
              <w:left w:val="nil"/>
              <w:bottom w:val="nil"/>
              <w:right w:val="nil"/>
            </w:tcBorders>
          </w:tcPr>
          <w:p>
            <w:pPr/>
          </w:p>
        </w:tc>
        <w:tc>
          <w:tcPr>
            <w:tcW w:w="1106" w:type="dxa"/>
            <w:tcBorders>
              <w:top w:val="nil"/>
              <w:left w:val="nil"/>
              <w:bottom w:val="nil"/>
              <w:right w:val="nil"/>
            </w:tcBorders>
          </w:tcPr>
          <w:p>
            <w:pPr>
              <w:pStyle w:val="TableParagraph"/>
              <w:spacing w:before="19"/>
              <w:ind w:left="-15"/>
              <w:jc w:val="center"/>
              <w:rPr>
                <w:sz w:val="20"/>
              </w:rPr>
            </w:pPr>
            <w:r>
              <w:rPr>
                <w:w w:val="99"/>
                <w:sz w:val="20"/>
                <w:u w:val="single"/>
              </w:rPr>
              <w:t> </w:t>
            </w:r>
            <w:r>
              <w:rPr>
                <w:spacing w:val="11"/>
                <w:sz w:val="20"/>
                <w:u w:val="single"/>
              </w:rPr>
              <w:t> </w:t>
            </w:r>
            <w:r>
              <w:rPr>
                <w:sz w:val="20"/>
                <w:u w:val="single"/>
              </w:rPr>
              <w:t>43,505.13</w:t>
            </w:r>
            <w:r>
              <w:rPr>
                <w:spacing w:val="-1"/>
                <w:sz w:val="20"/>
                <w:u w:val="single"/>
              </w:rPr>
              <w:t> </w:t>
            </w:r>
          </w:p>
        </w:tc>
        <w:tc>
          <w:tcPr>
            <w:tcW w:w="223" w:type="dxa"/>
            <w:tcBorders>
              <w:top w:val="nil"/>
              <w:left w:val="nil"/>
              <w:bottom w:val="nil"/>
              <w:right w:val="nil"/>
            </w:tcBorders>
          </w:tcPr>
          <w:p>
            <w:pPr/>
          </w:p>
        </w:tc>
        <w:tc>
          <w:tcPr>
            <w:tcW w:w="1073" w:type="dxa"/>
            <w:tcBorders>
              <w:top w:val="nil"/>
              <w:left w:val="nil"/>
              <w:bottom w:val="nil"/>
              <w:right w:val="nil"/>
            </w:tcBorders>
          </w:tcPr>
          <w:p>
            <w:pPr>
              <w:pStyle w:val="TableParagraph"/>
              <w:tabs>
                <w:tab w:pos="463" w:val="left" w:leader="none"/>
              </w:tabs>
              <w:spacing w:before="19"/>
              <w:ind w:left="-17"/>
              <w:jc w:val="right"/>
              <w:rPr>
                <w:sz w:val="20"/>
              </w:rPr>
            </w:pPr>
            <w:r>
              <w:rPr>
                <w:w w:val="99"/>
                <w:sz w:val="20"/>
                <w:u w:val="single"/>
              </w:rPr>
              <w:t> </w:t>
            </w:r>
            <w:r>
              <w:rPr>
                <w:sz w:val="20"/>
                <w:u w:val="single"/>
              </w:rPr>
              <w:tab/>
            </w:r>
            <w:r>
              <w:rPr>
                <w:w w:val="95"/>
                <w:sz w:val="20"/>
                <w:u w:val="single"/>
              </w:rPr>
              <w:t>53.32</w:t>
            </w:r>
            <w:r>
              <w:rPr>
                <w:spacing w:val="-4"/>
                <w:sz w:val="20"/>
                <w:u w:val="single"/>
              </w:rPr>
              <w:t> </w:t>
            </w:r>
          </w:p>
        </w:tc>
        <w:tc>
          <w:tcPr>
            <w:tcW w:w="221" w:type="dxa"/>
            <w:tcBorders>
              <w:top w:val="nil"/>
              <w:left w:val="nil"/>
              <w:bottom w:val="nil"/>
              <w:right w:val="nil"/>
            </w:tcBorders>
          </w:tcPr>
          <w:p>
            <w:pPr/>
          </w:p>
        </w:tc>
        <w:tc>
          <w:tcPr>
            <w:tcW w:w="1339" w:type="dxa"/>
            <w:tcBorders>
              <w:top w:val="nil"/>
              <w:left w:val="nil"/>
              <w:bottom w:val="nil"/>
              <w:right w:val="nil"/>
            </w:tcBorders>
          </w:tcPr>
          <w:p>
            <w:pPr>
              <w:pStyle w:val="TableParagraph"/>
              <w:tabs>
                <w:tab w:pos="441" w:val="left" w:leader="none"/>
              </w:tabs>
              <w:spacing w:before="19"/>
              <w:ind w:left="-15"/>
              <w:jc w:val="right"/>
              <w:rPr>
                <w:sz w:val="20"/>
              </w:rPr>
            </w:pPr>
            <w:r>
              <w:rPr>
                <w:w w:val="99"/>
                <w:sz w:val="20"/>
                <w:u w:val="single"/>
              </w:rPr>
              <w:t> </w:t>
            </w:r>
            <w:r>
              <w:rPr>
                <w:sz w:val="20"/>
                <w:u w:val="single"/>
              </w:rPr>
              <w:tab/>
            </w:r>
            <w:r>
              <w:rPr>
                <w:spacing w:val="-1"/>
                <w:sz w:val="20"/>
                <w:u w:val="single"/>
              </w:rPr>
              <w:t>0.1227% </w:t>
            </w:r>
          </w:p>
        </w:tc>
        <w:tc>
          <w:tcPr>
            <w:tcW w:w="223" w:type="dxa"/>
            <w:tcBorders>
              <w:top w:val="nil"/>
              <w:left w:val="nil"/>
              <w:bottom w:val="nil"/>
              <w:right w:val="nil"/>
            </w:tcBorders>
          </w:tcPr>
          <w:p>
            <w:pPr/>
          </w:p>
        </w:tc>
        <w:tc>
          <w:tcPr>
            <w:tcW w:w="1340" w:type="dxa"/>
            <w:tcBorders>
              <w:top w:val="nil"/>
              <w:left w:val="nil"/>
              <w:bottom w:val="nil"/>
              <w:right w:val="nil"/>
            </w:tcBorders>
          </w:tcPr>
          <w:p>
            <w:pPr>
              <w:pStyle w:val="TableParagraph"/>
              <w:tabs>
                <w:tab w:pos="441" w:val="left" w:leader="none"/>
              </w:tabs>
              <w:spacing w:before="19"/>
              <w:ind w:left="-17"/>
              <w:jc w:val="right"/>
              <w:rPr>
                <w:sz w:val="20"/>
              </w:rPr>
            </w:pPr>
            <w:r>
              <w:rPr>
                <w:w w:val="99"/>
                <w:sz w:val="20"/>
                <w:u w:val="single"/>
              </w:rPr>
              <w:t> </w:t>
            </w:r>
            <w:r>
              <w:rPr>
                <w:sz w:val="20"/>
                <w:u w:val="single"/>
              </w:rPr>
              <w:tab/>
            </w:r>
            <w:r>
              <w:rPr>
                <w:spacing w:val="-1"/>
                <w:sz w:val="20"/>
                <w:u w:val="single"/>
              </w:rPr>
              <w:t>0.1226%</w:t>
            </w:r>
            <w:r>
              <w:rPr>
                <w:spacing w:val="-2"/>
                <w:sz w:val="20"/>
                <w:u w:val="single"/>
              </w:rPr>
              <w:t> </w:t>
            </w:r>
          </w:p>
        </w:tc>
      </w:tr>
    </w:tbl>
    <w:p>
      <w:pPr>
        <w:spacing w:before="135"/>
        <w:ind w:left="2458" w:right="786" w:firstLine="0"/>
        <w:jc w:val="left"/>
        <w:rPr>
          <w:sz w:val="20"/>
        </w:rPr>
      </w:pPr>
      <w:r>
        <w:rPr>
          <w:sz w:val="20"/>
        </w:rPr>
        <w:t>Fuente: Elaboración propia con datos de Finsat</w:t>
      </w:r>
    </w:p>
    <w:p>
      <w:pPr>
        <w:pStyle w:val="BodyText"/>
        <w:spacing w:before="5"/>
        <w:rPr>
          <w:sz w:val="25"/>
        </w:rPr>
      </w:pPr>
    </w:p>
    <w:p>
      <w:pPr>
        <w:pStyle w:val="BodyText"/>
        <w:spacing w:before="69"/>
        <w:ind w:left="142" w:right="-7" w:firstLine="707"/>
      </w:pPr>
      <w:r>
        <w:rPr/>
        <w:t>De la tabla anterior observamos que las tres series de cambios en los precios</w:t>
      </w:r>
    </w:p>
    <w:p>
      <w:pPr>
        <w:pStyle w:val="BodyText"/>
        <w:spacing w:line="192" w:lineRule="exact" w:before="166"/>
        <w:ind w:left="142"/>
      </w:pPr>
      <w:r>
        <w:rPr/>
        <w:t>( </w:t>
      </w:r>
      <w:r>
        <w:rPr>
          <w:rFonts w:ascii="Times New Roman" w:hAnsi="Times New Roman"/>
          <w:i/>
          <w:sz w:val="20"/>
        </w:rPr>
        <w:t>G</w:t>
      </w:r>
      <w:r>
        <w:rPr>
          <w:rFonts w:ascii="Times New Roman" w:hAnsi="Times New Roman"/>
          <w:i/>
          <w:position w:val="-6"/>
          <w:sz w:val="20"/>
        </w:rPr>
        <w:t>t </w:t>
      </w:r>
      <w:r>
        <w:rPr>
          <w:sz w:val="20"/>
        </w:rPr>
        <w:t>, </w:t>
      </w:r>
      <w:r>
        <w:rPr>
          <w:rFonts w:ascii="Times New Roman" w:hAnsi="Times New Roman"/>
          <w:i/>
          <w:sz w:val="20"/>
        </w:rPr>
        <w:t>R</w:t>
      </w:r>
      <w:r>
        <w:rPr>
          <w:rFonts w:ascii="Times New Roman" w:hAnsi="Times New Roman"/>
          <w:i/>
          <w:position w:val="11"/>
          <w:sz w:val="14"/>
        </w:rPr>
        <w:t>o  </w:t>
      </w:r>
      <w:r>
        <w:rPr/>
        <w:t>y </w:t>
      </w:r>
      <w:r>
        <w:rPr>
          <w:rFonts w:ascii="Times New Roman" w:hAnsi="Times New Roman"/>
          <w:i/>
          <w:sz w:val="21"/>
        </w:rPr>
        <w:t>R</w:t>
      </w:r>
      <w:r>
        <w:rPr>
          <w:rFonts w:ascii="Times New Roman" w:hAnsi="Times New Roman"/>
          <w:i/>
          <w:position w:val="12"/>
          <w:sz w:val="14"/>
        </w:rPr>
        <w:t>o </w:t>
      </w:r>
      <w:r>
        <w:rPr/>
        <w:t>) tienen el mismo signo para un día determinado, además de la similitud</w:t>
      </w:r>
    </w:p>
    <w:p>
      <w:pPr>
        <w:tabs>
          <w:tab w:pos="1306" w:val="left" w:leader="none"/>
        </w:tabs>
        <w:spacing w:line="149" w:lineRule="exact" w:before="0"/>
        <w:ind w:left="766" w:right="786" w:firstLine="0"/>
        <w:jc w:val="left"/>
        <w:rPr>
          <w:rFonts w:ascii="Times New Roman"/>
          <w:i/>
          <w:sz w:val="14"/>
        </w:rPr>
      </w:pPr>
      <w:r>
        <w:rPr>
          <w:rFonts w:ascii="Times New Roman"/>
          <w:i/>
          <w:sz w:val="14"/>
        </w:rPr>
        <w:t>D</w:t>
        <w:tab/>
        <w:t>C</w:t>
      </w:r>
    </w:p>
    <w:p>
      <w:pPr>
        <w:pStyle w:val="BodyText"/>
        <w:spacing w:before="165"/>
        <w:ind w:left="142" w:right="786"/>
      </w:pPr>
      <w:r>
        <w:rPr/>
        <w:t>(pero no igualdad) en los cambios de los precios relativos.</w:t>
      </w:r>
    </w:p>
    <w:p>
      <w:pPr>
        <w:pStyle w:val="BodyText"/>
        <w:spacing w:line="360" w:lineRule="auto" w:before="137"/>
        <w:ind w:left="142" w:right="145" w:firstLine="707"/>
        <w:jc w:val="both"/>
      </w:pPr>
      <w:r>
        <w:rPr/>
        <w:t>Para ilustrar mejor las diferencias entre las variaciones de precios absolutos y relativos, en la figura 1 se presenta el valor mínimo diario del IPC durante 2012.</w:t>
      </w:r>
    </w:p>
    <w:p>
      <w:pPr>
        <w:pStyle w:val="BodyText"/>
        <w:spacing w:line="360" w:lineRule="auto" w:before="2"/>
        <w:ind w:left="142" w:right="140" w:firstLine="707"/>
        <w:jc w:val="both"/>
      </w:pPr>
      <w:r>
        <w:rPr/>
        <w:t>Se</w:t>
      </w:r>
      <w:r>
        <w:rPr>
          <w:spacing w:val="-11"/>
        </w:rPr>
        <w:t> </w:t>
      </w:r>
      <w:r>
        <w:rPr/>
        <w:t>asume</w:t>
      </w:r>
      <w:r>
        <w:rPr>
          <w:spacing w:val="-11"/>
        </w:rPr>
        <w:t> </w:t>
      </w:r>
      <w:r>
        <w:rPr/>
        <w:t>que</w:t>
      </w:r>
      <w:r>
        <w:rPr>
          <w:spacing w:val="-11"/>
        </w:rPr>
        <w:t> </w:t>
      </w:r>
      <w:r>
        <w:rPr/>
        <w:t>los</w:t>
      </w:r>
      <w:r>
        <w:rPr>
          <w:spacing w:val="-13"/>
        </w:rPr>
        <w:t> </w:t>
      </w:r>
      <w:r>
        <w:rPr/>
        <w:t>rendimientos</w:t>
      </w:r>
      <w:r>
        <w:rPr>
          <w:spacing w:val="-12"/>
        </w:rPr>
        <w:t> </w:t>
      </w:r>
      <w:r>
        <w:rPr/>
        <w:t>de</w:t>
      </w:r>
      <w:r>
        <w:rPr>
          <w:spacing w:val="-11"/>
        </w:rPr>
        <w:t> </w:t>
      </w:r>
      <w:r>
        <w:rPr/>
        <w:t>los</w:t>
      </w:r>
      <w:r>
        <w:rPr>
          <w:spacing w:val="-13"/>
        </w:rPr>
        <w:t> </w:t>
      </w:r>
      <w:r>
        <w:rPr/>
        <w:t>activos</w:t>
      </w:r>
      <w:r>
        <w:rPr>
          <w:spacing w:val="-12"/>
        </w:rPr>
        <w:t> </w:t>
      </w:r>
      <w:r>
        <w:rPr/>
        <w:t>se</w:t>
      </w:r>
      <w:r>
        <w:rPr>
          <w:spacing w:val="-11"/>
        </w:rPr>
        <w:t> </w:t>
      </w:r>
      <w:r>
        <w:rPr/>
        <w:t>distribuyen</w:t>
      </w:r>
      <w:r>
        <w:rPr>
          <w:spacing w:val="-13"/>
        </w:rPr>
        <w:t> </w:t>
      </w:r>
      <w:r>
        <w:rPr/>
        <w:t>de</w:t>
      </w:r>
      <w:r>
        <w:rPr>
          <w:spacing w:val="-13"/>
        </w:rPr>
        <w:t> </w:t>
      </w:r>
      <w:r>
        <w:rPr/>
        <w:t>forma</w:t>
      </w:r>
      <w:r>
        <w:rPr>
          <w:spacing w:val="-11"/>
        </w:rPr>
        <w:t> </w:t>
      </w:r>
      <w:r>
        <w:rPr/>
        <w:t>normal por</w:t>
      </w:r>
      <w:r>
        <w:rPr>
          <w:spacing w:val="-7"/>
        </w:rPr>
        <w:t> </w:t>
      </w:r>
      <w:r>
        <w:rPr/>
        <w:t>lo</w:t>
      </w:r>
      <w:r>
        <w:rPr>
          <w:spacing w:val="-6"/>
        </w:rPr>
        <w:t> </w:t>
      </w:r>
      <w:r>
        <w:rPr/>
        <w:t>que</w:t>
      </w:r>
      <w:r>
        <w:rPr>
          <w:spacing w:val="-6"/>
        </w:rPr>
        <w:t> </w:t>
      </w:r>
      <w:r>
        <w:rPr/>
        <w:t>necesitamos</w:t>
      </w:r>
      <w:r>
        <w:rPr>
          <w:spacing w:val="-7"/>
        </w:rPr>
        <w:t> </w:t>
      </w:r>
      <w:r>
        <w:rPr/>
        <w:t>conocer</w:t>
      </w:r>
      <w:r>
        <w:rPr>
          <w:spacing w:val="-7"/>
        </w:rPr>
        <w:t> </w:t>
      </w:r>
      <w:r>
        <w:rPr/>
        <w:t>el</w:t>
      </w:r>
      <w:r>
        <w:rPr>
          <w:spacing w:val="-7"/>
        </w:rPr>
        <w:t> </w:t>
      </w:r>
      <w:r>
        <w:rPr/>
        <w:t>rendimiento</w:t>
      </w:r>
      <w:r>
        <w:rPr>
          <w:spacing w:val="-6"/>
        </w:rPr>
        <w:t> </w:t>
      </w:r>
      <w:r>
        <w:rPr/>
        <w:t>medio</w:t>
      </w:r>
      <w:r>
        <w:rPr>
          <w:spacing w:val="-6"/>
        </w:rPr>
        <w:t> </w:t>
      </w:r>
      <w:r>
        <w:rPr/>
        <w:t>y</w:t>
      </w:r>
      <w:r>
        <w:rPr>
          <w:spacing w:val="-9"/>
        </w:rPr>
        <w:t> </w:t>
      </w:r>
      <w:r>
        <w:rPr/>
        <w:t>la</w:t>
      </w:r>
      <w:r>
        <w:rPr>
          <w:spacing w:val="-4"/>
        </w:rPr>
        <w:t> </w:t>
      </w:r>
      <w:r>
        <w:rPr/>
        <w:t>volatilidad</w:t>
      </w:r>
      <w:r>
        <w:rPr>
          <w:spacing w:val="-6"/>
        </w:rPr>
        <w:t> </w:t>
      </w:r>
      <w:r>
        <w:rPr/>
        <w:t>del</w:t>
      </w:r>
      <w:r>
        <w:rPr>
          <w:spacing w:val="-7"/>
        </w:rPr>
        <w:t> </w:t>
      </w:r>
      <w:r>
        <w:rPr/>
        <w:t>activo,</w:t>
      </w:r>
      <w:r>
        <w:rPr>
          <w:spacing w:val="-6"/>
        </w:rPr>
        <w:t> </w:t>
      </w:r>
      <w:r>
        <w:rPr/>
        <w:t>que definirán la</w:t>
      </w:r>
      <w:r>
        <w:rPr>
          <w:spacing w:val="-6"/>
        </w:rPr>
        <w:t> </w:t>
      </w:r>
      <w:r>
        <w:rPr/>
        <w:t>distribución.</w:t>
      </w:r>
    </w:p>
    <w:p>
      <w:pPr>
        <w:pStyle w:val="BodyText"/>
        <w:spacing w:before="125"/>
        <w:ind w:left="142" w:right="786"/>
      </w:pPr>
      <w:r>
        <w:rPr/>
        <w:t>Rendimiento medio</w:t>
      </w:r>
    </w:p>
    <w:p>
      <w:pPr>
        <w:pStyle w:val="BodyText"/>
        <w:spacing w:line="360" w:lineRule="auto" w:before="197"/>
        <w:ind w:left="142" w:right="136" w:firstLine="707"/>
        <w:jc w:val="both"/>
      </w:pPr>
      <w:r>
        <w:rPr/>
        <w:t>El rendimiento promedio observado de un activo es útil para establecer la dispersión observada.</w:t>
      </w:r>
    </w:p>
    <w:p>
      <w:pPr>
        <w:pStyle w:val="BodyText"/>
        <w:spacing w:before="5"/>
        <w:rPr>
          <w:sz w:val="31"/>
        </w:rPr>
      </w:pPr>
    </w:p>
    <w:p>
      <w:pPr>
        <w:spacing w:before="1"/>
        <w:ind w:left="2523" w:right="786" w:firstLine="0"/>
        <w:jc w:val="left"/>
        <w:rPr>
          <w:sz w:val="22"/>
        </w:rPr>
      </w:pPr>
      <w:bookmarkStart w:name="_bookmark14" w:id="27"/>
      <w:bookmarkEnd w:id="27"/>
      <w:r>
        <w:rPr/>
      </w:r>
      <w:r>
        <w:rPr>
          <w:sz w:val="22"/>
        </w:rPr>
        <w:t>Figura 01. Variación relativa del IPC 2012</w:t>
      </w:r>
    </w:p>
    <w:p>
      <w:pPr>
        <w:pStyle w:val="BodyText"/>
        <w:spacing w:before="7"/>
        <w:rPr>
          <w:sz w:val="17"/>
        </w:rPr>
      </w:pPr>
      <w:r>
        <w:rPr/>
        <w:drawing>
          <wp:anchor distT="0" distB="0" distL="0" distR="0" allowOverlap="1" layoutInCell="1" locked="0" behindDoc="0" simplePos="0" relativeHeight="1480">
            <wp:simplePos x="0" y="0"/>
            <wp:positionH relativeFrom="page">
              <wp:posOffset>2263139</wp:posOffset>
            </wp:positionH>
            <wp:positionV relativeFrom="paragraph">
              <wp:posOffset>153939</wp:posOffset>
            </wp:positionV>
            <wp:extent cx="3219408" cy="1753266"/>
            <wp:effectExtent l="0" t="0" r="0" b="0"/>
            <wp:wrapTopAndBottom/>
            <wp:docPr id="3" name="image4.png" descr=""/>
            <wp:cNvGraphicFramePr>
              <a:graphicFrameLocks noChangeAspect="1"/>
            </wp:cNvGraphicFramePr>
            <a:graphic>
              <a:graphicData uri="http://schemas.openxmlformats.org/drawingml/2006/picture">
                <pic:pic>
                  <pic:nvPicPr>
                    <pic:cNvPr id="4" name="image4.png"/>
                    <pic:cNvPicPr/>
                  </pic:nvPicPr>
                  <pic:blipFill>
                    <a:blip r:embed="rId20" cstate="print"/>
                    <a:stretch>
                      <a:fillRect/>
                    </a:stretch>
                  </pic:blipFill>
                  <pic:spPr>
                    <a:xfrm>
                      <a:off x="0" y="0"/>
                      <a:ext cx="3219408" cy="1753266"/>
                    </a:xfrm>
                    <a:prstGeom prst="rect">
                      <a:avLst/>
                    </a:prstGeom>
                  </pic:spPr>
                </pic:pic>
              </a:graphicData>
            </a:graphic>
          </wp:anchor>
        </w:drawing>
      </w:r>
    </w:p>
    <w:p>
      <w:pPr>
        <w:spacing w:after="0"/>
        <w:rPr>
          <w:sz w:val="17"/>
        </w:rPr>
        <w:sectPr>
          <w:pgSz w:w="12240" w:h="15840"/>
          <w:pgMar w:header="731" w:footer="737" w:top="1180" w:bottom="920" w:left="1560" w:right="1560"/>
        </w:sectPr>
      </w:pPr>
    </w:p>
    <w:p>
      <w:pPr>
        <w:pStyle w:val="BodyText"/>
        <w:rPr>
          <w:sz w:val="20"/>
        </w:rPr>
      </w:pPr>
    </w:p>
    <w:p>
      <w:pPr>
        <w:pStyle w:val="BodyText"/>
        <w:spacing w:before="2"/>
        <w:rPr>
          <w:sz w:val="17"/>
        </w:rPr>
      </w:pPr>
    </w:p>
    <w:p>
      <w:pPr>
        <w:spacing w:after="0"/>
        <w:rPr>
          <w:sz w:val="17"/>
        </w:rPr>
        <w:sectPr>
          <w:pgSz w:w="12240" w:h="15840"/>
          <w:pgMar w:header="731" w:footer="737" w:top="1180" w:bottom="920" w:left="1560" w:right="1560"/>
        </w:sectPr>
      </w:pPr>
    </w:p>
    <w:p>
      <w:pPr>
        <w:pStyle w:val="BodyText"/>
      </w:pPr>
    </w:p>
    <w:p>
      <w:pPr>
        <w:pStyle w:val="BodyText"/>
        <w:spacing w:before="1"/>
      </w:pPr>
    </w:p>
    <w:p>
      <w:pPr>
        <w:pStyle w:val="BodyText"/>
        <w:ind w:left="142" w:right="-19"/>
      </w:pPr>
      <w:r>
        <w:rPr/>
        <w:t>La media diaria:</w:t>
      </w:r>
    </w:p>
    <w:p>
      <w:pPr>
        <w:spacing w:line="117" w:lineRule="exact" w:before="82"/>
        <w:ind w:left="0" w:right="5793" w:firstLine="0"/>
        <w:jc w:val="center"/>
        <w:rPr>
          <w:rFonts w:ascii="Times New Roman"/>
          <w:i/>
          <w:sz w:val="14"/>
        </w:rPr>
      </w:pPr>
      <w:r>
        <w:rPr/>
        <w:br w:type="column"/>
      </w:r>
      <w:r>
        <w:rPr>
          <w:rFonts w:ascii="Times New Roman"/>
          <w:i/>
          <w:sz w:val="14"/>
        </w:rPr>
        <w:t>n</w:t>
      </w:r>
    </w:p>
    <w:p>
      <w:pPr>
        <w:spacing w:line="367" w:lineRule="exact" w:before="0"/>
        <w:ind w:left="588" w:right="0" w:firstLine="0"/>
        <w:jc w:val="left"/>
        <w:rPr>
          <w:rFonts w:ascii="Times New Roman" w:hAnsi="Times New Roman"/>
          <w:sz w:val="24"/>
        </w:rPr>
      </w:pPr>
      <w:r>
        <w:rPr>
          <w:rFonts w:ascii="Symbol" w:hAnsi="Symbol"/>
          <w:position w:val="-5"/>
          <w:sz w:val="36"/>
        </w:rPr>
        <w:t></w:t>
      </w:r>
      <w:r>
        <w:rPr>
          <w:rFonts w:ascii="Times New Roman" w:hAnsi="Times New Roman"/>
          <w:i/>
          <w:sz w:val="24"/>
        </w:rPr>
        <w:t>Var</w:t>
      </w:r>
      <w:r>
        <w:rPr>
          <w:rFonts w:ascii="Times New Roman" w:hAnsi="Times New Roman"/>
          <w:sz w:val="24"/>
        </w:rPr>
        <w:t>%</w:t>
      </w:r>
    </w:p>
    <w:p>
      <w:pPr>
        <w:tabs>
          <w:tab w:pos="1375" w:val="left" w:leader="none"/>
        </w:tabs>
        <w:spacing w:line="211" w:lineRule="exact" w:before="0"/>
        <w:ind w:left="0" w:right="5720" w:firstLine="0"/>
        <w:jc w:val="center"/>
        <w:rPr>
          <w:rFonts w:ascii="Times New Roman" w:hAnsi="Times New Roman"/>
          <w:sz w:val="14"/>
        </w:rPr>
      </w:pPr>
      <w:r>
        <w:rPr>
          <w:rFonts w:ascii="Symbol" w:hAnsi="Symbol"/>
          <w:i/>
          <w:position w:val="-9"/>
          <w:sz w:val="25"/>
        </w:rPr>
        <w:t></w:t>
      </w:r>
      <w:r>
        <w:rPr>
          <w:rFonts w:ascii="Times New Roman" w:hAnsi="Times New Roman"/>
          <w:i/>
          <w:position w:val="-9"/>
          <w:sz w:val="25"/>
        </w:rPr>
        <w:t>   </w:t>
      </w:r>
      <w:r>
        <w:rPr>
          <w:rFonts w:ascii="Symbol" w:hAnsi="Symbol"/>
          <w:position w:val="-9"/>
          <w:sz w:val="24"/>
        </w:rPr>
        <w:t></w:t>
      </w:r>
      <w:r>
        <w:rPr>
          <w:rFonts w:ascii="Times New Roman" w:hAnsi="Times New Roman"/>
          <w:spacing w:val="39"/>
          <w:position w:val="-9"/>
          <w:sz w:val="24"/>
        </w:rPr>
        <w:t> </w:t>
      </w:r>
      <w:r>
        <w:rPr>
          <w:rFonts w:ascii="Times New Roman" w:hAnsi="Times New Roman"/>
          <w:i/>
          <w:sz w:val="14"/>
          <w:u w:val="single"/>
        </w:rPr>
        <w:t>i</w:t>
      </w:r>
      <w:r>
        <w:rPr>
          <w:rFonts w:ascii="Symbol" w:hAnsi="Symbol"/>
          <w:sz w:val="14"/>
          <w:u w:val="single"/>
        </w:rPr>
        <w:t></w:t>
      </w:r>
      <w:r>
        <w:rPr>
          <w:rFonts w:ascii="Times New Roman" w:hAnsi="Times New Roman"/>
          <w:sz w:val="14"/>
          <w:u w:val="single"/>
        </w:rPr>
        <w:t>1</w:t>
        <w:tab/>
      </w:r>
    </w:p>
    <w:p>
      <w:pPr>
        <w:tabs>
          <w:tab w:pos="728" w:val="left" w:leader="none"/>
        </w:tabs>
        <w:spacing w:line="248" w:lineRule="exact" w:before="0"/>
        <w:ind w:left="0" w:right="5939" w:firstLine="0"/>
        <w:jc w:val="center"/>
        <w:rPr>
          <w:rFonts w:ascii="Times New Roman"/>
          <w:i/>
          <w:sz w:val="24"/>
        </w:rPr>
      </w:pPr>
      <w:r>
        <w:rPr>
          <w:rFonts w:ascii="Times New Roman"/>
          <w:i/>
          <w:sz w:val="14"/>
        </w:rPr>
        <w:t>d</w:t>
        <w:tab/>
      </w:r>
      <w:r>
        <w:rPr>
          <w:rFonts w:ascii="Times New Roman"/>
          <w:i/>
          <w:position w:val="-12"/>
          <w:sz w:val="24"/>
        </w:rPr>
        <w:t>n</w:t>
      </w:r>
    </w:p>
    <w:p>
      <w:pPr>
        <w:spacing w:after="0" w:line="248" w:lineRule="exact"/>
        <w:jc w:val="center"/>
        <w:rPr>
          <w:rFonts w:ascii="Times New Roman"/>
          <w:sz w:val="24"/>
        </w:rPr>
        <w:sectPr>
          <w:type w:val="continuous"/>
          <w:pgSz w:w="12240" w:h="15840"/>
          <w:pgMar w:top="720" w:bottom="280" w:left="1560" w:right="1560"/>
          <w:cols w:num="2" w:equalWidth="0">
            <w:col w:w="1851" w:space="40"/>
            <w:col w:w="7229"/>
          </w:cols>
        </w:sectPr>
      </w:pPr>
    </w:p>
    <w:p>
      <w:pPr>
        <w:pStyle w:val="BodyText"/>
        <w:spacing w:before="7"/>
        <w:ind w:left="142" w:right="-20"/>
      </w:pPr>
      <w:r>
        <w:rPr/>
        <w:t>La media anualizada:</w:t>
      </w:r>
    </w:p>
    <w:p>
      <w:pPr>
        <w:spacing w:line="326" w:lineRule="exact" w:before="0"/>
        <w:ind w:left="69" w:right="0" w:firstLine="0"/>
        <w:jc w:val="left"/>
        <w:rPr>
          <w:sz w:val="24"/>
        </w:rPr>
      </w:pPr>
      <w:r>
        <w:rPr/>
        <w:br w:type="column"/>
      </w:r>
      <w:r>
        <w:rPr>
          <w:rFonts w:ascii="Symbol" w:hAnsi="Symbol"/>
          <w:i/>
          <w:sz w:val="25"/>
        </w:rPr>
        <w:t></w:t>
      </w:r>
      <w:r>
        <w:rPr>
          <w:rFonts w:ascii="Times New Roman" w:hAnsi="Times New Roman"/>
          <w:i/>
          <w:position w:val="-5"/>
          <w:sz w:val="14"/>
        </w:rPr>
        <w:t>d  </w:t>
      </w:r>
      <w:r>
        <w:rPr>
          <w:rFonts w:ascii="Symbol" w:hAnsi="Symbol"/>
          <w:sz w:val="24"/>
        </w:rPr>
        <w:t></w:t>
      </w:r>
      <w:r>
        <w:rPr>
          <w:rFonts w:ascii="Times New Roman" w:hAnsi="Times New Roman"/>
          <w:sz w:val="24"/>
        </w:rPr>
        <w:t> 252 </w:t>
      </w:r>
      <w:r>
        <w:rPr>
          <w:sz w:val="24"/>
        </w:rPr>
        <w:t>o</w:t>
      </w:r>
    </w:p>
    <w:p>
      <w:pPr>
        <w:spacing w:line="326" w:lineRule="exact" w:before="0"/>
        <w:ind w:left="66" w:right="0" w:firstLine="0"/>
        <w:jc w:val="left"/>
        <w:rPr>
          <w:rFonts w:ascii="Times New Roman" w:hAnsi="Times New Roman"/>
          <w:sz w:val="24"/>
        </w:rPr>
      </w:pPr>
      <w:r>
        <w:rPr/>
        <w:br w:type="column"/>
      </w:r>
      <w:r>
        <w:rPr>
          <w:rFonts w:ascii="Symbol" w:hAnsi="Symbol"/>
          <w:i/>
          <w:w w:val="105"/>
          <w:sz w:val="25"/>
        </w:rPr>
        <w:t></w:t>
      </w:r>
      <w:r>
        <w:rPr>
          <w:rFonts w:ascii="Times New Roman" w:hAnsi="Times New Roman"/>
          <w:i/>
          <w:w w:val="105"/>
          <w:position w:val="-5"/>
          <w:sz w:val="14"/>
        </w:rPr>
        <w:t>d </w:t>
      </w:r>
      <w:r>
        <w:rPr>
          <w:rFonts w:ascii="Symbol" w:hAnsi="Symbol"/>
          <w:w w:val="105"/>
          <w:sz w:val="24"/>
        </w:rPr>
        <w:t></w:t>
      </w:r>
      <w:r>
        <w:rPr>
          <w:rFonts w:ascii="Times New Roman" w:hAnsi="Times New Roman"/>
          <w:w w:val="105"/>
          <w:sz w:val="24"/>
        </w:rPr>
        <w:t> 365</w:t>
      </w:r>
    </w:p>
    <w:p>
      <w:pPr>
        <w:spacing w:after="0" w:line="326" w:lineRule="exact"/>
        <w:jc w:val="left"/>
        <w:rPr>
          <w:rFonts w:ascii="Times New Roman" w:hAnsi="Times New Roman"/>
          <w:sz w:val="24"/>
        </w:rPr>
        <w:sectPr>
          <w:type w:val="continuous"/>
          <w:pgSz w:w="12240" w:h="15840"/>
          <w:pgMar w:top="720" w:bottom="280" w:left="1560" w:right="1560"/>
          <w:cols w:num="3" w:equalWidth="0">
            <w:col w:w="2424" w:space="40"/>
            <w:col w:w="1115" w:space="40"/>
            <w:col w:w="5501"/>
          </w:cols>
        </w:sectPr>
      </w:pPr>
    </w:p>
    <w:p>
      <w:pPr>
        <w:pStyle w:val="ListParagraph"/>
        <w:numPr>
          <w:ilvl w:val="0"/>
          <w:numId w:val="10"/>
        </w:numPr>
        <w:tabs>
          <w:tab w:pos="1274" w:val="left" w:leader="none"/>
          <w:tab w:pos="1275" w:val="left" w:leader="none"/>
        </w:tabs>
        <w:spacing w:line="240" w:lineRule="auto" w:before="26" w:after="0"/>
        <w:ind w:left="1274" w:right="0" w:hanging="357"/>
        <w:jc w:val="left"/>
        <w:rPr>
          <w:sz w:val="24"/>
        </w:rPr>
      </w:pPr>
      <w:r>
        <w:rPr>
          <w:sz w:val="24"/>
        </w:rPr>
        <w:t>Distribución de</w:t>
      </w:r>
      <w:r>
        <w:rPr>
          <w:spacing w:val="-9"/>
          <w:sz w:val="24"/>
        </w:rPr>
        <w:t> </w:t>
      </w:r>
      <w:r>
        <w:rPr>
          <w:sz w:val="24"/>
        </w:rPr>
        <w:t>probabilidad:</w:t>
      </w:r>
    </w:p>
    <w:p>
      <w:pPr>
        <w:pStyle w:val="BodyText"/>
        <w:spacing w:line="360" w:lineRule="auto" w:before="135"/>
        <w:ind w:left="142" w:right="141" w:firstLine="707"/>
        <w:jc w:val="both"/>
      </w:pPr>
      <w:r>
        <w:rPr/>
        <w:t>Rendimientos</w:t>
      </w:r>
      <w:r>
        <w:rPr>
          <w:spacing w:val="-8"/>
        </w:rPr>
        <w:t> </w:t>
      </w:r>
      <w:r>
        <w:rPr/>
        <w:t>posibles</w:t>
      </w:r>
      <w:r>
        <w:rPr>
          <w:spacing w:val="-10"/>
        </w:rPr>
        <w:t> </w:t>
      </w:r>
      <w:r>
        <w:rPr/>
        <w:t>en</w:t>
      </w:r>
      <w:r>
        <w:rPr>
          <w:spacing w:val="-7"/>
        </w:rPr>
        <w:t> </w:t>
      </w:r>
      <w:r>
        <w:rPr/>
        <w:t>un</w:t>
      </w:r>
      <w:r>
        <w:rPr>
          <w:spacing w:val="-9"/>
        </w:rPr>
        <w:t> </w:t>
      </w:r>
      <w:r>
        <w:rPr/>
        <w:t>horizonte</w:t>
      </w:r>
      <w:r>
        <w:rPr>
          <w:spacing w:val="-7"/>
        </w:rPr>
        <w:t> </w:t>
      </w:r>
      <w:r>
        <w:rPr/>
        <w:t>determinado</w:t>
      </w:r>
      <w:r>
        <w:rPr>
          <w:spacing w:val="-7"/>
        </w:rPr>
        <w:t> </w:t>
      </w:r>
      <w:r>
        <w:rPr/>
        <w:t>con</w:t>
      </w:r>
      <w:r>
        <w:rPr>
          <w:spacing w:val="-7"/>
        </w:rPr>
        <w:t> </w:t>
      </w:r>
      <w:r>
        <w:rPr/>
        <w:t>una</w:t>
      </w:r>
      <w:r>
        <w:rPr>
          <w:spacing w:val="-7"/>
        </w:rPr>
        <w:t> </w:t>
      </w:r>
      <w:r>
        <w:rPr/>
        <w:t>probabilidad</w:t>
      </w:r>
      <w:r>
        <w:rPr>
          <w:spacing w:val="-7"/>
        </w:rPr>
        <w:t> </w:t>
      </w:r>
      <w:r>
        <w:rPr/>
        <w:t>de ocurrencia.</w:t>
      </w:r>
    </w:p>
    <w:p>
      <w:pPr>
        <w:pStyle w:val="Heading3"/>
      </w:pPr>
      <w:r>
        <w:rPr/>
        <w:t>Distribución de de probabilidades de rendimientos</w:t>
      </w:r>
    </w:p>
    <w:p>
      <w:pPr>
        <w:pStyle w:val="BodyText"/>
        <w:spacing w:line="360" w:lineRule="auto" w:before="62"/>
        <w:ind w:left="142" w:right="143" w:firstLine="707"/>
        <w:jc w:val="both"/>
      </w:pPr>
      <w:r>
        <w:rPr/>
        <w:t>Una</w:t>
      </w:r>
      <w:r>
        <w:rPr>
          <w:spacing w:val="-14"/>
        </w:rPr>
        <w:t> </w:t>
      </w:r>
      <w:r>
        <w:rPr/>
        <w:t>medida</w:t>
      </w:r>
      <w:r>
        <w:rPr>
          <w:spacing w:val="-14"/>
        </w:rPr>
        <w:t> </w:t>
      </w:r>
      <w:r>
        <w:rPr/>
        <w:t>utilizada</w:t>
      </w:r>
      <w:r>
        <w:rPr>
          <w:spacing w:val="-12"/>
        </w:rPr>
        <w:t> </w:t>
      </w:r>
      <w:r>
        <w:rPr/>
        <w:t>comúnmente</w:t>
      </w:r>
      <w:r>
        <w:rPr>
          <w:spacing w:val="-14"/>
        </w:rPr>
        <w:t> </w:t>
      </w:r>
      <w:r>
        <w:rPr/>
        <w:t>para</w:t>
      </w:r>
      <w:r>
        <w:rPr>
          <w:spacing w:val="-17"/>
        </w:rPr>
        <w:t> </w:t>
      </w:r>
      <w:r>
        <w:rPr/>
        <w:t>medir</w:t>
      </w:r>
      <w:r>
        <w:rPr>
          <w:spacing w:val="-14"/>
        </w:rPr>
        <w:t> </w:t>
      </w:r>
      <w:r>
        <w:rPr/>
        <w:t>el</w:t>
      </w:r>
      <w:r>
        <w:rPr>
          <w:spacing w:val="-13"/>
        </w:rPr>
        <w:t> </w:t>
      </w:r>
      <w:r>
        <w:rPr/>
        <w:t>grado</w:t>
      </w:r>
      <w:r>
        <w:rPr>
          <w:spacing w:val="-16"/>
        </w:rPr>
        <w:t> </w:t>
      </w:r>
      <w:r>
        <w:rPr/>
        <w:t>de</w:t>
      </w:r>
      <w:r>
        <w:rPr>
          <w:spacing w:val="-14"/>
        </w:rPr>
        <w:t> </w:t>
      </w:r>
      <w:r>
        <w:rPr/>
        <w:t>riesgo</w:t>
      </w:r>
      <w:r>
        <w:rPr>
          <w:spacing w:val="-12"/>
        </w:rPr>
        <w:t> </w:t>
      </w:r>
      <w:r>
        <w:rPr/>
        <w:t>de</w:t>
      </w:r>
      <w:r>
        <w:rPr>
          <w:spacing w:val="-14"/>
        </w:rPr>
        <w:t> </w:t>
      </w:r>
      <w:r>
        <w:rPr/>
        <w:t>un</w:t>
      </w:r>
      <w:r>
        <w:rPr>
          <w:spacing w:val="-14"/>
        </w:rPr>
        <w:t> </w:t>
      </w:r>
      <w:r>
        <w:rPr/>
        <w:t>activo es la volatilidad.</w:t>
      </w:r>
      <w:r>
        <w:rPr>
          <w:position w:val="8"/>
          <w:sz w:val="16"/>
        </w:rPr>
        <w:t>19 </w:t>
      </w:r>
      <w:r>
        <w:rPr/>
        <w:t>La volatilidad está relacionada con el rango de posibles tasas de rendimiento derivadas de poseer las acciones y la probabilidad de que ocurran. La volatilidad de una acción será mayor cuanto más amplio sea el rango de posibles resultados o sucesos y mayores sean las probabilidades de que esos rendimientos se ubiquen en los extremos del</w:t>
      </w:r>
      <w:r>
        <w:rPr>
          <w:spacing w:val="-15"/>
        </w:rPr>
        <w:t> </w:t>
      </w:r>
      <w:r>
        <w:rPr/>
        <w:t>rango.</w:t>
      </w:r>
    </w:p>
    <w:p>
      <w:pPr>
        <w:pStyle w:val="BodyText"/>
        <w:spacing w:line="360" w:lineRule="auto" w:before="2"/>
        <w:ind w:left="142" w:right="144" w:firstLine="707"/>
        <w:jc w:val="both"/>
      </w:pPr>
      <w:r>
        <w:rPr/>
        <w:t>Cuanto más amplio sea el rango o intervalo de posibles resultados, mayor será la volatilidad.</w:t>
      </w:r>
    </w:p>
    <w:p>
      <w:pPr>
        <w:pStyle w:val="BodyText"/>
        <w:spacing w:before="122"/>
        <w:ind w:left="142" w:right="786"/>
      </w:pPr>
      <w:r>
        <w:rPr/>
        <w:t>La desviación estándar como medida del riesgo</w:t>
      </w:r>
    </w:p>
    <w:p>
      <w:pPr>
        <w:pStyle w:val="BodyText"/>
        <w:spacing w:line="360" w:lineRule="auto" w:before="199"/>
        <w:ind w:left="142" w:right="143" w:firstLine="707"/>
        <w:jc w:val="both"/>
      </w:pPr>
      <w:r>
        <w:rPr/>
        <w:t>La</w:t>
      </w:r>
      <w:r>
        <w:rPr>
          <w:spacing w:val="-7"/>
        </w:rPr>
        <w:t> </w:t>
      </w:r>
      <w:r>
        <w:rPr/>
        <w:t>volatilidad</w:t>
      </w:r>
      <w:r>
        <w:rPr>
          <w:spacing w:val="-9"/>
        </w:rPr>
        <w:t> </w:t>
      </w:r>
      <w:r>
        <w:rPr/>
        <w:t>del</w:t>
      </w:r>
      <w:r>
        <w:rPr>
          <w:spacing w:val="-8"/>
        </w:rPr>
        <w:t> </w:t>
      </w:r>
      <w:r>
        <w:rPr/>
        <w:t>rendimiento</w:t>
      </w:r>
      <w:r>
        <w:rPr>
          <w:spacing w:val="-7"/>
        </w:rPr>
        <w:t> </w:t>
      </w:r>
      <w:r>
        <w:rPr/>
        <w:t>de</w:t>
      </w:r>
      <w:r>
        <w:rPr>
          <w:spacing w:val="-7"/>
        </w:rPr>
        <w:t> </w:t>
      </w:r>
      <w:r>
        <w:rPr/>
        <w:t>las</w:t>
      </w:r>
      <w:r>
        <w:rPr>
          <w:spacing w:val="-7"/>
        </w:rPr>
        <w:t> </w:t>
      </w:r>
      <w:r>
        <w:rPr/>
        <w:t>acciones</w:t>
      </w:r>
      <w:r>
        <w:rPr>
          <w:spacing w:val="-10"/>
        </w:rPr>
        <w:t> </w:t>
      </w:r>
      <w:r>
        <w:rPr/>
        <w:t>depende</w:t>
      </w:r>
      <w:r>
        <w:rPr>
          <w:spacing w:val="-7"/>
        </w:rPr>
        <w:t> </w:t>
      </w:r>
      <w:r>
        <w:rPr/>
        <w:t>del</w:t>
      </w:r>
      <w:r>
        <w:rPr>
          <w:spacing w:val="-8"/>
        </w:rPr>
        <w:t> </w:t>
      </w:r>
      <w:r>
        <w:rPr/>
        <w:t>rango</w:t>
      </w:r>
      <w:r>
        <w:rPr>
          <w:spacing w:val="-7"/>
        </w:rPr>
        <w:t> </w:t>
      </w:r>
      <w:r>
        <w:rPr/>
        <w:t>de</w:t>
      </w:r>
      <w:r>
        <w:rPr>
          <w:spacing w:val="-9"/>
        </w:rPr>
        <w:t> </w:t>
      </w:r>
      <w:r>
        <w:rPr/>
        <w:t>posibles resultados y la probabilidad de que ocurran valores</w:t>
      </w:r>
      <w:r>
        <w:rPr>
          <w:spacing w:val="-22"/>
        </w:rPr>
        <w:t> </w:t>
      </w:r>
      <w:r>
        <w:rPr/>
        <w:t>extremos.</w:t>
      </w:r>
    </w:p>
    <w:p>
      <w:pPr>
        <w:pStyle w:val="BodyText"/>
        <w:spacing w:line="360" w:lineRule="auto" w:before="5"/>
        <w:ind w:left="142" w:right="145" w:firstLine="707"/>
        <w:jc w:val="both"/>
      </w:pPr>
      <w:r>
        <w:rPr/>
        <w:t>La estadística que se usa con mayor frecuencia en finanzas para cuantificar y medir la volatilidad de la distribución de probabilidades del rendimiento de acciones es la desviación estándar, que se calcula de la siguiente manera:</w:t>
      </w:r>
    </w:p>
    <w:p>
      <w:pPr>
        <w:pStyle w:val="BodyText"/>
        <w:spacing w:before="122"/>
        <w:ind w:left="142" w:right="786"/>
      </w:pPr>
      <w:r>
        <w:rPr/>
        <w:t>Desviacion estándar</w:t>
      </w:r>
    </w:p>
    <w:p>
      <w:pPr>
        <w:pStyle w:val="BodyText"/>
        <w:spacing w:before="10"/>
        <w:rPr>
          <w:sz w:val="28"/>
        </w:rPr>
      </w:pPr>
    </w:p>
    <w:p>
      <w:pPr>
        <w:spacing w:before="1"/>
        <w:ind w:left="479" w:right="2305" w:firstLine="0"/>
        <w:jc w:val="center"/>
        <w:rPr>
          <w:rFonts w:ascii="Symbol" w:hAnsi="Symbol"/>
          <w:sz w:val="24"/>
        </w:rPr>
      </w:pPr>
      <w:r>
        <w:rPr/>
        <w:pict>
          <v:group style="position:absolute;margin-left:273.329498pt;margin-top:-7.002742pt;width:86.65pt;height:32.7pt;mso-position-horizontal-relative:page;mso-position-vertical-relative:paragraph;z-index:1576" coordorigin="5467,-140" coordsize="1733,654">
            <v:line style="position:absolute" from="5468,274" to="5503,256" stroked="true" strokeweight=".139653pt" strokecolor="#000000"/>
            <v:line style="position:absolute" from="5498,251" to="5552,507" stroked="true" strokeweight=".139305pt" strokecolor="#000000"/>
            <v:shape style="position:absolute;left:562;top:3735;width:1649;height:653" coordorigin="562,3735" coordsize="1649,653" path="m5558,512l5612,-138m5612,-139l7198,-139e" filled="false" stroked="true" strokeweight=".139517pt" strokecolor="#000000">
              <v:path arrowok="t"/>
            </v:shape>
            <v:shape style="position:absolute;left:5621;top:-110;width:1441;height:624" type="#_x0000_t202" filled="false" stroked="false">
              <v:textbox inset="0,0,0,0">
                <w:txbxContent>
                  <w:p>
                    <w:pPr>
                      <w:spacing w:line="102" w:lineRule="exact" w:before="0"/>
                      <w:ind w:left="88" w:right="0" w:firstLine="0"/>
                      <w:jc w:val="left"/>
                      <w:rPr>
                        <w:rFonts w:ascii="Times New Roman"/>
                        <w:i/>
                        <w:sz w:val="14"/>
                      </w:rPr>
                    </w:pPr>
                    <w:r>
                      <w:rPr>
                        <w:rFonts w:ascii="Times New Roman"/>
                        <w:i/>
                        <w:w w:val="100"/>
                        <w:sz w:val="14"/>
                      </w:rPr>
                      <w:t>n</w:t>
                    </w:r>
                  </w:p>
                  <w:p>
                    <w:pPr>
                      <w:spacing w:line="376" w:lineRule="exact" w:before="0"/>
                      <w:ind w:left="0" w:right="-16" w:firstLine="0"/>
                      <w:jc w:val="left"/>
                      <w:rPr>
                        <w:rFonts w:ascii="Times New Roman" w:hAnsi="Times New Roman"/>
                        <w:sz w:val="24"/>
                      </w:rPr>
                    </w:pPr>
                    <w:r>
                      <w:rPr>
                        <w:rFonts w:ascii="Symbol" w:hAnsi="Symbol"/>
                        <w:position w:val="-5"/>
                        <w:sz w:val="36"/>
                      </w:rPr>
                      <w:t></w:t>
                    </w:r>
                    <w:r>
                      <w:rPr>
                        <w:rFonts w:ascii="Times New Roman" w:hAnsi="Times New Roman"/>
                        <w:position w:val="-5"/>
                        <w:sz w:val="36"/>
                      </w:rPr>
                      <w:t> </w:t>
                    </w:r>
                    <w:r>
                      <w:rPr>
                        <w:rFonts w:ascii="Times New Roman" w:hAnsi="Times New Roman"/>
                        <w:i/>
                        <w:spacing w:val="-3"/>
                        <w:sz w:val="24"/>
                      </w:rPr>
                      <w:t>P</w:t>
                    </w:r>
                    <w:r>
                      <w:rPr>
                        <w:rFonts w:ascii="Times New Roman" w:hAnsi="Times New Roman"/>
                        <w:spacing w:val="-3"/>
                        <w:sz w:val="24"/>
                      </w:rPr>
                      <w:t>(</w:t>
                    </w:r>
                    <w:r>
                      <w:rPr>
                        <w:rFonts w:ascii="Times New Roman" w:hAnsi="Times New Roman"/>
                        <w:i/>
                        <w:spacing w:val="-3"/>
                        <w:sz w:val="24"/>
                      </w:rPr>
                      <w:t>r</w:t>
                    </w:r>
                    <w:r>
                      <w:rPr>
                        <w:rFonts w:ascii="Times New Roman" w:hAnsi="Times New Roman"/>
                        <w:i/>
                        <w:spacing w:val="-3"/>
                        <w:position w:val="-5"/>
                        <w:sz w:val="14"/>
                      </w:rPr>
                      <w:t>i  </w:t>
                    </w:r>
                    <w:r>
                      <w:rPr>
                        <w:rFonts w:ascii="Symbol" w:hAnsi="Symbol"/>
                        <w:sz w:val="24"/>
                      </w:rPr>
                      <w:t></w:t>
                    </w:r>
                    <w:r>
                      <w:rPr>
                        <w:rFonts w:ascii="Times New Roman" w:hAnsi="Times New Roman"/>
                        <w:spacing w:val="-22"/>
                        <w:sz w:val="24"/>
                      </w:rPr>
                      <w:t> </w:t>
                    </w:r>
                    <w:r>
                      <w:rPr>
                        <w:rFonts w:ascii="Times New Roman" w:hAnsi="Times New Roman"/>
                        <w:i/>
                        <w:spacing w:val="6"/>
                        <w:sz w:val="24"/>
                      </w:rPr>
                      <w:t>E</w:t>
                    </w:r>
                    <w:r>
                      <w:rPr>
                        <w:rFonts w:ascii="Times New Roman" w:hAnsi="Times New Roman"/>
                        <w:spacing w:val="6"/>
                        <w:sz w:val="24"/>
                      </w:rPr>
                      <w:t>(</w:t>
                    </w:r>
                    <w:r>
                      <w:rPr>
                        <w:rFonts w:ascii="Times New Roman" w:hAnsi="Times New Roman"/>
                        <w:i/>
                        <w:spacing w:val="6"/>
                        <w:sz w:val="24"/>
                      </w:rPr>
                      <w:t>r</w:t>
                    </w:r>
                    <w:r>
                      <w:rPr>
                        <w:rFonts w:ascii="Times New Roman" w:hAnsi="Times New Roman"/>
                        <w:spacing w:val="6"/>
                        <w:sz w:val="24"/>
                      </w:rPr>
                      <w:t>))</w:t>
                    </w:r>
                  </w:p>
                  <w:p>
                    <w:pPr>
                      <w:spacing w:line="145" w:lineRule="exact" w:before="0"/>
                      <w:ind w:left="33" w:right="-16" w:firstLine="0"/>
                      <w:jc w:val="left"/>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txbxContent>
              </v:textbox>
              <w10:wrap type="none"/>
            </v:shape>
            <v:shape style="position:absolute;left:7083;top:29;width:71;height:142" type="#_x0000_t202" filled="false" stroked="false">
              <v:textbox inset="0,0,0,0">
                <w:txbxContent>
                  <w:p>
                    <w:pPr>
                      <w:spacing w:line="142" w:lineRule="exact" w:before="0"/>
                      <w:ind w:left="0" w:right="0" w:firstLine="0"/>
                      <w:jc w:val="left"/>
                      <w:rPr>
                        <w:rFonts w:ascii="Times New Roman"/>
                        <w:sz w:val="14"/>
                      </w:rPr>
                    </w:pPr>
                    <w:r>
                      <w:rPr>
                        <w:rFonts w:ascii="Times New Roman"/>
                        <w:w w:val="100"/>
                        <w:sz w:val="14"/>
                      </w:rPr>
                      <w:t>2</w:t>
                    </w:r>
                  </w:p>
                </w:txbxContent>
              </v:textbox>
              <w10:wrap type="none"/>
            </v:shape>
            <w10:wrap type="none"/>
          </v:group>
        </w:pict>
      </w:r>
      <w:r>
        <w:rPr>
          <w:rFonts w:ascii="Symbol" w:hAnsi="Symbol"/>
          <w:i/>
          <w:sz w:val="25"/>
        </w:rPr>
        <w:t></w:t>
      </w:r>
      <w:r>
        <w:rPr>
          <w:rFonts w:ascii="Times New Roman" w:hAnsi="Times New Roman"/>
          <w:i/>
          <w:sz w:val="25"/>
        </w:rPr>
        <w:t> </w:t>
      </w:r>
      <w:r>
        <w:rPr>
          <w:rFonts w:ascii="Symbol" w:hAnsi="Symbol"/>
          <w:sz w:val="24"/>
        </w:rPr>
        <w:t></w:t>
      </w:r>
    </w:p>
    <w:p>
      <w:pPr>
        <w:pStyle w:val="BodyText"/>
        <w:rPr>
          <w:rFonts w:ascii="Symbol" w:hAnsi="Symbol"/>
          <w:sz w:val="20"/>
        </w:rPr>
      </w:pPr>
    </w:p>
    <w:p>
      <w:pPr>
        <w:pStyle w:val="BodyText"/>
        <w:spacing w:before="7"/>
        <w:rPr>
          <w:rFonts w:ascii="Symbol" w:hAnsi="Symbol"/>
          <w:sz w:val="19"/>
        </w:rPr>
      </w:pPr>
    </w:p>
    <w:p>
      <w:pPr>
        <w:spacing w:before="0"/>
        <w:ind w:left="3485" w:right="358" w:hanging="3107"/>
        <w:jc w:val="left"/>
        <w:rPr>
          <w:sz w:val="13"/>
        </w:rPr>
      </w:pPr>
      <w:r>
        <w:rPr>
          <w:sz w:val="20"/>
        </w:rPr>
        <w:t>Desviación estándar (</w:t>
      </w:r>
      <w:r>
        <w:rPr>
          <w:rFonts w:ascii="Symbol" w:hAnsi="Symbol"/>
          <w:sz w:val="20"/>
        </w:rPr>
        <w:t></w:t>
      </w:r>
      <w:r>
        <w:rPr>
          <w:sz w:val="20"/>
        </w:rPr>
        <w:t>) = Raíz cuadrada de la suma de (Probabilidad) (Rendimiento posible – Rendimiento esperado)</w:t>
      </w:r>
      <w:r>
        <w:rPr>
          <w:position w:val="6"/>
          <w:sz w:val="13"/>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1504;mso-wrap-distance-left:0;mso-wrap-distance-right:0" from="85.103996pt,12.420752pt" to="229.123996pt,12.420752pt" stroked="true" strokeweight=".60004pt" strokecolor="#000000">
            <w10:wrap type="topAndBottom"/>
          </v:line>
        </w:pict>
      </w:r>
    </w:p>
    <w:p>
      <w:pPr>
        <w:spacing w:before="78"/>
        <w:ind w:left="142" w:right="157" w:firstLine="0"/>
        <w:jc w:val="left"/>
        <w:rPr>
          <w:sz w:val="20"/>
        </w:rPr>
      </w:pPr>
      <w:r>
        <w:rPr>
          <w:position w:val="6"/>
          <w:sz w:val="13"/>
        </w:rPr>
        <w:t>19 </w:t>
      </w:r>
      <w:r>
        <w:rPr>
          <w:sz w:val="20"/>
        </w:rPr>
        <w:t>El costo de asegurarse contra un riesgo depende directamente de la volatilidad. Así que usar la volatilidad como medida de riesgo es similar a usar el costo de asegurarse contra el riesgo.</w:t>
      </w:r>
    </w:p>
    <w:p>
      <w:pPr>
        <w:spacing w:after="0"/>
        <w:jc w:val="left"/>
        <w:rPr>
          <w:sz w:val="20"/>
        </w:rPr>
        <w:sectPr>
          <w:type w:val="continuous"/>
          <w:pgSz w:w="12240" w:h="15840"/>
          <w:pgMar w:top="720" w:bottom="280" w:left="1560" w:right="1560"/>
        </w:sectPr>
      </w:pPr>
    </w:p>
    <w:p>
      <w:pPr>
        <w:pStyle w:val="BodyText"/>
        <w:rPr>
          <w:sz w:val="20"/>
        </w:rPr>
      </w:pPr>
    </w:p>
    <w:p>
      <w:pPr>
        <w:pStyle w:val="BodyText"/>
        <w:spacing w:before="3"/>
        <w:rPr>
          <w:sz w:val="17"/>
        </w:rPr>
      </w:pPr>
    </w:p>
    <w:p>
      <w:pPr>
        <w:pStyle w:val="ListParagraph"/>
        <w:numPr>
          <w:ilvl w:val="0"/>
          <w:numId w:val="10"/>
        </w:numPr>
        <w:tabs>
          <w:tab w:pos="1275" w:val="left" w:leader="none"/>
        </w:tabs>
        <w:spacing w:line="350" w:lineRule="auto" w:before="56" w:after="0"/>
        <w:ind w:left="1274" w:right="145" w:hanging="357"/>
        <w:jc w:val="both"/>
        <w:rPr>
          <w:sz w:val="24"/>
        </w:rPr>
      </w:pPr>
      <w:r>
        <w:rPr>
          <w:sz w:val="24"/>
        </w:rPr>
        <w:t>Cuanto mayor sea la desviación estándar, mayor será la volatilidad de las</w:t>
      </w:r>
      <w:r>
        <w:rPr>
          <w:spacing w:val="-1"/>
          <w:sz w:val="24"/>
        </w:rPr>
        <w:t> </w:t>
      </w:r>
      <w:r>
        <w:rPr>
          <w:sz w:val="24"/>
        </w:rPr>
        <w:t>acciones.</w:t>
      </w:r>
    </w:p>
    <w:p>
      <w:pPr>
        <w:pStyle w:val="ListParagraph"/>
        <w:numPr>
          <w:ilvl w:val="0"/>
          <w:numId w:val="10"/>
        </w:numPr>
        <w:tabs>
          <w:tab w:pos="1275" w:val="left" w:leader="none"/>
        </w:tabs>
        <w:spacing w:line="350" w:lineRule="auto" w:before="16" w:after="0"/>
        <w:ind w:left="1274" w:right="143" w:hanging="357"/>
        <w:jc w:val="both"/>
        <w:rPr>
          <w:sz w:val="24"/>
        </w:rPr>
      </w:pPr>
      <w:r>
        <w:rPr>
          <w:sz w:val="24"/>
        </w:rPr>
        <w:t>La distribución de rendimientos de acciones es una distribución</w:t>
      </w:r>
      <w:r>
        <w:rPr>
          <w:spacing w:val="-31"/>
          <w:sz w:val="24"/>
        </w:rPr>
        <w:t> </w:t>
      </w:r>
      <w:r>
        <w:rPr>
          <w:sz w:val="24"/>
        </w:rPr>
        <w:t>continua de</w:t>
      </w:r>
      <w:r>
        <w:rPr>
          <w:spacing w:val="-8"/>
          <w:sz w:val="24"/>
        </w:rPr>
        <w:t> </w:t>
      </w:r>
      <w:r>
        <w:rPr>
          <w:sz w:val="24"/>
        </w:rPr>
        <w:t>probabilidades.</w:t>
      </w:r>
    </w:p>
    <w:p>
      <w:pPr>
        <w:pStyle w:val="ListParagraph"/>
        <w:numPr>
          <w:ilvl w:val="0"/>
          <w:numId w:val="10"/>
        </w:numPr>
        <w:tabs>
          <w:tab w:pos="1275" w:val="left" w:leader="none"/>
        </w:tabs>
        <w:spacing w:line="355" w:lineRule="auto" w:before="16" w:after="0"/>
        <w:ind w:left="1274" w:right="143" w:hanging="357"/>
        <w:jc w:val="both"/>
        <w:rPr>
          <w:sz w:val="24"/>
        </w:rPr>
      </w:pPr>
      <w:r>
        <w:rPr>
          <w:sz w:val="24"/>
        </w:rPr>
        <w:t>La</w:t>
      </w:r>
      <w:r>
        <w:rPr>
          <w:spacing w:val="-4"/>
          <w:sz w:val="24"/>
        </w:rPr>
        <w:t> </w:t>
      </w:r>
      <w:r>
        <w:rPr>
          <w:sz w:val="24"/>
        </w:rPr>
        <w:t>distribución</w:t>
      </w:r>
      <w:r>
        <w:rPr>
          <w:spacing w:val="-4"/>
          <w:sz w:val="24"/>
        </w:rPr>
        <w:t> </w:t>
      </w:r>
      <w:r>
        <w:rPr>
          <w:sz w:val="24"/>
        </w:rPr>
        <w:t>de</w:t>
      </w:r>
      <w:r>
        <w:rPr>
          <w:spacing w:val="-4"/>
          <w:sz w:val="24"/>
        </w:rPr>
        <w:t> </w:t>
      </w:r>
      <w:r>
        <w:rPr>
          <w:sz w:val="24"/>
        </w:rPr>
        <w:t>ese</w:t>
      </w:r>
      <w:r>
        <w:rPr>
          <w:spacing w:val="-6"/>
          <w:sz w:val="24"/>
        </w:rPr>
        <w:t> </w:t>
      </w:r>
      <w:r>
        <w:rPr>
          <w:sz w:val="24"/>
        </w:rPr>
        <w:t>tipo</w:t>
      </w:r>
      <w:r>
        <w:rPr>
          <w:spacing w:val="-4"/>
          <w:sz w:val="24"/>
        </w:rPr>
        <w:t> </w:t>
      </w:r>
      <w:r>
        <w:rPr>
          <w:sz w:val="24"/>
        </w:rPr>
        <w:t>usada</w:t>
      </w:r>
      <w:r>
        <w:rPr>
          <w:spacing w:val="-4"/>
          <w:sz w:val="24"/>
        </w:rPr>
        <w:t> </w:t>
      </w:r>
      <w:r>
        <w:rPr>
          <w:sz w:val="24"/>
        </w:rPr>
        <w:t>con</w:t>
      </w:r>
      <w:r>
        <w:rPr>
          <w:spacing w:val="-6"/>
          <w:sz w:val="24"/>
        </w:rPr>
        <w:t> </w:t>
      </w:r>
      <w:r>
        <w:rPr>
          <w:sz w:val="24"/>
        </w:rPr>
        <w:t>mayor</w:t>
      </w:r>
      <w:r>
        <w:rPr>
          <w:spacing w:val="-5"/>
          <w:sz w:val="24"/>
        </w:rPr>
        <w:t> </w:t>
      </w:r>
      <w:r>
        <w:rPr>
          <w:sz w:val="24"/>
        </w:rPr>
        <w:t>frecuencia</w:t>
      </w:r>
      <w:r>
        <w:rPr>
          <w:spacing w:val="-6"/>
          <w:sz w:val="24"/>
        </w:rPr>
        <w:t> </w:t>
      </w:r>
      <w:r>
        <w:rPr>
          <w:sz w:val="24"/>
        </w:rPr>
        <w:t>es</w:t>
      </w:r>
      <w:r>
        <w:rPr>
          <w:spacing w:val="-4"/>
          <w:sz w:val="24"/>
        </w:rPr>
        <w:t> </w:t>
      </w:r>
      <w:r>
        <w:rPr>
          <w:sz w:val="24"/>
        </w:rPr>
        <w:t>la</w:t>
      </w:r>
      <w:r>
        <w:rPr>
          <w:spacing w:val="-4"/>
          <w:sz w:val="24"/>
        </w:rPr>
        <w:t> </w:t>
      </w:r>
      <w:r>
        <w:rPr>
          <w:sz w:val="24"/>
        </w:rPr>
        <w:t>distribución normal con su conocida curva en forma de campana, que se muestra</w:t>
      </w:r>
      <w:r>
        <w:rPr>
          <w:spacing w:val="-31"/>
          <w:sz w:val="24"/>
        </w:rPr>
        <w:t> </w:t>
      </w:r>
      <w:r>
        <w:rPr>
          <w:sz w:val="24"/>
        </w:rPr>
        <w:t>en la siguiente</w:t>
      </w:r>
      <w:r>
        <w:rPr>
          <w:spacing w:val="-2"/>
          <w:sz w:val="24"/>
        </w:rPr>
        <w:t> </w:t>
      </w:r>
      <w:r>
        <w:rPr>
          <w:sz w:val="24"/>
        </w:rPr>
        <w:t>figura.</w:t>
      </w:r>
    </w:p>
    <w:p>
      <w:pPr>
        <w:pStyle w:val="BodyText"/>
        <w:spacing w:before="9"/>
        <w:rPr>
          <w:sz w:val="31"/>
        </w:rPr>
      </w:pPr>
    </w:p>
    <w:p>
      <w:pPr>
        <w:spacing w:before="0"/>
        <w:ind w:left="2" w:right="0" w:firstLine="0"/>
        <w:jc w:val="center"/>
        <w:rPr>
          <w:sz w:val="14"/>
        </w:rPr>
      </w:pPr>
      <w:r>
        <w:rPr/>
        <w:drawing>
          <wp:anchor distT="0" distB="0" distL="0" distR="0" allowOverlap="1" layoutInCell="1" locked="0" behindDoc="0" simplePos="0" relativeHeight="1600">
            <wp:simplePos x="0" y="0"/>
            <wp:positionH relativeFrom="page">
              <wp:posOffset>2447544</wp:posOffset>
            </wp:positionH>
            <wp:positionV relativeFrom="paragraph">
              <wp:posOffset>202132</wp:posOffset>
            </wp:positionV>
            <wp:extent cx="2879661" cy="1770221"/>
            <wp:effectExtent l="0" t="0" r="0" b="0"/>
            <wp:wrapTopAndBottom/>
            <wp:docPr id="5" name="image5.png" descr=""/>
            <wp:cNvGraphicFramePr>
              <a:graphicFrameLocks noChangeAspect="1"/>
            </wp:cNvGraphicFramePr>
            <a:graphic>
              <a:graphicData uri="http://schemas.openxmlformats.org/drawingml/2006/picture">
                <pic:pic>
                  <pic:nvPicPr>
                    <pic:cNvPr id="6" name="image5.png"/>
                    <pic:cNvPicPr/>
                  </pic:nvPicPr>
                  <pic:blipFill>
                    <a:blip r:embed="rId21" cstate="print"/>
                    <a:stretch>
                      <a:fillRect/>
                    </a:stretch>
                  </pic:blipFill>
                  <pic:spPr>
                    <a:xfrm>
                      <a:off x="0" y="0"/>
                      <a:ext cx="2879661" cy="1770221"/>
                    </a:xfrm>
                    <a:prstGeom prst="rect">
                      <a:avLst/>
                    </a:prstGeom>
                  </pic:spPr>
                </pic:pic>
              </a:graphicData>
            </a:graphic>
          </wp:anchor>
        </w:drawing>
      </w:r>
      <w:bookmarkStart w:name="_bookmark15" w:id="28"/>
      <w:bookmarkEnd w:id="28"/>
      <w:r>
        <w:rPr/>
      </w:r>
      <w:r>
        <w:rPr>
          <w:sz w:val="22"/>
        </w:rPr>
        <w:t>Figura 02. Distribución normal del rendimiento de los precios de las acciones</w:t>
      </w:r>
      <w:r>
        <w:rPr>
          <w:position w:val="8"/>
          <w:sz w:val="14"/>
        </w:rPr>
        <w:t>20</w:t>
      </w:r>
    </w:p>
    <w:p>
      <w:pPr>
        <w:pStyle w:val="BodyText"/>
        <w:spacing w:before="9"/>
        <w:rPr>
          <w:sz w:val="18"/>
        </w:rPr>
      </w:pPr>
    </w:p>
    <w:p>
      <w:pPr>
        <w:spacing w:before="0"/>
        <w:ind w:left="0" w:right="0" w:firstLine="0"/>
        <w:jc w:val="center"/>
        <w:rPr>
          <w:rFonts w:ascii="Symbol" w:hAnsi="Symbol"/>
          <w:sz w:val="20"/>
        </w:rPr>
      </w:pPr>
      <w:r>
        <w:rPr>
          <w:sz w:val="20"/>
        </w:rPr>
        <w:t>Distribución Normal con Media = </w:t>
      </w:r>
      <w:r>
        <w:rPr>
          <w:rFonts w:ascii="Symbol" w:hAnsi="Symbol"/>
          <w:sz w:val="20"/>
        </w:rPr>
        <w:t></w:t>
      </w:r>
      <w:r>
        <w:rPr>
          <w:rFonts w:ascii="Times New Roman" w:hAnsi="Times New Roman"/>
          <w:sz w:val="20"/>
        </w:rPr>
        <w:t> </w:t>
      </w:r>
      <w:r>
        <w:rPr>
          <w:sz w:val="20"/>
        </w:rPr>
        <w:t>y Desviación Estándar = </w:t>
      </w:r>
      <w:r>
        <w:rPr>
          <w:rFonts w:ascii="Symbol" w:hAnsi="Symbol"/>
          <w:sz w:val="20"/>
        </w:rPr>
        <w:t></w:t>
      </w:r>
    </w:p>
    <w:p>
      <w:pPr>
        <w:pStyle w:val="BodyText"/>
        <w:spacing w:before="2"/>
        <w:rPr>
          <w:rFonts w:ascii="Symbol" w:hAnsi="Symbol"/>
          <w:sz w:val="29"/>
        </w:rPr>
      </w:pPr>
    </w:p>
    <w:p>
      <w:pPr>
        <w:pStyle w:val="BodyText"/>
        <w:spacing w:line="355" w:lineRule="auto"/>
        <w:ind w:left="142" w:right="136" w:firstLine="707"/>
        <w:jc w:val="both"/>
      </w:pPr>
      <w:r>
        <w:rPr/>
        <w:t>Para la distribución normal y otras distribuciones simétricas similares a ésta, la desviación estándar es la medida natural de la volatilidad. (Su símbolo, </w:t>
      </w:r>
      <w:r>
        <w:rPr>
          <w:rFonts w:ascii="Symbol" w:hAnsi="Symbol"/>
          <w:i/>
          <w:sz w:val="25"/>
        </w:rPr>
        <w:t></w:t>
      </w:r>
      <w:r>
        <w:rPr/>
        <w:t>, se pronuncia "sigma".) Los términos sigma y volatilidad con frecuencia se usan de manera indistinta.</w:t>
      </w:r>
    </w:p>
    <w:p>
      <w:pPr>
        <w:pStyle w:val="BodyText"/>
        <w:spacing w:line="360" w:lineRule="auto" w:before="10"/>
        <w:ind w:left="142" w:right="136" w:firstLine="707"/>
        <w:jc w:val="both"/>
      </w:pPr>
      <w:r>
        <w:rPr/>
        <w:t>La distribución normal abarca un rango ilimitado de tasas de rendimiento,</w:t>
      </w:r>
      <w:r>
        <w:rPr>
          <w:spacing w:val="-42"/>
        </w:rPr>
        <w:t> </w:t>
      </w:r>
      <w:r>
        <w:rPr/>
        <w:t>de menos infinito a más infinito. Para interpretar valores diferentes de la desviación estándar, generalmente se emplean intervalos de confianza: un cierto rango de valores ("un intervalo") dentro del cual se encontrará, con una probabilidad específica, el rendimiento real de las acciones durante el próximo periodo. En esencia:</w:t>
      </w: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1624;mso-wrap-distance-left:0;mso-wrap-distance-right:0" from="85.103996pt,14.752839pt" to="229.123996pt,14.752839pt" stroked="true" strokeweight=".599980pt" strokecolor="#000000">
            <w10:wrap type="topAndBottom"/>
          </v:line>
        </w:pict>
      </w:r>
    </w:p>
    <w:p>
      <w:pPr>
        <w:spacing w:before="78"/>
        <w:ind w:left="142" w:right="786" w:firstLine="0"/>
        <w:jc w:val="left"/>
        <w:rPr>
          <w:sz w:val="20"/>
        </w:rPr>
      </w:pPr>
      <w:r>
        <w:rPr>
          <w:position w:val="6"/>
          <w:sz w:val="13"/>
        </w:rPr>
        <w:t>20 </w:t>
      </w:r>
      <w:r>
        <w:rPr>
          <w:sz w:val="20"/>
        </w:rPr>
        <w:t>Se asume que los activos financieros se distribuyen de forma normal.</w:t>
      </w:r>
    </w:p>
    <w:p>
      <w:pPr>
        <w:spacing w:after="0"/>
        <w:jc w:val="left"/>
        <w:rPr>
          <w:sz w:val="20"/>
        </w:rPr>
        <w:sectPr>
          <w:pgSz w:w="12240" w:h="15840"/>
          <w:pgMar w:header="731" w:footer="737" w:top="1180" w:bottom="920" w:left="1560" w:right="1560"/>
        </w:sectPr>
      </w:pPr>
    </w:p>
    <w:p>
      <w:pPr>
        <w:pStyle w:val="BodyText"/>
        <w:rPr>
          <w:sz w:val="20"/>
        </w:rPr>
      </w:pPr>
    </w:p>
    <w:p>
      <w:pPr>
        <w:pStyle w:val="BodyText"/>
        <w:spacing w:before="11"/>
        <w:rPr>
          <w:sz w:val="15"/>
        </w:rPr>
      </w:pPr>
    </w:p>
    <w:p>
      <w:pPr>
        <w:pStyle w:val="ListParagraph"/>
        <w:numPr>
          <w:ilvl w:val="0"/>
          <w:numId w:val="10"/>
        </w:numPr>
        <w:tabs>
          <w:tab w:pos="1275" w:val="left" w:leader="none"/>
        </w:tabs>
        <w:spacing w:line="355" w:lineRule="auto" w:before="68" w:after="0"/>
        <w:ind w:left="1274" w:right="136" w:hanging="357"/>
        <w:jc w:val="both"/>
        <w:rPr>
          <w:sz w:val="24"/>
        </w:rPr>
      </w:pPr>
      <w:r>
        <w:rPr>
          <w:sz w:val="24"/>
        </w:rPr>
        <w:t>Es una </w:t>
      </w:r>
      <w:r>
        <w:rPr>
          <w:i/>
          <w:sz w:val="24"/>
        </w:rPr>
        <w:t>distribución de probabilidad </w:t>
      </w:r>
      <w:r>
        <w:rPr>
          <w:sz w:val="24"/>
        </w:rPr>
        <w:t>definida por una curva simétrica</w:t>
      </w:r>
      <w:r>
        <w:rPr>
          <w:position w:val="8"/>
          <w:sz w:val="16"/>
        </w:rPr>
        <w:t>21 </w:t>
      </w:r>
      <w:r>
        <w:rPr>
          <w:sz w:val="24"/>
        </w:rPr>
        <w:t>en forma de campana, determinada por una media y una desviación estándar</w:t>
      </w:r>
      <w:r>
        <w:rPr>
          <w:position w:val="8"/>
          <w:sz w:val="16"/>
        </w:rPr>
        <w:t>22</w:t>
      </w:r>
      <w:r>
        <w:rPr>
          <w:sz w:val="24"/>
        </w:rPr>
        <w:t>.</w:t>
      </w:r>
    </w:p>
    <w:p>
      <w:pPr>
        <w:pStyle w:val="ListParagraph"/>
        <w:numPr>
          <w:ilvl w:val="0"/>
          <w:numId w:val="10"/>
        </w:numPr>
        <w:tabs>
          <w:tab w:pos="1275" w:val="left" w:leader="none"/>
        </w:tabs>
        <w:spacing w:line="352" w:lineRule="auto" w:before="5" w:after="0"/>
        <w:ind w:left="1274" w:right="145" w:hanging="357"/>
        <w:jc w:val="both"/>
        <w:rPr>
          <w:sz w:val="24"/>
        </w:rPr>
      </w:pPr>
      <w:r>
        <w:rPr>
          <w:sz w:val="24"/>
        </w:rPr>
        <w:t>En un portafolio, la media es el rendimiento promedio y la desviación estándar es la</w:t>
      </w:r>
      <w:r>
        <w:rPr>
          <w:spacing w:val="-4"/>
          <w:sz w:val="24"/>
        </w:rPr>
        <w:t> </w:t>
      </w:r>
      <w:r>
        <w:rPr>
          <w:sz w:val="24"/>
        </w:rPr>
        <w:t>volatilidad.</w:t>
      </w:r>
    </w:p>
    <w:p>
      <w:pPr>
        <w:pStyle w:val="ListParagraph"/>
        <w:numPr>
          <w:ilvl w:val="0"/>
          <w:numId w:val="10"/>
        </w:numPr>
        <w:tabs>
          <w:tab w:pos="1275" w:val="left" w:leader="none"/>
        </w:tabs>
        <w:spacing w:line="357" w:lineRule="auto" w:before="11" w:after="0"/>
        <w:ind w:left="1274" w:right="138" w:hanging="357"/>
        <w:jc w:val="both"/>
        <w:rPr>
          <w:sz w:val="16"/>
        </w:rPr>
      </w:pPr>
      <w:r>
        <w:rPr>
          <w:sz w:val="24"/>
        </w:rPr>
        <w:t>En una distribución normal estándar, caracterizada por una media 0 y una desviación estándar de 1, aproximadamente el 68.3% del área bajo la</w:t>
      </w:r>
      <w:r>
        <w:rPr>
          <w:spacing w:val="-16"/>
          <w:sz w:val="24"/>
        </w:rPr>
        <w:t> </w:t>
      </w:r>
      <w:r>
        <w:rPr>
          <w:sz w:val="24"/>
        </w:rPr>
        <w:t>curva</w:t>
      </w:r>
      <w:r>
        <w:rPr>
          <w:spacing w:val="-16"/>
          <w:sz w:val="24"/>
        </w:rPr>
        <w:t> </w:t>
      </w:r>
      <w:r>
        <w:rPr>
          <w:sz w:val="24"/>
        </w:rPr>
        <w:t>normal</w:t>
      </w:r>
      <w:r>
        <w:rPr>
          <w:spacing w:val="-17"/>
          <w:sz w:val="24"/>
        </w:rPr>
        <w:t> </w:t>
      </w:r>
      <w:r>
        <w:rPr>
          <w:sz w:val="24"/>
        </w:rPr>
        <w:t>se</w:t>
      </w:r>
      <w:r>
        <w:rPr>
          <w:spacing w:val="-16"/>
          <w:sz w:val="24"/>
        </w:rPr>
        <w:t> </w:t>
      </w:r>
      <w:r>
        <w:rPr>
          <w:sz w:val="24"/>
        </w:rPr>
        <w:t>encuentra</w:t>
      </w:r>
      <w:r>
        <w:rPr>
          <w:spacing w:val="-18"/>
          <w:sz w:val="24"/>
        </w:rPr>
        <w:t> </w:t>
      </w:r>
      <w:r>
        <w:rPr>
          <w:sz w:val="24"/>
        </w:rPr>
        <w:t>dentro</w:t>
      </w:r>
      <w:r>
        <w:rPr>
          <w:spacing w:val="-16"/>
          <w:sz w:val="24"/>
        </w:rPr>
        <w:t> </w:t>
      </w:r>
      <w:r>
        <w:rPr>
          <w:sz w:val="24"/>
        </w:rPr>
        <w:t>de</w:t>
      </w:r>
      <w:r>
        <w:rPr>
          <w:spacing w:val="-11"/>
          <w:sz w:val="24"/>
        </w:rPr>
        <w:t> </w:t>
      </w:r>
      <w:r>
        <w:rPr>
          <w:rFonts w:ascii="Symbol" w:hAnsi="Symbol"/>
          <w:sz w:val="24"/>
        </w:rPr>
        <w:t></w:t>
      </w:r>
      <w:r>
        <w:rPr>
          <w:sz w:val="24"/>
        </w:rPr>
        <w:t>1</w:t>
      </w:r>
      <w:r>
        <w:rPr>
          <w:rFonts w:ascii="Symbol" w:hAnsi="Symbol"/>
          <w:sz w:val="24"/>
        </w:rPr>
        <w:t></w:t>
      </w:r>
      <w:r>
        <w:rPr>
          <w:rFonts w:ascii="Times New Roman" w:hAnsi="Times New Roman"/>
          <w:spacing w:val="-10"/>
          <w:sz w:val="24"/>
        </w:rPr>
        <w:t> </w:t>
      </w:r>
      <w:r>
        <w:rPr>
          <w:sz w:val="24"/>
        </w:rPr>
        <w:t>respecto</w:t>
      </w:r>
      <w:r>
        <w:rPr>
          <w:spacing w:val="-16"/>
          <w:sz w:val="24"/>
        </w:rPr>
        <w:t> </w:t>
      </w:r>
      <w:r>
        <w:rPr>
          <w:sz w:val="24"/>
        </w:rPr>
        <w:t>a</w:t>
      </w:r>
      <w:r>
        <w:rPr>
          <w:spacing w:val="-16"/>
          <w:sz w:val="24"/>
        </w:rPr>
        <w:t> </w:t>
      </w:r>
      <w:r>
        <w:rPr>
          <w:sz w:val="24"/>
        </w:rPr>
        <w:t>la</w:t>
      </w:r>
      <w:r>
        <w:rPr>
          <w:spacing w:val="-18"/>
          <w:sz w:val="24"/>
        </w:rPr>
        <w:t> </w:t>
      </w:r>
      <w:r>
        <w:rPr>
          <w:sz w:val="24"/>
        </w:rPr>
        <w:t>media;</w:t>
      </w:r>
      <w:r>
        <w:rPr>
          <w:spacing w:val="-16"/>
          <w:sz w:val="24"/>
        </w:rPr>
        <w:t> </w:t>
      </w:r>
      <w:r>
        <w:rPr>
          <w:sz w:val="24"/>
        </w:rPr>
        <w:t>el</w:t>
      </w:r>
      <w:r>
        <w:rPr>
          <w:spacing w:val="-19"/>
          <w:sz w:val="24"/>
        </w:rPr>
        <w:t> </w:t>
      </w:r>
      <w:r>
        <w:rPr>
          <w:sz w:val="24"/>
        </w:rPr>
        <w:t>95.5% dentro de </w:t>
      </w:r>
      <w:r>
        <w:rPr>
          <w:rFonts w:ascii="Symbol" w:hAnsi="Symbol"/>
          <w:sz w:val="24"/>
        </w:rPr>
        <w:t></w:t>
      </w:r>
      <w:r>
        <w:rPr>
          <w:sz w:val="24"/>
        </w:rPr>
        <w:t>2</w:t>
      </w:r>
      <w:r>
        <w:rPr>
          <w:rFonts w:ascii="Symbol" w:hAnsi="Symbol"/>
          <w:sz w:val="24"/>
        </w:rPr>
        <w:t></w:t>
      </w:r>
      <w:r>
        <w:rPr>
          <w:rFonts w:ascii="Times New Roman" w:hAnsi="Times New Roman"/>
          <w:sz w:val="24"/>
        </w:rPr>
        <w:t> </w:t>
      </w:r>
      <w:r>
        <w:rPr>
          <w:sz w:val="24"/>
        </w:rPr>
        <w:t>y el 99.7% dentro de </w:t>
      </w:r>
      <w:r>
        <w:rPr>
          <w:rFonts w:ascii="Symbol" w:hAnsi="Symbol"/>
          <w:sz w:val="24"/>
        </w:rPr>
        <w:t></w:t>
      </w:r>
      <w:r>
        <w:rPr>
          <w:rFonts w:ascii="Times New Roman" w:hAnsi="Times New Roman"/>
          <w:spacing w:val="-1"/>
          <w:sz w:val="24"/>
        </w:rPr>
        <w:t> </w:t>
      </w:r>
      <w:r>
        <w:rPr>
          <w:sz w:val="24"/>
        </w:rPr>
        <w:t>3</w:t>
      </w:r>
      <w:r>
        <w:rPr>
          <w:rFonts w:ascii="Symbol" w:hAnsi="Symbol"/>
          <w:sz w:val="24"/>
        </w:rPr>
        <w:t></w:t>
      </w:r>
      <w:r>
        <w:rPr>
          <w:sz w:val="24"/>
        </w:rPr>
        <w:t>.</w:t>
      </w:r>
      <w:r>
        <w:rPr>
          <w:position w:val="8"/>
          <w:sz w:val="16"/>
        </w:rPr>
        <w:t>23</w:t>
      </w:r>
    </w:p>
    <w:p>
      <w:pPr>
        <w:pStyle w:val="ListParagraph"/>
        <w:numPr>
          <w:ilvl w:val="0"/>
          <w:numId w:val="10"/>
        </w:numPr>
        <w:tabs>
          <w:tab w:pos="1275" w:val="left" w:leader="none"/>
        </w:tabs>
        <w:spacing w:line="352" w:lineRule="auto" w:before="1" w:after="0"/>
        <w:ind w:left="1274" w:right="138" w:hanging="357"/>
        <w:jc w:val="both"/>
        <w:rPr>
          <w:sz w:val="24"/>
        </w:rPr>
      </w:pPr>
      <w:r>
        <w:rPr>
          <w:sz w:val="24"/>
        </w:rPr>
        <w:t>A</w:t>
      </w:r>
      <w:r>
        <w:rPr>
          <w:spacing w:val="-15"/>
          <w:sz w:val="24"/>
        </w:rPr>
        <w:t> </w:t>
      </w:r>
      <w:r>
        <w:rPr>
          <w:sz w:val="24"/>
        </w:rPr>
        <w:t>mayor</w:t>
      </w:r>
      <w:r>
        <w:rPr>
          <w:spacing w:val="-17"/>
          <w:sz w:val="24"/>
        </w:rPr>
        <w:t> </w:t>
      </w:r>
      <w:r>
        <w:rPr>
          <w:sz w:val="24"/>
        </w:rPr>
        <w:t>volatilidad</w:t>
      </w:r>
      <w:r>
        <w:rPr>
          <w:spacing w:val="-15"/>
          <w:sz w:val="24"/>
        </w:rPr>
        <w:t> </w:t>
      </w:r>
      <w:r>
        <w:rPr>
          <w:sz w:val="24"/>
        </w:rPr>
        <w:t>(desviación</w:t>
      </w:r>
      <w:r>
        <w:rPr>
          <w:spacing w:val="-15"/>
          <w:sz w:val="24"/>
        </w:rPr>
        <w:t> </w:t>
      </w:r>
      <w:r>
        <w:rPr>
          <w:sz w:val="24"/>
        </w:rPr>
        <w:t>estándar),</w:t>
      </w:r>
      <w:r>
        <w:rPr>
          <w:spacing w:val="-18"/>
          <w:sz w:val="24"/>
        </w:rPr>
        <w:t> </w:t>
      </w:r>
      <w:r>
        <w:rPr>
          <w:sz w:val="24"/>
        </w:rPr>
        <w:t>mayor</w:t>
      </w:r>
      <w:r>
        <w:rPr>
          <w:spacing w:val="-17"/>
          <w:sz w:val="24"/>
        </w:rPr>
        <w:t> </w:t>
      </w:r>
      <w:r>
        <w:rPr>
          <w:sz w:val="24"/>
        </w:rPr>
        <w:t>riesgo</w:t>
      </w:r>
      <w:r>
        <w:rPr>
          <w:spacing w:val="-10"/>
          <w:sz w:val="24"/>
        </w:rPr>
        <w:t> </w:t>
      </w:r>
      <w:r>
        <w:rPr>
          <w:sz w:val="24"/>
        </w:rPr>
        <w:t>o</w:t>
      </w:r>
      <w:r>
        <w:rPr>
          <w:spacing w:val="-15"/>
          <w:sz w:val="24"/>
        </w:rPr>
        <w:t> </w:t>
      </w:r>
      <w:r>
        <w:rPr>
          <w:sz w:val="24"/>
        </w:rPr>
        <w:t>probabilidad</w:t>
      </w:r>
      <w:r>
        <w:rPr>
          <w:spacing w:val="-18"/>
          <w:sz w:val="24"/>
        </w:rPr>
        <w:t> </w:t>
      </w:r>
      <w:r>
        <w:rPr>
          <w:sz w:val="24"/>
        </w:rPr>
        <w:t>de que un evento se desvíe demasiado de su</w:t>
      </w:r>
      <w:r>
        <w:rPr>
          <w:spacing w:val="-18"/>
          <w:sz w:val="24"/>
        </w:rPr>
        <w:t> </w:t>
      </w:r>
      <w:r>
        <w:rPr>
          <w:sz w:val="24"/>
        </w:rPr>
        <w:t>media.</w:t>
      </w:r>
    </w:p>
    <w:p>
      <w:pPr>
        <w:pStyle w:val="BodyText"/>
        <w:spacing w:line="360" w:lineRule="auto" w:before="11"/>
        <w:ind w:left="142" w:right="141" w:firstLine="707"/>
        <w:jc w:val="both"/>
      </w:pPr>
      <w:r>
        <w:rPr/>
        <w:t>Así, con una distribución normal, el rendimiento de las acciones que se encuentra en un intervalo de confianza que abarca todas las tasas de rendimiento ubicadas dentro de una desviación estándar a  cada  lado de la media  tiene    una</w:t>
      </w:r>
    </w:p>
    <w:p>
      <w:pPr>
        <w:pStyle w:val="BodyText"/>
        <w:spacing w:before="6"/>
        <w:rPr>
          <w:sz w:val="23"/>
        </w:rPr>
      </w:pPr>
      <w:r>
        <w:rPr/>
        <w:pict>
          <v:line style="position:absolute;mso-position-horizontal-relative:page;mso-position-vertical-relative:paragraph;z-index:1648;mso-wrap-distance-left:0;mso-wrap-distance-right:0" from="85.103996pt,15.773896pt" to="229.123996pt,15.773896pt" stroked="true" strokeweight=".600010pt" strokecolor="#000000">
            <w10:wrap type="topAndBottom"/>
          </v:line>
        </w:pict>
      </w:r>
    </w:p>
    <w:p>
      <w:pPr>
        <w:spacing w:before="78"/>
        <w:ind w:left="142" w:right="0" w:firstLine="0"/>
        <w:jc w:val="left"/>
        <w:rPr>
          <w:sz w:val="20"/>
        </w:rPr>
      </w:pPr>
      <w:r>
        <w:rPr>
          <w:position w:val="6"/>
          <w:sz w:val="13"/>
        </w:rPr>
        <w:t>21 </w:t>
      </w:r>
      <w:r>
        <w:rPr>
          <w:sz w:val="20"/>
        </w:rPr>
        <w:t>La curva de la normal se dispersa simétricamente de su media en la medida de su desviación estándar, generando dos colas que se extienden una hacia menos infinito y otra hacia el infinito, de forma asintótica.</w:t>
      </w:r>
    </w:p>
    <w:p>
      <w:pPr>
        <w:spacing w:before="0"/>
        <w:ind w:left="142" w:right="177" w:firstLine="0"/>
        <w:jc w:val="left"/>
        <w:rPr>
          <w:sz w:val="20"/>
        </w:rPr>
      </w:pPr>
      <w:r>
        <w:rPr>
          <w:position w:val="6"/>
          <w:sz w:val="13"/>
        </w:rPr>
        <w:t>22  </w:t>
      </w:r>
      <w:r>
        <w:rPr>
          <w:sz w:val="20"/>
        </w:rPr>
        <w:t>La Varianza es el promedio de las diferencias cuadradas entre cada una de las observaciones de una serie de datos y la media. La desviación estándar es simplemente la raíz cuadrada de la varianza. La varianza y la desviación miden la dispersión promedio alrededor de la media, es decir, como las observaciones mayores fluctúan por encima de ésta y como las observaciones menores se distribuyen por debajo de ésta.</w:t>
      </w:r>
    </w:p>
    <w:p>
      <w:pPr>
        <w:spacing w:before="0"/>
        <w:ind w:left="142" w:right="6042" w:firstLine="0"/>
        <w:jc w:val="left"/>
        <w:rPr>
          <w:sz w:val="20"/>
        </w:rPr>
      </w:pPr>
      <w:r>
        <w:rPr>
          <w:position w:val="6"/>
          <w:sz w:val="13"/>
        </w:rPr>
        <w:t>23 </w:t>
      </w:r>
      <w:r>
        <w:rPr>
          <w:sz w:val="20"/>
        </w:rPr>
        <w:t>Uso de la desviación estándar: La regla de Chebyshev.</w:t>
      </w:r>
    </w:p>
    <w:p>
      <w:pPr>
        <w:spacing w:before="0"/>
        <w:ind w:left="142" w:right="358" w:firstLine="0"/>
        <w:jc w:val="left"/>
        <w:rPr>
          <w:sz w:val="20"/>
        </w:rPr>
      </w:pPr>
      <w:r>
        <w:rPr>
          <w:sz w:val="20"/>
        </w:rPr>
        <w:t>Es una regla que pone un límite sobre la dispersión de la mayoría de los datos en torno de la media. El porcentaje de las distribuciones están contenidas dentro de las distancias de k</w:t>
      </w:r>
    </w:p>
    <w:p>
      <w:pPr>
        <w:spacing w:after="0"/>
        <w:jc w:val="left"/>
        <w:rPr>
          <w:sz w:val="20"/>
        </w:rPr>
        <w:sectPr>
          <w:pgSz w:w="12240" w:h="15840"/>
          <w:pgMar w:header="731" w:footer="737" w:top="1180" w:bottom="920" w:left="1560" w:right="1560"/>
        </w:sectPr>
      </w:pPr>
    </w:p>
    <w:p>
      <w:pPr>
        <w:spacing w:line="339" w:lineRule="exact" w:before="12"/>
        <w:ind w:left="0" w:right="27" w:firstLine="0"/>
        <w:jc w:val="right"/>
        <w:rPr>
          <w:rFonts w:ascii="Times New Roman" w:hAnsi="Times New Roman"/>
          <w:sz w:val="22"/>
        </w:rPr>
      </w:pPr>
      <w:r>
        <w:rPr/>
        <w:pict>
          <v:line style="position:absolute;mso-position-horizontal-relative:page;mso-position-vertical-relative:paragraph;z-index:-98272" from="390.090302pt,15.057096pt" to="402.363101pt,15.057096pt" stroked="true" strokeweight=".12421pt" strokecolor="#000000">
            <w10:wrap type="none"/>
          </v:line>
        </w:pict>
      </w:r>
      <w:r>
        <w:rPr>
          <w:sz w:val="20"/>
        </w:rPr>
        <w:t>desviaciones estándar alrededor de la media. debe ser al menos </w:t>
      </w:r>
      <w:r>
        <w:rPr>
          <w:rFonts w:ascii="Times New Roman" w:hAnsi="Times New Roman"/>
          <w:spacing w:val="9"/>
          <w:position w:val="-1"/>
          <w:sz w:val="22"/>
        </w:rPr>
        <w:t>1</w:t>
      </w:r>
      <w:r>
        <w:rPr>
          <w:rFonts w:ascii="Symbol" w:hAnsi="Symbol"/>
          <w:spacing w:val="9"/>
          <w:position w:val="-1"/>
          <w:sz w:val="22"/>
        </w:rPr>
        <w:t></w:t>
      </w:r>
      <w:r>
        <w:rPr>
          <w:rFonts w:ascii="Times New Roman" w:hAnsi="Times New Roman"/>
          <w:spacing w:val="9"/>
          <w:position w:val="-1"/>
          <w:sz w:val="22"/>
        </w:rPr>
        <w:t> </w:t>
      </w:r>
      <w:r>
        <w:rPr>
          <w:rFonts w:ascii="Times New Roman" w:hAnsi="Times New Roman"/>
          <w:position w:val="11"/>
          <w:sz w:val="22"/>
        </w:rPr>
        <w:t>1</w:t>
      </w:r>
    </w:p>
    <w:p>
      <w:pPr>
        <w:spacing w:line="224" w:lineRule="exact" w:before="0"/>
        <w:ind w:left="0" w:right="0" w:firstLine="0"/>
        <w:jc w:val="right"/>
        <w:rPr>
          <w:rFonts w:ascii="Times New Roman"/>
          <w:sz w:val="13"/>
        </w:rPr>
      </w:pPr>
      <w:r>
        <w:rPr>
          <w:rFonts w:ascii="Times New Roman"/>
          <w:i/>
          <w:position w:val="-9"/>
          <w:sz w:val="22"/>
        </w:rPr>
        <w:t>k </w:t>
      </w:r>
      <w:r>
        <w:rPr>
          <w:rFonts w:ascii="Times New Roman"/>
          <w:sz w:val="13"/>
        </w:rPr>
        <w:t>2</w:t>
      </w:r>
    </w:p>
    <w:p>
      <w:pPr>
        <w:spacing w:before="139"/>
        <w:ind w:left="47" w:right="0" w:firstLine="0"/>
        <w:jc w:val="left"/>
        <w:rPr>
          <w:sz w:val="20"/>
        </w:rPr>
      </w:pPr>
      <w:r>
        <w:rPr/>
        <w:br w:type="column"/>
      </w:r>
      <w:r>
        <w:rPr>
          <w:sz w:val="20"/>
        </w:rPr>
        <w:t>: al menos 75% de las</w:t>
      </w:r>
    </w:p>
    <w:p>
      <w:pPr>
        <w:spacing w:after="0"/>
        <w:jc w:val="left"/>
        <w:rPr>
          <w:sz w:val="20"/>
        </w:rPr>
        <w:sectPr>
          <w:type w:val="continuous"/>
          <w:pgSz w:w="12240" w:h="15840"/>
          <w:pgMar w:top="720" w:bottom="280" w:left="1560" w:right="1560"/>
          <w:cols w:num="2" w:equalWidth="0">
            <w:col w:w="6447" w:space="40"/>
            <w:col w:w="2633"/>
          </w:cols>
        </w:sectPr>
      </w:pPr>
    </w:p>
    <w:p>
      <w:pPr>
        <w:spacing w:line="240" w:lineRule="auto" w:before="0"/>
        <w:ind w:left="142" w:right="137" w:firstLine="0"/>
        <w:jc w:val="left"/>
        <w:rPr>
          <w:sz w:val="20"/>
        </w:rPr>
      </w:pPr>
      <w:r>
        <w:rPr>
          <w:sz w:val="20"/>
        </w:rPr>
        <w:t>observaciones deben estar contenidas dentro de distancias de </w:t>
      </w:r>
      <w:r>
        <w:rPr>
          <w:rFonts w:ascii="Symbol" w:hAnsi="Symbol"/>
          <w:sz w:val="20"/>
        </w:rPr>
        <w:t></w:t>
      </w:r>
      <w:r>
        <w:rPr>
          <w:rFonts w:ascii="Times New Roman" w:hAnsi="Times New Roman"/>
          <w:sz w:val="20"/>
        </w:rPr>
        <w:t> </w:t>
      </w:r>
      <w:r>
        <w:rPr>
          <w:sz w:val="20"/>
        </w:rPr>
        <w:t>2 desviaciones estándar alrededor de la media. Al menos 88,89% de las observaciones deben estar contenidas dentro de una distancia de </w:t>
      </w:r>
      <w:r>
        <w:rPr>
          <w:rFonts w:ascii="Symbol" w:hAnsi="Symbol"/>
          <w:sz w:val="20"/>
        </w:rPr>
        <w:t></w:t>
      </w:r>
      <w:r>
        <w:rPr>
          <w:rFonts w:ascii="Times New Roman" w:hAnsi="Times New Roman"/>
          <w:sz w:val="20"/>
        </w:rPr>
        <w:t> </w:t>
      </w:r>
      <w:r>
        <w:rPr>
          <w:sz w:val="20"/>
        </w:rPr>
        <w:t>3 desviaciones estándar alrededor de la media. Al menos 93.75% de las observaciones deben estar contenidas dentro de distancias de </w:t>
      </w:r>
      <w:r>
        <w:rPr>
          <w:rFonts w:ascii="Symbol" w:hAnsi="Symbol"/>
          <w:sz w:val="20"/>
        </w:rPr>
        <w:t></w:t>
      </w:r>
      <w:r>
        <w:rPr>
          <w:rFonts w:ascii="Times New Roman" w:hAnsi="Times New Roman"/>
          <w:sz w:val="20"/>
        </w:rPr>
        <w:t> </w:t>
      </w:r>
      <w:r>
        <w:rPr>
          <w:sz w:val="20"/>
        </w:rPr>
        <w:t>4 desviaciones estándar alrededor de la media.</w:t>
      </w:r>
    </w:p>
    <w:p>
      <w:pPr>
        <w:spacing w:line="240" w:lineRule="auto" w:before="0"/>
        <w:ind w:left="142" w:right="151" w:firstLine="0"/>
        <w:jc w:val="left"/>
        <w:rPr>
          <w:sz w:val="20"/>
        </w:rPr>
      </w:pPr>
      <w:r>
        <w:rPr>
          <w:i/>
          <w:sz w:val="20"/>
        </w:rPr>
        <w:t>La regla Empírica</w:t>
      </w:r>
      <w:r>
        <w:rPr>
          <w:sz w:val="20"/>
        </w:rPr>
        <w:t>. En series de datos simétricos, donde la mediana y la media son iguales, las observaciones tienden a distribuirse igualmente alrededor de estas mediciones de tendencia central. La regla sirve para examinar la propiedad de variabilidad de datos y obtener una mejor idea de lo que la desviación estándar está midiendo. La regla empírica establece que en la</w:t>
      </w:r>
      <w:r>
        <w:rPr>
          <w:spacing w:val="-28"/>
          <w:sz w:val="20"/>
        </w:rPr>
        <w:t> </w:t>
      </w:r>
      <w:r>
        <w:rPr>
          <w:sz w:val="20"/>
        </w:rPr>
        <w:t>mayoría de las series de datos encontraremos que aproximadamente dos de cada tres observaciones (es decir, el 67%), están contenidas en </w:t>
      </w:r>
      <w:r>
        <w:rPr>
          <w:rFonts w:ascii="Symbol" w:hAnsi="Symbol"/>
          <w:sz w:val="20"/>
        </w:rPr>
        <w:t></w:t>
      </w:r>
      <w:r>
        <w:rPr>
          <w:rFonts w:ascii="Times New Roman" w:hAnsi="Times New Roman"/>
          <w:sz w:val="20"/>
        </w:rPr>
        <w:t> </w:t>
      </w:r>
      <w:r>
        <w:rPr>
          <w:sz w:val="20"/>
        </w:rPr>
        <w:t>1 desviación estándar alrededor de la media, aproximadamente 90% a 95% de las observaciones están </w:t>
      </w:r>
      <w:r>
        <w:rPr>
          <w:rFonts w:ascii="Symbol" w:hAnsi="Symbol"/>
          <w:sz w:val="20"/>
        </w:rPr>
        <w:t></w:t>
      </w:r>
      <w:r>
        <w:rPr>
          <w:rFonts w:ascii="Times New Roman" w:hAnsi="Times New Roman"/>
          <w:sz w:val="20"/>
        </w:rPr>
        <w:t> </w:t>
      </w:r>
      <w:r>
        <w:rPr>
          <w:sz w:val="20"/>
        </w:rPr>
        <w:t>una distancia de 2 desviaciones estándar alrededor de la media y 99,7% dentro de </w:t>
      </w:r>
      <w:r>
        <w:rPr>
          <w:rFonts w:ascii="Symbol" w:hAnsi="Symbol"/>
          <w:sz w:val="20"/>
        </w:rPr>
        <w:t></w:t>
      </w:r>
      <w:r>
        <w:rPr>
          <w:sz w:val="20"/>
        </w:rPr>
        <w:t>3 desviaciones de la</w:t>
      </w:r>
      <w:r>
        <w:rPr>
          <w:spacing w:val="-22"/>
          <w:sz w:val="20"/>
        </w:rPr>
        <w:t> </w:t>
      </w:r>
      <w:r>
        <w:rPr>
          <w:sz w:val="20"/>
        </w:rPr>
        <w:t>media.</w:t>
      </w:r>
    </w:p>
    <w:p>
      <w:pPr>
        <w:spacing w:after="0" w:line="240" w:lineRule="auto"/>
        <w:jc w:val="left"/>
        <w:rPr>
          <w:sz w:val="20"/>
        </w:rPr>
        <w:sectPr>
          <w:type w:val="continuous"/>
          <w:pgSz w:w="12240" w:h="15840"/>
          <w:pgMar w:top="720" w:bottom="280" w:left="1560" w:right="1560"/>
        </w:sectPr>
      </w:pPr>
    </w:p>
    <w:p>
      <w:pPr>
        <w:pStyle w:val="BodyText"/>
        <w:rPr>
          <w:sz w:val="20"/>
        </w:rPr>
      </w:pPr>
    </w:p>
    <w:p>
      <w:pPr>
        <w:pStyle w:val="BodyText"/>
        <w:rPr>
          <w:sz w:val="16"/>
        </w:rPr>
      </w:pPr>
    </w:p>
    <w:p>
      <w:pPr>
        <w:pStyle w:val="BodyText"/>
        <w:spacing w:line="360" w:lineRule="auto" w:before="70"/>
        <w:ind w:left="142" w:right="138"/>
        <w:jc w:val="both"/>
      </w:pPr>
      <w:r>
        <w:rPr/>
        <w:t>probabilidad de aproximadamente .68 y un intervalo de confianza correspondiente a dos desviaciones estándar tiene una probabilidad de aproximadamente 0.95 y</w:t>
      </w:r>
      <w:r>
        <w:rPr>
          <w:spacing w:val="-38"/>
        </w:rPr>
        <w:t> </w:t>
      </w:r>
      <w:r>
        <w:rPr/>
        <w:t>un intervalo de confianza de tres desviaciones estándar abarca una probabilidad de aproximadamente</w:t>
      </w:r>
      <w:r>
        <w:rPr>
          <w:spacing w:val="-11"/>
        </w:rPr>
        <w:t> </w:t>
      </w:r>
      <w:r>
        <w:rPr/>
        <w:t>0.99.</w:t>
      </w:r>
    </w:p>
    <w:p>
      <w:pPr>
        <w:pStyle w:val="BodyText"/>
        <w:spacing w:before="122"/>
        <w:ind w:left="142"/>
        <w:jc w:val="both"/>
      </w:pPr>
      <w:r>
        <w:rPr/>
        <w:t>Intervalos de confianza</w:t>
      </w:r>
    </w:p>
    <w:p>
      <w:pPr>
        <w:pStyle w:val="ListParagraph"/>
        <w:numPr>
          <w:ilvl w:val="0"/>
          <w:numId w:val="10"/>
        </w:numPr>
        <w:tabs>
          <w:tab w:pos="1274" w:val="left" w:leader="none"/>
          <w:tab w:pos="1275" w:val="left" w:leader="none"/>
        </w:tabs>
        <w:spacing w:line="240" w:lineRule="auto" w:before="200" w:after="0"/>
        <w:ind w:left="1274" w:right="0" w:hanging="357"/>
        <w:jc w:val="left"/>
        <w:rPr>
          <w:sz w:val="24"/>
        </w:rPr>
      </w:pPr>
      <w:r>
        <w:rPr>
          <w:sz w:val="24"/>
        </w:rPr>
        <w:t>Probabilidad de obtener rendimientos dentro de cierto</w:t>
      </w:r>
      <w:r>
        <w:rPr>
          <w:spacing w:val="-15"/>
          <w:sz w:val="24"/>
        </w:rPr>
        <w:t> </w:t>
      </w:r>
      <w:r>
        <w:rPr>
          <w:sz w:val="24"/>
        </w:rPr>
        <w:t>rango.</w:t>
      </w:r>
    </w:p>
    <w:p>
      <w:pPr>
        <w:pStyle w:val="ListParagraph"/>
        <w:numPr>
          <w:ilvl w:val="0"/>
          <w:numId w:val="10"/>
        </w:numPr>
        <w:tabs>
          <w:tab w:pos="1274" w:val="left" w:leader="none"/>
          <w:tab w:pos="1275" w:val="left" w:leader="none"/>
        </w:tabs>
        <w:spacing w:line="350" w:lineRule="auto" w:before="135" w:after="0"/>
        <w:ind w:left="1274" w:right="137" w:hanging="357"/>
        <w:jc w:val="left"/>
        <w:rPr>
          <w:sz w:val="24"/>
        </w:rPr>
      </w:pPr>
      <w:r>
        <w:rPr>
          <w:sz w:val="24"/>
        </w:rPr>
        <w:t>z = Variable estandarizada que representa el número de desviaciones estándar respecto de la</w:t>
      </w:r>
      <w:r>
        <w:rPr>
          <w:spacing w:val="-4"/>
          <w:sz w:val="24"/>
        </w:rPr>
        <w:t> </w:t>
      </w:r>
      <w:r>
        <w:rPr>
          <w:sz w:val="24"/>
        </w:rPr>
        <w:t>media.</w:t>
      </w:r>
    </w:p>
    <w:p>
      <w:pPr>
        <w:pStyle w:val="BodyText"/>
        <w:spacing w:line="360" w:lineRule="auto" w:before="16"/>
        <w:ind w:left="142" w:right="135" w:firstLine="707"/>
        <w:jc w:val="both"/>
      </w:pPr>
      <w:r>
        <w:rPr/>
        <w:t>En estadística, se llama a un par o varios pares de números entre los</w:t>
      </w:r>
      <w:r>
        <w:rPr>
          <w:spacing w:val="-27"/>
        </w:rPr>
        <w:t> </w:t>
      </w:r>
      <w:r>
        <w:rPr/>
        <w:t>cuales se</w:t>
      </w:r>
      <w:r>
        <w:rPr>
          <w:spacing w:val="-9"/>
        </w:rPr>
        <w:t> </w:t>
      </w:r>
      <w:r>
        <w:rPr/>
        <w:t>estima</w:t>
      </w:r>
      <w:r>
        <w:rPr>
          <w:spacing w:val="-9"/>
        </w:rPr>
        <w:t> </w:t>
      </w:r>
      <w:r>
        <w:rPr/>
        <w:t>que</w:t>
      </w:r>
      <w:r>
        <w:rPr>
          <w:spacing w:val="-9"/>
        </w:rPr>
        <w:t> </w:t>
      </w:r>
      <w:r>
        <w:rPr/>
        <w:t>estará</w:t>
      </w:r>
      <w:r>
        <w:rPr>
          <w:spacing w:val="-10"/>
        </w:rPr>
        <w:t> </w:t>
      </w:r>
      <w:r>
        <w:rPr/>
        <w:t>cierto</w:t>
      </w:r>
      <w:r>
        <w:rPr>
          <w:spacing w:val="-10"/>
        </w:rPr>
        <w:t> </w:t>
      </w:r>
      <w:r>
        <w:rPr/>
        <w:t>valor</w:t>
      </w:r>
      <w:r>
        <w:rPr>
          <w:spacing w:val="-10"/>
        </w:rPr>
        <w:t> </w:t>
      </w:r>
      <w:r>
        <w:rPr/>
        <w:t>desconocido</w:t>
      </w:r>
      <w:r>
        <w:rPr>
          <w:spacing w:val="-11"/>
        </w:rPr>
        <w:t> </w:t>
      </w:r>
      <w:r>
        <w:rPr/>
        <w:t>con</w:t>
      </w:r>
      <w:r>
        <w:rPr>
          <w:spacing w:val="-9"/>
        </w:rPr>
        <w:t> </w:t>
      </w:r>
      <w:r>
        <w:rPr/>
        <w:t>una</w:t>
      </w:r>
      <w:r>
        <w:rPr>
          <w:spacing w:val="-9"/>
        </w:rPr>
        <w:t> </w:t>
      </w:r>
      <w:r>
        <w:rPr/>
        <w:t>determinada</w:t>
      </w:r>
      <w:r>
        <w:rPr>
          <w:spacing w:val="-12"/>
        </w:rPr>
        <w:t> </w:t>
      </w:r>
      <w:r>
        <w:rPr/>
        <w:t>probabilidad</w:t>
      </w:r>
      <w:r>
        <w:rPr>
          <w:spacing w:val="-12"/>
        </w:rPr>
        <w:t> </w:t>
      </w:r>
      <w:r>
        <w:rPr/>
        <w:t>de acierto. Formalmente, estos números determinan un intervalo, que se calcula a partir</w:t>
      </w:r>
      <w:r>
        <w:rPr>
          <w:spacing w:val="-11"/>
        </w:rPr>
        <w:t> </w:t>
      </w:r>
      <w:r>
        <w:rPr/>
        <w:t>de</w:t>
      </w:r>
      <w:r>
        <w:rPr>
          <w:spacing w:val="-12"/>
        </w:rPr>
        <w:t> </w:t>
      </w:r>
      <w:r>
        <w:rPr/>
        <w:t>datos</w:t>
      </w:r>
      <w:r>
        <w:rPr>
          <w:spacing w:val="-12"/>
        </w:rPr>
        <w:t> </w:t>
      </w:r>
      <w:r>
        <w:rPr/>
        <w:t>de</w:t>
      </w:r>
      <w:r>
        <w:rPr>
          <w:spacing w:val="-12"/>
        </w:rPr>
        <w:t> </w:t>
      </w:r>
      <w:r>
        <w:rPr/>
        <w:t>una</w:t>
      </w:r>
      <w:r>
        <w:rPr>
          <w:spacing w:val="-9"/>
        </w:rPr>
        <w:t> </w:t>
      </w:r>
      <w:r>
        <w:rPr/>
        <w:t>muestra,</w:t>
      </w:r>
      <w:r>
        <w:rPr>
          <w:spacing w:val="-10"/>
        </w:rPr>
        <w:t> </w:t>
      </w:r>
      <w:r>
        <w:rPr/>
        <w:t>y</w:t>
      </w:r>
      <w:r>
        <w:rPr>
          <w:spacing w:val="-12"/>
        </w:rPr>
        <w:t> </w:t>
      </w:r>
      <w:r>
        <w:rPr/>
        <w:t>el</w:t>
      </w:r>
      <w:r>
        <w:rPr>
          <w:spacing w:val="-11"/>
        </w:rPr>
        <w:t> </w:t>
      </w:r>
      <w:r>
        <w:rPr/>
        <w:t>valor</w:t>
      </w:r>
      <w:r>
        <w:rPr>
          <w:spacing w:val="-10"/>
        </w:rPr>
        <w:t> </w:t>
      </w:r>
      <w:r>
        <w:rPr/>
        <w:t>desconocido</w:t>
      </w:r>
      <w:r>
        <w:rPr>
          <w:spacing w:val="-9"/>
        </w:rPr>
        <w:t> </w:t>
      </w:r>
      <w:r>
        <w:rPr/>
        <w:t>es</w:t>
      </w:r>
      <w:r>
        <w:rPr>
          <w:spacing w:val="-12"/>
        </w:rPr>
        <w:t> </w:t>
      </w:r>
      <w:r>
        <w:rPr/>
        <w:t>un</w:t>
      </w:r>
      <w:r>
        <w:rPr>
          <w:spacing w:val="-9"/>
        </w:rPr>
        <w:t> </w:t>
      </w:r>
      <w:r>
        <w:rPr/>
        <w:t>parámetro</w:t>
      </w:r>
      <w:r>
        <w:rPr>
          <w:spacing w:val="-10"/>
        </w:rPr>
        <w:t> </w:t>
      </w:r>
      <w:r>
        <w:rPr/>
        <w:t>poblacional. La probabilidad de éxito en la estimación se representa con </w:t>
      </w:r>
      <w:r>
        <w:rPr>
          <w:i/>
        </w:rPr>
        <w:t>1 - α </w:t>
      </w:r>
      <w:r>
        <w:rPr/>
        <w:t>y se denomina </w:t>
      </w:r>
      <w:r>
        <w:rPr>
          <w:i/>
        </w:rPr>
        <w:t>nivel de confianza</w:t>
      </w:r>
      <w:r>
        <w:rPr/>
        <w:t>. En estas circunstancias, </w:t>
      </w:r>
      <w:r>
        <w:rPr>
          <w:i/>
        </w:rPr>
        <w:t>α </w:t>
      </w:r>
      <w:r>
        <w:rPr/>
        <w:t>es el llamado error aleatorio o </w:t>
      </w:r>
      <w:r>
        <w:rPr>
          <w:i/>
        </w:rPr>
        <w:t>nivel </w:t>
      </w:r>
      <w:r>
        <w:rPr>
          <w:i/>
        </w:rPr>
        <w:t>de significación</w:t>
      </w:r>
      <w:r>
        <w:rPr/>
        <w:t>, esto es, una medida de las posibilidades de fallar en la estimación mediante tal</w:t>
      </w:r>
      <w:r>
        <w:rPr>
          <w:spacing w:val="-11"/>
        </w:rPr>
        <w:t> </w:t>
      </w:r>
      <w:r>
        <w:rPr/>
        <w:t>intervalo.</w:t>
      </w:r>
    </w:p>
    <w:p>
      <w:pPr>
        <w:pStyle w:val="BodyText"/>
        <w:spacing w:line="360" w:lineRule="auto" w:before="3"/>
        <w:ind w:left="142" w:right="141" w:firstLine="707"/>
        <w:jc w:val="both"/>
      </w:pPr>
      <w:r>
        <w:rPr/>
        <w:t>El nivel de confianza y la amplitud del intervalo varían conjuntamente, de forma que un intervalo más amplio tendrá más probabilidad de acierto (mayor nivel de confianza), mientras que para un intervalo más pequeño, que ofrece una estimación más precisa, aumenta su probabilidad de error.</w:t>
      </w:r>
    </w:p>
    <w:p>
      <w:pPr>
        <w:pStyle w:val="BodyText"/>
        <w:spacing w:line="360" w:lineRule="auto" w:before="2"/>
        <w:ind w:left="142" w:right="137" w:firstLine="707"/>
        <w:jc w:val="both"/>
      </w:pPr>
      <w:r>
        <w:rPr/>
        <w:t>Puede existir un número infinito de distribuciones normales posibles, cada una</w:t>
      </w:r>
      <w:r>
        <w:rPr>
          <w:spacing w:val="-18"/>
        </w:rPr>
        <w:t> </w:t>
      </w:r>
      <w:r>
        <w:rPr/>
        <w:t>con</w:t>
      </w:r>
      <w:r>
        <w:rPr>
          <w:spacing w:val="-18"/>
        </w:rPr>
        <w:t> </w:t>
      </w:r>
      <w:r>
        <w:rPr/>
        <w:t>su</w:t>
      </w:r>
      <w:r>
        <w:rPr>
          <w:spacing w:val="-17"/>
        </w:rPr>
        <w:t> </w:t>
      </w:r>
      <w:r>
        <w:rPr/>
        <w:t>propia</w:t>
      </w:r>
      <w:r>
        <w:rPr>
          <w:spacing w:val="-18"/>
        </w:rPr>
        <w:t> </w:t>
      </w:r>
      <w:r>
        <w:rPr/>
        <w:t>media</w:t>
      </w:r>
      <w:r>
        <w:rPr>
          <w:spacing w:val="-18"/>
        </w:rPr>
        <w:t> </w:t>
      </w:r>
      <w:r>
        <w:rPr/>
        <w:t>y</w:t>
      </w:r>
      <w:r>
        <w:rPr>
          <w:spacing w:val="-21"/>
        </w:rPr>
        <w:t> </w:t>
      </w:r>
      <w:r>
        <w:rPr/>
        <w:t>su</w:t>
      </w:r>
      <w:r>
        <w:rPr>
          <w:spacing w:val="-18"/>
        </w:rPr>
        <w:t> </w:t>
      </w:r>
      <w:r>
        <w:rPr/>
        <w:t>desviación</w:t>
      </w:r>
      <w:r>
        <w:rPr>
          <w:spacing w:val="-18"/>
        </w:rPr>
        <w:t> </w:t>
      </w:r>
      <w:r>
        <w:rPr/>
        <w:t>estándar.</w:t>
      </w:r>
      <w:r>
        <w:rPr>
          <w:spacing w:val="-19"/>
        </w:rPr>
        <w:t> </w:t>
      </w:r>
      <w:r>
        <w:rPr/>
        <w:t>Ya</w:t>
      </w:r>
      <w:r>
        <w:rPr>
          <w:spacing w:val="-18"/>
        </w:rPr>
        <w:t> </w:t>
      </w:r>
      <w:r>
        <w:rPr/>
        <w:t>que,</w:t>
      </w:r>
      <w:r>
        <w:rPr>
          <w:spacing w:val="-18"/>
        </w:rPr>
        <w:t> </w:t>
      </w:r>
      <w:r>
        <w:rPr/>
        <w:t>obviamente,</w:t>
      </w:r>
      <w:r>
        <w:rPr>
          <w:spacing w:val="-18"/>
        </w:rPr>
        <w:t> </w:t>
      </w:r>
      <w:r>
        <w:rPr/>
        <w:t>no</w:t>
      </w:r>
      <w:r>
        <w:rPr>
          <w:spacing w:val="-18"/>
        </w:rPr>
        <w:t> </w:t>
      </w:r>
      <w:r>
        <w:rPr/>
        <w:t>se</w:t>
      </w:r>
      <w:r>
        <w:rPr>
          <w:spacing w:val="-20"/>
        </w:rPr>
        <w:t> </w:t>
      </w:r>
      <w:r>
        <w:rPr/>
        <w:t>puede analizar un número tan grande de posibilidades, es necesario convertir todas estas distribuciones normales a una forma estándar. La conversión de los valores de la variable</w:t>
      </w:r>
      <w:r>
        <w:rPr>
          <w:spacing w:val="-7"/>
        </w:rPr>
        <w:t> </w:t>
      </w:r>
      <w:r>
        <w:rPr/>
        <w:t>aleatoria</w:t>
      </w:r>
      <w:r>
        <w:rPr>
          <w:spacing w:val="-7"/>
        </w:rPr>
        <w:t> </w:t>
      </w:r>
      <w:r>
        <w:rPr/>
        <w:t>discreta</w:t>
      </w:r>
      <w:r>
        <w:rPr>
          <w:spacing w:val="-9"/>
        </w:rPr>
        <w:t> </w:t>
      </w:r>
      <w:r>
        <w:rPr/>
        <w:t>en</w:t>
      </w:r>
      <w:r>
        <w:rPr>
          <w:spacing w:val="-5"/>
        </w:rPr>
        <w:t> </w:t>
      </w:r>
      <w:r>
        <w:rPr/>
        <w:t>variable</w:t>
      </w:r>
      <w:r>
        <w:rPr>
          <w:spacing w:val="-10"/>
        </w:rPr>
        <w:t> </w:t>
      </w:r>
      <w:r>
        <w:rPr/>
        <w:t>aleatoria</w:t>
      </w:r>
      <w:r>
        <w:rPr>
          <w:spacing w:val="-7"/>
        </w:rPr>
        <w:t> </w:t>
      </w:r>
      <w:r>
        <w:rPr/>
        <w:t>normal</w:t>
      </w:r>
      <w:r>
        <w:rPr>
          <w:spacing w:val="-11"/>
        </w:rPr>
        <w:t> </w:t>
      </w:r>
      <w:r>
        <w:rPr/>
        <w:t>estándar</w:t>
      </w:r>
      <w:r>
        <w:rPr>
          <w:spacing w:val="-2"/>
        </w:rPr>
        <w:t> </w:t>
      </w:r>
      <w:r>
        <w:rPr>
          <w:i/>
          <w:spacing w:val="-4"/>
        </w:rPr>
        <w:t>z</w:t>
      </w:r>
      <w:r>
        <w:rPr>
          <w:spacing w:val="-4"/>
        </w:rPr>
        <w:t>,</w:t>
      </w:r>
      <w:r>
        <w:rPr>
          <w:spacing w:val="-7"/>
        </w:rPr>
        <w:t> </w:t>
      </w:r>
      <w:r>
        <w:rPr/>
        <w:t>se</w:t>
      </w:r>
      <w:r>
        <w:rPr>
          <w:spacing w:val="-7"/>
        </w:rPr>
        <w:t> </w:t>
      </w:r>
      <w:r>
        <w:rPr/>
        <w:t>efectúa</w:t>
      </w:r>
      <w:r>
        <w:rPr>
          <w:spacing w:val="-7"/>
        </w:rPr>
        <w:t> </w:t>
      </w:r>
      <w:r>
        <w:rPr/>
        <w:t>con</w:t>
      </w:r>
      <w:r>
        <w:rPr>
          <w:spacing w:val="-7"/>
        </w:rPr>
        <w:t> </w:t>
      </w:r>
      <w:r>
        <w:rPr/>
        <w:t>la siguiente</w:t>
      </w:r>
      <w:r>
        <w:rPr>
          <w:spacing w:val="-6"/>
        </w:rPr>
        <w:t> </w:t>
      </w:r>
      <w:r>
        <w:rPr/>
        <w:t>fórmula:</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before="70"/>
        <w:ind w:left="202" w:right="584"/>
      </w:pPr>
      <w:r>
        <w:rPr/>
        <w:t>Conversión a la variable aleatoria normal</w:t>
      </w:r>
    </w:p>
    <w:p>
      <w:pPr>
        <w:pStyle w:val="BodyText"/>
        <w:spacing w:before="1"/>
        <w:rPr>
          <w:sz w:val="26"/>
        </w:rPr>
      </w:pPr>
    </w:p>
    <w:p>
      <w:pPr>
        <w:spacing w:line="379" w:lineRule="exact" w:before="56"/>
        <w:ind w:left="4133" w:right="4458" w:firstLine="0"/>
        <w:jc w:val="center"/>
        <w:rPr>
          <w:rFonts w:ascii="Symbol" w:hAnsi="Symbol"/>
          <w:i/>
          <w:sz w:val="25"/>
        </w:rPr>
      </w:pPr>
      <w:r>
        <w:rPr/>
        <w:pict>
          <v:line style="position:absolute;mso-position-horizontal-relative:page;mso-position-vertical-relative:paragraph;z-index:-98224" from="301.802063pt,20.119051pt" to="328.870539pt,20.119051pt" stroked="true" strokeweight=".136242pt" strokecolor="#000000">
            <w10:wrap type="none"/>
          </v:line>
        </w:pict>
      </w:r>
      <w:r>
        <w:rPr>
          <w:rFonts w:ascii="Times New Roman" w:hAnsi="Times New Roman"/>
          <w:i/>
          <w:position w:val="-14"/>
          <w:sz w:val="24"/>
        </w:rPr>
        <w:t>z </w:t>
      </w:r>
      <w:r>
        <w:rPr>
          <w:rFonts w:ascii="Symbol" w:hAnsi="Symbol"/>
          <w:position w:val="-14"/>
          <w:sz w:val="24"/>
        </w:rPr>
        <w:t></w:t>
      </w:r>
      <w:r>
        <w:rPr>
          <w:rFonts w:ascii="Times New Roman" w:hAnsi="Times New Roman"/>
          <w:position w:val="-14"/>
          <w:sz w:val="24"/>
        </w:rPr>
        <w:t>  </w:t>
      </w:r>
      <w:r>
        <w:rPr>
          <w:rFonts w:ascii="Times New Roman" w:hAnsi="Times New Roman"/>
          <w:i/>
          <w:sz w:val="24"/>
        </w:rPr>
        <w:t>x </w:t>
      </w:r>
      <w:r>
        <w:rPr>
          <w:rFonts w:ascii="Symbol" w:hAnsi="Symbol"/>
          <w:sz w:val="24"/>
        </w:rPr>
        <w:t></w:t>
      </w:r>
      <w:r>
        <w:rPr>
          <w:rFonts w:ascii="Times New Roman" w:hAnsi="Times New Roman"/>
          <w:sz w:val="24"/>
        </w:rPr>
        <w:t> </w:t>
      </w:r>
      <w:r>
        <w:rPr>
          <w:rFonts w:ascii="Symbol" w:hAnsi="Symbol"/>
          <w:i/>
          <w:sz w:val="25"/>
        </w:rPr>
        <w:t></w:t>
      </w:r>
    </w:p>
    <w:p>
      <w:pPr>
        <w:spacing w:line="231" w:lineRule="exact" w:before="0"/>
        <w:ind w:left="14" w:right="0" w:firstLine="0"/>
        <w:jc w:val="center"/>
        <w:rPr>
          <w:rFonts w:ascii="Symbol" w:hAnsi="Symbol"/>
          <w:i/>
          <w:sz w:val="25"/>
        </w:rPr>
      </w:pPr>
      <w:r>
        <w:rPr>
          <w:rFonts w:ascii="Symbol" w:hAnsi="Symbol"/>
          <w:i/>
          <w:w w:val="98"/>
          <w:sz w:val="25"/>
        </w:rPr>
        <w:t></w:t>
      </w:r>
    </w:p>
    <w:p>
      <w:pPr>
        <w:pStyle w:val="BodyText"/>
        <w:spacing w:before="10" w:after="1"/>
        <w:rPr>
          <w:rFonts w:ascii="Symbol" w:hAnsi="Symbol"/>
          <w:i/>
          <w:sz w:val="25"/>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40"/>
        <w:gridCol w:w="8170"/>
      </w:tblGrid>
      <w:tr>
        <w:trPr>
          <w:trHeight w:val="488" w:hRule="exact"/>
        </w:trPr>
        <w:tc>
          <w:tcPr>
            <w:tcW w:w="1140" w:type="dxa"/>
          </w:tcPr>
          <w:p>
            <w:pPr>
              <w:pStyle w:val="TableParagraph"/>
              <w:spacing w:before="26"/>
              <w:ind w:left="200"/>
              <w:rPr>
                <w:rFonts w:ascii="Times New Roman"/>
                <w:sz w:val="20"/>
              </w:rPr>
            </w:pPr>
            <w:r>
              <w:rPr>
                <w:rFonts w:ascii="Times New Roman"/>
                <w:sz w:val="20"/>
              </w:rPr>
              <w:t>Donde:</w:t>
            </w:r>
          </w:p>
        </w:tc>
        <w:tc>
          <w:tcPr>
            <w:tcW w:w="8170" w:type="dxa"/>
          </w:tcPr>
          <w:p>
            <w:pPr>
              <w:pStyle w:val="TableParagraph"/>
              <w:spacing w:line="259" w:lineRule="exact"/>
              <w:ind w:left="402"/>
              <w:rPr>
                <w:rFonts w:ascii="Times New Roman" w:hAnsi="Times New Roman"/>
                <w:sz w:val="20"/>
              </w:rPr>
            </w:pPr>
            <w:r>
              <w:rPr>
                <w:rFonts w:ascii="Times New Roman" w:hAnsi="Times New Roman"/>
                <w:i/>
                <w:sz w:val="25"/>
              </w:rPr>
              <w:t>z </w:t>
            </w:r>
            <w:r>
              <w:rPr>
                <w:rFonts w:ascii="Symbol" w:hAnsi="Symbol"/>
                <w:sz w:val="25"/>
              </w:rPr>
              <w:t></w:t>
            </w:r>
            <w:r>
              <w:rPr>
                <w:rFonts w:ascii="Times New Roman" w:hAnsi="Times New Roman"/>
                <w:sz w:val="25"/>
              </w:rPr>
              <w:t> </w:t>
            </w:r>
            <w:r>
              <w:rPr>
                <w:rFonts w:ascii="Times New Roman" w:hAnsi="Times New Roman"/>
                <w:sz w:val="20"/>
              </w:rPr>
              <w:t>Es el número de desviaciones estándar en las que los rendimientos están por encima o por</w:t>
            </w:r>
          </w:p>
          <w:p>
            <w:pPr>
              <w:pStyle w:val="TableParagraph"/>
              <w:spacing w:line="225" w:lineRule="exact"/>
              <w:ind w:left="353"/>
              <w:rPr>
                <w:rFonts w:ascii="Times New Roman"/>
                <w:sz w:val="13"/>
              </w:rPr>
            </w:pPr>
            <w:r>
              <w:rPr>
                <w:rFonts w:ascii="Times New Roman"/>
                <w:sz w:val="20"/>
              </w:rPr>
              <w:t>debajo del valor promedio.</w:t>
            </w:r>
            <w:r>
              <w:rPr>
                <w:rFonts w:ascii="Times New Roman"/>
                <w:position w:val="7"/>
                <w:sz w:val="13"/>
              </w:rPr>
              <w:t>24</w:t>
            </w:r>
          </w:p>
        </w:tc>
      </w:tr>
      <w:tr>
        <w:trPr>
          <w:trHeight w:val="240" w:hRule="exact"/>
        </w:trPr>
        <w:tc>
          <w:tcPr>
            <w:tcW w:w="1140" w:type="dxa"/>
          </w:tcPr>
          <w:p>
            <w:pPr/>
          </w:p>
        </w:tc>
        <w:tc>
          <w:tcPr>
            <w:tcW w:w="8170" w:type="dxa"/>
          </w:tcPr>
          <w:p>
            <w:pPr>
              <w:pStyle w:val="TableParagraph"/>
              <w:spacing w:line="232" w:lineRule="exact"/>
              <w:ind w:left="401"/>
              <w:rPr>
                <w:rFonts w:ascii="Times New Roman" w:hAnsi="Times New Roman"/>
                <w:sz w:val="20"/>
              </w:rPr>
            </w:pPr>
            <w:r>
              <w:rPr>
                <w:rFonts w:ascii="Times New Roman" w:hAnsi="Times New Roman"/>
                <w:i/>
                <w:position w:val="1"/>
                <w:sz w:val="21"/>
              </w:rPr>
              <w:t>x </w:t>
            </w:r>
            <w:r>
              <w:rPr>
                <w:rFonts w:ascii="Symbol" w:hAnsi="Symbol"/>
                <w:position w:val="1"/>
                <w:sz w:val="21"/>
              </w:rPr>
              <w:t></w:t>
            </w:r>
            <w:r>
              <w:rPr>
                <w:rFonts w:ascii="Times New Roman" w:hAnsi="Times New Roman"/>
                <w:position w:val="1"/>
                <w:sz w:val="21"/>
              </w:rPr>
              <w:t>  </w:t>
            </w:r>
            <w:r>
              <w:rPr>
                <w:rFonts w:ascii="Times New Roman" w:hAnsi="Times New Roman"/>
                <w:sz w:val="20"/>
              </w:rPr>
              <w:t>Valor de la variable aleatoria discreta.</w:t>
            </w:r>
          </w:p>
        </w:tc>
      </w:tr>
      <w:tr>
        <w:trPr>
          <w:trHeight w:val="265" w:hRule="exact"/>
        </w:trPr>
        <w:tc>
          <w:tcPr>
            <w:tcW w:w="1140" w:type="dxa"/>
          </w:tcPr>
          <w:p>
            <w:pPr/>
          </w:p>
        </w:tc>
        <w:tc>
          <w:tcPr>
            <w:tcW w:w="8170" w:type="dxa"/>
          </w:tcPr>
          <w:p>
            <w:pPr>
              <w:pStyle w:val="TableParagraph"/>
              <w:spacing w:line="244" w:lineRule="exact"/>
              <w:ind w:left="393"/>
              <w:rPr>
                <w:rFonts w:ascii="Times New Roman" w:hAnsi="Times New Roman"/>
                <w:sz w:val="20"/>
              </w:rPr>
            </w:pPr>
            <w:r>
              <w:rPr>
                <w:rFonts w:ascii="Symbol" w:hAnsi="Symbol"/>
                <w:i/>
                <w:sz w:val="22"/>
              </w:rPr>
              <w:t></w:t>
            </w:r>
            <w:r>
              <w:rPr>
                <w:rFonts w:ascii="Times New Roman" w:hAnsi="Times New Roman"/>
                <w:i/>
                <w:sz w:val="22"/>
              </w:rPr>
              <w:t> </w:t>
            </w:r>
            <w:r>
              <w:rPr>
                <w:rFonts w:ascii="Symbol" w:hAnsi="Symbol"/>
                <w:sz w:val="21"/>
              </w:rPr>
              <w:t></w:t>
            </w:r>
            <w:r>
              <w:rPr>
                <w:rFonts w:ascii="Times New Roman" w:hAnsi="Times New Roman"/>
                <w:sz w:val="21"/>
              </w:rPr>
              <w:t> </w:t>
            </w:r>
            <w:r>
              <w:rPr>
                <w:rFonts w:ascii="Times New Roman" w:hAnsi="Times New Roman"/>
                <w:sz w:val="20"/>
              </w:rPr>
              <w:t>Media artimética de la distribución.</w:t>
            </w:r>
          </w:p>
        </w:tc>
      </w:tr>
      <w:tr>
        <w:trPr>
          <w:trHeight w:val="258" w:hRule="exact"/>
        </w:trPr>
        <w:tc>
          <w:tcPr>
            <w:tcW w:w="1140" w:type="dxa"/>
          </w:tcPr>
          <w:p>
            <w:pPr/>
          </w:p>
        </w:tc>
        <w:tc>
          <w:tcPr>
            <w:tcW w:w="8170" w:type="dxa"/>
          </w:tcPr>
          <w:p>
            <w:pPr>
              <w:pStyle w:val="TableParagraph"/>
              <w:spacing w:line="262" w:lineRule="exact"/>
              <w:ind w:left="374"/>
              <w:rPr>
                <w:rFonts w:ascii="Times New Roman" w:hAnsi="Times New Roman"/>
                <w:sz w:val="20"/>
              </w:rPr>
            </w:pPr>
            <w:r>
              <w:rPr>
                <w:rFonts w:ascii="Symbol" w:hAnsi="Symbol"/>
                <w:i/>
                <w:position w:val="1"/>
                <w:sz w:val="22"/>
              </w:rPr>
              <w:t></w:t>
            </w:r>
            <w:r>
              <w:rPr>
                <w:rFonts w:ascii="Times New Roman" w:hAnsi="Times New Roman"/>
                <w:i/>
                <w:position w:val="1"/>
                <w:sz w:val="22"/>
              </w:rPr>
              <w:t>  </w:t>
            </w:r>
            <w:r>
              <w:rPr>
                <w:rFonts w:ascii="Symbol" w:hAnsi="Symbol"/>
                <w:position w:val="1"/>
                <w:sz w:val="21"/>
              </w:rPr>
              <w:t></w:t>
            </w:r>
            <w:r>
              <w:rPr>
                <w:rFonts w:ascii="Times New Roman" w:hAnsi="Times New Roman"/>
                <w:position w:val="1"/>
                <w:sz w:val="21"/>
              </w:rPr>
              <w:t> </w:t>
            </w:r>
            <w:r>
              <w:rPr>
                <w:rFonts w:ascii="Times New Roman" w:hAnsi="Times New Roman"/>
                <w:sz w:val="20"/>
              </w:rPr>
              <w:t>Desviación estándar de la distribución.</w:t>
            </w:r>
          </w:p>
        </w:tc>
      </w:tr>
    </w:tbl>
    <w:p>
      <w:pPr>
        <w:pStyle w:val="BodyText"/>
        <w:spacing w:before="6"/>
        <w:rPr>
          <w:rFonts w:ascii="Symbol" w:hAnsi="Symbol"/>
          <w:i/>
          <w:sz w:val="15"/>
        </w:rPr>
      </w:pPr>
    </w:p>
    <w:p>
      <w:pPr>
        <w:pStyle w:val="BodyText"/>
        <w:spacing w:line="360" w:lineRule="auto" w:before="69"/>
        <w:ind w:left="202" w:right="498" w:firstLine="707"/>
        <w:jc w:val="both"/>
      </w:pPr>
      <w:r>
        <w:rPr/>
        <w:t>Para hallar la probabilidad de que la variable R°IPC esté dentro de un determinado intervalo, se tiene que calcular el área que se encuentra bajo la curva normal y sobre ese intervalo. (Anderson, 2008: 234).</w:t>
      </w:r>
    </w:p>
    <w:p>
      <w:pPr>
        <w:pStyle w:val="BodyText"/>
        <w:spacing w:line="360" w:lineRule="auto" w:before="5"/>
        <w:ind w:left="202" w:right="495" w:firstLine="707"/>
        <w:jc w:val="both"/>
      </w:pPr>
      <w:r>
        <w:rPr/>
        <w:t>El área bajo la curva normal se obtiene de la tabla de probabilidades acumuladas en la distribución normal estándar (tabla de </w:t>
      </w:r>
      <w:r>
        <w:rPr>
          <w:i/>
        </w:rPr>
        <w:t>z</w:t>
      </w:r>
      <w:r>
        <w:rPr/>
        <w:t>) que se proporciona en los apéndices de los libros de estadística, o bien con apoyo de Excel a través de la función </w:t>
      </w:r>
      <w:r>
        <w:rPr>
          <w:i/>
        </w:rPr>
        <w:t>Normalización</w:t>
      </w:r>
      <w:r>
        <w:rPr/>
        <w:t>.</w:t>
      </w:r>
    </w:p>
    <w:p>
      <w:pPr>
        <w:pStyle w:val="Heading3"/>
        <w:spacing w:before="125"/>
        <w:ind w:left="559" w:right="584"/>
      </w:pPr>
      <w:r>
        <w:rPr/>
        <w:t>Volatilidad</w:t>
      </w:r>
    </w:p>
    <w:p>
      <w:pPr>
        <w:pStyle w:val="ListParagraph"/>
        <w:numPr>
          <w:ilvl w:val="0"/>
          <w:numId w:val="10"/>
        </w:numPr>
        <w:tabs>
          <w:tab w:pos="1334" w:val="left" w:leader="none"/>
          <w:tab w:pos="1335" w:val="left" w:leader="none"/>
        </w:tabs>
        <w:spacing w:line="240" w:lineRule="auto" w:before="63" w:after="0"/>
        <w:ind w:left="1334" w:right="0" w:hanging="357"/>
        <w:jc w:val="left"/>
        <w:rPr>
          <w:sz w:val="24"/>
        </w:rPr>
      </w:pPr>
      <w:r>
        <w:rPr>
          <w:sz w:val="24"/>
        </w:rPr>
        <w:t>Es la dispersión de los rendimientos de un activo alrededor de su</w:t>
      </w:r>
      <w:r>
        <w:rPr>
          <w:spacing w:val="-43"/>
          <w:sz w:val="24"/>
        </w:rPr>
        <w:t> </w:t>
      </w:r>
      <w:r>
        <w:rPr>
          <w:sz w:val="24"/>
        </w:rPr>
        <w:t>media.</w:t>
      </w:r>
    </w:p>
    <w:p>
      <w:pPr>
        <w:pStyle w:val="ListParagraph"/>
        <w:numPr>
          <w:ilvl w:val="0"/>
          <w:numId w:val="10"/>
        </w:numPr>
        <w:tabs>
          <w:tab w:pos="1334" w:val="left" w:leader="none"/>
          <w:tab w:pos="1335" w:val="left" w:leader="none"/>
        </w:tabs>
        <w:spacing w:line="240" w:lineRule="auto" w:before="136" w:after="0"/>
        <w:ind w:left="1334" w:right="0" w:hanging="357"/>
        <w:jc w:val="left"/>
        <w:rPr>
          <w:sz w:val="24"/>
        </w:rPr>
      </w:pPr>
      <w:r>
        <w:rPr>
          <w:sz w:val="24"/>
        </w:rPr>
        <w:t>Al evaluar un solo activo se utiliza la desviación</w:t>
      </w:r>
      <w:r>
        <w:rPr>
          <w:spacing w:val="-21"/>
          <w:sz w:val="24"/>
        </w:rPr>
        <w:t> </w:t>
      </w:r>
      <w:r>
        <w:rPr>
          <w:sz w:val="24"/>
        </w:rPr>
        <w:t>estándar</w:t>
      </w:r>
    </w:p>
    <w:p>
      <w:pPr>
        <w:pStyle w:val="ListParagraph"/>
        <w:numPr>
          <w:ilvl w:val="0"/>
          <w:numId w:val="10"/>
        </w:numPr>
        <w:tabs>
          <w:tab w:pos="1334" w:val="left" w:leader="none"/>
          <w:tab w:pos="1335" w:val="left" w:leader="none"/>
        </w:tabs>
        <w:spacing w:line="240" w:lineRule="auto" w:before="135" w:after="0"/>
        <w:ind w:left="1334" w:right="0" w:hanging="357"/>
        <w:jc w:val="left"/>
        <w:rPr>
          <w:sz w:val="24"/>
        </w:rPr>
      </w:pPr>
      <w:r>
        <w:rPr>
          <w:sz w:val="24"/>
        </w:rPr>
        <w:t>Al evaluar un portafolio se utiliza el análisis de</w:t>
      </w:r>
      <w:r>
        <w:rPr>
          <w:spacing w:val="-23"/>
          <w:sz w:val="24"/>
        </w:rPr>
        <w:t> </w:t>
      </w:r>
      <w:r>
        <w:rPr>
          <w:sz w:val="24"/>
        </w:rPr>
        <w:t>varianza-covarianza.</w:t>
      </w:r>
    </w:p>
    <w:p>
      <w:pPr>
        <w:pStyle w:val="BodyText"/>
        <w:spacing w:line="360" w:lineRule="auto" w:before="135"/>
        <w:ind w:left="202" w:right="498" w:firstLine="707"/>
        <w:jc w:val="both"/>
      </w:pPr>
      <w:r>
        <w:rPr/>
        <w:t>La volatilidad es la desviación estándar del cambio en el valor de un instrumento</w:t>
      </w:r>
      <w:r>
        <w:rPr>
          <w:spacing w:val="-8"/>
        </w:rPr>
        <w:t> </w:t>
      </w:r>
      <w:r>
        <w:rPr/>
        <w:t>financiero</w:t>
      </w:r>
      <w:r>
        <w:rPr>
          <w:spacing w:val="-5"/>
        </w:rPr>
        <w:t> </w:t>
      </w:r>
      <w:r>
        <w:rPr/>
        <w:t>con</w:t>
      </w:r>
      <w:r>
        <w:rPr>
          <w:spacing w:val="-4"/>
        </w:rPr>
        <w:t> </w:t>
      </w:r>
      <w:r>
        <w:rPr/>
        <w:t>un</w:t>
      </w:r>
      <w:r>
        <w:rPr>
          <w:spacing w:val="-4"/>
        </w:rPr>
        <w:t> </w:t>
      </w:r>
      <w:r>
        <w:rPr/>
        <w:t>horizonte</w:t>
      </w:r>
      <w:r>
        <w:rPr>
          <w:spacing w:val="-6"/>
        </w:rPr>
        <w:t> </w:t>
      </w:r>
      <w:r>
        <w:rPr/>
        <w:t>temporal</w:t>
      </w:r>
      <w:r>
        <w:rPr>
          <w:spacing w:val="-5"/>
        </w:rPr>
        <w:t> </w:t>
      </w:r>
      <w:r>
        <w:rPr/>
        <w:t>específico.</w:t>
      </w:r>
      <w:r>
        <w:rPr>
          <w:spacing w:val="-6"/>
        </w:rPr>
        <w:t> </w:t>
      </w:r>
      <w:r>
        <w:rPr/>
        <w:t>Se</w:t>
      </w:r>
      <w:r>
        <w:rPr>
          <w:spacing w:val="-4"/>
        </w:rPr>
        <w:t> </w:t>
      </w:r>
      <w:r>
        <w:rPr/>
        <w:t>usa</w:t>
      </w:r>
      <w:r>
        <w:rPr>
          <w:spacing w:val="-6"/>
        </w:rPr>
        <w:t> </w:t>
      </w:r>
      <w:r>
        <w:rPr/>
        <w:t>con</w:t>
      </w:r>
      <w:r>
        <w:rPr>
          <w:spacing w:val="-6"/>
        </w:rPr>
        <w:t> </w:t>
      </w:r>
      <w:r>
        <w:rPr/>
        <w:t>frecuencia para cuantificar el </w:t>
      </w:r>
      <w:hyperlink r:id="rId22">
        <w:r>
          <w:rPr/>
          <w:t>riesgo</w:t>
        </w:r>
      </w:hyperlink>
      <w:r>
        <w:rPr/>
        <w:t> del instrumento a lo largo de dicho período temporal. La volatilidad</w:t>
      </w:r>
      <w:r>
        <w:rPr>
          <w:spacing w:val="-12"/>
        </w:rPr>
        <w:t> </w:t>
      </w:r>
      <w:r>
        <w:rPr/>
        <w:t>se</w:t>
      </w:r>
      <w:r>
        <w:rPr>
          <w:spacing w:val="-12"/>
        </w:rPr>
        <w:t> </w:t>
      </w:r>
      <w:r>
        <w:rPr/>
        <w:t>expresa</w:t>
      </w:r>
      <w:r>
        <w:rPr>
          <w:spacing w:val="-12"/>
        </w:rPr>
        <w:t> </w:t>
      </w:r>
      <w:r>
        <w:rPr/>
        <w:t>típicamente</w:t>
      </w:r>
      <w:r>
        <w:rPr>
          <w:spacing w:val="-12"/>
        </w:rPr>
        <w:t> </w:t>
      </w:r>
      <w:r>
        <w:rPr/>
        <w:t>en</w:t>
      </w:r>
      <w:r>
        <w:rPr>
          <w:spacing w:val="-12"/>
        </w:rPr>
        <w:t> </w:t>
      </w:r>
      <w:r>
        <w:rPr/>
        <w:t>términos</w:t>
      </w:r>
      <w:r>
        <w:rPr>
          <w:spacing w:val="-12"/>
        </w:rPr>
        <w:t> </w:t>
      </w:r>
      <w:r>
        <w:rPr/>
        <w:t>anualizados,</w:t>
      </w:r>
      <w:r>
        <w:rPr>
          <w:spacing w:val="-12"/>
        </w:rPr>
        <w:t> </w:t>
      </w:r>
      <w:r>
        <w:rPr/>
        <w:t>y</w:t>
      </w:r>
      <w:r>
        <w:rPr>
          <w:spacing w:val="-14"/>
        </w:rPr>
        <w:t> </w:t>
      </w:r>
      <w:r>
        <w:rPr/>
        <w:t>puede</w:t>
      </w:r>
      <w:r>
        <w:rPr>
          <w:spacing w:val="-13"/>
        </w:rPr>
        <w:t> </w:t>
      </w:r>
      <w:r>
        <w:rPr/>
        <w:t>reflejarse</w:t>
      </w:r>
      <w:r>
        <w:rPr>
          <w:spacing w:val="-12"/>
        </w:rPr>
        <w:t> </w:t>
      </w:r>
      <w:r>
        <w:rPr/>
        <w:t>tanto en un número absoluto como en una fracción del valor</w:t>
      </w:r>
      <w:r>
        <w:rPr>
          <w:spacing w:val="-20"/>
        </w:rPr>
        <w:t> </w:t>
      </w:r>
      <w:r>
        <w:rPr/>
        <w:t>inicial.</w:t>
      </w:r>
    </w:p>
    <w:p>
      <w:pPr>
        <w:pStyle w:val="BodyText"/>
        <w:spacing w:line="360" w:lineRule="auto" w:before="5"/>
        <w:ind w:left="202" w:right="495" w:firstLine="707"/>
        <w:jc w:val="both"/>
      </w:pPr>
      <w:r>
        <w:rPr/>
        <w:t>Para un instrumento financiero cuyo retorno sigue un paseo aleatorio, la volatilidad se incrementa según la raíz cuadrada del tiempo conforme aumenta   el</w:t>
      </w:r>
    </w:p>
    <w:p>
      <w:pPr>
        <w:pStyle w:val="BodyText"/>
        <w:spacing w:before="1"/>
        <w:rPr>
          <w:sz w:val="18"/>
        </w:rPr>
      </w:pPr>
      <w:r>
        <w:rPr/>
        <w:pict>
          <v:line style="position:absolute;mso-position-horizontal-relative:page;mso-position-vertical-relative:paragraph;z-index:1696;mso-wrap-distance-left:0;mso-wrap-distance-right:0" from="85.103996pt,12.653912pt" to="229.123996pt,12.653912pt" stroked="true" strokeweight=".599980pt" strokecolor="#000000">
            <w10:wrap type="topAndBottom"/>
          </v:line>
        </w:pict>
      </w:r>
    </w:p>
    <w:p>
      <w:pPr>
        <w:spacing w:line="235" w:lineRule="auto" w:before="73"/>
        <w:ind w:left="202" w:right="584" w:firstLine="0"/>
        <w:jc w:val="left"/>
        <w:rPr>
          <w:sz w:val="20"/>
        </w:rPr>
      </w:pPr>
      <w:r>
        <w:rPr>
          <w:position w:val="6"/>
          <w:sz w:val="13"/>
        </w:rPr>
        <w:t>24 </w:t>
      </w:r>
      <w:r>
        <w:rPr>
          <w:sz w:val="20"/>
        </w:rPr>
        <w:t>Un valor </w:t>
      </w:r>
      <w:r>
        <w:rPr>
          <w:i/>
          <w:sz w:val="20"/>
        </w:rPr>
        <w:t>x </w:t>
      </w:r>
      <w:r>
        <w:rPr>
          <w:sz w:val="20"/>
        </w:rPr>
        <w:t>igual a su media </w:t>
      </w:r>
      <w:r>
        <w:rPr>
          <w:rFonts w:ascii="Symbol" w:hAnsi="Symbol"/>
          <w:i/>
          <w:sz w:val="21"/>
        </w:rPr>
        <w:t></w:t>
      </w:r>
      <w:r>
        <w:rPr>
          <w:rFonts w:ascii="Times New Roman" w:hAnsi="Times New Roman"/>
          <w:i/>
          <w:sz w:val="21"/>
        </w:rPr>
        <w:t> </w:t>
      </w:r>
      <w:r>
        <w:rPr>
          <w:sz w:val="20"/>
        </w:rPr>
        <w:t>da como resultado </w:t>
      </w:r>
      <w:r>
        <w:rPr>
          <w:i/>
          <w:sz w:val="20"/>
        </w:rPr>
        <w:t>z </w:t>
      </w:r>
      <w:r>
        <w:rPr>
          <w:sz w:val="20"/>
        </w:rPr>
        <w:t>= (</w:t>
      </w:r>
      <w:r>
        <w:rPr>
          <w:rFonts w:ascii="Symbol" w:hAnsi="Symbol"/>
          <w:i/>
          <w:sz w:val="21"/>
        </w:rPr>
        <w:t></w:t>
      </w:r>
      <w:r>
        <w:rPr>
          <w:rFonts w:ascii="Times New Roman" w:hAnsi="Times New Roman"/>
          <w:i/>
          <w:sz w:val="21"/>
        </w:rPr>
        <w:t> </w:t>
      </w:r>
      <w:r>
        <w:rPr>
          <w:rFonts w:ascii="Symbol" w:hAnsi="Symbol"/>
          <w:sz w:val="20"/>
        </w:rPr>
        <w:t></w:t>
      </w:r>
      <w:r>
        <w:rPr>
          <w:rFonts w:ascii="Times New Roman" w:hAnsi="Times New Roman"/>
          <w:sz w:val="20"/>
        </w:rPr>
        <w:t> </w:t>
      </w:r>
      <w:r>
        <w:rPr>
          <w:rFonts w:ascii="Symbol" w:hAnsi="Symbol"/>
          <w:i/>
          <w:sz w:val="21"/>
        </w:rPr>
        <w:t></w:t>
      </w:r>
      <w:r>
        <w:rPr>
          <w:sz w:val="20"/>
        </w:rPr>
        <w:t>) / </w:t>
      </w:r>
      <w:r>
        <w:rPr>
          <w:rFonts w:ascii="Symbol" w:hAnsi="Symbol"/>
          <w:i/>
          <w:sz w:val="21"/>
        </w:rPr>
        <w:t></w:t>
      </w:r>
      <w:r>
        <w:rPr>
          <w:rFonts w:ascii="Times New Roman" w:hAnsi="Times New Roman"/>
          <w:i/>
          <w:sz w:val="21"/>
        </w:rPr>
        <w:t> </w:t>
      </w:r>
      <w:r>
        <w:rPr>
          <w:sz w:val="20"/>
        </w:rPr>
        <w:t>= 0, de manera que un valor </w:t>
      </w:r>
      <w:r>
        <w:rPr>
          <w:i/>
          <w:sz w:val="20"/>
        </w:rPr>
        <w:t>x </w:t>
      </w:r>
      <w:r>
        <w:rPr>
          <w:sz w:val="20"/>
        </w:rPr>
        <w:t>igual a su media corresponde a </w:t>
      </w:r>
      <w:r>
        <w:rPr>
          <w:i/>
          <w:sz w:val="20"/>
        </w:rPr>
        <w:t>z </w:t>
      </w:r>
      <w:r>
        <w:rPr>
          <w:sz w:val="20"/>
        </w:rPr>
        <w:t>= 0. Ahora suponga que </w:t>
      </w:r>
      <w:r>
        <w:rPr>
          <w:i/>
          <w:sz w:val="20"/>
        </w:rPr>
        <w:t>x </w:t>
      </w:r>
      <w:r>
        <w:rPr>
          <w:sz w:val="20"/>
        </w:rPr>
        <w:t>se encuentra una desviación estándar arriba de su media, es decir, </w:t>
      </w:r>
      <w:r>
        <w:rPr>
          <w:i/>
          <w:sz w:val="20"/>
        </w:rPr>
        <w:t>x </w:t>
      </w:r>
      <w:r>
        <w:rPr>
          <w:sz w:val="20"/>
        </w:rPr>
        <w:t>= </w:t>
      </w:r>
      <w:r>
        <w:rPr>
          <w:rFonts w:ascii="Symbol" w:hAnsi="Symbol"/>
          <w:i/>
          <w:sz w:val="21"/>
        </w:rPr>
        <w:t></w:t>
      </w:r>
      <w:r>
        <w:rPr>
          <w:rFonts w:ascii="Times New Roman" w:hAnsi="Times New Roman"/>
          <w:i/>
          <w:sz w:val="21"/>
        </w:rPr>
        <w:t> </w:t>
      </w:r>
      <w:r>
        <w:rPr>
          <w:sz w:val="20"/>
        </w:rPr>
        <w:t>+ </w:t>
      </w:r>
      <w:r>
        <w:rPr>
          <w:rFonts w:ascii="Symbol" w:hAnsi="Symbol"/>
          <w:i/>
          <w:sz w:val="21"/>
        </w:rPr>
        <w:t></w:t>
      </w:r>
      <w:r>
        <w:rPr>
          <w:sz w:val="20"/>
        </w:rPr>
        <w:t>. Aplicando la ecuación el valor correspondiente es</w:t>
      </w:r>
    </w:p>
    <w:p>
      <w:pPr>
        <w:spacing w:after="0" w:line="235" w:lineRule="auto"/>
        <w:jc w:val="left"/>
        <w:rPr>
          <w:sz w:val="20"/>
        </w:rPr>
        <w:sectPr>
          <w:pgSz w:w="12240" w:h="15840"/>
          <w:pgMar w:header="731" w:footer="737" w:top="1180" w:bottom="920" w:left="1500" w:right="1200"/>
        </w:sectPr>
      </w:pPr>
    </w:p>
    <w:p>
      <w:pPr>
        <w:tabs>
          <w:tab w:pos="1775" w:val="left" w:leader="none"/>
        </w:tabs>
        <w:spacing w:line="206" w:lineRule="exact" w:before="19"/>
        <w:ind w:left="579" w:right="0" w:firstLine="0"/>
        <w:jc w:val="left"/>
        <w:rPr>
          <w:rFonts w:ascii="Symbol" w:hAnsi="Symbol"/>
          <w:i/>
          <w:sz w:val="21"/>
        </w:rPr>
      </w:pPr>
      <w:r>
        <w:rPr>
          <w:rFonts w:ascii="Times New Roman" w:hAnsi="Times New Roman"/>
          <w:spacing w:val="5"/>
          <w:sz w:val="20"/>
        </w:rPr>
        <w:t>(</w:t>
      </w:r>
      <w:r>
        <w:rPr>
          <w:rFonts w:ascii="Symbol" w:hAnsi="Symbol"/>
          <w:i/>
          <w:spacing w:val="5"/>
          <w:sz w:val="21"/>
        </w:rPr>
        <w:t></w:t>
      </w:r>
      <w:r>
        <w:rPr>
          <w:rFonts w:ascii="Times New Roman" w:hAnsi="Times New Roman"/>
          <w:i/>
          <w:spacing w:val="1"/>
          <w:sz w:val="21"/>
        </w:rPr>
        <w:t> </w:t>
      </w:r>
      <w:r>
        <w:rPr>
          <w:rFonts w:ascii="Symbol" w:hAnsi="Symbol"/>
          <w:sz w:val="20"/>
        </w:rPr>
        <w:t></w:t>
      </w:r>
      <w:r>
        <w:rPr>
          <w:rFonts w:ascii="Times New Roman" w:hAnsi="Times New Roman"/>
          <w:spacing w:val="-23"/>
          <w:sz w:val="20"/>
        </w:rPr>
        <w:t> </w:t>
      </w:r>
      <w:r>
        <w:rPr>
          <w:rFonts w:ascii="Symbol" w:hAnsi="Symbol"/>
          <w:i/>
          <w:sz w:val="21"/>
        </w:rPr>
        <w:t></w:t>
      </w:r>
      <w:r>
        <w:rPr>
          <w:rFonts w:ascii="Times New Roman" w:hAnsi="Times New Roman"/>
          <w:i/>
          <w:spacing w:val="-20"/>
          <w:sz w:val="21"/>
        </w:rPr>
        <w:t> </w:t>
      </w:r>
      <w:r>
        <w:rPr>
          <w:rFonts w:ascii="Times New Roman" w:hAnsi="Times New Roman"/>
          <w:sz w:val="20"/>
        </w:rPr>
        <w:t>)</w:t>
      </w:r>
      <w:r>
        <w:rPr>
          <w:rFonts w:ascii="Times New Roman" w:hAnsi="Times New Roman"/>
          <w:spacing w:val="-10"/>
          <w:sz w:val="20"/>
        </w:rPr>
        <w:t> </w:t>
      </w:r>
      <w:r>
        <w:rPr>
          <w:rFonts w:ascii="Symbol" w:hAnsi="Symbol"/>
          <w:sz w:val="20"/>
        </w:rPr>
        <w:t></w:t>
      </w:r>
      <w:r>
        <w:rPr>
          <w:rFonts w:ascii="Times New Roman" w:hAnsi="Times New Roman"/>
          <w:spacing w:val="-7"/>
          <w:sz w:val="20"/>
        </w:rPr>
        <w:t> </w:t>
      </w:r>
      <w:r>
        <w:rPr>
          <w:rFonts w:ascii="Symbol" w:hAnsi="Symbol"/>
          <w:i/>
          <w:sz w:val="21"/>
        </w:rPr>
        <w:t></w:t>
      </w:r>
      <w:r>
        <w:rPr>
          <w:rFonts w:ascii="Times New Roman" w:hAnsi="Times New Roman"/>
          <w:sz w:val="21"/>
        </w:rPr>
        <w:tab/>
      </w:r>
      <w:r>
        <w:rPr>
          <w:rFonts w:ascii="Symbol" w:hAnsi="Symbol"/>
          <w:i/>
          <w:w w:val="95"/>
          <w:sz w:val="21"/>
        </w:rPr>
        <w:t></w:t>
      </w:r>
    </w:p>
    <w:p>
      <w:pPr>
        <w:tabs>
          <w:tab w:pos="1602" w:val="left" w:leader="none"/>
        </w:tabs>
        <w:spacing w:line="138" w:lineRule="exact" w:before="0"/>
        <w:ind w:left="249" w:right="0" w:firstLine="0"/>
        <w:jc w:val="left"/>
        <w:rPr>
          <w:rFonts w:ascii="Symbol" w:hAnsi="Symbol"/>
          <w:sz w:val="20"/>
        </w:rPr>
      </w:pPr>
      <w:r>
        <w:rPr/>
        <w:pict>
          <v:line style="position:absolute;mso-position-horizontal-relative:page;mso-position-vertical-relative:paragraph;z-index:-98200" from="103.533524pt,4.782712pt" to="152.139994pt,4.782712pt" stroked="true" strokeweight=".136242pt" strokecolor="#000000">
            <w10:wrap type="none"/>
          </v:line>
        </w:pict>
      </w:r>
      <w:r>
        <w:rPr/>
        <w:pict>
          <v:line style="position:absolute;mso-position-horizontal-relative:page;mso-position-vertical-relative:paragraph;z-index:1768" from="163.998413pt,4.782712pt" to="172.261182pt,4.782712pt" stroked="true" strokeweight=".136242pt" strokecolor="#000000">
            <w10:wrap type="none"/>
          </v:line>
        </w:pict>
      </w:r>
      <w:r>
        <w:rPr>
          <w:rFonts w:ascii="Times New Roman" w:hAnsi="Times New Roman"/>
          <w:i/>
          <w:sz w:val="20"/>
        </w:rPr>
        <w:t>z</w:t>
      </w:r>
      <w:r>
        <w:rPr>
          <w:rFonts w:ascii="Times New Roman" w:hAnsi="Times New Roman"/>
          <w:i/>
          <w:spacing w:val="15"/>
          <w:sz w:val="20"/>
        </w:rPr>
        <w:t> </w:t>
      </w:r>
      <w:r>
        <w:rPr>
          <w:rFonts w:ascii="Symbol" w:hAnsi="Symbol"/>
          <w:sz w:val="20"/>
        </w:rPr>
        <w:t></w:t>
      </w:r>
      <w:r>
        <w:rPr>
          <w:rFonts w:ascii="Times New Roman" w:hAnsi="Times New Roman"/>
          <w:sz w:val="20"/>
        </w:rPr>
        <w:tab/>
      </w:r>
      <w:r>
        <w:rPr>
          <w:rFonts w:ascii="Symbol" w:hAnsi="Symbol"/>
          <w:sz w:val="20"/>
        </w:rPr>
        <w:t></w:t>
      </w:r>
    </w:p>
    <w:p>
      <w:pPr>
        <w:tabs>
          <w:tab w:pos="1775" w:val="left" w:leader="none"/>
        </w:tabs>
        <w:spacing w:line="201" w:lineRule="exact" w:before="0"/>
        <w:ind w:left="969" w:right="0" w:firstLine="0"/>
        <w:jc w:val="left"/>
        <w:rPr>
          <w:rFonts w:ascii="Symbol" w:hAnsi="Symbol"/>
          <w:i/>
          <w:sz w:val="21"/>
        </w:rPr>
      </w:pPr>
      <w:r>
        <w:rPr>
          <w:rFonts w:ascii="Symbol" w:hAnsi="Symbol"/>
          <w:i/>
          <w:sz w:val="21"/>
        </w:rPr>
        <w:t></w:t>
      </w:r>
      <w:r>
        <w:rPr>
          <w:rFonts w:ascii="Times New Roman" w:hAnsi="Times New Roman"/>
          <w:sz w:val="21"/>
        </w:rPr>
        <w:tab/>
      </w:r>
      <w:r>
        <w:rPr>
          <w:rFonts w:ascii="Symbol" w:hAnsi="Symbol"/>
          <w:i/>
          <w:w w:val="95"/>
          <w:sz w:val="21"/>
        </w:rPr>
        <w:t></w:t>
      </w:r>
    </w:p>
    <w:p>
      <w:pPr>
        <w:spacing w:before="174"/>
        <w:ind w:left="66" w:right="0" w:firstLine="0"/>
        <w:jc w:val="left"/>
        <w:rPr>
          <w:sz w:val="20"/>
        </w:rPr>
      </w:pPr>
      <w:r>
        <w:rPr/>
        <w:br w:type="column"/>
      </w:r>
      <w:r>
        <w:rPr>
          <w:rFonts w:ascii="Symbol" w:hAnsi="Symbol"/>
          <w:sz w:val="20"/>
        </w:rPr>
        <w:t></w:t>
      </w:r>
      <w:r>
        <w:rPr>
          <w:rFonts w:ascii="Times New Roman" w:hAnsi="Times New Roman"/>
          <w:sz w:val="20"/>
        </w:rPr>
        <w:t> 1 </w:t>
      </w:r>
      <w:r>
        <w:rPr>
          <w:sz w:val="20"/>
        </w:rPr>
        <w:t>. Así que un valor de </w:t>
      </w:r>
      <w:r>
        <w:rPr>
          <w:i/>
          <w:sz w:val="20"/>
        </w:rPr>
        <w:t>x </w:t>
      </w:r>
      <w:r>
        <w:rPr>
          <w:sz w:val="20"/>
        </w:rPr>
        <w:t>que es una desviación estándar mayor que su media</w:t>
      </w:r>
    </w:p>
    <w:p>
      <w:pPr>
        <w:spacing w:after="0"/>
        <w:jc w:val="left"/>
        <w:rPr>
          <w:sz w:val="20"/>
        </w:rPr>
        <w:sectPr>
          <w:type w:val="continuous"/>
          <w:pgSz w:w="12240" w:h="15840"/>
          <w:pgMar w:top="720" w:bottom="280" w:left="1500" w:right="1200"/>
          <w:cols w:num="2" w:equalWidth="0">
            <w:col w:w="1899" w:space="40"/>
            <w:col w:w="7601"/>
          </w:cols>
        </w:sectPr>
      </w:pPr>
    </w:p>
    <w:p>
      <w:pPr>
        <w:spacing w:line="230" w:lineRule="auto" w:before="14"/>
        <w:ind w:left="202" w:right="507" w:firstLine="0"/>
        <w:jc w:val="left"/>
        <w:rPr>
          <w:sz w:val="20"/>
        </w:rPr>
      </w:pPr>
      <w:r>
        <w:rPr>
          <w:sz w:val="20"/>
        </w:rPr>
        <w:t>corresponde a </w:t>
      </w:r>
      <w:r>
        <w:rPr>
          <w:i/>
          <w:sz w:val="20"/>
        </w:rPr>
        <w:t>z </w:t>
      </w:r>
      <w:r>
        <w:rPr>
          <w:sz w:val="20"/>
        </w:rPr>
        <w:t>= 1. En otras palabras, </w:t>
      </w:r>
      <w:r>
        <w:rPr>
          <w:i/>
          <w:sz w:val="20"/>
        </w:rPr>
        <w:t>z </w:t>
      </w:r>
      <w:r>
        <w:rPr>
          <w:sz w:val="20"/>
        </w:rPr>
        <w:t>se interpreta como el </w:t>
      </w:r>
      <w:r>
        <w:rPr>
          <w:i/>
          <w:sz w:val="20"/>
        </w:rPr>
        <w:t>número de desviaciones estándar a </w:t>
      </w:r>
      <w:r>
        <w:rPr>
          <w:i/>
          <w:sz w:val="20"/>
        </w:rPr>
        <w:t>las que está una variable aleatoria </w:t>
      </w:r>
      <w:r>
        <w:rPr>
          <w:sz w:val="20"/>
        </w:rPr>
        <w:t>x </w:t>
      </w:r>
      <w:r>
        <w:rPr>
          <w:i/>
          <w:sz w:val="20"/>
        </w:rPr>
        <w:t>de su media </w:t>
      </w:r>
      <w:r>
        <w:rPr>
          <w:rFonts w:ascii="Symbol" w:hAnsi="Symbol"/>
          <w:i/>
          <w:sz w:val="21"/>
        </w:rPr>
        <w:t></w:t>
      </w:r>
      <w:r>
        <w:rPr>
          <w:sz w:val="20"/>
        </w:rPr>
        <w:t>. (Anderson, 2008: 239)</w:t>
      </w:r>
    </w:p>
    <w:p>
      <w:pPr>
        <w:spacing w:after="0" w:line="230" w:lineRule="auto"/>
        <w:jc w:val="left"/>
        <w:rPr>
          <w:sz w:val="20"/>
        </w:rPr>
        <w:sectPr>
          <w:type w:val="continuous"/>
          <w:pgSz w:w="12240" w:h="15840"/>
          <w:pgMar w:top="720" w:bottom="280" w:left="1500" w:right="1200"/>
        </w:sectPr>
      </w:pPr>
    </w:p>
    <w:p>
      <w:pPr>
        <w:pStyle w:val="BodyText"/>
        <w:rPr>
          <w:sz w:val="20"/>
        </w:rPr>
      </w:pPr>
    </w:p>
    <w:p>
      <w:pPr>
        <w:pStyle w:val="BodyText"/>
        <w:rPr>
          <w:sz w:val="16"/>
        </w:rPr>
      </w:pPr>
    </w:p>
    <w:p>
      <w:pPr>
        <w:pStyle w:val="BodyText"/>
        <w:spacing w:line="360" w:lineRule="auto" w:before="70"/>
        <w:ind w:left="142" w:right="143"/>
        <w:jc w:val="both"/>
      </w:pPr>
      <w:r>
        <w:rPr/>
        <w:t>tiempo. Conceptualmente, esto se debe a que existe una probabilidad creciente de que el precio del instrumento esté más alejado del precio inicial conforme el</w:t>
      </w:r>
      <w:r>
        <w:rPr>
          <w:spacing w:val="-35"/>
        </w:rPr>
        <w:t> </w:t>
      </w:r>
      <w:r>
        <w:rPr/>
        <w:t>tiempo aumenta.</w:t>
      </w:r>
    </w:p>
    <w:p>
      <w:pPr>
        <w:pStyle w:val="BodyText"/>
        <w:spacing w:line="360" w:lineRule="auto" w:before="2"/>
        <w:ind w:left="142" w:right="140" w:firstLine="707"/>
        <w:jc w:val="both"/>
      </w:pPr>
      <w:r>
        <w:rPr/>
        <w:t>La </w:t>
      </w:r>
      <w:r>
        <w:rPr>
          <w:i/>
        </w:rPr>
        <w:t>volatilidad histórica </w:t>
      </w:r>
      <w:r>
        <w:rPr/>
        <w:t>es la volatilidad de un instrumento financiero basado en</w:t>
      </w:r>
      <w:r>
        <w:rPr>
          <w:spacing w:val="-9"/>
        </w:rPr>
        <w:t> </w:t>
      </w:r>
      <w:r>
        <w:rPr/>
        <w:t>retornos</w:t>
      </w:r>
      <w:r>
        <w:rPr>
          <w:spacing w:val="-13"/>
        </w:rPr>
        <w:t> </w:t>
      </w:r>
      <w:r>
        <w:rPr/>
        <w:t>históricos.</w:t>
      </w:r>
      <w:r>
        <w:rPr>
          <w:spacing w:val="-12"/>
        </w:rPr>
        <w:t> </w:t>
      </w:r>
      <w:r>
        <w:rPr/>
        <w:t>Esta</w:t>
      </w:r>
      <w:r>
        <w:rPr>
          <w:spacing w:val="-11"/>
        </w:rPr>
        <w:t> </w:t>
      </w:r>
      <w:r>
        <w:rPr/>
        <w:t>frase</w:t>
      </w:r>
      <w:r>
        <w:rPr>
          <w:spacing w:val="-12"/>
        </w:rPr>
        <w:t> </w:t>
      </w:r>
      <w:r>
        <w:rPr/>
        <w:t>se</w:t>
      </w:r>
      <w:r>
        <w:rPr>
          <w:spacing w:val="-12"/>
        </w:rPr>
        <w:t> </w:t>
      </w:r>
      <w:r>
        <w:rPr/>
        <w:t>usa</w:t>
      </w:r>
      <w:r>
        <w:rPr>
          <w:spacing w:val="-12"/>
        </w:rPr>
        <w:t> </w:t>
      </w:r>
      <w:r>
        <w:rPr/>
        <w:t>particularmente</w:t>
      </w:r>
      <w:r>
        <w:rPr>
          <w:spacing w:val="-11"/>
        </w:rPr>
        <w:t> </w:t>
      </w:r>
      <w:r>
        <w:rPr/>
        <w:t>cuando</w:t>
      </w:r>
      <w:r>
        <w:rPr>
          <w:spacing w:val="-9"/>
        </w:rPr>
        <w:t> </w:t>
      </w:r>
      <w:r>
        <w:rPr/>
        <w:t>se</w:t>
      </w:r>
      <w:r>
        <w:rPr>
          <w:spacing w:val="-12"/>
        </w:rPr>
        <w:t> </w:t>
      </w:r>
      <w:r>
        <w:rPr/>
        <w:t>desea</w:t>
      </w:r>
      <w:r>
        <w:rPr>
          <w:spacing w:val="-9"/>
        </w:rPr>
        <w:t> </w:t>
      </w:r>
      <w:r>
        <w:rPr/>
        <w:t>distinguir entre la volatilidad efectiva de un instrumento en el pasado de la volatilidad actual debida al</w:t>
      </w:r>
      <w:r>
        <w:rPr>
          <w:spacing w:val="-7"/>
        </w:rPr>
        <w:t> </w:t>
      </w:r>
      <w:r>
        <w:rPr/>
        <w:t>mercado.</w:t>
      </w:r>
    </w:p>
    <w:p>
      <w:pPr>
        <w:pStyle w:val="BodyText"/>
        <w:spacing w:line="360" w:lineRule="auto" w:before="5"/>
        <w:ind w:left="142" w:right="146" w:firstLine="707"/>
        <w:jc w:val="both"/>
      </w:pPr>
      <w:r>
        <w:rPr/>
        <w:t>Forma de aproximación de datos para periodos distintos a los que se desea evaluar.</w:t>
      </w:r>
    </w:p>
    <w:p>
      <w:pPr>
        <w:pStyle w:val="BodyText"/>
        <w:spacing w:before="125"/>
        <w:ind w:left="142"/>
        <w:jc w:val="both"/>
      </w:pPr>
      <w:r>
        <w:rPr/>
        <w:t>Agregación en el Tiempo:</w:t>
      </w:r>
    </w:p>
    <w:p>
      <w:pPr>
        <w:pStyle w:val="BodyText"/>
        <w:spacing w:before="197"/>
        <w:ind w:left="850" w:right="157"/>
      </w:pPr>
      <w:r>
        <w:rPr/>
        <w:pict>
          <v:line style="position:absolute;mso-position-horizontal-relative:page;mso-position-vertical-relative:paragraph;z-index:-98152" from="177.259995pt,22.845848pt" to="180.619995pt,22.845848pt" stroked="true" strokeweight=".84003pt" strokecolor="#000000">
            <w10:wrap type="none"/>
          </v:line>
        </w:pict>
      </w:r>
      <w:r>
        <w:rPr/>
        <w:t>Supuestos sobre el comportamiento de los rendimientos de los activos:</w:t>
      </w:r>
    </w:p>
    <w:p>
      <w:pPr>
        <w:pStyle w:val="ListParagraph"/>
        <w:numPr>
          <w:ilvl w:val="0"/>
          <w:numId w:val="10"/>
        </w:numPr>
        <w:tabs>
          <w:tab w:pos="1274" w:val="left" w:leader="none"/>
          <w:tab w:pos="1275" w:val="left" w:leader="none"/>
        </w:tabs>
        <w:spacing w:line="352" w:lineRule="auto" w:before="137" w:after="0"/>
        <w:ind w:left="1274" w:right="140" w:hanging="357"/>
        <w:jc w:val="left"/>
        <w:rPr>
          <w:sz w:val="24"/>
        </w:rPr>
      </w:pPr>
      <w:r>
        <w:rPr>
          <w:sz w:val="24"/>
        </w:rPr>
        <w:t>Siguen una caminata aleatoria, es decir, no están autocorrelacionados en periodos</w:t>
      </w:r>
      <w:r>
        <w:rPr>
          <w:spacing w:val="-9"/>
          <w:sz w:val="24"/>
        </w:rPr>
        <w:t> </w:t>
      </w:r>
      <w:r>
        <w:rPr>
          <w:sz w:val="24"/>
        </w:rPr>
        <w:t>sucesivos.</w:t>
      </w:r>
    </w:p>
    <w:p>
      <w:pPr>
        <w:pStyle w:val="ListParagraph"/>
        <w:numPr>
          <w:ilvl w:val="0"/>
          <w:numId w:val="10"/>
        </w:numPr>
        <w:tabs>
          <w:tab w:pos="1274" w:val="left" w:leader="none"/>
          <w:tab w:pos="1275" w:val="left" w:leader="none"/>
        </w:tabs>
        <w:spacing w:line="240" w:lineRule="auto" w:before="11" w:after="0"/>
        <w:ind w:left="1274" w:right="0" w:hanging="357"/>
        <w:jc w:val="left"/>
        <w:rPr>
          <w:sz w:val="24"/>
        </w:rPr>
      </w:pPr>
      <w:r>
        <w:rPr>
          <w:sz w:val="24"/>
        </w:rPr>
        <w:t>Su distribución en el tiempo es</w:t>
      </w:r>
      <w:r>
        <w:rPr>
          <w:spacing w:val="-10"/>
          <w:sz w:val="24"/>
        </w:rPr>
        <w:t> </w:t>
      </w:r>
      <w:r>
        <w:rPr>
          <w:sz w:val="24"/>
        </w:rPr>
        <w:t>idéntica.</w:t>
      </w:r>
    </w:p>
    <w:p>
      <w:pPr>
        <w:pStyle w:val="BodyText"/>
        <w:spacing w:line="360" w:lineRule="auto" w:before="135"/>
        <w:ind w:left="142" w:right="140" w:firstLine="707"/>
        <w:jc w:val="both"/>
      </w:pPr>
      <w:r>
        <w:rPr/>
        <w:t>Por lo tanto, el rendimiento esperado en cualquier momento futuro es el rendimiento</w:t>
      </w:r>
      <w:r>
        <w:rPr>
          <w:spacing w:val="-9"/>
        </w:rPr>
        <w:t> </w:t>
      </w:r>
      <w:r>
        <w:rPr/>
        <w:t>esperado</w:t>
      </w:r>
      <w:r>
        <w:rPr>
          <w:spacing w:val="-9"/>
        </w:rPr>
        <w:t> </w:t>
      </w:r>
      <w:r>
        <w:rPr/>
        <w:t>para</w:t>
      </w:r>
      <w:r>
        <w:rPr>
          <w:spacing w:val="-8"/>
        </w:rPr>
        <w:t> </w:t>
      </w:r>
      <w:r>
        <w:rPr/>
        <w:t>un</w:t>
      </w:r>
      <w:r>
        <w:rPr>
          <w:spacing w:val="-7"/>
        </w:rPr>
        <w:t> </w:t>
      </w:r>
      <w:r>
        <w:rPr/>
        <w:t>día</w:t>
      </w:r>
      <w:r>
        <w:rPr>
          <w:spacing w:val="-7"/>
        </w:rPr>
        <w:t> </w:t>
      </w:r>
      <w:r>
        <w:rPr/>
        <w:t>tantas</w:t>
      </w:r>
      <w:r>
        <w:rPr>
          <w:spacing w:val="-8"/>
        </w:rPr>
        <w:t> </w:t>
      </w:r>
      <w:r>
        <w:rPr/>
        <w:t>veces</w:t>
      </w:r>
      <w:r>
        <w:rPr>
          <w:spacing w:val="-8"/>
        </w:rPr>
        <w:t> </w:t>
      </w:r>
      <w:r>
        <w:rPr/>
        <w:t>como</w:t>
      </w:r>
      <w:r>
        <w:rPr>
          <w:spacing w:val="-9"/>
        </w:rPr>
        <w:t> </w:t>
      </w:r>
      <w:r>
        <w:rPr/>
        <w:t>días</w:t>
      </w:r>
      <w:r>
        <w:rPr>
          <w:spacing w:val="-8"/>
        </w:rPr>
        <w:t> </w:t>
      </w:r>
      <w:r>
        <w:rPr/>
        <w:t>perdure</w:t>
      </w:r>
      <w:r>
        <w:rPr>
          <w:spacing w:val="-10"/>
        </w:rPr>
        <w:t> </w:t>
      </w:r>
      <w:r>
        <w:rPr/>
        <w:t>el</w:t>
      </w:r>
      <w:r>
        <w:rPr>
          <w:spacing w:val="-8"/>
        </w:rPr>
        <w:t> </w:t>
      </w:r>
      <w:r>
        <w:rPr/>
        <w:t>plazo</w:t>
      </w:r>
      <w:r>
        <w:rPr>
          <w:spacing w:val="-7"/>
        </w:rPr>
        <w:t> </w:t>
      </w:r>
      <w:r>
        <w:rPr/>
        <w:t>que</w:t>
      </w:r>
      <w:r>
        <w:rPr>
          <w:spacing w:val="-7"/>
        </w:rPr>
        <w:t> </w:t>
      </w:r>
      <w:r>
        <w:rPr/>
        <w:t>nos interesa.</w:t>
      </w:r>
      <w:r>
        <w:rPr>
          <w:spacing w:val="-17"/>
        </w:rPr>
        <w:t> </w:t>
      </w:r>
      <w:r>
        <w:rPr/>
        <w:t>En</w:t>
      </w:r>
      <w:r>
        <w:rPr>
          <w:spacing w:val="-14"/>
        </w:rPr>
        <w:t> </w:t>
      </w:r>
      <w:r>
        <w:rPr/>
        <w:t>consecuencia,</w:t>
      </w:r>
      <w:r>
        <w:rPr>
          <w:spacing w:val="-14"/>
        </w:rPr>
        <w:t> </w:t>
      </w:r>
      <w:r>
        <w:rPr/>
        <w:t>tanto</w:t>
      </w:r>
      <w:r>
        <w:rPr>
          <w:spacing w:val="-14"/>
        </w:rPr>
        <w:t> </w:t>
      </w:r>
      <w:r>
        <w:rPr/>
        <w:t>los</w:t>
      </w:r>
      <w:r>
        <w:rPr>
          <w:spacing w:val="-14"/>
        </w:rPr>
        <w:t> </w:t>
      </w:r>
      <w:r>
        <w:rPr/>
        <w:t>rendimientos</w:t>
      </w:r>
      <w:r>
        <w:rPr>
          <w:spacing w:val="-15"/>
        </w:rPr>
        <w:t> </w:t>
      </w:r>
      <w:r>
        <w:rPr/>
        <w:t>como</w:t>
      </w:r>
      <w:r>
        <w:rPr>
          <w:spacing w:val="-14"/>
        </w:rPr>
        <w:t> </w:t>
      </w:r>
      <w:r>
        <w:rPr/>
        <w:t>su</w:t>
      </w:r>
      <w:r>
        <w:rPr>
          <w:spacing w:val="-14"/>
        </w:rPr>
        <w:t> </w:t>
      </w:r>
      <w:r>
        <w:rPr/>
        <w:t>varianza</w:t>
      </w:r>
      <w:r>
        <w:rPr>
          <w:spacing w:val="-14"/>
        </w:rPr>
        <w:t> </w:t>
      </w:r>
      <w:r>
        <w:rPr/>
        <w:t>se</w:t>
      </w:r>
      <w:r>
        <w:rPr>
          <w:spacing w:val="-14"/>
        </w:rPr>
        <w:t> </w:t>
      </w:r>
      <w:r>
        <w:rPr/>
        <w:t>incrementan linealmente a través del tiempo, expresado como fracción de un año de 252 días, es decir, del número de días operados en el año. Por consenso, se suelen considerar 12 meses de 21 o 22</w:t>
      </w:r>
      <w:r>
        <w:rPr>
          <w:spacing w:val="-14"/>
        </w:rPr>
        <w:t> </w:t>
      </w:r>
      <w:r>
        <w:rPr/>
        <w:t>días.</w:t>
      </w:r>
    </w:p>
    <w:p>
      <w:pPr>
        <w:pStyle w:val="BodyText"/>
        <w:spacing w:line="360" w:lineRule="auto" w:before="2"/>
        <w:ind w:left="142" w:right="142" w:firstLine="707"/>
        <w:jc w:val="both"/>
      </w:pPr>
      <w:r>
        <w:rPr/>
        <w:pict>
          <v:group style="position:absolute;margin-left:330.104614pt;margin-top:43.988255pt;width:33pt;height:29.7pt;mso-position-horizontal-relative:page;mso-position-vertical-relative:paragraph;z-index:1840" coordorigin="6602,880" coordsize="660,594">
            <v:shape style="position:absolute;left:968;top:5354;width:645;height:58" coordorigin="968,5354" coordsize="645,58" path="m6766,1190l7241,1190m6604,1246l6639,1229e" filled="false" stroked="true" strokeweight=".137322pt" strokecolor="#000000">
              <v:path arrowok="t"/>
            </v:shape>
            <v:line style="position:absolute" from="6634,1224" to="6688,1450" stroked="true" strokeweight=".138280pt" strokecolor="#000000"/>
            <v:shape style="position:absolute;left:1059;top:5037;width:574;height:590" coordorigin="1059,5037" coordsize="574,590" path="m6693,1455l6747,882m6747,881l7260,881e" filled="false" stroked="true" strokeweight=".137322pt" strokecolor="#000000">
              <v:path arrowok="t"/>
            </v:shape>
            <v:shape style="position:absolute;left:6602;top:880;width:660;height:594" type="#_x0000_t202" filled="false" stroked="false">
              <v:textbox inset="0,0,0,0">
                <w:txbxContent>
                  <w:p>
                    <w:pPr>
                      <w:spacing w:line="268" w:lineRule="exact" w:before="0"/>
                      <w:ind w:left="219" w:right="0" w:hanging="61"/>
                      <w:jc w:val="left"/>
                      <w:rPr>
                        <w:rFonts w:ascii="Times New Roman" w:hAnsi="Times New Roman"/>
                        <w:i/>
                        <w:sz w:val="23"/>
                      </w:rPr>
                    </w:pPr>
                    <w:r>
                      <w:rPr>
                        <w:rFonts w:ascii="Times New Roman" w:hAnsi="Times New Roman"/>
                        <w:i/>
                        <w:w w:val="105"/>
                        <w:sz w:val="23"/>
                      </w:rPr>
                      <w:t>T </w:t>
                    </w:r>
                    <w:r>
                      <w:rPr>
                        <w:rFonts w:ascii="Symbol" w:hAnsi="Symbol"/>
                        <w:w w:val="105"/>
                        <w:sz w:val="23"/>
                      </w:rPr>
                      <w:t></w:t>
                    </w:r>
                    <w:r>
                      <w:rPr>
                        <w:rFonts w:ascii="Times New Roman" w:hAnsi="Times New Roman"/>
                        <w:w w:val="105"/>
                        <w:sz w:val="23"/>
                      </w:rPr>
                      <w:t> </w:t>
                    </w:r>
                    <w:r>
                      <w:rPr>
                        <w:rFonts w:ascii="Times New Roman" w:hAnsi="Times New Roman"/>
                        <w:i/>
                        <w:w w:val="105"/>
                        <w:sz w:val="23"/>
                      </w:rPr>
                      <w:t>t</w:t>
                    </w:r>
                  </w:p>
                  <w:p>
                    <w:pPr>
                      <w:spacing w:line="261" w:lineRule="exact" w:before="64"/>
                      <w:ind w:left="219" w:right="0" w:firstLine="0"/>
                      <w:jc w:val="left"/>
                      <w:rPr>
                        <w:rFonts w:ascii="Times New Roman"/>
                        <w:sz w:val="23"/>
                      </w:rPr>
                    </w:pPr>
                    <w:r>
                      <w:rPr>
                        <w:rFonts w:ascii="Times New Roman"/>
                        <w:w w:val="105"/>
                        <w:sz w:val="23"/>
                      </w:rPr>
                      <w:t>252</w:t>
                    </w:r>
                  </w:p>
                </w:txbxContent>
              </v:textbox>
              <w10:wrap type="none"/>
            </v:shape>
            <w10:wrap type="none"/>
          </v:group>
        </w:pict>
      </w:r>
      <w:r>
        <w:rPr/>
        <w:t>La</w:t>
      </w:r>
      <w:r>
        <w:rPr>
          <w:spacing w:val="-16"/>
        </w:rPr>
        <w:t> </w:t>
      </w:r>
      <w:r>
        <w:rPr/>
        <w:t>volatilidad</w:t>
      </w:r>
      <w:r>
        <w:rPr>
          <w:spacing w:val="-17"/>
        </w:rPr>
        <w:t> </w:t>
      </w:r>
      <w:r>
        <w:rPr/>
        <w:t>se</w:t>
      </w:r>
      <w:r>
        <w:rPr>
          <w:spacing w:val="-17"/>
        </w:rPr>
        <w:t> </w:t>
      </w:r>
      <w:r>
        <w:rPr/>
        <w:t>incrementa</w:t>
      </w:r>
      <w:r>
        <w:rPr>
          <w:spacing w:val="-18"/>
        </w:rPr>
        <w:t> </w:t>
      </w:r>
      <w:r>
        <w:rPr/>
        <w:t>con</w:t>
      </w:r>
      <w:r>
        <w:rPr>
          <w:spacing w:val="-19"/>
        </w:rPr>
        <w:t> </w:t>
      </w:r>
      <w:r>
        <w:rPr/>
        <w:t>la</w:t>
      </w:r>
      <w:r>
        <w:rPr>
          <w:spacing w:val="-19"/>
        </w:rPr>
        <w:t> </w:t>
      </w:r>
      <w:r>
        <w:rPr/>
        <w:t>raíz</w:t>
      </w:r>
      <w:r>
        <w:rPr>
          <w:spacing w:val="-20"/>
        </w:rPr>
        <w:t> </w:t>
      </w:r>
      <w:r>
        <w:rPr/>
        <w:t>cuadrada</w:t>
      </w:r>
      <w:r>
        <w:rPr>
          <w:spacing w:val="-19"/>
        </w:rPr>
        <w:t> </w:t>
      </w:r>
      <w:r>
        <w:rPr/>
        <w:t>del</w:t>
      </w:r>
      <w:r>
        <w:rPr>
          <w:spacing w:val="-18"/>
        </w:rPr>
        <w:t> </w:t>
      </w:r>
      <w:r>
        <w:rPr/>
        <w:t>tiempo,</w:t>
      </w:r>
      <w:r>
        <w:rPr>
          <w:spacing w:val="-19"/>
        </w:rPr>
        <w:t> </w:t>
      </w:r>
      <w:r>
        <w:rPr/>
        <w:t>expresado</w:t>
      </w:r>
      <w:r>
        <w:rPr>
          <w:spacing w:val="-19"/>
        </w:rPr>
        <w:t> </w:t>
      </w:r>
      <w:r>
        <w:rPr/>
        <w:t>como la fracción de un</w:t>
      </w:r>
      <w:r>
        <w:rPr>
          <w:spacing w:val="-5"/>
        </w:rPr>
        <w:t> </w:t>
      </w:r>
      <w:r>
        <w:rPr/>
        <w:t>año.</w:t>
      </w:r>
    </w:p>
    <w:p>
      <w:pPr>
        <w:pStyle w:val="BodyText"/>
        <w:spacing w:before="8"/>
        <w:rPr>
          <w:sz w:val="9"/>
        </w:rPr>
      </w:pPr>
    </w:p>
    <w:p>
      <w:pPr>
        <w:spacing w:after="0"/>
        <w:rPr>
          <w:sz w:val="9"/>
        </w:rPr>
        <w:sectPr>
          <w:pgSz w:w="12240" w:h="15840"/>
          <w:pgMar w:header="731" w:footer="737" w:top="1180" w:bottom="920" w:left="1560" w:right="1560"/>
        </w:sectPr>
      </w:pPr>
    </w:p>
    <w:p>
      <w:pPr>
        <w:pStyle w:val="BodyText"/>
        <w:rPr>
          <w:sz w:val="20"/>
        </w:rPr>
      </w:pPr>
    </w:p>
    <w:p>
      <w:pPr>
        <w:pStyle w:val="BodyText"/>
        <w:spacing w:before="11"/>
        <w:rPr>
          <w:sz w:val="28"/>
        </w:rPr>
      </w:pPr>
    </w:p>
    <w:p>
      <w:pPr>
        <w:spacing w:before="0"/>
        <w:ind w:left="0" w:right="0" w:firstLine="0"/>
        <w:jc w:val="right"/>
        <w:rPr>
          <w:sz w:val="20"/>
        </w:rPr>
      </w:pPr>
      <w:r>
        <w:rPr>
          <w:w w:val="95"/>
          <w:sz w:val="20"/>
        </w:rPr>
        <w:t>Donde:</w:t>
      </w:r>
    </w:p>
    <w:p>
      <w:pPr>
        <w:spacing w:before="53"/>
        <w:ind w:left="0" w:right="0" w:firstLine="0"/>
        <w:jc w:val="right"/>
        <w:rPr>
          <w:rFonts w:ascii="Times New Roman" w:hAnsi="Times New Roman"/>
          <w:i/>
          <w:sz w:val="14"/>
        </w:rPr>
      </w:pPr>
      <w:r>
        <w:rPr/>
        <w:br w:type="column"/>
      </w:r>
      <w:r>
        <w:rPr>
          <w:rFonts w:ascii="Symbol" w:hAnsi="Symbol"/>
          <w:i/>
          <w:position w:val="6"/>
          <w:sz w:val="25"/>
        </w:rPr>
        <w:t></w:t>
      </w:r>
      <w:r>
        <w:rPr>
          <w:rFonts w:ascii="Times New Roman" w:hAnsi="Times New Roman"/>
          <w:i/>
          <w:sz w:val="14"/>
        </w:rPr>
        <w:t>T </w:t>
      </w:r>
      <w:r>
        <w:rPr>
          <w:rFonts w:ascii="Symbol" w:hAnsi="Symbol"/>
          <w:sz w:val="14"/>
        </w:rPr>
        <w:t></w:t>
      </w:r>
      <w:r>
        <w:rPr>
          <w:rFonts w:ascii="Times New Roman" w:hAnsi="Times New Roman"/>
          <w:i/>
          <w:sz w:val="14"/>
        </w:rPr>
        <w:t>t</w:t>
      </w:r>
    </w:p>
    <w:p>
      <w:pPr>
        <w:spacing w:before="54"/>
        <w:ind w:left="48" w:right="0" w:firstLine="0"/>
        <w:jc w:val="left"/>
        <w:rPr>
          <w:rFonts w:ascii="Times New Roman" w:hAnsi="Times New Roman"/>
          <w:i/>
          <w:sz w:val="14"/>
        </w:rPr>
      </w:pPr>
      <w:r>
        <w:rPr/>
        <w:br w:type="column"/>
      </w:r>
      <w:r>
        <w:rPr>
          <w:rFonts w:ascii="Symbol" w:hAnsi="Symbol"/>
          <w:sz w:val="23"/>
        </w:rPr>
        <w:t></w:t>
      </w:r>
      <w:r>
        <w:rPr>
          <w:rFonts w:ascii="Times New Roman" w:hAnsi="Times New Roman"/>
          <w:sz w:val="23"/>
        </w:rPr>
        <w:t> </w:t>
      </w:r>
      <w:r>
        <w:rPr>
          <w:rFonts w:ascii="Symbol" w:hAnsi="Symbol"/>
          <w:i/>
          <w:sz w:val="25"/>
        </w:rPr>
        <w:t></w:t>
      </w:r>
      <w:r>
        <w:rPr>
          <w:rFonts w:ascii="Times New Roman" w:hAnsi="Times New Roman"/>
          <w:i/>
          <w:sz w:val="25"/>
        </w:rPr>
        <w:t> </w:t>
      </w:r>
      <w:r>
        <w:rPr>
          <w:rFonts w:ascii="Times New Roman" w:hAnsi="Times New Roman"/>
          <w:i/>
          <w:position w:val="-5"/>
          <w:sz w:val="14"/>
        </w:rPr>
        <w:t>a</w:t>
      </w:r>
    </w:p>
    <w:p>
      <w:pPr>
        <w:spacing w:after="0"/>
        <w:jc w:val="left"/>
        <w:rPr>
          <w:rFonts w:ascii="Times New Roman" w:hAnsi="Times New Roman"/>
          <w:sz w:val="14"/>
        </w:rPr>
        <w:sectPr>
          <w:type w:val="continuous"/>
          <w:pgSz w:w="12240" w:h="15840"/>
          <w:pgMar w:top="720" w:bottom="280" w:left="1560" w:right="1560"/>
          <w:cols w:num="3" w:equalWidth="0">
            <w:col w:w="2202" w:space="344"/>
            <w:col w:w="1954" w:space="40"/>
            <w:col w:w="4580"/>
          </w:cols>
        </w:sectPr>
      </w:pPr>
    </w:p>
    <w:p>
      <w:pPr>
        <w:spacing w:line="335" w:lineRule="exact" w:before="0"/>
        <w:ind w:left="2284" w:right="786" w:firstLine="0"/>
        <w:jc w:val="left"/>
        <w:rPr>
          <w:sz w:val="20"/>
        </w:rPr>
      </w:pPr>
      <w:r>
        <w:rPr>
          <w:rFonts w:ascii="Symbol" w:hAnsi="Symbol"/>
          <w:i/>
          <w:sz w:val="25"/>
        </w:rPr>
        <w:t></w:t>
      </w:r>
      <w:r>
        <w:rPr>
          <w:rFonts w:ascii="Times New Roman" w:hAnsi="Times New Roman"/>
          <w:i/>
          <w:position w:val="-5"/>
          <w:sz w:val="14"/>
        </w:rPr>
        <w:t>T </w:t>
      </w:r>
      <w:r>
        <w:rPr>
          <w:rFonts w:ascii="Symbol" w:hAnsi="Symbol"/>
          <w:position w:val="-5"/>
          <w:sz w:val="14"/>
        </w:rPr>
        <w:t></w:t>
      </w:r>
      <w:r>
        <w:rPr>
          <w:rFonts w:ascii="Times New Roman" w:hAnsi="Times New Roman"/>
          <w:i/>
          <w:position w:val="-5"/>
          <w:sz w:val="14"/>
        </w:rPr>
        <w:t>t  </w:t>
      </w:r>
      <w:r>
        <w:rPr>
          <w:rFonts w:ascii="Symbol" w:hAnsi="Symbol"/>
          <w:sz w:val="24"/>
        </w:rPr>
        <w:t></w:t>
      </w:r>
      <w:r>
        <w:rPr>
          <w:rFonts w:ascii="Times New Roman" w:hAnsi="Times New Roman"/>
          <w:sz w:val="24"/>
        </w:rPr>
        <w:t> </w:t>
      </w:r>
      <w:r>
        <w:rPr>
          <w:sz w:val="20"/>
        </w:rPr>
        <w:t>Volatilidad en el periodo considerado.</w:t>
      </w:r>
    </w:p>
    <w:p>
      <w:pPr>
        <w:spacing w:line="303" w:lineRule="exact" w:before="5"/>
        <w:ind w:left="2288" w:right="786" w:firstLine="0"/>
        <w:jc w:val="left"/>
        <w:rPr>
          <w:sz w:val="20"/>
        </w:rPr>
      </w:pPr>
      <w:r>
        <w:rPr>
          <w:rFonts w:ascii="Times New Roman" w:hAnsi="Times New Roman"/>
          <w:i/>
          <w:sz w:val="25"/>
        </w:rPr>
        <w:t>T </w:t>
      </w:r>
      <w:r>
        <w:rPr>
          <w:rFonts w:ascii="Symbol" w:hAnsi="Symbol"/>
          <w:sz w:val="25"/>
        </w:rPr>
        <w:t></w:t>
      </w:r>
      <w:r>
        <w:rPr>
          <w:rFonts w:ascii="Times New Roman" w:hAnsi="Times New Roman"/>
          <w:spacing w:val="-50"/>
          <w:sz w:val="25"/>
        </w:rPr>
        <w:t> </w:t>
      </w:r>
      <w:r>
        <w:rPr>
          <w:rFonts w:ascii="Times New Roman" w:hAnsi="Times New Roman"/>
          <w:i/>
          <w:sz w:val="25"/>
        </w:rPr>
        <w:t>t </w:t>
      </w:r>
      <w:r>
        <w:rPr>
          <w:rFonts w:ascii="Symbol" w:hAnsi="Symbol"/>
          <w:sz w:val="25"/>
        </w:rPr>
        <w:t></w:t>
      </w:r>
      <w:r>
        <w:rPr>
          <w:rFonts w:ascii="Times New Roman" w:hAnsi="Times New Roman"/>
          <w:sz w:val="25"/>
        </w:rPr>
        <w:t> </w:t>
      </w:r>
      <w:r>
        <w:rPr>
          <w:sz w:val="20"/>
        </w:rPr>
        <w:t>Número de días que se desean considerar.</w:t>
      </w:r>
    </w:p>
    <w:p>
      <w:pPr>
        <w:spacing w:line="339" w:lineRule="exact" w:before="0"/>
        <w:ind w:left="2284" w:right="786" w:firstLine="0"/>
        <w:jc w:val="left"/>
        <w:rPr>
          <w:sz w:val="20"/>
        </w:rPr>
      </w:pPr>
      <w:r>
        <w:rPr>
          <w:rFonts w:ascii="Symbol" w:hAnsi="Symbol"/>
          <w:i/>
          <w:sz w:val="25"/>
        </w:rPr>
        <w:t></w:t>
      </w:r>
      <w:r>
        <w:rPr>
          <w:rFonts w:ascii="Times New Roman" w:hAnsi="Times New Roman"/>
          <w:i/>
          <w:sz w:val="25"/>
        </w:rPr>
        <w:t> </w:t>
      </w:r>
      <w:r>
        <w:rPr>
          <w:rFonts w:ascii="Times New Roman" w:hAnsi="Times New Roman"/>
          <w:i/>
          <w:position w:val="-5"/>
          <w:sz w:val="14"/>
        </w:rPr>
        <w:t>a  </w:t>
      </w:r>
      <w:r>
        <w:rPr>
          <w:rFonts w:ascii="Symbol" w:hAnsi="Symbol"/>
          <w:sz w:val="24"/>
        </w:rPr>
        <w:t></w:t>
      </w:r>
      <w:r>
        <w:rPr>
          <w:rFonts w:ascii="Times New Roman" w:hAnsi="Times New Roman"/>
          <w:sz w:val="24"/>
        </w:rPr>
        <w:t> </w:t>
      </w:r>
      <w:r>
        <w:rPr>
          <w:sz w:val="20"/>
        </w:rPr>
        <w:t>Desviación estándar anualizada.</w:t>
      </w:r>
    </w:p>
    <w:p>
      <w:pPr>
        <w:spacing w:after="0" w:line="339" w:lineRule="exact"/>
        <w:jc w:val="left"/>
        <w:rPr>
          <w:sz w:val="20"/>
        </w:rPr>
        <w:sectPr>
          <w:type w:val="continuous"/>
          <w:pgSz w:w="12240" w:h="15840"/>
          <w:pgMar w:top="720" w:bottom="280" w:left="1560" w:right="1560"/>
        </w:sectPr>
      </w:pPr>
    </w:p>
    <w:p>
      <w:pPr>
        <w:pStyle w:val="BodyText"/>
        <w:rPr>
          <w:sz w:val="20"/>
        </w:rPr>
      </w:pPr>
    </w:p>
    <w:p>
      <w:pPr>
        <w:pStyle w:val="BodyText"/>
        <w:spacing w:before="3"/>
        <w:rPr>
          <w:sz w:val="17"/>
        </w:rPr>
      </w:pPr>
    </w:p>
    <w:p>
      <w:pPr>
        <w:pStyle w:val="ListParagraph"/>
        <w:numPr>
          <w:ilvl w:val="0"/>
          <w:numId w:val="10"/>
        </w:numPr>
        <w:tabs>
          <w:tab w:pos="1274" w:val="left" w:leader="none"/>
          <w:tab w:pos="1275" w:val="left" w:leader="none"/>
        </w:tabs>
        <w:spacing w:line="240" w:lineRule="auto" w:before="56" w:after="0"/>
        <w:ind w:left="1274" w:right="0" w:hanging="357"/>
        <w:jc w:val="left"/>
        <w:rPr>
          <w:sz w:val="24"/>
        </w:rPr>
      </w:pPr>
      <w:r>
        <w:rPr>
          <w:sz w:val="24"/>
        </w:rPr>
        <w:t>La volatilidad</w:t>
      </w:r>
      <w:r>
        <w:rPr>
          <w:spacing w:val="-6"/>
          <w:sz w:val="24"/>
        </w:rPr>
        <w:t> </w:t>
      </w:r>
      <w:r>
        <w:rPr>
          <w:sz w:val="24"/>
        </w:rPr>
        <w:t>diaria:</w:t>
      </w:r>
    </w:p>
    <w:p>
      <w:pPr>
        <w:pStyle w:val="BodyText"/>
        <w:rPr>
          <w:sz w:val="20"/>
        </w:rPr>
      </w:pPr>
    </w:p>
    <w:p>
      <w:pPr>
        <w:pStyle w:val="BodyText"/>
        <w:rPr>
          <w:sz w:val="20"/>
        </w:rPr>
      </w:pPr>
    </w:p>
    <w:p>
      <w:pPr>
        <w:spacing w:before="185"/>
        <w:ind w:left="479" w:right="1972" w:firstLine="0"/>
        <w:jc w:val="center"/>
        <w:rPr>
          <w:rFonts w:ascii="Symbol" w:hAnsi="Symbol"/>
          <w:sz w:val="24"/>
        </w:rPr>
      </w:pPr>
      <w:r>
        <w:rPr/>
        <w:pict>
          <v:group style="position:absolute;margin-left:284.16568pt;margin-top:-13.622847pt;width:70.25pt;height:47.1pt;mso-position-horizontal-relative:page;mso-position-vertical-relative:paragraph;z-index:2008" coordorigin="5683,-272" coordsize="1405,942">
            <v:shape style="position:absolute;left:574;top:12995;width:1389;height:96" coordorigin="574,12995" coordsize="1389,96" path="m5846,382l7067,382m5685,305l5719,287e" filled="false" stroked="true" strokeweight=".138972pt" strokecolor="#000000">
              <v:path arrowok="t"/>
            </v:shape>
            <v:line style="position:absolute" from="5715,282" to="5768,645" stroked="true" strokeweight=".139325pt" strokecolor="#000000"/>
            <v:shape style="position:absolute;left:663;top:12431;width:1319;height:932" coordorigin="663,12431" coordsize="1319,932" path="m5773,651l5828,-270m5828,-271l7086,-271e" filled="false" stroked="true" strokeweight=".138972pt" strokecolor="#000000">
              <v:path arrowok="t"/>
            </v:shape>
            <v:shape style="position:absolute;left:5855;top:-148;width:1169;height:382" type="#_x0000_t202" filled="false" stroked="false">
              <v:textbox inset="0,0,0,0">
                <w:txbxContent>
                  <w:p>
                    <w:pPr>
                      <w:spacing w:line="382" w:lineRule="exact" w:before="0"/>
                      <w:ind w:left="0" w:right="-18" w:firstLine="0"/>
                      <w:jc w:val="left"/>
                      <w:rPr>
                        <w:rFonts w:ascii="Times New Roman" w:hAnsi="Times New Roman"/>
                        <w:sz w:val="14"/>
                      </w:rPr>
                    </w:pPr>
                    <w:r>
                      <w:rPr>
                        <w:rFonts w:ascii="Symbol" w:hAnsi="Symbol"/>
                        <w:spacing w:val="30"/>
                        <w:w w:val="100"/>
                        <w:position w:val="-5"/>
                        <w:sz w:val="36"/>
                      </w:rPr>
                      <w:t></w:t>
                    </w:r>
                    <w:r>
                      <w:rPr>
                        <w:rFonts w:ascii="Symbol" w:hAnsi="Symbol"/>
                        <w:spacing w:val="13"/>
                        <w:w w:val="76"/>
                        <w:sz w:val="31"/>
                      </w:rPr>
                      <w:t></w:t>
                    </w:r>
                    <w:r>
                      <w:rPr>
                        <w:rFonts w:ascii="Times New Roman" w:hAnsi="Times New Roman"/>
                        <w:i/>
                        <w:w w:val="100"/>
                        <w:sz w:val="24"/>
                      </w:rPr>
                      <w:t>X</w:t>
                    </w:r>
                    <w:r>
                      <w:rPr>
                        <w:rFonts w:ascii="Times New Roman" w:hAnsi="Times New Roman"/>
                        <w:i/>
                        <w:sz w:val="24"/>
                      </w:rPr>
                      <w:t> </w:t>
                    </w:r>
                    <w:r>
                      <w:rPr>
                        <w:rFonts w:ascii="Times New Roman" w:hAnsi="Times New Roman"/>
                        <w:i/>
                        <w:spacing w:val="27"/>
                        <w:sz w:val="24"/>
                      </w:rPr>
                      <w:t> </w:t>
                    </w:r>
                    <w:r>
                      <w:rPr>
                        <w:rFonts w:ascii="Symbol" w:hAnsi="Symbol"/>
                        <w:w w:val="100"/>
                        <w:sz w:val="24"/>
                      </w:rPr>
                      <w:t></w:t>
                    </w:r>
                    <w:r>
                      <w:rPr>
                        <w:rFonts w:ascii="Times New Roman" w:hAnsi="Times New Roman"/>
                        <w:spacing w:val="-7"/>
                        <w:sz w:val="24"/>
                      </w:rPr>
                      <w:t> </w:t>
                    </w:r>
                    <w:r>
                      <w:rPr>
                        <w:rFonts w:ascii="Symbol" w:hAnsi="Symbol"/>
                        <w:i/>
                        <w:w w:val="96"/>
                        <w:sz w:val="25"/>
                      </w:rPr>
                      <w:t></w:t>
                    </w:r>
                    <w:r>
                      <w:rPr>
                        <w:rFonts w:ascii="Times New Roman" w:hAnsi="Times New Roman"/>
                        <w:spacing w:val="-37"/>
                        <w:sz w:val="25"/>
                      </w:rPr>
                      <w:t> </w:t>
                    </w:r>
                    <w:r>
                      <w:rPr>
                        <w:rFonts w:ascii="Symbol" w:hAnsi="Symbol"/>
                        <w:spacing w:val="-6"/>
                        <w:w w:val="76"/>
                        <w:sz w:val="31"/>
                      </w:rPr>
                      <w:t></w:t>
                    </w:r>
                    <w:r>
                      <w:rPr>
                        <w:rFonts w:ascii="Times New Roman" w:hAnsi="Times New Roman"/>
                        <w:w w:val="100"/>
                        <w:position w:val="13"/>
                        <w:sz w:val="14"/>
                      </w:rPr>
                      <w:t>2</w:t>
                    </w:r>
                  </w:p>
                </w:txbxContent>
              </v:textbox>
              <w10:wrap type="none"/>
            </v:shape>
            <v:shape style="position:absolute;left:5947;top:-242;width:71;height:140" type="#_x0000_t202" filled="false" stroked="false">
              <v:textbox inset="0,0,0,0">
                <w:txbxContent>
                  <w:p>
                    <w:pPr>
                      <w:spacing w:line="140" w:lineRule="exact" w:before="0"/>
                      <w:ind w:left="0" w:right="0" w:firstLine="0"/>
                      <w:jc w:val="left"/>
                      <w:rPr>
                        <w:rFonts w:ascii="Times New Roman"/>
                        <w:i/>
                        <w:sz w:val="14"/>
                      </w:rPr>
                    </w:pPr>
                    <w:r>
                      <w:rPr>
                        <w:rFonts w:ascii="Times New Roman"/>
                        <w:i/>
                        <w:w w:val="100"/>
                        <w:sz w:val="14"/>
                      </w:rPr>
                      <w:t>n</w:t>
                    </w:r>
                  </w:p>
                </w:txbxContent>
              </v:textbox>
              <w10:wrap type="none"/>
            </v:shape>
            <v:shape style="position:absolute;left:6410;top:61;width:40;height:140" type="#_x0000_t202" filled="false" stroked="false">
              <v:textbox inset="0,0,0,0">
                <w:txbxContent>
                  <w:p>
                    <w:pPr>
                      <w:spacing w:line="140" w:lineRule="exact" w:before="0"/>
                      <w:ind w:left="0" w:right="0" w:firstLine="0"/>
                      <w:jc w:val="left"/>
                      <w:rPr>
                        <w:rFonts w:ascii="Times New Roman"/>
                        <w:i/>
                        <w:sz w:val="14"/>
                      </w:rPr>
                    </w:pPr>
                    <w:r>
                      <w:rPr>
                        <w:rFonts w:ascii="Times New Roman"/>
                        <w:i/>
                        <w:w w:val="100"/>
                        <w:sz w:val="14"/>
                      </w:rPr>
                      <w:t>i</w:t>
                    </w:r>
                  </w:p>
                </w:txbxContent>
              </v:textbox>
              <w10:wrap type="none"/>
            </v:shape>
            <v:shape style="position:absolute;left:5895;top:228;width:185;height:143" type="#_x0000_t202" filled="false" stroked="false">
              <v:textbox inset="0,0,0,0">
                <w:txbxContent>
                  <w:p>
                    <w:pPr>
                      <w:spacing w:line="142" w:lineRule="exact" w:before="0"/>
                      <w:ind w:left="0" w:right="-18" w:firstLine="0"/>
                      <w:jc w:val="left"/>
                      <w:rPr>
                        <w:rFonts w:ascii="Times New Roman" w:hAnsi="Times New Roman"/>
                        <w:sz w:val="14"/>
                      </w:rPr>
                    </w:pPr>
                    <w:r>
                      <w:rPr>
                        <w:rFonts w:ascii="Times New Roman" w:hAnsi="Times New Roman"/>
                        <w:i/>
                        <w:spacing w:val="-1"/>
                        <w:sz w:val="14"/>
                      </w:rPr>
                      <w:t>i</w:t>
                    </w:r>
                    <w:r>
                      <w:rPr>
                        <w:rFonts w:ascii="Symbol" w:hAnsi="Symbol"/>
                        <w:spacing w:val="-1"/>
                        <w:sz w:val="14"/>
                      </w:rPr>
                      <w:t></w:t>
                    </w:r>
                    <w:r>
                      <w:rPr>
                        <w:rFonts w:ascii="Times New Roman" w:hAnsi="Times New Roman"/>
                        <w:spacing w:val="-1"/>
                        <w:sz w:val="14"/>
                      </w:rPr>
                      <w:t>1</w:t>
                    </w:r>
                  </w:p>
                </w:txbxContent>
              </v:textbox>
              <w10:wrap type="none"/>
            </v:shape>
            <v:shape style="position:absolute;left:6242;top:426;width:447;height:244" type="#_x0000_t202" filled="false" stroked="false">
              <v:textbox inset="0,0,0,0">
                <w:txbxContent>
                  <w:p>
                    <w:pPr>
                      <w:spacing w:line="243" w:lineRule="exact" w:before="0"/>
                      <w:ind w:left="0" w:right="-19" w:firstLine="0"/>
                      <w:jc w:val="left"/>
                      <w:rPr>
                        <w:rFonts w:ascii="Times New Roman" w:hAnsi="Times New Roman"/>
                        <w:sz w:val="24"/>
                      </w:rPr>
                    </w:pPr>
                    <w:r>
                      <w:rPr>
                        <w:rFonts w:ascii="Times New Roman" w:hAnsi="Times New Roman"/>
                        <w:i/>
                        <w:sz w:val="24"/>
                      </w:rPr>
                      <w:t>n </w:t>
                    </w:r>
                    <w:r>
                      <w:rPr>
                        <w:rFonts w:ascii="Symbol" w:hAnsi="Symbol"/>
                        <w:sz w:val="24"/>
                      </w:rPr>
                      <w:t></w:t>
                    </w:r>
                    <w:r>
                      <w:rPr>
                        <w:rFonts w:ascii="Times New Roman" w:hAnsi="Times New Roman"/>
                        <w:spacing w:val="-46"/>
                        <w:sz w:val="24"/>
                      </w:rPr>
                      <w:t> </w:t>
                    </w:r>
                    <w:r>
                      <w:rPr>
                        <w:rFonts w:ascii="Times New Roman" w:hAnsi="Times New Roman"/>
                        <w:sz w:val="24"/>
                      </w:rPr>
                      <w:t>1</w:t>
                    </w:r>
                  </w:p>
                </w:txbxContent>
              </v:textbox>
              <w10:wrap type="none"/>
            </v:shape>
            <w10:wrap type="none"/>
          </v:group>
        </w:pict>
      </w:r>
      <w:r>
        <w:rPr>
          <w:rFonts w:ascii="Symbol" w:hAnsi="Symbol"/>
          <w:i/>
          <w:sz w:val="25"/>
        </w:rPr>
        <w:t></w:t>
      </w:r>
      <w:r>
        <w:rPr>
          <w:rFonts w:ascii="Times New Roman" w:hAnsi="Times New Roman"/>
          <w:i/>
          <w:sz w:val="25"/>
        </w:rPr>
        <w:t> </w:t>
      </w:r>
      <w:r>
        <w:rPr>
          <w:rFonts w:ascii="Times New Roman" w:hAnsi="Times New Roman"/>
          <w:i/>
          <w:position w:val="-5"/>
          <w:sz w:val="14"/>
        </w:rPr>
        <w:t>d  </w:t>
      </w:r>
      <w:r>
        <w:rPr>
          <w:rFonts w:ascii="Symbol" w:hAnsi="Symbol"/>
          <w:sz w:val="24"/>
        </w:rPr>
        <w:t></w:t>
      </w:r>
    </w:p>
    <w:p>
      <w:pPr>
        <w:pStyle w:val="BodyText"/>
        <w:spacing w:before="7"/>
        <w:rPr>
          <w:rFonts w:ascii="Symbol" w:hAnsi="Symbol"/>
          <w:sz w:val="28"/>
        </w:rPr>
      </w:pPr>
    </w:p>
    <w:p>
      <w:pPr>
        <w:pStyle w:val="ListParagraph"/>
        <w:numPr>
          <w:ilvl w:val="0"/>
          <w:numId w:val="10"/>
        </w:numPr>
        <w:tabs>
          <w:tab w:pos="1274" w:val="left" w:leader="none"/>
          <w:tab w:pos="1275" w:val="left" w:leader="none"/>
        </w:tabs>
        <w:spacing w:line="240" w:lineRule="auto" w:before="56" w:after="0"/>
        <w:ind w:left="1274" w:right="0" w:hanging="357"/>
        <w:jc w:val="left"/>
        <w:rPr>
          <w:sz w:val="24"/>
        </w:rPr>
      </w:pPr>
      <w:r>
        <w:rPr>
          <w:sz w:val="24"/>
        </w:rPr>
        <w:t>La</w:t>
      </w:r>
      <w:r>
        <w:rPr>
          <w:spacing w:val="48"/>
          <w:sz w:val="24"/>
        </w:rPr>
        <w:t> </w:t>
      </w:r>
      <w:r>
        <w:rPr>
          <w:sz w:val="24"/>
        </w:rPr>
        <w:t>volatilidad</w:t>
      </w:r>
      <w:r>
        <w:rPr>
          <w:spacing w:val="46"/>
          <w:sz w:val="24"/>
        </w:rPr>
        <w:t> </w:t>
      </w:r>
      <w:r>
        <w:rPr>
          <w:sz w:val="24"/>
        </w:rPr>
        <w:t>para</w:t>
      </w:r>
      <w:r>
        <w:rPr>
          <w:spacing w:val="48"/>
          <w:sz w:val="24"/>
        </w:rPr>
        <w:t> </w:t>
      </w:r>
      <w:r>
        <w:rPr>
          <w:i/>
          <w:sz w:val="24"/>
        </w:rPr>
        <w:t>n</w:t>
      </w:r>
      <w:r>
        <w:rPr>
          <w:i/>
          <w:spacing w:val="46"/>
          <w:sz w:val="24"/>
        </w:rPr>
        <w:t> </w:t>
      </w:r>
      <w:r>
        <w:rPr>
          <w:sz w:val="24"/>
        </w:rPr>
        <w:t>días</w:t>
      </w:r>
      <w:r>
        <w:rPr>
          <w:spacing w:val="48"/>
          <w:sz w:val="24"/>
        </w:rPr>
        <w:t> </w:t>
      </w:r>
      <w:r>
        <w:rPr>
          <w:sz w:val="24"/>
        </w:rPr>
        <w:t>se</w:t>
      </w:r>
      <w:r>
        <w:rPr>
          <w:spacing w:val="48"/>
          <w:sz w:val="24"/>
        </w:rPr>
        <w:t> </w:t>
      </w:r>
      <w:r>
        <w:rPr>
          <w:sz w:val="24"/>
        </w:rPr>
        <w:t>obtiene</w:t>
      </w:r>
      <w:r>
        <w:rPr>
          <w:spacing w:val="48"/>
          <w:sz w:val="24"/>
        </w:rPr>
        <w:t> </w:t>
      </w:r>
      <w:r>
        <w:rPr>
          <w:sz w:val="24"/>
        </w:rPr>
        <w:t>a</w:t>
      </w:r>
      <w:r>
        <w:rPr>
          <w:spacing w:val="46"/>
          <w:sz w:val="24"/>
        </w:rPr>
        <w:t> </w:t>
      </w:r>
      <w:r>
        <w:rPr>
          <w:sz w:val="24"/>
        </w:rPr>
        <w:t>partir</w:t>
      </w:r>
      <w:r>
        <w:rPr>
          <w:spacing w:val="47"/>
          <w:sz w:val="24"/>
        </w:rPr>
        <w:t> </w:t>
      </w:r>
      <w:r>
        <w:rPr>
          <w:sz w:val="24"/>
        </w:rPr>
        <w:t>de</w:t>
      </w:r>
      <w:r>
        <w:rPr>
          <w:spacing w:val="48"/>
          <w:sz w:val="24"/>
        </w:rPr>
        <w:t> </w:t>
      </w:r>
      <w:r>
        <w:rPr>
          <w:sz w:val="24"/>
        </w:rPr>
        <w:t>la</w:t>
      </w:r>
      <w:r>
        <w:rPr>
          <w:spacing w:val="48"/>
          <w:sz w:val="24"/>
        </w:rPr>
        <w:t> </w:t>
      </w:r>
      <w:r>
        <w:rPr>
          <w:sz w:val="24"/>
        </w:rPr>
        <w:t>volatilidad</w:t>
      </w:r>
      <w:r>
        <w:rPr>
          <w:spacing w:val="46"/>
          <w:sz w:val="24"/>
        </w:rPr>
        <w:t> </w:t>
      </w:r>
      <w:r>
        <w:rPr>
          <w:sz w:val="24"/>
        </w:rPr>
        <w:t>diaria:</w:t>
      </w:r>
    </w:p>
    <w:p>
      <w:pPr>
        <w:spacing w:before="173"/>
        <w:ind w:left="1292" w:right="786" w:firstLine="0"/>
        <w:jc w:val="left"/>
        <w:rPr>
          <w:rFonts w:ascii="Symbol" w:hAnsi="Symbol"/>
          <w:sz w:val="24"/>
        </w:rPr>
      </w:pPr>
      <w:r>
        <w:rPr/>
        <w:pict>
          <v:group style="position:absolute;margin-left:193.49675pt;margin-top:10.140492pt;width:14.75pt;height:13.45pt;mso-position-horizontal-relative:page;mso-position-vertical-relative:paragraph;z-index:2056" coordorigin="3870,203" coordsize="295,269">
            <v:line style="position:absolute" from="3871,373" to="3907,355" stroked="true" strokeweight=".140659pt" strokecolor="#000000"/>
            <v:line style="position:absolute" from="3902,351" to="3956,447" stroked="true" strokeweight=".140156pt" strokecolor="#000000"/>
            <v:shape style="position:absolute;left:1126;top:11838;width:203;height:248" coordorigin="1126,11838" coordsize="203,248" path="m3961,453l4016,205m4016,204l4163,204e" filled="false" stroked="true" strokeweight=".140395pt" strokecolor="#000000">
              <v:path arrowok="t"/>
            </v:shape>
            <v:shape style="position:absolute;left:3870;top:203;width:295;height:269" type="#_x0000_t202" filled="false" stroked="false">
              <v:textbox inset="0,0,0,0">
                <w:txbxContent>
                  <w:p>
                    <w:pPr>
                      <w:spacing w:line="269" w:lineRule="exact" w:before="0"/>
                      <w:ind w:left="155" w:right="0" w:firstLine="0"/>
                      <w:jc w:val="left"/>
                      <w:rPr>
                        <w:rFonts w:ascii="Times New Roman"/>
                        <w:i/>
                        <w:sz w:val="24"/>
                      </w:rPr>
                    </w:pPr>
                    <w:r>
                      <w:rPr>
                        <w:rFonts w:ascii="Times New Roman"/>
                        <w:i/>
                        <w:w w:val="99"/>
                        <w:sz w:val="24"/>
                      </w:rPr>
                      <w:t>n</w:t>
                    </w:r>
                  </w:p>
                </w:txbxContent>
              </v:textbox>
              <w10:wrap type="none"/>
            </v:shape>
            <w10:wrap type="none"/>
          </v:group>
        </w:pict>
      </w:r>
      <w:r>
        <w:rPr>
          <w:rFonts w:ascii="Symbol" w:hAnsi="Symbol"/>
          <w:i/>
          <w:sz w:val="25"/>
        </w:rPr>
        <w:t></w:t>
      </w:r>
      <w:r>
        <w:rPr>
          <w:rFonts w:ascii="Times New Roman" w:hAnsi="Times New Roman"/>
          <w:i/>
          <w:sz w:val="25"/>
        </w:rPr>
        <w:t> </w:t>
      </w:r>
      <w:r>
        <w:rPr>
          <w:rFonts w:ascii="Times New Roman" w:hAnsi="Times New Roman"/>
          <w:i/>
          <w:position w:val="-5"/>
          <w:sz w:val="14"/>
        </w:rPr>
        <w:t>n  </w:t>
      </w:r>
      <w:r>
        <w:rPr>
          <w:rFonts w:ascii="Symbol" w:hAnsi="Symbol"/>
          <w:sz w:val="24"/>
        </w:rPr>
        <w:t></w:t>
      </w:r>
      <w:r>
        <w:rPr>
          <w:rFonts w:ascii="Times New Roman" w:hAnsi="Times New Roman"/>
          <w:sz w:val="24"/>
        </w:rPr>
        <w:t> </w:t>
      </w:r>
      <w:r>
        <w:rPr>
          <w:rFonts w:ascii="Symbol" w:hAnsi="Symbol"/>
          <w:i/>
          <w:sz w:val="25"/>
        </w:rPr>
        <w:t></w:t>
      </w:r>
      <w:r>
        <w:rPr>
          <w:rFonts w:ascii="Times New Roman" w:hAnsi="Times New Roman"/>
          <w:i/>
          <w:sz w:val="25"/>
        </w:rPr>
        <w:t> </w:t>
      </w:r>
      <w:r>
        <w:rPr>
          <w:rFonts w:ascii="Times New Roman" w:hAnsi="Times New Roman"/>
          <w:i/>
          <w:position w:val="-5"/>
          <w:sz w:val="14"/>
        </w:rPr>
        <w:t>d </w:t>
      </w:r>
      <w:r>
        <w:rPr>
          <w:rFonts w:ascii="Symbol" w:hAnsi="Symbol"/>
          <w:sz w:val="24"/>
        </w:rPr>
        <w:t></w:t>
      </w:r>
    </w:p>
    <w:p>
      <w:pPr>
        <w:pStyle w:val="ListParagraph"/>
        <w:numPr>
          <w:ilvl w:val="0"/>
          <w:numId w:val="10"/>
        </w:numPr>
        <w:tabs>
          <w:tab w:pos="1274" w:val="left" w:leader="none"/>
          <w:tab w:pos="1275" w:val="left" w:leader="none"/>
        </w:tabs>
        <w:spacing w:line="240" w:lineRule="auto" w:before="170" w:after="0"/>
        <w:ind w:left="1274" w:right="0" w:hanging="357"/>
        <w:jc w:val="left"/>
        <w:rPr>
          <w:sz w:val="24"/>
        </w:rPr>
      </w:pPr>
      <w:r>
        <w:rPr>
          <w:sz w:val="24"/>
        </w:rPr>
        <w:t>La volatilidad</w:t>
      </w:r>
      <w:r>
        <w:rPr>
          <w:spacing w:val="-11"/>
          <w:sz w:val="24"/>
        </w:rPr>
        <w:t> </w:t>
      </w:r>
      <w:r>
        <w:rPr>
          <w:sz w:val="24"/>
        </w:rPr>
        <w:t>anualizada:</w:t>
      </w:r>
    </w:p>
    <w:p>
      <w:pPr>
        <w:spacing w:before="166"/>
        <w:ind w:left="479" w:right="1077" w:firstLine="0"/>
        <w:jc w:val="center"/>
        <w:rPr>
          <w:rFonts w:ascii="Symbol" w:hAnsi="Symbol"/>
          <w:sz w:val="24"/>
        </w:rPr>
      </w:pPr>
      <w:r>
        <w:rPr/>
        <w:pict>
          <v:group style="position:absolute;margin-left:317.695831pt;margin-top:9.790517pt;width:26.7pt;height:13.45pt;mso-position-horizontal-relative:page;mso-position-vertical-relative:paragraph;z-index:2104" coordorigin="6354,196" coordsize="534,269">
            <v:line style="position:absolute" from="6355,366" to="6391,348" stroked="true" strokeweight=".14065pt" strokecolor="#000000"/>
            <v:line style="position:absolute" from="6386,344" to="6439,440" stroked="true" strokeweight=".140104pt" strokecolor="#000000"/>
            <v:shape style="position:absolute;left:1129;top:10859;width:441;height:248" coordorigin="1129,10859" coordsize="441,248" path="m6445,446l6500,198m6500,197l6885,197e" filled="false" stroked="true" strokeweight=".140361pt" strokecolor="#000000">
              <v:path arrowok="t"/>
            </v:shape>
            <v:shape style="position:absolute;left:6354;top:196;width:533;height:269" type="#_x0000_t202" filled="false" stroked="false">
              <v:textbox inset="0,0,0,0">
                <w:txbxContent>
                  <w:p>
                    <w:pPr>
                      <w:spacing w:line="269" w:lineRule="exact" w:before="0"/>
                      <w:ind w:left="155" w:right="-2" w:firstLine="0"/>
                      <w:jc w:val="left"/>
                      <w:rPr>
                        <w:rFonts w:ascii="Times New Roman"/>
                        <w:sz w:val="24"/>
                      </w:rPr>
                    </w:pPr>
                    <w:r>
                      <w:rPr>
                        <w:rFonts w:ascii="Times New Roman"/>
                        <w:sz w:val="24"/>
                      </w:rPr>
                      <w:t>252</w:t>
                    </w:r>
                  </w:p>
                </w:txbxContent>
              </v:textbox>
              <w10:wrap type="none"/>
            </v:shape>
            <w10:wrap type="none"/>
          </v:group>
        </w:pict>
      </w:r>
      <w:r>
        <w:rPr>
          <w:rFonts w:ascii="Symbol" w:hAnsi="Symbol"/>
          <w:i/>
          <w:sz w:val="25"/>
        </w:rPr>
        <w:t></w:t>
      </w:r>
      <w:r>
        <w:rPr>
          <w:rFonts w:ascii="Times New Roman" w:hAnsi="Times New Roman"/>
          <w:i/>
          <w:sz w:val="25"/>
        </w:rPr>
        <w:t> </w:t>
      </w:r>
      <w:r>
        <w:rPr>
          <w:rFonts w:ascii="Times New Roman" w:hAnsi="Times New Roman"/>
          <w:i/>
          <w:position w:val="-5"/>
          <w:sz w:val="14"/>
        </w:rPr>
        <w:t>a  </w:t>
      </w:r>
      <w:r>
        <w:rPr>
          <w:rFonts w:ascii="Symbol" w:hAnsi="Symbol"/>
          <w:sz w:val="24"/>
        </w:rPr>
        <w:t></w:t>
      </w:r>
      <w:r>
        <w:rPr>
          <w:rFonts w:ascii="Times New Roman" w:hAnsi="Times New Roman"/>
          <w:sz w:val="24"/>
        </w:rPr>
        <w:t> </w:t>
      </w:r>
      <w:r>
        <w:rPr>
          <w:rFonts w:ascii="Symbol" w:hAnsi="Symbol"/>
          <w:i/>
          <w:sz w:val="25"/>
        </w:rPr>
        <w:t></w:t>
      </w:r>
      <w:r>
        <w:rPr>
          <w:rFonts w:ascii="Times New Roman" w:hAnsi="Times New Roman"/>
          <w:i/>
          <w:sz w:val="25"/>
        </w:rPr>
        <w:t> </w:t>
      </w:r>
      <w:r>
        <w:rPr>
          <w:rFonts w:ascii="Times New Roman" w:hAnsi="Times New Roman"/>
          <w:i/>
          <w:position w:val="-5"/>
          <w:sz w:val="14"/>
        </w:rPr>
        <w:t>d </w:t>
      </w:r>
      <w:r>
        <w:rPr>
          <w:rFonts w:ascii="Symbol" w:hAnsi="Symbol"/>
          <w:sz w:val="24"/>
        </w:rPr>
        <w:t></w:t>
      </w:r>
    </w:p>
    <w:p>
      <w:pPr>
        <w:pStyle w:val="BodyText"/>
        <w:rPr>
          <w:rFonts w:ascii="Symbol" w:hAnsi="Symbol"/>
          <w:sz w:val="18"/>
        </w:rPr>
      </w:pPr>
    </w:p>
    <w:p>
      <w:pPr>
        <w:spacing w:after="0"/>
        <w:rPr>
          <w:rFonts w:ascii="Symbol" w:hAnsi="Symbol"/>
          <w:sz w:val="18"/>
        </w:rPr>
        <w:sectPr>
          <w:pgSz w:w="12240" w:h="15840"/>
          <w:pgMar w:header="731" w:footer="737" w:top="1180" w:bottom="920" w:left="1560" w:right="1560"/>
        </w:sectPr>
      </w:pPr>
    </w:p>
    <w:p>
      <w:pPr>
        <w:pStyle w:val="ListParagraph"/>
        <w:numPr>
          <w:ilvl w:val="0"/>
          <w:numId w:val="10"/>
        </w:numPr>
        <w:tabs>
          <w:tab w:pos="1274" w:val="left" w:leader="none"/>
          <w:tab w:pos="1275" w:val="left" w:leader="none"/>
        </w:tabs>
        <w:spacing w:line="240" w:lineRule="auto" w:before="56" w:after="0"/>
        <w:ind w:left="1274" w:right="0" w:hanging="357"/>
        <w:jc w:val="left"/>
        <w:rPr>
          <w:sz w:val="24"/>
        </w:rPr>
      </w:pPr>
      <w:r>
        <w:rPr>
          <w:sz w:val="24"/>
        </w:rPr>
        <w:t>La volatilidad</w:t>
      </w:r>
      <w:r>
        <w:rPr>
          <w:spacing w:val="-8"/>
          <w:sz w:val="24"/>
        </w:rPr>
        <w:t> </w:t>
      </w:r>
      <w:r>
        <w:rPr>
          <w:sz w:val="24"/>
        </w:rPr>
        <w:t>semanal:</w:t>
      </w:r>
    </w:p>
    <w:p>
      <w:pPr>
        <w:pStyle w:val="BodyText"/>
        <w:rPr>
          <w:sz w:val="30"/>
        </w:rPr>
      </w:pPr>
      <w:r>
        <w:rPr/>
        <w:br w:type="column"/>
      </w:r>
      <w:r>
        <w:rPr>
          <w:sz w:val="30"/>
        </w:rPr>
      </w:r>
    </w:p>
    <w:p>
      <w:pPr>
        <w:spacing w:before="173"/>
        <w:ind w:left="175" w:right="0" w:firstLine="0"/>
        <w:jc w:val="left"/>
        <w:rPr>
          <w:rFonts w:ascii="Symbol" w:hAnsi="Symbol"/>
          <w:sz w:val="24"/>
        </w:rPr>
      </w:pPr>
      <w:r>
        <w:rPr/>
        <w:pict>
          <v:group style="position:absolute;margin-left:322.847778pt;margin-top:10.140486pt;width:13.95pt;height:13.45pt;mso-position-horizontal-relative:page;mso-position-vertical-relative:paragraph;z-index:2152" coordorigin="6457,203" coordsize="279,269">
            <v:line style="position:absolute" from="6458,373" to="6493,355" stroked="true" strokeweight=".140265pt" strokecolor="#000000"/>
            <v:line style="position:absolute" from="6488,351" to="6542,447" stroked="true" strokeweight=".138750pt" strokecolor="#000000"/>
            <v:shape style="position:absolute;left:1089;top:9786;width:189;height:248" coordorigin="1089,9786" coordsize="189,248" path="m6548,453l6602,205m6602,204l6734,204e" filled="false" stroked="true" strokeweight=".139471pt" strokecolor="#000000">
              <v:path arrowok="t"/>
            </v:shape>
            <v:shape style="position:absolute;left:6457;top:203;width:279;height:269" type="#_x0000_t202" filled="false" stroked="false">
              <v:textbox inset="0,0,0,0">
                <w:txbxContent>
                  <w:p>
                    <w:pPr>
                      <w:spacing w:line="269" w:lineRule="exact" w:before="0"/>
                      <w:ind w:left="147" w:right="0" w:firstLine="0"/>
                      <w:jc w:val="left"/>
                      <w:rPr>
                        <w:rFonts w:ascii="Times New Roman"/>
                        <w:sz w:val="24"/>
                      </w:rPr>
                    </w:pPr>
                    <w:r>
                      <w:rPr>
                        <w:rFonts w:ascii="Times New Roman"/>
                        <w:w w:val="98"/>
                        <w:sz w:val="24"/>
                      </w:rPr>
                      <w:t>5</w:t>
                    </w:r>
                  </w:p>
                </w:txbxContent>
              </v:textbox>
              <w10:wrap type="none"/>
            </v:shape>
            <w10:wrap type="none"/>
          </v:group>
        </w:pict>
      </w:r>
      <w:r>
        <w:rPr>
          <w:rFonts w:ascii="Symbol" w:hAnsi="Symbol"/>
          <w:i/>
          <w:sz w:val="25"/>
        </w:rPr>
        <w:t></w:t>
      </w:r>
      <w:r>
        <w:rPr>
          <w:rFonts w:ascii="Times New Roman" w:hAnsi="Times New Roman"/>
          <w:i/>
          <w:sz w:val="25"/>
        </w:rPr>
        <w:t> </w:t>
      </w:r>
      <w:r>
        <w:rPr>
          <w:rFonts w:ascii="Times New Roman" w:hAnsi="Times New Roman"/>
          <w:i/>
          <w:position w:val="-5"/>
          <w:sz w:val="14"/>
        </w:rPr>
        <w:t>s  </w:t>
      </w:r>
      <w:r>
        <w:rPr>
          <w:rFonts w:ascii="Symbol" w:hAnsi="Symbol"/>
          <w:sz w:val="24"/>
        </w:rPr>
        <w:t></w:t>
      </w:r>
      <w:r>
        <w:rPr>
          <w:rFonts w:ascii="Times New Roman" w:hAnsi="Times New Roman"/>
          <w:sz w:val="24"/>
        </w:rPr>
        <w:t> </w:t>
      </w:r>
      <w:r>
        <w:rPr>
          <w:rFonts w:ascii="Symbol" w:hAnsi="Symbol"/>
          <w:i/>
          <w:sz w:val="25"/>
        </w:rPr>
        <w:t></w:t>
      </w:r>
      <w:r>
        <w:rPr>
          <w:rFonts w:ascii="Times New Roman" w:hAnsi="Times New Roman"/>
          <w:i/>
          <w:sz w:val="25"/>
        </w:rPr>
        <w:t> </w:t>
      </w:r>
      <w:r>
        <w:rPr>
          <w:rFonts w:ascii="Times New Roman" w:hAnsi="Times New Roman"/>
          <w:i/>
          <w:position w:val="-5"/>
          <w:sz w:val="14"/>
        </w:rPr>
        <w:t>d </w:t>
      </w:r>
      <w:r>
        <w:rPr>
          <w:rFonts w:ascii="Symbol" w:hAnsi="Symbol"/>
          <w:sz w:val="24"/>
        </w:rPr>
        <w:t></w:t>
      </w:r>
    </w:p>
    <w:p>
      <w:pPr>
        <w:spacing w:after="0"/>
        <w:jc w:val="left"/>
        <w:rPr>
          <w:rFonts w:ascii="Symbol" w:hAnsi="Symbol"/>
          <w:sz w:val="24"/>
        </w:rPr>
        <w:sectPr>
          <w:type w:val="continuous"/>
          <w:pgSz w:w="12240" w:h="15840"/>
          <w:pgMar w:top="720" w:bottom="280" w:left="1560" w:right="1560"/>
          <w:cols w:num="2" w:equalWidth="0">
            <w:col w:w="3716" w:space="40"/>
            <w:col w:w="5364"/>
          </w:cols>
        </w:sectPr>
      </w:pPr>
    </w:p>
    <w:p>
      <w:pPr>
        <w:pStyle w:val="BodyText"/>
        <w:rPr>
          <w:rFonts w:ascii="Symbol" w:hAnsi="Symbol"/>
          <w:sz w:val="18"/>
        </w:rPr>
      </w:pPr>
    </w:p>
    <w:p>
      <w:pPr>
        <w:pStyle w:val="ListParagraph"/>
        <w:numPr>
          <w:ilvl w:val="0"/>
          <w:numId w:val="10"/>
        </w:numPr>
        <w:tabs>
          <w:tab w:pos="1274" w:val="left" w:leader="none"/>
          <w:tab w:pos="1275" w:val="left" w:leader="none"/>
        </w:tabs>
        <w:spacing w:line="240" w:lineRule="auto" w:before="56" w:after="0"/>
        <w:ind w:left="1274" w:right="0" w:hanging="357"/>
        <w:jc w:val="left"/>
        <w:rPr>
          <w:sz w:val="24"/>
        </w:rPr>
      </w:pPr>
      <w:r>
        <w:rPr>
          <w:sz w:val="24"/>
        </w:rPr>
        <w:t>Conocida la volatilidad anual, la volatilidad diaria se</w:t>
      </w:r>
      <w:r>
        <w:rPr>
          <w:spacing w:val="-17"/>
          <w:sz w:val="24"/>
        </w:rPr>
        <w:t> </w:t>
      </w:r>
      <w:r>
        <w:rPr>
          <w:sz w:val="24"/>
        </w:rPr>
        <w:t>obtiene:</w:t>
      </w:r>
    </w:p>
    <w:p>
      <w:pPr>
        <w:spacing w:line="248" w:lineRule="exact" w:before="110"/>
        <w:ind w:left="465" w:right="0" w:firstLine="0"/>
        <w:jc w:val="center"/>
        <w:rPr>
          <w:rFonts w:ascii="Times New Roman" w:hAnsi="Times New Roman"/>
          <w:i/>
          <w:sz w:val="14"/>
        </w:rPr>
      </w:pPr>
      <w:r>
        <w:rPr>
          <w:rFonts w:ascii="Symbol" w:hAnsi="Symbol"/>
          <w:i/>
          <w:sz w:val="25"/>
        </w:rPr>
        <w:t></w:t>
      </w:r>
      <w:r>
        <w:rPr>
          <w:rFonts w:ascii="Times New Roman" w:hAnsi="Times New Roman"/>
          <w:i/>
          <w:sz w:val="25"/>
        </w:rPr>
        <w:t> </w:t>
      </w:r>
      <w:r>
        <w:rPr>
          <w:rFonts w:ascii="Times New Roman" w:hAnsi="Times New Roman"/>
          <w:i/>
          <w:position w:val="-5"/>
          <w:sz w:val="14"/>
        </w:rPr>
        <w:t>a</w:t>
      </w:r>
    </w:p>
    <w:p>
      <w:pPr>
        <w:spacing w:line="248" w:lineRule="exact" w:before="0"/>
        <w:ind w:left="479" w:right="1117" w:firstLine="0"/>
        <w:jc w:val="center"/>
        <w:rPr>
          <w:rFonts w:ascii="Symbol" w:hAnsi="Symbol"/>
          <w:sz w:val="24"/>
        </w:rPr>
      </w:pPr>
      <w:r>
        <w:rPr/>
        <w:pict>
          <v:group style="position:absolute;margin-left:304.908875pt;margin-top:5.070421pt;width:28.35pt;height:14.95pt;mso-position-horizontal-relative:page;mso-position-vertical-relative:paragraph;z-index:2200" coordorigin="6098,101" coordsize="567,299">
            <v:line style="position:absolute" from="6119,303" to="6154,286" stroked="true" strokeweight=".138096pt" strokecolor="#000000"/>
            <v:line style="position:absolute" from="6150,281" to="6203,377" stroked="true" strokeweight=".137796pt" strokecolor="#000000"/>
            <v:shape style="position:absolute;left:564;top:8346;width:573;height:283" coordorigin="564,8346" coordsize="573,283" path="m6208,382l6262,137m6262,136l6643,136m6100,103l6663,103e" filled="false" stroked="true" strokeweight=".137936pt" strokecolor="#000000">
              <v:path arrowok="t"/>
            </v:shape>
            <v:shape style="position:absolute;left:6098;top:102;width:567;height:299" type="#_x0000_t202" filled="false" stroked="false">
              <v:textbox inset="0,0,0,0">
                <w:txbxContent>
                  <w:p>
                    <w:pPr>
                      <w:spacing w:line="271" w:lineRule="exact" w:before="28"/>
                      <w:ind w:left="173" w:right="0" w:firstLine="0"/>
                      <w:jc w:val="left"/>
                      <w:rPr>
                        <w:rFonts w:ascii="Times New Roman"/>
                        <w:sz w:val="24"/>
                      </w:rPr>
                    </w:pPr>
                    <w:r>
                      <w:rPr>
                        <w:rFonts w:ascii="Times New Roman"/>
                        <w:sz w:val="24"/>
                      </w:rPr>
                      <w:t>252</w:t>
                    </w:r>
                  </w:p>
                </w:txbxContent>
              </v:textbox>
              <w10:wrap type="none"/>
            </v:shape>
            <w10:wrap type="none"/>
          </v:group>
        </w:pict>
      </w:r>
      <w:r>
        <w:rPr>
          <w:rFonts w:ascii="Symbol" w:hAnsi="Symbol"/>
          <w:i/>
          <w:sz w:val="25"/>
        </w:rPr>
        <w:t></w:t>
      </w:r>
      <w:r>
        <w:rPr>
          <w:rFonts w:ascii="Times New Roman" w:hAnsi="Times New Roman"/>
          <w:i/>
          <w:sz w:val="25"/>
        </w:rPr>
        <w:t> </w:t>
      </w:r>
      <w:r>
        <w:rPr>
          <w:rFonts w:ascii="Times New Roman" w:hAnsi="Times New Roman"/>
          <w:i/>
          <w:position w:val="-5"/>
          <w:sz w:val="14"/>
        </w:rPr>
        <w:t>d  </w:t>
      </w:r>
      <w:r>
        <w:rPr>
          <w:rFonts w:ascii="Symbol" w:hAnsi="Symbol"/>
          <w:sz w:val="24"/>
        </w:rPr>
        <w:t></w:t>
      </w:r>
    </w:p>
    <w:p>
      <w:pPr>
        <w:pStyle w:val="BodyText"/>
        <w:rPr>
          <w:rFonts w:ascii="Symbol" w:hAnsi="Symbol"/>
          <w:sz w:val="20"/>
        </w:rPr>
      </w:pPr>
    </w:p>
    <w:p>
      <w:pPr>
        <w:pStyle w:val="BodyText"/>
        <w:spacing w:before="7"/>
        <w:rPr>
          <w:rFonts w:ascii="Symbol" w:hAnsi="Symbol"/>
          <w:sz w:val="27"/>
        </w:rPr>
      </w:pPr>
    </w:p>
    <w:p>
      <w:pPr>
        <w:pStyle w:val="ListParagraph"/>
        <w:numPr>
          <w:ilvl w:val="1"/>
          <w:numId w:val="8"/>
        </w:numPr>
        <w:tabs>
          <w:tab w:pos="596" w:val="left" w:leader="none"/>
        </w:tabs>
        <w:spacing w:line="240" w:lineRule="auto" w:before="78" w:after="0"/>
        <w:ind w:left="595" w:right="0" w:hanging="453"/>
        <w:jc w:val="left"/>
        <w:rPr>
          <w:b/>
          <w:sz w:val="18"/>
        </w:rPr>
      </w:pPr>
      <w:bookmarkStart w:name="_bookmark16" w:id="29"/>
      <w:bookmarkEnd w:id="29"/>
      <w:r>
        <w:rPr/>
      </w:r>
      <w:bookmarkStart w:name="_bookmark16" w:id="30"/>
      <w:bookmarkEnd w:id="30"/>
      <w:r>
        <w:rPr>
          <w:b/>
          <w:sz w:val="28"/>
        </w:rPr>
        <w:t>T</w:t>
      </w:r>
      <w:r>
        <w:rPr>
          <w:b/>
          <w:sz w:val="22"/>
        </w:rPr>
        <w:t>EORÍA DE LA</w:t>
      </w:r>
      <w:r>
        <w:rPr>
          <w:b/>
          <w:spacing w:val="-12"/>
          <w:sz w:val="22"/>
        </w:rPr>
        <w:t> </w:t>
      </w:r>
      <w:r>
        <w:rPr>
          <w:b/>
          <w:sz w:val="22"/>
        </w:rPr>
        <w:t>CARTERA</w:t>
      </w:r>
      <w:r>
        <w:rPr>
          <w:b/>
          <w:position w:val="10"/>
          <w:sz w:val="18"/>
        </w:rPr>
        <w:t>25</w:t>
      </w:r>
    </w:p>
    <w:p>
      <w:pPr>
        <w:pStyle w:val="Heading3"/>
        <w:spacing w:before="239"/>
      </w:pPr>
      <w:r>
        <w:rPr/>
        <w:t>Conceptos generales</w:t>
      </w:r>
    </w:p>
    <w:p>
      <w:pPr>
        <w:pStyle w:val="BodyText"/>
        <w:spacing w:line="360" w:lineRule="auto" w:before="62"/>
        <w:ind w:left="142" w:right="143" w:firstLine="707"/>
        <w:jc w:val="both"/>
      </w:pPr>
      <w:r>
        <w:rPr/>
        <w:t>Consiste en conformar un portafolio con diferentes activos (bonos,</w:t>
      </w:r>
      <w:r>
        <w:rPr>
          <w:spacing w:val="-36"/>
        </w:rPr>
        <w:t> </w:t>
      </w:r>
      <w:r>
        <w:rPr/>
        <w:t>acciones, derivados,</w:t>
      </w:r>
      <w:r>
        <w:rPr>
          <w:spacing w:val="-8"/>
        </w:rPr>
        <w:t> </w:t>
      </w:r>
      <w:r>
        <w:rPr/>
        <w:t>etcétera.).</w:t>
      </w:r>
    </w:p>
    <w:p>
      <w:pPr>
        <w:pStyle w:val="BodyText"/>
        <w:spacing w:line="360" w:lineRule="auto" w:before="5"/>
        <w:ind w:left="142" w:right="147" w:firstLine="707"/>
        <w:jc w:val="both"/>
      </w:pPr>
      <w:r>
        <w:rPr/>
        <w:t>La teoría de la cartera se define como el análisis cuantitativo de la administración óptima del riesgo.</w:t>
      </w:r>
    </w:p>
    <w:p>
      <w:pPr>
        <w:pStyle w:val="BodyText"/>
        <w:spacing w:line="360" w:lineRule="auto" w:before="5"/>
        <w:ind w:left="142" w:right="144" w:firstLine="707"/>
        <w:jc w:val="both"/>
      </w:pPr>
      <w:r>
        <w:rPr/>
        <w:t>La</w:t>
      </w:r>
      <w:r>
        <w:rPr>
          <w:spacing w:val="-16"/>
        </w:rPr>
        <w:t> </w:t>
      </w:r>
      <w:r>
        <w:rPr/>
        <w:t>aplicación</w:t>
      </w:r>
      <w:r>
        <w:rPr>
          <w:spacing w:val="-18"/>
        </w:rPr>
        <w:t> </w:t>
      </w:r>
      <w:r>
        <w:rPr/>
        <w:t>de</w:t>
      </w:r>
      <w:r>
        <w:rPr>
          <w:spacing w:val="-16"/>
        </w:rPr>
        <w:t> </w:t>
      </w:r>
      <w:r>
        <w:rPr/>
        <w:t>la</w:t>
      </w:r>
      <w:r>
        <w:rPr>
          <w:spacing w:val="-16"/>
        </w:rPr>
        <w:t> </w:t>
      </w:r>
      <w:r>
        <w:rPr/>
        <w:t>teoría</w:t>
      </w:r>
      <w:r>
        <w:rPr>
          <w:spacing w:val="-16"/>
        </w:rPr>
        <w:t> </w:t>
      </w:r>
      <w:r>
        <w:rPr/>
        <w:t>de</w:t>
      </w:r>
      <w:r>
        <w:rPr>
          <w:spacing w:val="-16"/>
        </w:rPr>
        <w:t> </w:t>
      </w:r>
      <w:r>
        <w:rPr/>
        <w:t>la</w:t>
      </w:r>
      <w:r>
        <w:rPr>
          <w:spacing w:val="-16"/>
        </w:rPr>
        <w:t> </w:t>
      </w:r>
      <w:r>
        <w:rPr/>
        <w:t>cartera</w:t>
      </w:r>
      <w:r>
        <w:rPr>
          <w:spacing w:val="-19"/>
        </w:rPr>
        <w:t> </w:t>
      </w:r>
      <w:r>
        <w:rPr/>
        <w:t>consiste</w:t>
      </w:r>
      <w:r>
        <w:rPr>
          <w:spacing w:val="-16"/>
        </w:rPr>
        <w:t> </w:t>
      </w:r>
      <w:r>
        <w:rPr/>
        <w:t>en</w:t>
      </w:r>
      <w:r>
        <w:rPr>
          <w:spacing w:val="-16"/>
        </w:rPr>
        <w:t> </w:t>
      </w:r>
      <w:r>
        <w:rPr/>
        <w:t>la</w:t>
      </w:r>
      <w:r>
        <w:rPr>
          <w:spacing w:val="-21"/>
        </w:rPr>
        <w:t> </w:t>
      </w:r>
      <w:r>
        <w:rPr/>
        <w:t>formulación</w:t>
      </w:r>
      <w:r>
        <w:rPr>
          <w:spacing w:val="-16"/>
        </w:rPr>
        <w:t> </w:t>
      </w:r>
      <w:r>
        <w:rPr/>
        <w:t>y</w:t>
      </w:r>
      <w:r>
        <w:rPr>
          <w:spacing w:val="-19"/>
        </w:rPr>
        <w:t> </w:t>
      </w:r>
      <w:r>
        <w:rPr/>
        <w:t>evaluación de las compensaciones entre los beneficios y los costos de la reducción del riesgo con el propósito de encontrar la acción óptima a</w:t>
      </w:r>
      <w:r>
        <w:rPr>
          <w:spacing w:val="-25"/>
        </w:rPr>
        <w:t> </w:t>
      </w:r>
      <w:r>
        <w:rPr/>
        <w:t>seguir.</w:t>
      </w:r>
    </w:p>
    <w:p>
      <w:pPr>
        <w:pStyle w:val="BodyText"/>
        <w:spacing w:line="360" w:lineRule="auto" w:before="3"/>
        <w:ind w:left="142" w:right="144" w:firstLine="707"/>
        <w:jc w:val="both"/>
      </w:pPr>
      <w:r>
        <w:rPr/>
        <w:t>La teoría de la cartera aborda el problema de cómo elegir entre alternativas financieras para maximizar las preferencias. En general, la elección óptima implica</w:t>
      </w: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1864;mso-wrap-distance-left:0;mso-wrap-distance-right:0" from="85.103996pt,11.855866pt" to="229.123996pt,11.855866pt" stroked="true" strokeweight=".599980pt" strokecolor="#000000">
            <w10:wrap type="topAndBottom"/>
          </v:line>
        </w:pict>
      </w:r>
    </w:p>
    <w:p>
      <w:pPr>
        <w:spacing w:before="78"/>
        <w:ind w:left="142" w:right="673" w:firstLine="0"/>
        <w:jc w:val="left"/>
        <w:rPr>
          <w:sz w:val="20"/>
        </w:rPr>
      </w:pPr>
      <w:r>
        <w:rPr>
          <w:position w:val="6"/>
          <w:sz w:val="13"/>
        </w:rPr>
        <w:t>25 </w:t>
      </w:r>
      <w:r>
        <w:rPr>
          <w:sz w:val="20"/>
        </w:rPr>
        <w:t>La diversificación puede tomar perfiles tan complejos como el incluir en el portafolio no sólo distintas emisiones del mismo tipo de activo (acciones de diversos sectores económicos, por ejemplo), diferentes activos (distintas emisiones de bonos cuponados, acciones, derivados, etcétera.), sino diversificar incluso el riesgo país diseñando un portafolio internacional.</w:t>
      </w:r>
    </w:p>
    <w:p>
      <w:pPr>
        <w:spacing w:after="0"/>
        <w:jc w:val="left"/>
        <w:rPr>
          <w:sz w:val="20"/>
        </w:rPr>
        <w:sectPr>
          <w:type w:val="continuous"/>
          <w:pgSz w:w="12240" w:h="15840"/>
          <w:pgMar w:top="720" w:bottom="280" w:left="1560" w:right="1560"/>
        </w:sectPr>
      </w:pPr>
    </w:p>
    <w:p>
      <w:pPr>
        <w:pStyle w:val="BodyText"/>
        <w:rPr>
          <w:sz w:val="20"/>
        </w:rPr>
      </w:pPr>
    </w:p>
    <w:p>
      <w:pPr>
        <w:pStyle w:val="BodyText"/>
        <w:rPr>
          <w:sz w:val="16"/>
        </w:rPr>
      </w:pPr>
    </w:p>
    <w:p>
      <w:pPr>
        <w:pStyle w:val="BodyText"/>
        <w:spacing w:line="360" w:lineRule="auto" w:before="70"/>
        <w:ind w:left="142"/>
      </w:pPr>
      <w:r>
        <w:rPr/>
        <w:t>evaluar</w:t>
      </w:r>
      <w:r>
        <w:rPr>
          <w:spacing w:val="-10"/>
        </w:rPr>
        <w:t> </w:t>
      </w:r>
      <w:r>
        <w:rPr/>
        <w:t>las</w:t>
      </w:r>
      <w:r>
        <w:rPr>
          <w:spacing w:val="-9"/>
        </w:rPr>
        <w:t> </w:t>
      </w:r>
      <w:r>
        <w:rPr/>
        <w:t>compensaciones</w:t>
      </w:r>
      <w:r>
        <w:rPr>
          <w:spacing w:val="-12"/>
        </w:rPr>
        <w:t> </w:t>
      </w:r>
      <w:r>
        <w:rPr/>
        <w:t>entre</w:t>
      </w:r>
      <w:r>
        <w:rPr>
          <w:spacing w:val="-11"/>
        </w:rPr>
        <w:t> </w:t>
      </w:r>
      <w:r>
        <w:rPr/>
        <w:t>recibir</w:t>
      </w:r>
      <w:r>
        <w:rPr>
          <w:spacing w:val="-13"/>
        </w:rPr>
        <w:t> </w:t>
      </w:r>
      <w:r>
        <w:rPr/>
        <w:t>un</w:t>
      </w:r>
      <w:r>
        <w:rPr>
          <w:spacing w:val="-8"/>
        </w:rPr>
        <w:t> </w:t>
      </w:r>
      <w:r>
        <w:rPr/>
        <w:t>rendimiento</w:t>
      </w:r>
      <w:r>
        <w:rPr>
          <w:spacing w:val="-11"/>
        </w:rPr>
        <w:t> </w:t>
      </w:r>
      <w:r>
        <w:rPr/>
        <w:t>esperado</w:t>
      </w:r>
      <w:r>
        <w:rPr>
          <w:spacing w:val="-13"/>
        </w:rPr>
        <w:t> </w:t>
      </w:r>
      <w:r>
        <w:rPr/>
        <w:t>más</w:t>
      </w:r>
      <w:r>
        <w:rPr>
          <w:spacing w:val="-12"/>
        </w:rPr>
        <w:t> </w:t>
      </w:r>
      <w:r>
        <w:rPr/>
        <w:t>alto</w:t>
      </w:r>
      <w:r>
        <w:rPr>
          <w:spacing w:val="-11"/>
        </w:rPr>
        <w:t> </w:t>
      </w:r>
      <w:r>
        <w:rPr/>
        <w:t>y</w:t>
      </w:r>
      <w:r>
        <w:rPr>
          <w:spacing w:val="-12"/>
        </w:rPr>
        <w:t> </w:t>
      </w:r>
      <w:r>
        <w:rPr/>
        <w:t>tomar un riesgo</w:t>
      </w:r>
      <w:r>
        <w:rPr>
          <w:spacing w:val="-7"/>
        </w:rPr>
        <w:t> </w:t>
      </w:r>
      <w:r>
        <w:rPr/>
        <w:t>mayor.</w:t>
      </w:r>
    </w:p>
    <w:p>
      <w:pPr>
        <w:pStyle w:val="BodyText"/>
        <w:spacing w:line="360" w:lineRule="auto" w:before="2"/>
        <w:ind w:left="142" w:right="138" w:firstLine="707"/>
        <w:jc w:val="both"/>
      </w:pPr>
      <w:r>
        <w:rPr/>
        <w:t>Los primeros modelos formales de la teoría de la cartera se crearon para tratar esta clase de decisión de administración del riesgo.</w:t>
      </w:r>
      <w:r>
        <w:rPr>
          <w:position w:val="8"/>
          <w:sz w:val="16"/>
        </w:rPr>
        <w:t>26 </w:t>
      </w:r>
      <w:r>
        <w:rPr/>
        <w:t>Estos modelos usan distribuciones de probabilidades para cuantificar la compensación entre riesgo y rendimiento esperado. El rendimiento esperado de una cartera de activos se identifica con la media de la distribución, y su riesgo, con la desviación estándar.</w:t>
      </w:r>
    </w:p>
    <w:p>
      <w:pPr>
        <w:pStyle w:val="BodyText"/>
        <w:spacing w:line="355" w:lineRule="auto" w:before="5"/>
        <w:ind w:left="142" w:right="146" w:firstLine="707"/>
        <w:jc w:val="both"/>
      </w:pPr>
      <w:r>
        <w:rPr/>
        <w:t>Sin embargo, se debe considerar que no hay una estrategia única de selección de cartera que se ajuste a todo el mundo</w:t>
      </w:r>
      <w:r>
        <w:rPr>
          <w:position w:val="8"/>
          <w:sz w:val="16"/>
        </w:rPr>
        <w:t>27</w:t>
      </w:r>
      <w:r>
        <w:rPr/>
        <w:t>, toda vez que</w:t>
      </w:r>
    </w:p>
    <w:p>
      <w:pPr>
        <w:pStyle w:val="ListParagraph"/>
        <w:numPr>
          <w:ilvl w:val="2"/>
          <w:numId w:val="8"/>
        </w:numPr>
        <w:tabs>
          <w:tab w:pos="1275" w:val="left" w:leader="none"/>
        </w:tabs>
        <w:spacing w:line="350" w:lineRule="auto" w:before="7" w:after="0"/>
        <w:ind w:left="1274" w:right="144" w:hanging="357"/>
        <w:jc w:val="both"/>
        <w:rPr>
          <w:sz w:val="24"/>
        </w:rPr>
      </w:pPr>
      <w:r>
        <w:rPr>
          <w:sz w:val="24"/>
        </w:rPr>
        <w:t>La etapa en el ciclo de vida es un determinante importante en la composición óptima de la cartera de activos y pasivos de una</w:t>
      </w:r>
      <w:r>
        <w:rPr>
          <w:spacing w:val="-28"/>
          <w:sz w:val="24"/>
        </w:rPr>
        <w:t> </w:t>
      </w:r>
      <w:r>
        <w:rPr>
          <w:sz w:val="24"/>
        </w:rPr>
        <w:t>persona.</w:t>
      </w:r>
    </w:p>
    <w:p>
      <w:pPr>
        <w:pStyle w:val="ListParagraph"/>
        <w:numPr>
          <w:ilvl w:val="2"/>
          <w:numId w:val="8"/>
        </w:numPr>
        <w:tabs>
          <w:tab w:pos="1275" w:val="left" w:leader="none"/>
        </w:tabs>
        <w:spacing w:line="355" w:lineRule="auto" w:before="14" w:after="0"/>
        <w:ind w:left="1274" w:right="137" w:hanging="357"/>
        <w:jc w:val="both"/>
        <w:rPr>
          <w:sz w:val="24"/>
        </w:rPr>
      </w:pPr>
      <w:r>
        <w:rPr>
          <w:sz w:val="24"/>
        </w:rPr>
        <w:t>Los horizontes de tiempo son importantes en la selección de cartera. Distinguimos tres horizontes de tiempo: el horizonte de planeación, el</w:t>
      </w:r>
      <w:r>
        <w:rPr>
          <w:spacing w:val="-46"/>
          <w:sz w:val="24"/>
        </w:rPr>
        <w:t> </w:t>
      </w:r>
      <w:r>
        <w:rPr>
          <w:sz w:val="24"/>
        </w:rPr>
        <w:t>de decisión y el de</w:t>
      </w:r>
      <w:r>
        <w:rPr>
          <w:spacing w:val="-8"/>
          <w:sz w:val="24"/>
        </w:rPr>
        <w:t> </w:t>
      </w:r>
      <w:r>
        <w:rPr>
          <w:sz w:val="24"/>
        </w:rPr>
        <w:t>negociación.</w:t>
      </w:r>
    </w:p>
    <w:p>
      <w:pPr>
        <w:pStyle w:val="ListParagraph"/>
        <w:numPr>
          <w:ilvl w:val="2"/>
          <w:numId w:val="8"/>
        </w:numPr>
        <w:tabs>
          <w:tab w:pos="1275" w:val="left" w:leader="none"/>
        </w:tabs>
        <w:spacing w:line="355" w:lineRule="auto" w:before="8" w:after="0"/>
        <w:ind w:left="1274" w:right="144" w:hanging="357"/>
        <w:jc w:val="both"/>
        <w:rPr>
          <w:sz w:val="24"/>
        </w:rPr>
      </w:pPr>
      <w:r>
        <w:rPr>
          <w:sz w:val="24"/>
        </w:rPr>
        <w:t>Para tomar decisiones sobre la selección de cartera, la gente en</w:t>
      </w:r>
      <w:r>
        <w:rPr>
          <w:spacing w:val="-31"/>
          <w:sz w:val="24"/>
        </w:rPr>
        <w:t> </w:t>
      </w:r>
      <w:r>
        <w:rPr>
          <w:sz w:val="24"/>
        </w:rPr>
        <w:t>general puede lograr una tasa de rendimiento esperada más alta sólo exponiéndose a un riesgo</w:t>
      </w:r>
      <w:r>
        <w:rPr>
          <w:spacing w:val="-15"/>
          <w:sz w:val="24"/>
        </w:rPr>
        <w:t> </w:t>
      </w:r>
      <w:r>
        <w:rPr>
          <w:sz w:val="24"/>
        </w:rPr>
        <w:t>mayor.</w:t>
      </w:r>
    </w:p>
    <w:p>
      <w:pPr>
        <w:pStyle w:val="ListParagraph"/>
        <w:numPr>
          <w:ilvl w:val="2"/>
          <w:numId w:val="8"/>
        </w:numPr>
        <w:tabs>
          <w:tab w:pos="1275" w:val="left" w:leader="none"/>
        </w:tabs>
        <w:spacing w:line="355" w:lineRule="auto" w:before="11" w:after="0"/>
        <w:ind w:left="1274" w:right="138" w:hanging="357"/>
        <w:jc w:val="both"/>
        <w:rPr>
          <w:sz w:val="24"/>
        </w:rPr>
      </w:pPr>
      <w:r>
        <w:rPr>
          <w:sz w:val="24"/>
        </w:rPr>
        <w:t>A veces podemos reducir el riesgo sin reducir el rendimiento esperado mediante una diversificación más completa, ya sea dentro de una clase dada de activo o a través de clases de</w:t>
      </w:r>
      <w:r>
        <w:rPr>
          <w:spacing w:val="-18"/>
          <w:sz w:val="24"/>
        </w:rPr>
        <w:t> </w:t>
      </w:r>
      <w:r>
        <w:rPr>
          <w:sz w:val="24"/>
        </w:rPr>
        <w:t>activos.</w:t>
      </w:r>
    </w:p>
    <w:p>
      <w:pPr>
        <w:pStyle w:val="ListParagraph"/>
        <w:numPr>
          <w:ilvl w:val="2"/>
          <w:numId w:val="8"/>
        </w:numPr>
        <w:tabs>
          <w:tab w:pos="1275" w:val="left" w:leader="none"/>
        </w:tabs>
        <w:spacing w:line="357" w:lineRule="auto" w:before="11" w:after="0"/>
        <w:ind w:left="1274" w:right="139" w:hanging="357"/>
        <w:jc w:val="both"/>
        <w:rPr>
          <w:sz w:val="24"/>
        </w:rPr>
      </w:pPr>
      <w:r>
        <w:rPr>
          <w:sz w:val="24"/>
        </w:rPr>
        <w:t>El</w:t>
      </w:r>
      <w:r>
        <w:rPr>
          <w:spacing w:val="-10"/>
          <w:sz w:val="24"/>
        </w:rPr>
        <w:t> </w:t>
      </w:r>
      <w:r>
        <w:rPr>
          <w:sz w:val="24"/>
        </w:rPr>
        <w:t>poder</w:t>
      </w:r>
      <w:r>
        <w:rPr>
          <w:spacing w:val="-10"/>
          <w:sz w:val="24"/>
        </w:rPr>
        <w:t> </w:t>
      </w:r>
      <w:r>
        <w:rPr>
          <w:sz w:val="24"/>
        </w:rPr>
        <w:t>de</w:t>
      </w:r>
      <w:r>
        <w:rPr>
          <w:spacing w:val="-8"/>
          <w:sz w:val="24"/>
        </w:rPr>
        <w:t> </w:t>
      </w:r>
      <w:r>
        <w:rPr>
          <w:sz w:val="24"/>
        </w:rPr>
        <w:t>la</w:t>
      </w:r>
      <w:r>
        <w:rPr>
          <w:spacing w:val="-11"/>
          <w:sz w:val="24"/>
        </w:rPr>
        <w:t> </w:t>
      </w:r>
      <w:r>
        <w:rPr>
          <w:sz w:val="24"/>
        </w:rPr>
        <w:t>diversificación</w:t>
      </w:r>
      <w:r>
        <w:rPr>
          <w:spacing w:val="-8"/>
          <w:sz w:val="24"/>
        </w:rPr>
        <w:t> </w:t>
      </w:r>
      <w:r>
        <w:rPr>
          <w:sz w:val="24"/>
        </w:rPr>
        <w:t>para</w:t>
      </w:r>
      <w:r>
        <w:rPr>
          <w:spacing w:val="-9"/>
          <w:sz w:val="24"/>
        </w:rPr>
        <w:t> </w:t>
      </w:r>
      <w:r>
        <w:rPr>
          <w:sz w:val="24"/>
        </w:rPr>
        <w:t>reducir</w:t>
      </w:r>
      <w:r>
        <w:rPr>
          <w:spacing w:val="-10"/>
          <w:sz w:val="24"/>
        </w:rPr>
        <w:t> </w:t>
      </w:r>
      <w:r>
        <w:rPr>
          <w:sz w:val="24"/>
        </w:rPr>
        <w:t>el</w:t>
      </w:r>
      <w:r>
        <w:rPr>
          <w:spacing w:val="-10"/>
          <w:sz w:val="24"/>
        </w:rPr>
        <w:t> </w:t>
      </w:r>
      <w:r>
        <w:rPr>
          <w:sz w:val="24"/>
        </w:rPr>
        <w:t>grado</w:t>
      </w:r>
      <w:r>
        <w:rPr>
          <w:spacing w:val="-11"/>
          <w:sz w:val="24"/>
        </w:rPr>
        <w:t> </w:t>
      </w:r>
      <w:r>
        <w:rPr>
          <w:sz w:val="24"/>
        </w:rPr>
        <w:t>de</w:t>
      </w:r>
      <w:r>
        <w:rPr>
          <w:spacing w:val="-8"/>
          <w:sz w:val="24"/>
        </w:rPr>
        <w:t> </w:t>
      </w:r>
      <w:r>
        <w:rPr>
          <w:sz w:val="24"/>
        </w:rPr>
        <w:t>riesgo</w:t>
      </w:r>
      <w:r>
        <w:rPr>
          <w:spacing w:val="-8"/>
          <w:sz w:val="24"/>
        </w:rPr>
        <w:t> </w:t>
      </w:r>
      <w:r>
        <w:rPr>
          <w:sz w:val="24"/>
        </w:rPr>
        <w:t>de</w:t>
      </w:r>
      <w:r>
        <w:rPr>
          <w:spacing w:val="-8"/>
          <w:sz w:val="24"/>
        </w:rPr>
        <w:t> </w:t>
      </w:r>
      <w:r>
        <w:rPr>
          <w:sz w:val="24"/>
        </w:rPr>
        <w:t>la</w:t>
      </w:r>
      <w:r>
        <w:rPr>
          <w:spacing w:val="-9"/>
          <w:sz w:val="24"/>
        </w:rPr>
        <w:t> </w:t>
      </w:r>
      <w:r>
        <w:rPr>
          <w:sz w:val="24"/>
        </w:rPr>
        <w:t>cartera de un inversionista depende de las correlaciones entre los activos que constituyen</w:t>
      </w:r>
      <w:r>
        <w:rPr>
          <w:spacing w:val="-13"/>
          <w:sz w:val="24"/>
        </w:rPr>
        <w:t> </w:t>
      </w:r>
      <w:r>
        <w:rPr>
          <w:sz w:val="24"/>
        </w:rPr>
        <w:t>la</w:t>
      </w:r>
      <w:r>
        <w:rPr>
          <w:spacing w:val="-13"/>
          <w:sz w:val="24"/>
        </w:rPr>
        <w:t> </w:t>
      </w:r>
      <w:r>
        <w:rPr>
          <w:sz w:val="24"/>
        </w:rPr>
        <w:t>cartera.</w:t>
      </w:r>
      <w:r>
        <w:rPr>
          <w:spacing w:val="-16"/>
          <w:sz w:val="24"/>
        </w:rPr>
        <w:t> </w:t>
      </w:r>
      <w:r>
        <w:rPr>
          <w:sz w:val="24"/>
        </w:rPr>
        <w:t>En</w:t>
      </w:r>
      <w:r>
        <w:rPr>
          <w:spacing w:val="-13"/>
          <w:sz w:val="24"/>
        </w:rPr>
        <w:t> </w:t>
      </w:r>
      <w:r>
        <w:rPr>
          <w:sz w:val="24"/>
        </w:rPr>
        <w:t>la</w:t>
      </w:r>
      <w:r>
        <w:rPr>
          <w:spacing w:val="-13"/>
          <w:sz w:val="24"/>
        </w:rPr>
        <w:t> </w:t>
      </w:r>
      <w:r>
        <w:rPr>
          <w:sz w:val="24"/>
        </w:rPr>
        <w:t>práctica,</w:t>
      </w:r>
      <w:r>
        <w:rPr>
          <w:spacing w:val="-13"/>
          <w:sz w:val="24"/>
        </w:rPr>
        <w:t> </w:t>
      </w:r>
      <w:r>
        <w:rPr>
          <w:sz w:val="24"/>
        </w:rPr>
        <w:t>la</w:t>
      </w:r>
      <w:r>
        <w:rPr>
          <w:spacing w:val="-13"/>
          <w:sz w:val="24"/>
        </w:rPr>
        <w:t> </w:t>
      </w:r>
      <w:r>
        <w:rPr>
          <w:sz w:val="24"/>
        </w:rPr>
        <w:t>gran</w:t>
      </w:r>
      <w:r>
        <w:rPr>
          <w:spacing w:val="-15"/>
          <w:sz w:val="24"/>
        </w:rPr>
        <w:t> </w:t>
      </w:r>
      <w:r>
        <w:rPr>
          <w:sz w:val="24"/>
        </w:rPr>
        <w:t>mayoría</w:t>
      </w:r>
      <w:r>
        <w:rPr>
          <w:spacing w:val="-13"/>
          <w:sz w:val="24"/>
        </w:rPr>
        <w:t> </w:t>
      </w:r>
      <w:r>
        <w:rPr>
          <w:sz w:val="24"/>
        </w:rPr>
        <w:t>de</w:t>
      </w:r>
      <w:r>
        <w:rPr>
          <w:spacing w:val="-13"/>
          <w:sz w:val="24"/>
        </w:rPr>
        <w:t> </w:t>
      </w:r>
      <w:r>
        <w:rPr>
          <w:sz w:val="24"/>
        </w:rPr>
        <w:t>los</w:t>
      </w:r>
      <w:r>
        <w:rPr>
          <w:spacing w:val="-13"/>
          <w:sz w:val="24"/>
        </w:rPr>
        <w:t> </w:t>
      </w:r>
      <w:r>
        <w:rPr>
          <w:sz w:val="24"/>
        </w:rPr>
        <w:t>activos</w:t>
      </w:r>
      <w:r>
        <w:rPr>
          <w:spacing w:val="-16"/>
          <w:sz w:val="24"/>
        </w:rPr>
        <w:t> </w:t>
      </w:r>
      <w:r>
        <w:rPr>
          <w:sz w:val="24"/>
        </w:rPr>
        <w:t>están correlacionados positivamente entre sí porque a todos les afectan los factores económicos comunes. En consecuencia, es limitada la   </w:t>
      </w:r>
      <w:r>
        <w:rPr>
          <w:spacing w:val="3"/>
          <w:sz w:val="24"/>
        </w:rPr>
        <w:t> </w:t>
      </w:r>
      <w:r>
        <w:rPr>
          <w:sz w:val="24"/>
        </w:rPr>
        <w:t>propia</w:t>
      </w:r>
    </w:p>
    <w:p>
      <w:pPr>
        <w:pStyle w:val="BodyText"/>
        <w:rPr>
          <w:sz w:val="20"/>
        </w:rPr>
      </w:pPr>
    </w:p>
    <w:p>
      <w:pPr>
        <w:pStyle w:val="BodyText"/>
        <w:rPr>
          <w:sz w:val="20"/>
        </w:rPr>
      </w:pPr>
    </w:p>
    <w:p>
      <w:pPr>
        <w:pStyle w:val="BodyText"/>
        <w:spacing w:before="2"/>
        <w:rPr>
          <w:sz w:val="28"/>
        </w:rPr>
      </w:pPr>
      <w:r>
        <w:rPr/>
        <w:pict>
          <v:line style="position:absolute;mso-position-horizontal-relative:page;mso-position-vertical-relative:paragraph;z-index:2224;mso-wrap-distance-left:0;mso-wrap-distance-right:0" from="85.103996pt,18.469938pt" to="229.123996pt,18.469938pt" stroked="true" strokeweight=".599980pt" strokecolor="#000000">
            <w10:wrap type="topAndBottom"/>
          </v:line>
        </w:pict>
      </w:r>
    </w:p>
    <w:p>
      <w:pPr>
        <w:spacing w:before="78"/>
        <w:ind w:left="142" w:right="573" w:firstLine="0"/>
        <w:jc w:val="left"/>
        <w:rPr>
          <w:sz w:val="20"/>
        </w:rPr>
      </w:pPr>
      <w:r>
        <w:rPr>
          <w:position w:val="6"/>
          <w:sz w:val="13"/>
        </w:rPr>
        <w:t>26 </w:t>
      </w:r>
      <w:r>
        <w:rPr>
          <w:sz w:val="20"/>
        </w:rPr>
        <w:t>Este modelo está relacionado con el nombre de su precursor, Harry Markowitz, cuyo artículo original y de gran influencia "Portfolio Selection" se publicó en el Journal of Finance en 1952.</w:t>
      </w:r>
    </w:p>
    <w:p>
      <w:pPr>
        <w:spacing w:before="0"/>
        <w:ind w:left="142" w:right="227" w:firstLine="0"/>
        <w:jc w:val="left"/>
        <w:rPr>
          <w:sz w:val="20"/>
        </w:rPr>
      </w:pPr>
      <w:r>
        <w:rPr>
          <w:position w:val="6"/>
          <w:sz w:val="13"/>
        </w:rPr>
        <w:t>27 </w:t>
      </w:r>
      <w:r>
        <w:rPr>
          <w:sz w:val="20"/>
        </w:rPr>
        <w:t>La cartera del patrimonio de una persona incluye todos sus activos (acciones, bonos, acciones en empresas, casas o departamentos, beneficios de pensión, pólizas de seguro, etcétera) y todos sus pasivos (préstamos estudiantiles, préstamos para automóvil, hipotecas sobre la casa, etcétera).</w:t>
      </w:r>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274" w:right="157"/>
      </w:pPr>
      <w:r>
        <w:rPr/>
        <w:t>capacidad para reducir el riesgo a través de la diversificación entre activos riesgosos sin reducir el rendimiento esperado.</w:t>
      </w:r>
    </w:p>
    <w:p>
      <w:pPr>
        <w:pStyle w:val="ListParagraph"/>
        <w:numPr>
          <w:ilvl w:val="2"/>
          <w:numId w:val="8"/>
        </w:numPr>
        <w:tabs>
          <w:tab w:pos="1275" w:val="left" w:leader="none"/>
        </w:tabs>
        <w:spacing w:line="357" w:lineRule="auto" w:before="3" w:after="0"/>
        <w:ind w:left="1274" w:right="134" w:hanging="357"/>
        <w:jc w:val="both"/>
        <w:rPr>
          <w:sz w:val="24"/>
        </w:rPr>
      </w:pPr>
      <w:r>
        <w:rPr>
          <w:sz w:val="24"/>
        </w:rPr>
        <w:t>Aunque en principio la gente tiene miles de activos para elegir, en la práctica</w:t>
      </w:r>
      <w:r>
        <w:rPr>
          <w:spacing w:val="-15"/>
          <w:sz w:val="24"/>
        </w:rPr>
        <w:t> </w:t>
      </w:r>
      <w:r>
        <w:rPr>
          <w:sz w:val="24"/>
        </w:rPr>
        <w:t>eligen</w:t>
      </w:r>
      <w:r>
        <w:rPr>
          <w:spacing w:val="-13"/>
          <w:sz w:val="24"/>
        </w:rPr>
        <w:t> </w:t>
      </w:r>
      <w:r>
        <w:rPr>
          <w:sz w:val="24"/>
        </w:rPr>
        <w:t>de</w:t>
      </w:r>
      <w:r>
        <w:rPr>
          <w:spacing w:val="-15"/>
          <w:sz w:val="24"/>
        </w:rPr>
        <w:t> </w:t>
      </w:r>
      <w:r>
        <w:rPr>
          <w:sz w:val="24"/>
        </w:rPr>
        <w:t>un</w:t>
      </w:r>
      <w:r>
        <w:rPr>
          <w:spacing w:val="-14"/>
          <w:sz w:val="24"/>
        </w:rPr>
        <w:t> </w:t>
      </w:r>
      <w:r>
        <w:rPr>
          <w:sz w:val="24"/>
        </w:rPr>
        <w:t>menú</w:t>
      </w:r>
      <w:r>
        <w:rPr>
          <w:spacing w:val="-14"/>
          <w:sz w:val="24"/>
        </w:rPr>
        <w:t> </w:t>
      </w:r>
      <w:r>
        <w:rPr>
          <w:sz w:val="24"/>
        </w:rPr>
        <w:t>de</w:t>
      </w:r>
      <w:r>
        <w:rPr>
          <w:spacing w:val="-14"/>
          <w:sz w:val="24"/>
        </w:rPr>
        <w:t> </w:t>
      </w:r>
      <w:r>
        <w:rPr>
          <w:sz w:val="24"/>
        </w:rPr>
        <w:t>unos</w:t>
      </w:r>
      <w:r>
        <w:rPr>
          <w:spacing w:val="-15"/>
          <w:sz w:val="24"/>
        </w:rPr>
        <w:t> </w:t>
      </w:r>
      <w:r>
        <w:rPr>
          <w:sz w:val="24"/>
        </w:rPr>
        <w:t>pocos</w:t>
      </w:r>
      <w:r>
        <w:rPr>
          <w:spacing w:val="-15"/>
          <w:sz w:val="24"/>
        </w:rPr>
        <w:t> </w:t>
      </w:r>
      <w:r>
        <w:rPr>
          <w:sz w:val="24"/>
        </w:rPr>
        <w:t>productos</w:t>
      </w:r>
      <w:r>
        <w:rPr>
          <w:spacing w:val="-18"/>
          <w:sz w:val="24"/>
        </w:rPr>
        <w:t> </w:t>
      </w:r>
      <w:r>
        <w:rPr>
          <w:sz w:val="24"/>
        </w:rPr>
        <w:t>finales</w:t>
      </w:r>
      <w:r>
        <w:rPr>
          <w:spacing w:val="-15"/>
          <w:sz w:val="24"/>
        </w:rPr>
        <w:t> </w:t>
      </w:r>
      <w:r>
        <w:rPr>
          <w:sz w:val="24"/>
        </w:rPr>
        <w:t>ofrecidos</w:t>
      </w:r>
      <w:r>
        <w:rPr>
          <w:spacing w:val="-13"/>
          <w:sz w:val="24"/>
        </w:rPr>
        <w:t> </w:t>
      </w:r>
      <w:r>
        <w:rPr>
          <w:sz w:val="24"/>
        </w:rPr>
        <w:t>por intermediarios financieros, como cuentas bancarias, fondos de inversión de</w:t>
      </w:r>
      <w:r>
        <w:rPr>
          <w:spacing w:val="-4"/>
          <w:sz w:val="24"/>
        </w:rPr>
        <w:t> </w:t>
      </w:r>
      <w:r>
        <w:rPr>
          <w:sz w:val="24"/>
        </w:rPr>
        <w:t>acciones</w:t>
      </w:r>
      <w:r>
        <w:rPr>
          <w:spacing w:val="-4"/>
          <w:sz w:val="24"/>
        </w:rPr>
        <w:t> </w:t>
      </w:r>
      <w:r>
        <w:rPr>
          <w:sz w:val="24"/>
        </w:rPr>
        <w:t>y</w:t>
      </w:r>
      <w:r>
        <w:rPr>
          <w:spacing w:val="-7"/>
          <w:sz w:val="24"/>
        </w:rPr>
        <w:t> </w:t>
      </w:r>
      <w:r>
        <w:rPr>
          <w:sz w:val="24"/>
        </w:rPr>
        <w:t>bonos,</w:t>
      </w:r>
      <w:r>
        <w:rPr>
          <w:spacing w:val="-4"/>
          <w:sz w:val="24"/>
        </w:rPr>
        <w:t> </w:t>
      </w:r>
      <w:r>
        <w:rPr>
          <w:sz w:val="24"/>
        </w:rPr>
        <w:t>y</w:t>
      </w:r>
      <w:r>
        <w:rPr>
          <w:spacing w:val="-7"/>
          <w:sz w:val="24"/>
        </w:rPr>
        <w:t> </w:t>
      </w:r>
      <w:r>
        <w:rPr>
          <w:sz w:val="24"/>
        </w:rPr>
        <w:t>bienes</w:t>
      </w:r>
      <w:r>
        <w:rPr>
          <w:spacing w:val="-4"/>
          <w:sz w:val="24"/>
        </w:rPr>
        <w:t> </w:t>
      </w:r>
      <w:r>
        <w:rPr>
          <w:sz w:val="24"/>
        </w:rPr>
        <w:t>raíces.</w:t>
      </w:r>
      <w:r>
        <w:rPr>
          <w:spacing w:val="-6"/>
          <w:sz w:val="24"/>
        </w:rPr>
        <w:t> </w:t>
      </w:r>
      <w:r>
        <w:rPr>
          <w:sz w:val="24"/>
        </w:rPr>
        <w:t>Los</w:t>
      </w:r>
      <w:r>
        <w:rPr>
          <w:spacing w:val="-4"/>
          <w:sz w:val="24"/>
        </w:rPr>
        <w:t> </w:t>
      </w:r>
      <w:r>
        <w:rPr>
          <w:sz w:val="24"/>
        </w:rPr>
        <w:t>intermediarios</w:t>
      </w:r>
      <w:r>
        <w:rPr>
          <w:spacing w:val="-4"/>
          <w:sz w:val="24"/>
        </w:rPr>
        <w:t> </w:t>
      </w:r>
      <w:r>
        <w:rPr>
          <w:sz w:val="24"/>
        </w:rPr>
        <w:t>aprovechan</w:t>
      </w:r>
      <w:r>
        <w:rPr>
          <w:spacing w:val="-4"/>
          <w:sz w:val="24"/>
        </w:rPr>
        <w:t> </w:t>
      </w:r>
      <w:r>
        <w:rPr>
          <w:sz w:val="24"/>
        </w:rPr>
        <w:t>los últimos adelantos de la tecnología financiera para diseñar y producir el menú de activos que ofrecen a sus</w:t>
      </w:r>
      <w:r>
        <w:rPr>
          <w:spacing w:val="-13"/>
          <w:sz w:val="24"/>
        </w:rPr>
        <w:t> </w:t>
      </w:r>
      <w:r>
        <w:rPr>
          <w:sz w:val="24"/>
        </w:rPr>
        <w:t>clientes.</w:t>
      </w:r>
    </w:p>
    <w:p>
      <w:pPr>
        <w:pStyle w:val="BodyText"/>
        <w:spacing w:line="360" w:lineRule="auto" w:before="8"/>
        <w:ind w:left="142" w:right="145" w:firstLine="707"/>
        <w:jc w:val="both"/>
      </w:pPr>
      <w:r>
        <w:rPr/>
        <w:t>Sin embargo, sí hay algunos principios generales, como el principio de diversificación, que se aplican a todas las personas adversas al riesgo, tema que analizaremos a continuación.</w:t>
      </w:r>
    </w:p>
    <w:p>
      <w:pPr>
        <w:pStyle w:val="Heading3"/>
        <w:spacing w:before="115"/>
        <w:rPr>
          <w:sz w:val="16"/>
        </w:rPr>
      </w:pPr>
      <w:r>
        <w:rPr/>
        <w:t>El principio de diversificación de Markowitz</w:t>
      </w:r>
      <w:r>
        <w:rPr>
          <w:position w:val="8"/>
          <w:sz w:val="16"/>
        </w:rPr>
        <w:t>28</w:t>
      </w:r>
    </w:p>
    <w:p>
      <w:pPr>
        <w:pStyle w:val="BodyText"/>
        <w:spacing w:line="360" w:lineRule="auto" w:before="62"/>
        <w:ind w:left="142" w:right="144" w:firstLine="707"/>
        <w:jc w:val="both"/>
      </w:pPr>
      <w:r>
        <w:rPr/>
        <w:t>Parte del supuesto de que el diseño del portafolio puede estructurarse en función de la expectativa de rendimiento medio y la desviación estándar de los rendimientos del portafolio.</w:t>
      </w:r>
    </w:p>
    <w:p>
      <w:pPr>
        <w:pStyle w:val="BodyText"/>
        <w:spacing w:line="360" w:lineRule="auto" w:before="5"/>
        <w:ind w:left="142" w:right="136" w:firstLine="707"/>
        <w:jc w:val="both"/>
      </w:pPr>
      <w:r>
        <w:rPr/>
        <w:t>El</w:t>
      </w:r>
      <w:r>
        <w:rPr>
          <w:spacing w:val="-7"/>
        </w:rPr>
        <w:t> </w:t>
      </w:r>
      <w:r>
        <w:rPr/>
        <w:t>punto</w:t>
      </w:r>
      <w:r>
        <w:rPr>
          <w:spacing w:val="-5"/>
        </w:rPr>
        <w:t> </w:t>
      </w:r>
      <w:r>
        <w:rPr/>
        <w:t>de</w:t>
      </w:r>
      <w:r>
        <w:rPr>
          <w:spacing w:val="-6"/>
        </w:rPr>
        <w:t> </w:t>
      </w:r>
      <w:r>
        <w:rPr/>
        <w:t>partida</w:t>
      </w:r>
      <w:r>
        <w:rPr>
          <w:spacing w:val="-6"/>
        </w:rPr>
        <w:t> </w:t>
      </w:r>
      <w:r>
        <w:rPr/>
        <w:t>de</w:t>
      </w:r>
      <w:r>
        <w:rPr>
          <w:spacing w:val="-8"/>
        </w:rPr>
        <w:t> </w:t>
      </w:r>
      <w:r>
        <w:rPr/>
        <w:t>Markowitz</w:t>
      </w:r>
      <w:r>
        <w:rPr>
          <w:spacing w:val="-7"/>
        </w:rPr>
        <w:t> </w:t>
      </w:r>
      <w:r>
        <w:rPr/>
        <w:t>es</w:t>
      </w:r>
      <w:r>
        <w:rPr>
          <w:spacing w:val="-7"/>
        </w:rPr>
        <w:t> </w:t>
      </w:r>
      <w:r>
        <w:rPr/>
        <w:t>que</w:t>
      </w:r>
      <w:r>
        <w:rPr>
          <w:spacing w:val="-6"/>
        </w:rPr>
        <w:t> </w:t>
      </w:r>
      <w:r>
        <w:rPr/>
        <w:t>el</w:t>
      </w:r>
      <w:r>
        <w:rPr>
          <w:spacing w:val="-7"/>
        </w:rPr>
        <w:t> </w:t>
      </w:r>
      <w:r>
        <w:rPr/>
        <w:t>valor</w:t>
      </w:r>
      <w:r>
        <w:rPr>
          <w:spacing w:val="-7"/>
        </w:rPr>
        <w:t> </w:t>
      </w:r>
      <w:r>
        <w:rPr/>
        <w:t>de</w:t>
      </w:r>
      <w:r>
        <w:rPr>
          <w:spacing w:val="-6"/>
        </w:rPr>
        <w:t> </w:t>
      </w:r>
      <w:r>
        <w:rPr/>
        <w:t>los</w:t>
      </w:r>
      <w:r>
        <w:rPr>
          <w:spacing w:val="-6"/>
        </w:rPr>
        <w:t> </w:t>
      </w:r>
      <w:r>
        <w:rPr/>
        <w:t>activos</w:t>
      </w:r>
      <w:r>
        <w:rPr>
          <w:spacing w:val="-7"/>
        </w:rPr>
        <w:t> </w:t>
      </w:r>
      <w:r>
        <w:rPr/>
        <w:t>financieros</w:t>
      </w:r>
      <w:r>
        <w:rPr>
          <w:spacing w:val="-7"/>
        </w:rPr>
        <w:t> </w:t>
      </w:r>
      <w:r>
        <w:rPr/>
        <w:t>es el reflejo de las expectativas sobre el valor futuro y sus principales conclusiones se plantean en los siguientes</w:t>
      </w:r>
      <w:r>
        <w:rPr>
          <w:spacing w:val="-14"/>
        </w:rPr>
        <w:t> </w:t>
      </w:r>
      <w:r>
        <w:rPr/>
        <w:t>términos:</w:t>
      </w:r>
    </w:p>
    <w:p>
      <w:pPr>
        <w:pStyle w:val="ListParagraph"/>
        <w:numPr>
          <w:ilvl w:val="2"/>
          <w:numId w:val="8"/>
        </w:numPr>
        <w:tabs>
          <w:tab w:pos="1275" w:val="left" w:leader="none"/>
        </w:tabs>
        <w:spacing w:line="350" w:lineRule="auto" w:before="3" w:after="0"/>
        <w:ind w:left="1274" w:right="144" w:hanging="357"/>
        <w:jc w:val="both"/>
        <w:rPr>
          <w:sz w:val="24"/>
        </w:rPr>
      </w:pPr>
      <w:r>
        <w:rPr>
          <w:sz w:val="24"/>
        </w:rPr>
        <w:t>El rendimiento de un portafolio es un promedio simple ponderado de los rendimientos individuales de cada</w:t>
      </w:r>
      <w:r>
        <w:rPr>
          <w:spacing w:val="-17"/>
          <w:sz w:val="24"/>
        </w:rPr>
        <w:t> </w:t>
      </w:r>
      <w:r>
        <w:rPr>
          <w:sz w:val="24"/>
        </w:rPr>
        <w:t>activo.</w:t>
      </w:r>
    </w:p>
    <w:p>
      <w:pPr>
        <w:pStyle w:val="ListParagraph"/>
        <w:numPr>
          <w:ilvl w:val="2"/>
          <w:numId w:val="8"/>
        </w:numPr>
        <w:tabs>
          <w:tab w:pos="1275" w:val="left" w:leader="none"/>
        </w:tabs>
        <w:spacing w:line="350" w:lineRule="auto" w:before="16" w:after="0"/>
        <w:ind w:left="1274" w:right="140" w:hanging="357"/>
        <w:jc w:val="both"/>
        <w:rPr>
          <w:sz w:val="24"/>
        </w:rPr>
      </w:pPr>
      <w:r>
        <w:rPr>
          <w:sz w:val="24"/>
        </w:rPr>
        <w:t>El riesgo del portafolio es menor al promedio de los riesgos individuales de cada</w:t>
      </w:r>
      <w:r>
        <w:rPr>
          <w:spacing w:val="-5"/>
          <w:sz w:val="24"/>
        </w:rPr>
        <w:t> </w:t>
      </w:r>
      <w:r>
        <w:rPr>
          <w:sz w:val="24"/>
        </w:rPr>
        <w:t>activo.</w:t>
      </w:r>
    </w:p>
    <w:p>
      <w:pPr>
        <w:pStyle w:val="ListParagraph"/>
        <w:numPr>
          <w:ilvl w:val="2"/>
          <w:numId w:val="8"/>
        </w:numPr>
        <w:tabs>
          <w:tab w:pos="1275" w:val="left" w:leader="none"/>
        </w:tabs>
        <w:spacing w:line="350" w:lineRule="auto" w:before="16" w:after="0"/>
        <w:ind w:left="1274" w:right="139" w:hanging="357"/>
        <w:jc w:val="both"/>
        <w:rPr>
          <w:sz w:val="24"/>
        </w:rPr>
      </w:pPr>
      <w:r>
        <w:rPr>
          <w:sz w:val="24"/>
        </w:rPr>
        <w:t>Principio de diversificación: A menor correlación entre los activos,</w:t>
      </w:r>
      <w:r>
        <w:rPr>
          <w:spacing w:val="-41"/>
          <w:sz w:val="24"/>
        </w:rPr>
        <w:t> </w:t>
      </w:r>
      <w:r>
        <w:rPr>
          <w:sz w:val="24"/>
        </w:rPr>
        <w:t>menor es el riesgo del</w:t>
      </w:r>
      <w:r>
        <w:rPr>
          <w:spacing w:val="-9"/>
          <w:sz w:val="24"/>
        </w:rPr>
        <w:t> </w:t>
      </w:r>
      <w:r>
        <w:rPr>
          <w:sz w:val="24"/>
        </w:rPr>
        <w:t>portafolio.</w:t>
      </w:r>
    </w:p>
    <w:p>
      <w:pPr>
        <w:pStyle w:val="ListParagraph"/>
        <w:numPr>
          <w:ilvl w:val="2"/>
          <w:numId w:val="8"/>
        </w:numPr>
        <w:tabs>
          <w:tab w:pos="1274" w:val="left" w:leader="none"/>
          <w:tab w:pos="1275" w:val="left" w:leader="none"/>
        </w:tabs>
        <w:spacing w:line="240" w:lineRule="auto" w:before="14" w:after="0"/>
        <w:ind w:left="1274" w:right="0" w:hanging="357"/>
        <w:jc w:val="left"/>
        <w:rPr>
          <w:sz w:val="24"/>
        </w:rPr>
      </w:pPr>
      <w:r>
        <w:rPr>
          <w:sz w:val="24"/>
        </w:rPr>
        <w:t>El riesgo de cada activo se compone de dos</w:t>
      </w:r>
      <w:r>
        <w:rPr>
          <w:spacing w:val="-19"/>
          <w:sz w:val="24"/>
        </w:rPr>
        <w:t> </w:t>
      </w:r>
      <w:r>
        <w:rPr>
          <w:sz w:val="24"/>
        </w:rPr>
        <w:t>elementos:</w:t>
      </w:r>
    </w:p>
    <w:p>
      <w:pPr>
        <w:pStyle w:val="ListParagraph"/>
        <w:numPr>
          <w:ilvl w:val="3"/>
          <w:numId w:val="8"/>
        </w:numPr>
        <w:tabs>
          <w:tab w:pos="1503" w:val="left" w:leader="none"/>
        </w:tabs>
        <w:spacing w:line="360" w:lineRule="auto" w:before="135" w:after="0"/>
        <w:ind w:left="1502" w:right="139" w:hanging="228"/>
        <w:jc w:val="left"/>
        <w:rPr>
          <w:sz w:val="24"/>
        </w:rPr>
      </w:pPr>
      <w:r>
        <w:rPr>
          <w:sz w:val="24"/>
        </w:rPr>
        <w:t>riesgo diversificable (se puede reducir o anularse a través de una óptima combinación de</w:t>
      </w:r>
      <w:r>
        <w:rPr>
          <w:spacing w:val="-8"/>
          <w:sz w:val="24"/>
        </w:rPr>
        <w:t> </w:t>
      </w:r>
      <w:r>
        <w:rPr>
          <w:sz w:val="24"/>
        </w:rPr>
        <w:t>activos)</w:t>
      </w:r>
    </w:p>
    <w:p>
      <w:pPr>
        <w:pStyle w:val="ListParagraph"/>
        <w:numPr>
          <w:ilvl w:val="3"/>
          <w:numId w:val="8"/>
        </w:numPr>
        <w:tabs>
          <w:tab w:pos="1503" w:val="left" w:leader="none"/>
        </w:tabs>
        <w:spacing w:line="240" w:lineRule="auto" w:before="2" w:after="0"/>
        <w:ind w:left="1502" w:right="0" w:hanging="228"/>
        <w:jc w:val="left"/>
        <w:rPr>
          <w:sz w:val="24"/>
        </w:rPr>
      </w:pPr>
      <w:r>
        <w:rPr>
          <w:sz w:val="24"/>
        </w:rPr>
        <w:t>riesgo no diversificable (es asumido por el tenedor del</w:t>
      </w:r>
      <w:r>
        <w:rPr>
          <w:spacing w:val="-21"/>
          <w:sz w:val="24"/>
        </w:rPr>
        <w:t> </w:t>
      </w:r>
      <w:r>
        <w:rPr>
          <w:sz w:val="24"/>
        </w:rPr>
        <w:t>portafolio)</w:t>
      </w:r>
    </w:p>
    <w:p>
      <w:pPr>
        <w:pStyle w:val="BodyText"/>
        <w:rPr>
          <w:sz w:val="20"/>
        </w:rPr>
      </w:pPr>
    </w:p>
    <w:p>
      <w:pPr>
        <w:pStyle w:val="BodyText"/>
        <w:rPr>
          <w:sz w:val="20"/>
        </w:rPr>
      </w:pPr>
    </w:p>
    <w:p>
      <w:pPr>
        <w:pStyle w:val="BodyText"/>
        <w:spacing w:before="10"/>
        <w:rPr>
          <w:sz w:val="27"/>
        </w:rPr>
      </w:pPr>
      <w:r>
        <w:rPr/>
        <w:pict>
          <v:line style="position:absolute;mso-position-horizontal-relative:page;mso-position-vertical-relative:paragraph;z-index:2248;mso-wrap-distance-left:0;mso-wrap-distance-right:0" from="85.103996pt,18.314989pt" to="229.123996pt,18.314989pt" stroked="true" strokeweight=".599980pt" strokecolor="#000000">
            <w10:wrap type="topAndBottom"/>
          </v:line>
        </w:pict>
      </w:r>
    </w:p>
    <w:p>
      <w:pPr>
        <w:spacing w:before="78"/>
        <w:ind w:left="142" w:right="786" w:firstLine="0"/>
        <w:jc w:val="left"/>
        <w:rPr>
          <w:sz w:val="20"/>
        </w:rPr>
      </w:pPr>
      <w:r>
        <w:rPr>
          <w:position w:val="6"/>
          <w:sz w:val="13"/>
        </w:rPr>
        <w:t>28 </w:t>
      </w:r>
      <w:r>
        <w:rPr>
          <w:sz w:val="20"/>
        </w:rPr>
        <w:t>Markowitz, Portfolio Selection: Efficient Diversification of Investments.</w:t>
      </w:r>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45" w:firstLine="707"/>
        <w:jc w:val="both"/>
      </w:pPr>
      <w:r>
        <w:rPr/>
        <w:t>Por lo tanto, se busca el portafolio que permita una maximización del rendimiento simultánea con una minimización del riesgo.</w:t>
      </w:r>
    </w:p>
    <w:p>
      <w:pPr>
        <w:pStyle w:val="BodyText"/>
        <w:spacing w:line="360" w:lineRule="auto" w:before="2"/>
        <w:ind w:left="142" w:right="144" w:firstLine="707"/>
        <w:jc w:val="both"/>
      </w:pPr>
      <w:r>
        <w:rPr/>
        <w:t>La correlación entre distintos activos es el principal insumo del perfil del portafolio óptimo, por lo que, la decisión de incorporarlo al portafolio dependerá de su contribución al rendimiento medio y a la desviación estándar del portafolio.</w:t>
      </w:r>
    </w:p>
    <w:p>
      <w:pPr>
        <w:pStyle w:val="Heading3"/>
        <w:spacing w:before="125"/>
      </w:pPr>
      <w:r>
        <w:rPr/>
        <w:t>Coeficiente de Correlación (</w:t>
      </w:r>
      <w:r>
        <w:rPr>
          <w:rFonts w:ascii="Symbol" w:hAnsi="Symbol"/>
        </w:rPr>
        <w:t></w:t>
      </w:r>
      <w:r>
        <w:rPr/>
        <w:t>)</w:t>
      </w:r>
    </w:p>
    <w:p>
      <w:pPr>
        <w:pStyle w:val="BodyText"/>
        <w:spacing w:line="360" w:lineRule="auto" w:before="58"/>
        <w:ind w:left="142" w:right="145" w:firstLine="707"/>
        <w:jc w:val="both"/>
      </w:pPr>
      <w:r>
        <w:rPr/>
        <w:t>La correlación entre dos activos mide qué tan paralelamente se desplazan sus rendimientos y se La correlación se estima a partir de la siguiente ecuación:</w:t>
      </w:r>
    </w:p>
    <w:p>
      <w:pPr>
        <w:pStyle w:val="BodyText"/>
        <w:spacing w:before="4"/>
        <w:rPr>
          <w:sz w:val="17"/>
        </w:rPr>
      </w:pPr>
    </w:p>
    <w:p>
      <w:pPr>
        <w:spacing w:after="0"/>
        <w:rPr>
          <w:sz w:val="17"/>
        </w:rPr>
        <w:sectPr>
          <w:pgSz w:w="12240" w:h="15840"/>
          <w:pgMar w:header="731" w:footer="737" w:top="1180" w:bottom="920" w:left="1560" w:right="1560"/>
        </w:sectPr>
      </w:pPr>
    </w:p>
    <w:p>
      <w:pPr>
        <w:pStyle w:val="BodyText"/>
        <w:rPr>
          <w:sz w:val="32"/>
        </w:rPr>
      </w:pPr>
    </w:p>
    <w:p>
      <w:pPr>
        <w:spacing w:before="205"/>
        <w:ind w:left="0" w:right="0" w:firstLine="0"/>
        <w:jc w:val="right"/>
        <w:rPr>
          <w:rFonts w:ascii="Times New Roman" w:hAnsi="Times New Roman"/>
          <w:i/>
          <w:sz w:val="15"/>
        </w:rPr>
      </w:pPr>
      <w:r>
        <w:rPr>
          <w:rFonts w:ascii="Symbol" w:hAnsi="Symbol"/>
          <w:i/>
          <w:w w:val="80"/>
          <w:position w:val="7"/>
          <w:sz w:val="27"/>
        </w:rPr>
        <w:t></w:t>
      </w:r>
      <w:r>
        <w:rPr>
          <w:rFonts w:ascii="Times New Roman" w:hAnsi="Times New Roman"/>
          <w:i/>
          <w:w w:val="80"/>
          <w:position w:val="7"/>
          <w:sz w:val="27"/>
        </w:rPr>
        <w:t> </w:t>
      </w:r>
      <w:r>
        <w:rPr>
          <w:rFonts w:ascii="Times New Roman" w:hAnsi="Times New Roman"/>
          <w:i/>
          <w:w w:val="80"/>
          <w:sz w:val="15"/>
        </w:rPr>
        <w:t>x</w:t>
      </w:r>
      <w:r>
        <w:rPr>
          <w:rFonts w:ascii="Times New Roman" w:hAnsi="Times New Roman"/>
          <w:w w:val="80"/>
          <w:sz w:val="15"/>
        </w:rPr>
        <w:t>, </w:t>
      </w:r>
      <w:r>
        <w:rPr>
          <w:rFonts w:ascii="Times New Roman" w:hAnsi="Times New Roman"/>
          <w:i/>
          <w:w w:val="80"/>
          <w:sz w:val="15"/>
        </w:rPr>
        <w:t>y</w:t>
      </w:r>
    </w:p>
    <w:p>
      <w:pPr>
        <w:spacing w:line="118" w:lineRule="exact" w:before="82"/>
        <w:ind w:left="562" w:right="0" w:firstLine="0"/>
        <w:jc w:val="left"/>
        <w:rPr>
          <w:rFonts w:ascii="Times New Roman"/>
          <w:i/>
          <w:sz w:val="15"/>
        </w:rPr>
      </w:pPr>
      <w:r>
        <w:rPr/>
        <w:br w:type="column"/>
      </w:r>
      <w:r>
        <w:rPr>
          <w:rFonts w:ascii="Times New Roman"/>
          <w:i/>
          <w:w w:val="85"/>
          <w:sz w:val="15"/>
        </w:rPr>
        <w:t>n</w:t>
      </w:r>
    </w:p>
    <w:p>
      <w:pPr>
        <w:spacing w:line="410" w:lineRule="exact" w:before="0"/>
        <w:ind w:left="492" w:right="0" w:firstLine="0"/>
        <w:jc w:val="left"/>
        <w:rPr>
          <w:rFonts w:ascii="Symbol" w:hAnsi="Symbol"/>
          <w:sz w:val="34"/>
        </w:rPr>
      </w:pPr>
      <w:r>
        <w:rPr>
          <w:rFonts w:ascii="Symbol" w:hAnsi="Symbol"/>
          <w:spacing w:val="20"/>
          <w:w w:val="74"/>
          <w:position w:val="-5"/>
          <w:sz w:val="39"/>
        </w:rPr>
        <w:t></w:t>
      </w:r>
      <w:r>
        <w:rPr>
          <w:rFonts w:ascii="Symbol" w:hAnsi="Symbol"/>
          <w:spacing w:val="5"/>
          <w:w w:val="56"/>
          <w:sz w:val="34"/>
        </w:rPr>
        <w:t></w:t>
      </w:r>
      <w:r>
        <w:rPr>
          <w:rFonts w:ascii="Times New Roman" w:hAnsi="Times New Roman"/>
          <w:i/>
          <w:spacing w:val="8"/>
          <w:w w:val="74"/>
          <w:sz w:val="26"/>
        </w:rPr>
        <w:t>x</w:t>
      </w:r>
      <w:r>
        <w:rPr>
          <w:rFonts w:ascii="Times New Roman" w:hAnsi="Times New Roman"/>
          <w:i/>
          <w:w w:val="75"/>
          <w:position w:val="-6"/>
          <w:sz w:val="15"/>
        </w:rPr>
        <w:t>i</w:t>
      </w:r>
      <w:r>
        <w:rPr>
          <w:rFonts w:ascii="Times New Roman" w:hAnsi="Times New Roman"/>
          <w:i/>
          <w:position w:val="-6"/>
          <w:sz w:val="15"/>
        </w:rPr>
        <w:t>  </w:t>
      </w:r>
      <w:r>
        <w:rPr>
          <w:rFonts w:ascii="Symbol" w:hAnsi="Symbol"/>
          <w:w w:val="74"/>
          <w:sz w:val="26"/>
        </w:rPr>
        <w:t></w:t>
      </w:r>
      <w:r>
        <w:rPr>
          <w:rFonts w:ascii="Times New Roman" w:hAnsi="Times New Roman"/>
          <w:spacing w:val="-12"/>
          <w:sz w:val="26"/>
        </w:rPr>
        <w:t> </w:t>
      </w:r>
      <w:r>
        <w:rPr>
          <w:rFonts w:ascii="Times New Roman" w:hAnsi="Times New Roman"/>
          <w:i/>
          <w:spacing w:val="-69"/>
          <w:w w:val="74"/>
          <w:sz w:val="26"/>
        </w:rPr>
        <w:t>x</w:t>
      </w:r>
      <w:r>
        <w:rPr>
          <w:rFonts w:ascii="Times New Roman" w:hAnsi="Times New Roman"/>
          <w:spacing w:val="17"/>
          <w:w w:val="74"/>
          <w:position w:val="1"/>
          <w:sz w:val="26"/>
        </w:rPr>
        <w:t>ˆ</w:t>
      </w:r>
      <w:r>
        <w:rPr>
          <w:rFonts w:ascii="Symbol" w:hAnsi="Symbol"/>
          <w:spacing w:val="-13"/>
          <w:w w:val="56"/>
          <w:sz w:val="34"/>
        </w:rPr>
        <w:t></w:t>
      </w:r>
      <w:r>
        <w:rPr>
          <w:rFonts w:ascii="Symbol" w:hAnsi="Symbol"/>
          <w:spacing w:val="15"/>
          <w:w w:val="56"/>
          <w:sz w:val="34"/>
        </w:rPr>
        <w:t></w:t>
      </w:r>
      <w:r>
        <w:rPr>
          <w:rFonts w:ascii="Times New Roman" w:hAnsi="Times New Roman"/>
          <w:i/>
          <w:spacing w:val="10"/>
          <w:w w:val="74"/>
          <w:sz w:val="26"/>
        </w:rPr>
        <w:t>y</w:t>
      </w:r>
      <w:r>
        <w:rPr>
          <w:rFonts w:ascii="Times New Roman" w:hAnsi="Times New Roman"/>
          <w:i/>
          <w:w w:val="75"/>
          <w:position w:val="-6"/>
          <w:sz w:val="15"/>
        </w:rPr>
        <w:t>i</w:t>
      </w:r>
      <w:r>
        <w:rPr>
          <w:rFonts w:ascii="Times New Roman" w:hAnsi="Times New Roman"/>
          <w:i/>
          <w:position w:val="-6"/>
          <w:sz w:val="15"/>
        </w:rPr>
        <w:t>  </w:t>
      </w:r>
      <w:r>
        <w:rPr>
          <w:rFonts w:ascii="Symbol" w:hAnsi="Symbol"/>
          <w:w w:val="74"/>
          <w:sz w:val="26"/>
        </w:rPr>
        <w:t></w:t>
      </w:r>
      <w:r>
        <w:rPr>
          <w:rFonts w:ascii="Times New Roman" w:hAnsi="Times New Roman"/>
          <w:spacing w:val="-2"/>
          <w:sz w:val="26"/>
        </w:rPr>
        <w:t> </w:t>
      </w:r>
      <w:r>
        <w:rPr>
          <w:rFonts w:ascii="Times New Roman" w:hAnsi="Times New Roman"/>
          <w:i/>
          <w:spacing w:val="-74"/>
          <w:w w:val="74"/>
          <w:sz w:val="26"/>
        </w:rPr>
        <w:t>y</w:t>
      </w:r>
      <w:r>
        <w:rPr>
          <w:rFonts w:ascii="Times New Roman" w:hAnsi="Times New Roman"/>
          <w:w w:val="74"/>
          <w:position w:val="1"/>
          <w:sz w:val="26"/>
        </w:rPr>
        <w:t>ˆ</w:t>
      </w:r>
      <w:r>
        <w:rPr>
          <w:rFonts w:ascii="Times New Roman" w:hAnsi="Times New Roman"/>
          <w:spacing w:val="-43"/>
          <w:position w:val="1"/>
          <w:sz w:val="26"/>
        </w:rPr>
        <w:t> </w:t>
      </w:r>
      <w:r>
        <w:rPr>
          <w:rFonts w:ascii="Symbol" w:hAnsi="Symbol"/>
          <w:w w:val="56"/>
          <w:sz w:val="34"/>
        </w:rPr>
        <w:t></w:t>
      </w:r>
    </w:p>
    <w:p>
      <w:pPr>
        <w:tabs>
          <w:tab w:pos="479" w:val="left" w:leader="none"/>
          <w:tab w:pos="2177" w:val="left" w:leader="none"/>
        </w:tabs>
        <w:spacing w:line="295" w:lineRule="exact" w:before="0"/>
        <w:ind w:left="0" w:right="3251" w:firstLine="0"/>
        <w:jc w:val="center"/>
        <w:rPr>
          <w:rFonts w:ascii="Times New Roman" w:hAnsi="Times New Roman"/>
          <w:sz w:val="15"/>
        </w:rPr>
      </w:pPr>
      <w:r>
        <w:rPr/>
        <w:pict>
          <v:group style="position:absolute;margin-left:269.30957pt;margin-top:11.100356pt;width:99.55pt;height:35.050pt;mso-position-horizontal-relative:page;mso-position-vertical-relative:paragraph;z-index:-97480" coordorigin="5386,222" coordsize="1991,701">
            <v:line style="position:absolute" from="5388,665" to="5416,646" stroked="true" strokeweight=".137924pt" strokecolor="#000000"/>
            <v:line style="position:absolute" from="5412,641" to="5455,915" stroked="true" strokeweight=".113031pt" strokecolor="#000000"/>
            <v:shape style="position:absolute;left:801;top:9285;width:2392;height:653" coordorigin="801,9285" coordsize="2392,653" path="m5460,921l5503,224m5503,224l7375,224e" filled="false" stroked="true" strokeweight=".130939pt" strokecolor="#000000">
              <v:path arrowok="t"/>
            </v:shape>
            <v:shape style="position:absolute;left:5581;top:254;width:57;height:152" type="#_x0000_t202" filled="false" stroked="false">
              <v:textbox inset="0,0,0,0">
                <w:txbxContent>
                  <w:p>
                    <w:pPr>
                      <w:spacing w:line="152" w:lineRule="exact" w:before="0"/>
                      <w:ind w:left="0" w:right="0" w:firstLine="0"/>
                      <w:jc w:val="left"/>
                      <w:rPr>
                        <w:rFonts w:ascii="Times New Roman"/>
                        <w:i/>
                        <w:sz w:val="15"/>
                      </w:rPr>
                    </w:pPr>
                    <w:r>
                      <w:rPr>
                        <w:rFonts w:ascii="Times New Roman"/>
                        <w:i/>
                        <w:w w:val="75"/>
                        <w:sz w:val="15"/>
                      </w:rPr>
                      <w:t>n</w:t>
                    </w:r>
                  </w:p>
                </w:txbxContent>
              </v:textbox>
              <w10:wrap type="none"/>
            </v:shape>
            <v:shape style="position:absolute;left:6497;top:254;width:57;height:152" type="#_x0000_t202" filled="false" stroked="false">
              <v:textbox inset="0,0,0,0">
                <w:txbxContent>
                  <w:p>
                    <w:pPr>
                      <w:spacing w:line="152" w:lineRule="exact" w:before="0"/>
                      <w:ind w:left="0" w:right="0" w:firstLine="0"/>
                      <w:jc w:val="left"/>
                      <w:rPr>
                        <w:rFonts w:ascii="Times New Roman"/>
                        <w:i/>
                        <w:sz w:val="15"/>
                      </w:rPr>
                    </w:pPr>
                    <w:r>
                      <w:rPr>
                        <w:rFonts w:ascii="Times New Roman"/>
                        <w:i/>
                        <w:w w:val="75"/>
                        <w:sz w:val="15"/>
                      </w:rPr>
                      <w:t>n</w:t>
                    </w:r>
                  </w:p>
                </w:txbxContent>
              </v:textbox>
              <w10:wrap type="none"/>
            </v:shape>
            <v:shape style="position:absolute;left:5510;top:382;width:426;height:541" type="#_x0000_t202" filled="false" stroked="false">
              <v:textbox inset="0,0,0,0">
                <w:txbxContent>
                  <w:p>
                    <w:pPr>
                      <w:spacing w:line="381" w:lineRule="exact" w:before="0"/>
                      <w:ind w:left="0" w:right="-19" w:firstLine="0"/>
                      <w:jc w:val="left"/>
                      <w:rPr>
                        <w:rFonts w:ascii="Times New Roman" w:hAnsi="Times New Roman"/>
                        <w:i/>
                        <w:sz w:val="15"/>
                      </w:rPr>
                    </w:pPr>
                    <w:r>
                      <w:rPr>
                        <w:rFonts w:ascii="Symbol" w:hAnsi="Symbol"/>
                        <w:w w:val="85"/>
                        <w:position w:val="1"/>
                        <w:sz w:val="39"/>
                      </w:rPr>
                      <w:t></w:t>
                    </w:r>
                    <w:r>
                      <w:rPr>
                        <w:rFonts w:ascii="Times New Roman" w:hAnsi="Times New Roman"/>
                        <w:spacing w:val="70"/>
                        <w:w w:val="85"/>
                        <w:position w:val="1"/>
                        <w:sz w:val="39"/>
                      </w:rPr>
                      <w:t> </w:t>
                    </w:r>
                    <w:r>
                      <w:rPr>
                        <w:rFonts w:ascii="Times New Roman" w:hAnsi="Times New Roman"/>
                        <w:i/>
                        <w:w w:val="85"/>
                        <w:sz w:val="15"/>
                      </w:rPr>
                      <w:t>i</w:t>
                    </w:r>
                  </w:p>
                  <w:p>
                    <w:pPr>
                      <w:spacing w:line="160" w:lineRule="exact" w:before="0"/>
                      <w:ind w:left="23" w:right="-19" w:firstLine="0"/>
                      <w:jc w:val="left"/>
                      <w:rPr>
                        <w:rFonts w:ascii="Times New Roman" w:hAnsi="Times New Roman"/>
                        <w:sz w:val="15"/>
                      </w:rPr>
                    </w:pPr>
                    <w:r>
                      <w:rPr>
                        <w:rFonts w:ascii="Times New Roman" w:hAnsi="Times New Roman"/>
                        <w:i/>
                        <w:w w:val="75"/>
                        <w:sz w:val="15"/>
                      </w:rPr>
                      <w:t>i </w:t>
                    </w:r>
                    <w:r>
                      <w:rPr>
                        <w:rFonts w:ascii="Symbol" w:hAnsi="Symbol"/>
                        <w:w w:val="75"/>
                        <w:sz w:val="15"/>
                      </w:rPr>
                      <w:t></w:t>
                    </w:r>
                    <w:r>
                      <w:rPr>
                        <w:rFonts w:ascii="Times New Roman" w:hAnsi="Times New Roman"/>
                        <w:w w:val="75"/>
                        <w:sz w:val="15"/>
                      </w:rPr>
                      <w:t>1</w:t>
                    </w:r>
                  </w:p>
                </w:txbxContent>
              </v:textbox>
              <w10:wrap type="none"/>
            </v:shape>
            <v:shape style="position:absolute;left:5739;top:360;width:1537;height:341" type="#_x0000_t202" filled="false" stroked="false">
              <v:textbox inset="0,0,0,0">
                <w:txbxContent>
                  <w:p>
                    <w:pPr>
                      <w:tabs>
                        <w:tab w:pos="916" w:val="left" w:leader="none"/>
                      </w:tabs>
                      <w:spacing w:line="341" w:lineRule="exact" w:before="0"/>
                      <w:ind w:left="0" w:right="0" w:firstLine="0"/>
                      <w:jc w:val="left"/>
                      <w:rPr>
                        <w:rFonts w:ascii="Symbol" w:hAnsi="Symbol"/>
                        <w:sz w:val="34"/>
                      </w:rPr>
                    </w:pPr>
                    <w:r>
                      <w:rPr>
                        <w:rFonts w:ascii="Symbol" w:hAnsi="Symbol"/>
                        <w:spacing w:val="2"/>
                        <w:w w:val="80"/>
                        <w:sz w:val="34"/>
                      </w:rPr>
                      <w:t></w:t>
                    </w:r>
                    <w:r>
                      <w:rPr>
                        <w:rFonts w:ascii="Times New Roman" w:hAnsi="Times New Roman"/>
                        <w:i/>
                        <w:spacing w:val="2"/>
                        <w:w w:val="80"/>
                        <w:sz w:val="26"/>
                      </w:rPr>
                      <w:t>x</w:t>
                    </w:r>
                    <w:r>
                      <w:rPr>
                        <w:rFonts w:ascii="Times New Roman" w:hAnsi="Times New Roman"/>
                        <w:i/>
                        <w:spacing w:val="40"/>
                        <w:w w:val="80"/>
                        <w:sz w:val="26"/>
                      </w:rPr>
                      <w:t> </w:t>
                    </w:r>
                    <w:r>
                      <w:rPr>
                        <w:rFonts w:ascii="Symbol" w:hAnsi="Symbol"/>
                        <w:w w:val="80"/>
                        <w:sz w:val="26"/>
                      </w:rPr>
                      <w:t></w:t>
                    </w:r>
                    <w:r>
                      <w:rPr>
                        <w:rFonts w:ascii="Times New Roman" w:hAnsi="Times New Roman"/>
                        <w:spacing w:val="-10"/>
                        <w:w w:val="80"/>
                        <w:sz w:val="26"/>
                      </w:rPr>
                      <w:t> </w:t>
                    </w:r>
                    <w:r>
                      <w:rPr>
                        <w:rFonts w:ascii="Times New Roman" w:hAnsi="Times New Roman"/>
                        <w:i/>
                        <w:spacing w:val="-18"/>
                        <w:w w:val="80"/>
                        <w:sz w:val="26"/>
                      </w:rPr>
                      <w:t>x</w:t>
                    </w:r>
                    <w:r>
                      <w:rPr>
                        <w:rFonts w:ascii="Times New Roman" w:hAnsi="Times New Roman"/>
                        <w:spacing w:val="-18"/>
                        <w:w w:val="80"/>
                        <w:position w:val="1"/>
                        <w:sz w:val="26"/>
                      </w:rPr>
                      <w:t>ˆ</w:t>
                    </w:r>
                    <w:r>
                      <w:rPr>
                        <w:rFonts w:ascii="Symbol" w:hAnsi="Symbol"/>
                        <w:spacing w:val="-18"/>
                        <w:w w:val="80"/>
                        <w:sz w:val="34"/>
                      </w:rPr>
                      <w:t></w:t>
                    </w:r>
                    <w:r>
                      <w:rPr>
                        <w:rFonts w:ascii="Times New Roman" w:hAnsi="Times New Roman"/>
                        <w:spacing w:val="-18"/>
                        <w:w w:val="80"/>
                        <w:sz w:val="34"/>
                      </w:rPr>
                      <w:tab/>
                    </w:r>
                    <w:r>
                      <w:rPr>
                        <w:rFonts w:ascii="Symbol" w:hAnsi="Symbol"/>
                        <w:spacing w:val="7"/>
                        <w:w w:val="80"/>
                        <w:sz w:val="34"/>
                      </w:rPr>
                      <w:t></w:t>
                    </w:r>
                    <w:r>
                      <w:rPr>
                        <w:rFonts w:ascii="Times New Roman" w:hAnsi="Times New Roman"/>
                        <w:i/>
                        <w:spacing w:val="7"/>
                        <w:w w:val="80"/>
                        <w:sz w:val="26"/>
                      </w:rPr>
                      <w:t>y </w:t>
                    </w:r>
                    <w:r>
                      <w:rPr>
                        <w:rFonts w:ascii="Symbol" w:hAnsi="Symbol"/>
                        <w:w w:val="80"/>
                        <w:sz w:val="26"/>
                      </w:rPr>
                      <w:t></w:t>
                    </w:r>
                    <w:r>
                      <w:rPr>
                        <w:rFonts w:ascii="Times New Roman" w:hAnsi="Times New Roman"/>
                        <w:w w:val="80"/>
                        <w:sz w:val="26"/>
                      </w:rPr>
                      <w:t> </w:t>
                    </w:r>
                    <w:r>
                      <w:rPr>
                        <w:rFonts w:ascii="Times New Roman" w:hAnsi="Times New Roman"/>
                        <w:i/>
                        <w:spacing w:val="-37"/>
                        <w:w w:val="80"/>
                        <w:sz w:val="26"/>
                      </w:rPr>
                      <w:t>y</w:t>
                    </w:r>
                    <w:r>
                      <w:rPr>
                        <w:rFonts w:ascii="Times New Roman" w:hAnsi="Times New Roman"/>
                        <w:spacing w:val="-37"/>
                        <w:w w:val="80"/>
                        <w:position w:val="1"/>
                        <w:sz w:val="26"/>
                      </w:rPr>
                      <w:t>ˆ</w:t>
                    </w:r>
                    <w:r>
                      <w:rPr>
                        <w:rFonts w:ascii="Times New Roman" w:hAnsi="Times New Roman"/>
                        <w:spacing w:val="-36"/>
                        <w:w w:val="80"/>
                        <w:position w:val="1"/>
                        <w:sz w:val="26"/>
                      </w:rPr>
                      <w:t> </w:t>
                    </w:r>
                    <w:r>
                      <w:rPr>
                        <w:rFonts w:ascii="Symbol" w:hAnsi="Symbol"/>
                        <w:w w:val="80"/>
                        <w:sz w:val="34"/>
                      </w:rPr>
                      <w:t></w:t>
                    </w:r>
                  </w:p>
                </w:txbxContent>
              </v:textbox>
              <w10:wrap type="none"/>
            </v:shape>
            <v:shape style="position:absolute;left:6338;top:385;width:57;height:152" type="#_x0000_t202" filled="false" stroked="false">
              <v:textbox inset="0,0,0,0">
                <w:txbxContent>
                  <w:p>
                    <w:pPr>
                      <w:spacing w:line="152" w:lineRule="exact" w:before="0"/>
                      <w:ind w:left="0" w:right="0" w:firstLine="0"/>
                      <w:jc w:val="left"/>
                      <w:rPr>
                        <w:rFonts w:ascii="Times New Roman"/>
                        <w:sz w:val="15"/>
                      </w:rPr>
                    </w:pPr>
                    <w:r>
                      <w:rPr>
                        <w:rFonts w:ascii="Times New Roman"/>
                        <w:w w:val="75"/>
                        <w:sz w:val="15"/>
                      </w:rPr>
                      <w:t>2</w:t>
                    </w:r>
                  </w:p>
                </w:txbxContent>
              </v:textbox>
              <w10:wrap type="none"/>
            </v:shape>
            <v:shape style="position:absolute;left:6427;top:382;width:437;height:541" type="#_x0000_t202" filled="false" stroked="false">
              <v:textbox inset="0,0,0,0">
                <w:txbxContent>
                  <w:p>
                    <w:pPr>
                      <w:spacing w:line="381" w:lineRule="exact" w:before="0"/>
                      <w:ind w:left="0" w:right="-19" w:firstLine="0"/>
                      <w:jc w:val="left"/>
                      <w:rPr>
                        <w:rFonts w:ascii="Times New Roman" w:hAnsi="Times New Roman"/>
                        <w:i/>
                        <w:sz w:val="15"/>
                      </w:rPr>
                    </w:pPr>
                    <w:r>
                      <w:rPr>
                        <w:rFonts w:ascii="Symbol" w:hAnsi="Symbol"/>
                        <w:w w:val="85"/>
                        <w:position w:val="1"/>
                        <w:sz w:val="39"/>
                      </w:rPr>
                      <w:t></w:t>
                    </w:r>
                    <w:r>
                      <w:rPr>
                        <w:rFonts w:ascii="Times New Roman" w:hAnsi="Times New Roman"/>
                        <w:spacing w:val="81"/>
                        <w:w w:val="85"/>
                        <w:position w:val="1"/>
                        <w:sz w:val="39"/>
                      </w:rPr>
                      <w:t> </w:t>
                    </w:r>
                    <w:r>
                      <w:rPr>
                        <w:rFonts w:ascii="Times New Roman" w:hAnsi="Times New Roman"/>
                        <w:i/>
                        <w:w w:val="85"/>
                        <w:sz w:val="15"/>
                      </w:rPr>
                      <w:t>i</w:t>
                    </w:r>
                  </w:p>
                  <w:p>
                    <w:pPr>
                      <w:spacing w:line="160" w:lineRule="exact" w:before="0"/>
                      <w:ind w:left="23" w:right="-19" w:firstLine="0"/>
                      <w:jc w:val="left"/>
                      <w:rPr>
                        <w:rFonts w:ascii="Times New Roman" w:hAnsi="Times New Roman"/>
                        <w:sz w:val="15"/>
                      </w:rPr>
                    </w:pPr>
                    <w:r>
                      <w:rPr>
                        <w:rFonts w:ascii="Times New Roman" w:hAnsi="Times New Roman"/>
                        <w:i/>
                        <w:w w:val="75"/>
                        <w:sz w:val="15"/>
                      </w:rPr>
                      <w:t>i </w:t>
                    </w:r>
                    <w:r>
                      <w:rPr>
                        <w:rFonts w:ascii="Symbol" w:hAnsi="Symbol"/>
                        <w:w w:val="75"/>
                        <w:sz w:val="15"/>
                      </w:rPr>
                      <w:t></w:t>
                    </w:r>
                    <w:r>
                      <w:rPr>
                        <w:rFonts w:ascii="Times New Roman" w:hAnsi="Times New Roman"/>
                        <w:w w:val="75"/>
                        <w:sz w:val="15"/>
                      </w:rPr>
                      <w:t>1</w:t>
                    </w:r>
                  </w:p>
                </w:txbxContent>
              </v:textbox>
              <w10:wrap type="none"/>
            </v:shape>
            <v:shape style="position:absolute;left:7277;top:385;width:57;height:152" type="#_x0000_t202" filled="false" stroked="false">
              <v:textbox inset="0,0,0,0">
                <w:txbxContent>
                  <w:p>
                    <w:pPr>
                      <w:spacing w:line="152" w:lineRule="exact" w:before="0"/>
                      <w:ind w:left="0" w:right="0" w:firstLine="0"/>
                      <w:jc w:val="left"/>
                      <w:rPr>
                        <w:rFonts w:ascii="Times New Roman"/>
                        <w:sz w:val="15"/>
                      </w:rPr>
                    </w:pPr>
                    <w:r>
                      <w:rPr>
                        <w:rFonts w:ascii="Times New Roman"/>
                        <w:w w:val="75"/>
                        <w:sz w:val="15"/>
                      </w:rPr>
                      <w:t>2</w:t>
                    </w:r>
                  </w:p>
                </w:txbxContent>
              </v:textbox>
              <w10:wrap type="none"/>
            </v:shape>
            <w10:wrap type="none"/>
          </v:group>
        </w:pict>
      </w:r>
      <w:r>
        <w:rPr>
          <w:rFonts w:ascii="Symbol" w:hAnsi="Symbol"/>
          <w:w w:val="85"/>
          <w:position w:val="-10"/>
          <w:sz w:val="26"/>
        </w:rPr>
        <w:t></w:t>
      </w:r>
      <w:r>
        <w:rPr>
          <w:rFonts w:ascii="Times New Roman" w:hAnsi="Times New Roman"/>
          <w:i/>
          <w:w w:val="85"/>
          <w:sz w:val="15"/>
          <w:u w:val="single"/>
        </w:rPr>
        <w:t> </w:t>
        <w:tab/>
      </w:r>
      <w:r>
        <w:rPr>
          <w:rFonts w:ascii="Times New Roman" w:hAnsi="Times New Roman"/>
          <w:i/>
          <w:w w:val="75"/>
          <w:sz w:val="15"/>
          <w:u w:val="single"/>
        </w:rPr>
        <w:t>i</w:t>
      </w:r>
      <w:r>
        <w:rPr>
          <w:rFonts w:ascii="Times New Roman" w:hAnsi="Times New Roman"/>
          <w:i/>
          <w:spacing w:val="-20"/>
          <w:w w:val="75"/>
          <w:sz w:val="15"/>
          <w:u w:val="single"/>
        </w:rPr>
        <w:t> </w:t>
      </w:r>
      <w:r>
        <w:rPr>
          <w:rFonts w:ascii="Symbol" w:hAnsi="Symbol"/>
          <w:w w:val="75"/>
          <w:sz w:val="15"/>
          <w:u w:val="single"/>
        </w:rPr>
        <w:t></w:t>
      </w:r>
      <w:r>
        <w:rPr>
          <w:rFonts w:ascii="Times New Roman" w:hAnsi="Times New Roman"/>
          <w:w w:val="75"/>
          <w:sz w:val="15"/>
          <w:u w:val="single"/>
        </w:rPr>
        <w:t>1</w:t>
      </w:r>
      <w:r>
        <w:rPr>
          <w:rFonts w:ascii="Times New Roman" w:hAnsi="Times New Roman"/>
          <w:sz w:val="15"/>
          <w:u w:val="single"/>
        </w:rPr>
        <w:tab/>
      </w:r>
    </w:p>
    <w:p>
      <w:pPr>
        <w:spacing w:after="0" w:line="295" w:lineRule="exact"/>
        <w:jc w:val="center"/>
        <w:rPr>
          <w:rFonts w:ascii="Times New Roman" w:hAnsi="Times New Roman"/>
          <w:sz w:val="15"/>
        </w:rPr>
        <w:sectPr>
          <w:type w:val="continuous"/>
          <w:pgSz w:w="12240" w:h="15840"/>
          <w:pgMar w:top="720" w:bottom="280" w:left="1560" w:right="1560"/>
          <w:cols w:num="2" w:equalWidth="0">
            <w:col w:w="3579" w:space="40"/>
            <w:col w:w="5501"/>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0"/>
        </w:rPr>
      </w:pPr>
    </w:p>
    <w:p>
      <w:pPr>
        <w:pStyle w:val="BodyText"/>
        <w:spacing w:before="69"/>
        <w:ind w:left="850" w:right="157"/>
      </w:pPr>
      <w:r>
        <w:rPr/>
        <w:t>La correlación permite identificar el grado de relación entre dos variables.</w:t>
      </w:r>
    </w:p>
    <w:p>
      <w:pPr>
        <w:pStyle w:val="BodyText"/>
        <w:spacing w:line="360" w:lineRule="auto" w:before="139"/>
        <w:ind w:left="142" w:firstLine="707"/>
      </w:pPr>
      <w:r>
        <w:rPr/>
        <w:t>El</w:t>
      </w:r>
      <w:r>
        <w:rPr>
          <w:spacing w:val="-13"/>
        </w:rPr>
        <w:t> </w:t>
      </w:r>
      <w:r>
        <w:rPr/>
        <w:t>coeficiente</w:t>
      </w:r>
      <w:r>
        <w:rPr>
          <w:spacing w:val="-14"/>
        </w:rPr>
        <w:t> </w:t>
      </w:r>
      <w:r>
        <w:rPr/>
        <w:t>de</w:t>
      </w:r>
      <w:r>
        <w:rPr>
          <w:spacing w:val="-12"/>
        </w:rPr>
        <w:t> </w:t>
      </w:r>
      <w:r>
        <w:rPr/>
        <w:t>correlación</w:t>
      </w:r>
      <w:r>
        <w:rPr>
          <w:spacing w:val="-14"/>
        </w:rPr>
        <w:t> </w:t>
      </w:r>
      <w:r>
        <w:rPr/>
        <w:t>es</w:t>
      </w:r>
      <w:r>
        <w:rPr>
          <w:spacing w:val="-13"/>
        </w:rPr>
        <w:t> </w:t>
      </w:r>
      <w:r>
        <w:rPr/>
        <w:t>una</w:t>
      </w:r>
      <w:r>
        <w:rPr>
          <w:spacing w:val="-14"/>
        </w:rPr>
        <w:t> </w:t>
      </w:r>
      <w:r>
        <w:rPr/>
        <w:t>medida</w:t>
      </w:r>
      <w:r>
        <w:rPr>
          <w:spacing w:val="-14"/>
        </w:rPr>
        <w:t> </w:t>
      </w:r>
      <w:r>
        <w:rPr/>
        <w:t>de</w:t>
      </w:r>
      <w:r>
        <w:rPr>
          <w:spacing w:val="-12"/>
        </w:rPr>
        <w:t> </w:t>
      </w:r>
      <w:r>
        <w:rPr/>
        <w:t>intensidad</w:t>
      </w:r>
      <w:r>
        <w:rPr>
          <w:spacing w:val="-12"/>
        </w:rPr>
        <w:t> </w:t>
      </w:r>
      <w:r>
        <w:rPr/>
        <w:t>de</w:t>
      </w:r>
      <w:r>
        <w:rPr>
          <w:spacing w:val="-12"/>
        </w:rPr>
        <w:t> </w:t>
      </w:r>
      <w:r>
        <w:rPr/>
        <w:t>la</w:t>
      </w:r>
      <w:r>
        <w:rPr>
          <w:spacing w:val="-12"/>
        </w:rPr>
        <w:t> </w:t>
      </w:r>
      <w:r>
        <w:rPr/>
        <w:t>relación</w:t>
      </w:r>
      <w:r>
        <w:rPr>
          <w:spacing w:val="-11"/>
        </w:rPr>
        <w:t> </w:t>
      </w:r>
      <w:r>
        <w:rPr/>
        <w:t>entre dos conjuntos de</w:t>
      </w:r>
      <w:r>
        <w:rPr>
          <w:spacing w:val="-8"/>
        </w:rPr>
        <w:t> </w:t>
      </w:r>
      <w:r>
        <w:rPr/>
        <w:t>variables.</w:t>
      </w:r>
    </w:p>
    <w:p>
      <w:pPr>
        <w:spacing w:after="0" w:line="360" w:lineRule="auto"/>
        <w:sectPr>
          <w:type w:val="continuous"/>
          <w:pgSz w:w="12240" w:h="15840"/>
          <w:pgMar w:top="720" w:bottom="280" w:left="1560" w:right="1560"/>
        </w:sectPr>
      </w:pPr>
    </w:p>
    <w:p>
      <w:pPr>
        <w:spacing w:before="158"/>
        <w:ind w:left="0" w:right="0" w:firstLine="0"/>
        <w:jc w:val="right"/>
        <w:rPr>
          <w:rFonts w:ascii="Symbol" w:hAnsi="Symbol"/>
          <w:sz w:val="24"/>
        </w:rPr>
      </w:pPr>
      <w:r>
        <w:rPr>
          <w:rFonts w:ascii="Symbol" w:hAnsi="Symbol"/>
          <w:i/>
          <w:position w:val="6"/>
          <w:sz w:val="25"/>
        </w:rPr>
        <w:t></w:t>
      </w:r>
      <w:r>
        <w:rPr>
          <w:rFonts w:ascii="Times New Roman" w:hAnsi="Times New Roman"/>
          <w:i/>
          <w:sz w:val="14"/>
        </w:rPr>
        <w:t>x</w:t>
      </w:r>
      <w:r>
        <w:rPr>
          <w:rFonts w:ascii="Times New Roman" w:hAnsi="Times New Roman"/>
          <w:sz w:val="14"/>
        </w:rPr>
        <w:t>, </w:t>
      </w:r>
      <w:r>
        <w:rPr>
          <w:rFonts w:ascii="Times New Roman" w:hAnsi="Times New Roman"/>
          <w:i/>
          <w:sz w:val="14"/>
        </w:rPr>
        <w:t>y </w:t>
      </w:r>
      <w:r>
        <w:rPr>
          <w:rFonts w:ascii="Symbol" w:hAnsi="Symbol"/>
          <w:position w:val="6"/>
          <w:sz w:val="24"/>
        </w:rPr>
        <w:t></w:t>
      </w:r>
    </w:p>
    <w:p>
      <w:pPr>
        <w:spacing w:line="324" w:lineRule="exact" w:before="0"/>
        <w:ind w:left="130" w:right="0" w:firstLine="0"/>
        <w:jc w:val="left"/>
        <w:rPr>
          <w:rFonts w:ascii="Times New Roman" w:hAnsi="Times New Roman"/>
          <w:i/>
          <w:sz w:val="14"/>
        </w:rPr>
      </w:pPr>
      <w:r>
        <w:rPr/>
        <w:br w:type="column"/>
      </w:r>
      <w:r>
        <w:rPr>
          <w:rFonts w:ascii="Symbol" w:hAnsi="Symbol"/>
          <w:i/>
          <w:position w:val="6"/>
          <w:sz w:val="25"/>
        </w:rPr>
        <w:t></w:t>
      </w:r>
      <w:r>
        <w:rPr>
          <w:rFonts w:ascii="Times New Roman" w:hAnsi="Times New Roman"/>
          <w:i/>
          <w:sz w:val="14"/>
        </w:rPr>
        <w:t>xy</w:t>
      </w:r>
    </w:p>
    <w:p>
      <w:pPr>
        <w:pStyle w:val="BodyText"/>
        <w:spacing w:before="6"/>
        <w:rPr>
          <w:rFonts w:ascii="Times New Roman"/>
          <w:i/>
          <w:sz w:val="2"/>
        </w:rPr>
      </w:pPr>
    </w:p>
    <w:p>
      <w:pPr>
        <w:pStyle w:val="BodyText"/>
        <w:spacing w:line="20" w:lineRule="exact"/>
        <w:ind w:left="22"/>
        <w:rPr>
          <w:rFonts w:ascii="Times New Roman"/>
          <w:sz w:val="2"/>
        </w:rPr>
      </w:pPr>
      <w:r>
        <w:rPr>
          <w:rFonts w:ascii="Times New Roman"/>
          <w:sz w:val="2"/>
        </w:rPr>
        <w:pict>
          <v:group style="width:25.65pt;height:.15pt;mso-position-horizontal-relative:char;mso-position-vertical-relative:line" coordorigin="0,0" coordsize="513,3">
            <v:line style="position:absolute" from="2,2" to="511,2" stroked="true" strokeweight=".137263pt" strokecolor="#000000"/>
          </v:group>
        </w:pict>
      </w:r>
      <w:r>
        <w:rPr>
          <w:rFonts w:ascii="Times New Roman"/>
          <w:sz w:val="2"/>
        </w:rPr>
      </w:r>
    </w:p>
    <w:p>
      <w:pPr>
        <w:spacing w:before="0"/>
        <w:ind w:left="42" w:right="0" w:firstLine="0"/>
        <w:jc w:val="left"/>
        <w:rPr>
          <w:rFonts w:ascii="Times New Roman" w:hAnsi="Times New Roman"/>
          <w:i/>
          <w:sz w:val="14"/>
        </w:rPr>
      </w:pPr>
      <w:r>
        <w:rPr>
          <w:rFonts w:ascii="Symbol" w:hAnsi="Symbol"/>
          <w:i/>
          <w:sz w:val="25"/>
        </w:rPr>
        <w:t></w:t>
      </w:r>
      <w:r>
        <w:rPr>
          <w:rFonts w:ascii="Times New Roman" w:hAnsi="Times New Roman"/>
          <w:i/>
          <w:position w:val="-5"/>
          <w:sz w:val="14"/>
        </w:rPr>
        <w:t>x </w:t>
      </w:r>
      <w:r>
        <w:rPr>
          <w:rFonts w:ascii="Symbol" w:hAnsi="Symbol"/>
          <w:i/>
          <w:sz w:val="25"/>
        </w:rPr>
        <w:t></w:t>
      </w:r>
      <w:r>
        <w:rPr>
          <w:rFonts w:ascii="Times New Roman" w:hAnsi="Times New Roman"/>
          <w:i/>
          <w:position w:val="-5"/>
          <w:sz w:val="14"/>
        </w:rPr>
        <w:t>y</w:t>
      </w:r>
    </w:p>
    <w:p>
      <w:pPr>
        <w:spacing w:after="0"/>
        <w:jc w:val="left"/>
        <w:rPr>
          <w:rFonts w:ascii="Times New Roman" w:hAnsi="Times New Roman"/>
          <w:sz w:val="14"/>
        </w:rPr>
        <w:sectPr>
          <w:type w:val="continuous"/>
          <w:pgSz w:w="12240" w:h="15840"/>
          <w:pgMar w:top="720" w:bottom="280" w:left="1560" w:right="1560"/>
          <w:cols w:num="2" w:equalWidth="0">
            <w:col w:w="4554" w:space="40"/>
            <w:col w:w="4526"/>
          </w:cols>
        </w:sectPr>
      </w:pPr>
    </w:p>
    <w:p>
      <w:pPr>
        <w:pStyle w:val="BodyText"/>
        <w:spacing w:before="9"/>
        <w:rPr>
          <w:rFonts w:ascii="Times New Roman"/>
          <w:i/>
          <w:sz w:val="21"/>
        </w:rPr>
      </w:pPr>
    </w:p>
    <w:p>
      <w:pPr>
        <w:spacing w:after="0"/>
        <w:rPr>
          <w:rFonts w:ascii="Times New Roman"/>
          <w:sz w:val="21"/>
        </w:rPr>
        <w:sectPr>
          <w:type w:val="continuous"/>
          <w:pgSz w:w="12240" w:h="15840"/>
          <w:pgMar w:top="720" w:bottom="280" w:left="1560" w:right="1560"/>
        </w:sectPr>
      </w:pPr>
    </w:p>
    <w:p>
      <w:pPr>
        <w:pStyle w:val="BodyText"/>
        <w:spacing w:before="87"/>
        <w:ind w:left="850" w:right="-20"/>
      </w:pPr>
      <w:r>
        <w:rPr/>
        <w:t>La correlación puede ser positiva, negativa o independiente:</w:t>
      </w:r>
    </w:p>
    <w:p>
      <w:pPr>
        <w:spacing w:before="51"/>
        <w:ind w:left="64" w:right="0" w:firstLine="0"/>
        <w:jc w:val="left"/>
        <w:rPr>
          <w:rFonts w:ascii="Times New Roman" w:hAnsi="Times New Roman"/>
          <w:sz w:val="24"/>
        </w:rPr>
      </w:pPr>
      <w:r>
        <w:rPr/>
        <w:br w:type="column"/>
      </w:r>
      <w:r>
        <w:rPr>
          <w:rFonts w:ascii="Symbol" w:hAnsi="Symbol"/>
          <w:w w:val="105"/>
          <w:sz w:val="24"/>
        </w:rPr>
        <w:t></w:t>
      </w:r>
      <w:r>
        <w:rPr>
          <w:rFonts w:ascii="Times New Roman" w:hAnsi="Times New Roman"/>
          <w:w w:val="105"/>
          <w:sz w:val="24"/>
        </w:rPr>
        <w:t>1 </w:t>
      </w:r>
      <w:r>
        <w:rPr>
          <w:rFonts w:ascii="Symbol" w:hAnsi="Symbol"/>
          <w:w w:val="105"/>
          <w:sz w:val="24"/>
        </w:rPr>
        <w:t></w:t>
      </w:r>
      <w:r>
        <w:rPr>
          <w:rFonts w:ascii="Times New Roman" w:hAnsi="Times New Roman"/>
          <w:w w:val="105"/>
          <w:sz w:val="24"/>
        </w:rPr>
        <w:t> </w:t>
      </w:r>
      <w:r>
        <w:rPr>
          <w:rFonts w:ascii="Symbol" w:hAnsi="Symbol"/>
          <w:i/>
          <w:w w:val="105"/>
          <w:sz w:val="26"/>
        </w:rPr>
        <w:t></w:t>
      </w:r>
      <w:r>
        <w:rPr>
          <w:rFonts w:ascii="Times New Roman" w:hAnsi="Times New Roman"/>
          <w:i/>
          <w:w w:val="105"/>
          <w:position w:val="-5"/>
          <w:sz w:val="14"/>
        </w:rPr>
        <w:t>x</w:t>
      </w:r>
      <w:r>
        <w:rPr>
          <w:rFonts w:ascii="Times New Roman" w:hAnsi="Times New Roman"/>
          <w:w w:val="105"/>
          <w:position w:val="-5"/>
          <w:sz w:val="14"/>
        </w:rPr>
        <w:t>, </w:t>
      </w:r>
      <w:r>
        <w:rPr>
          <w:rFonts w:ascii="Times New Roman" w:hAnsi="Times New Roman"/>
          <w:i/>
          <w:w w:val="105"/>
          <w:position w:val="-5"/>
          <w:sz w:val="14"/>
        </w:rPr>
        <w:t>y </w:t>
      </w:r>
      <w:r>
        <w:rPr>
          <w:rFonts w:ascii="Symbol" w:hAnsi="Symbol"/>
          <w:w w:val="105"/>
          <w:sz w:val="24"/>
        </w:rPr>
        <w:t></w:t>
      </w:r>
      <w:r>
        <w:rPr>
          <w:rFonts w:ascii="Times New Roman" w:hAnsi="Times New Roman"/>
          <w:w w:val="105"/>
          <w:sz w:val="24"/>
        </w:rPr>
        <w:t> 1</w:t>
      </w:r>
    </w:p>
    <w:p>
      <w:pPr>
        <w:spacing w:after="0"/>
        <w:jc w:val="left"/>
        <w:rPr>
          <w:rFonts w:ascii="Times New Roman" w:hAnsi="Times New Roman"/>
          <w:sz w:val="24"/>
        </w:rPr>
        <w:sectPr>
          <w:type w:val="continuous"/>
          <w:pgSz w:w="12240" w:h="15840"/>
          <w:pgMar w:top="720" w:bottom="280" w:left="1560" w:right="1560"/>
          <w:cols w:num="2" w:equalWidth="0">
            <w:col w:w="7255" w:space="40"/>
            <w:col w:w="1825"/>
          </w:cols>
        </w:sectPr>
      </w:pPr>
    </w:p>
    <w:p>
      <w:pPr>
        <w:pStyle w:val="BodyText"/>
        <w:spacing w:before="2"/>
        <w:rPr>
          <w:rFonts w:ascii="Times New Roman"/>
          <w:sz w:val="10"/>
        </w:rPr>
      </w:pPr>
    </w:p>
    <w:p>
      <w:pPr>
        <w:pStyle w:val="BodyText"/>
        <w:spacing w:before="57"/>
        <w:ind w:left="850" w:right="157"/>
      </w:pPr>
      <w:r>
        <w:rPr/>
        <w:t>El coeficiente de correlación (</w:t>
      </w:r>
      <w:r>
        <w:rPr>
          <w:rFonts w:ascii="Symbol" w:hAnsi="Symbol"/>
          <w:i/>
          <w:sz w:val="25"/>
        </w:rPr>
        <w:t></w:t>
      </w:r>
      <w:r>
        <w:rPr/>
        <w:t>) puede tomar cualquier valor de</w:t>
      </w:r>
      <w:r>
        <w:rPr>
          <w:spacing w:val="50"/>
        </w:rPr>
        <w:t> </w:t>
      </w:r>
      <w:r>
        <w:rPr>
          <w:rFonts w:ascii="Symbol" w:hAnsi="Symbol"/>
        </w:rPr>
        <w:t></w:t>
      </w:r>
      <w:r>
        <w:rPr/>
        <w:t>1.00 a</w:t>
      </w:r>
    </w:p>
    <w:p>
      <w:pPr>
        <w:pStyle w:val="BodyText"/>
        <w:spacing w:before="144"/>
        <w:ind w:left="142" w:right="786"/>
      </w:pPr>
      <w:r>
        <w:rPr/>
        <w:t>+1.00, inclusive.</w:t>
      </w:r>
    </w:p>
    <w:p>
      <w:pPr>
        <w:pStyle w:val="BodyText"/>
        <w:spacing w:line="350" w:lineRule="auto" w:before="129"/>
        <w:ind w:left="142" w:right="157" w:firstLine="707"/>
      </w:pPr>
      <w:r>
        <w:rPr/>
        <w:t>Un coeficiente de correlación (</w:t>
      </w:r>
      <w:r>
        <w:rPr>
          <w:rFonts w:ascii="Symbol" w:hAnsi="Symbol"/>
          <w:i/>
          <w:sz w:val="25"/>
        </w:rPr>
        <w:t></w:t>
      </w:r>
      <w:r>
        <w:rPr/>
        <w:t>) de </w:t>
      </w:r>
      <w:r>
        <w:rPr>
          <w:rFonts w:ascii="Symbol" w:hAnsi="Symbol"/>
        </w:rPr>
        <w:t></w:t>
      </w:r>
      <w:r>
        <w:rPr/>
        <w:t>1.00 o de +1.00 indica una correlación perfecta.</w:t>
      </w:r>
    </w:p>
    <w:p>
      <w:pPr>
        <w:pStyle w:val="BodyText"/>
        <w:spacing w:line="352" w:lineRule="auto" w:before="4"/>
        <w:ind w:left="142" w:firstLine="707"/>
      </w:pPr>
      <w:r>
        <w:rPr/>
        <w:t>Un valor de </w:t>
      </w:r>
      <w:r>
        <w:rPr>
          <w:rFonts w:ascii="Symbol" w:hAnsi="Symbol"/>
          <w:i/>
          <w:sz w:val="25"/>
        </w:rPr>
        <w:t></w:t>
      </w:r>
      <w:r>
        <w:rPr>
          <w:rFonts w:ascii="Times New Roman" w:hAnsi="Times New Roman"/>
          <w:i/>
          <w:sz w:val="25"/>
        </w:rPr>
        <w:t> </w:t>
      </w:r>
      <w:r>
        <w:rPr/>
        <w:t>calculado de </w:t>
      </w:r>
      <w:r>
        <w:rPr>
          <w:rFonts w:ascii="Symbol" w:hAnsi="Symbol"/>
        </w:rPr>
        <w:t></w:t>
      </w:r>
      <w:r>
        <w:rPr/>
        <w:t>1.00 revela que la variable independiente </w:t>
      </w:r>
      <w:r>
        <w:rPr>
          <w:i/>
        </w:rPr>
        <w:t>X </w:t>
      </w:r>
      <w:r>
        <w:rPr/>
        <w:t>y la variable dependiente </w:t>
      </w:r>
      <w:r>
        <w:rPr>
          <w:i/>
        </w:rPr>
        <w:t>Y </w:t>
      </w:r>
      <w:r>
        <w:rPr/>
        <w:t>están relacionadas en forma inversamente proporcional.</w:t>
      </w:r>
    </w:p>
    <w:p>
      <w:pPr>
        <w:pStyle w:val="BodyText"/>
        <w:spacing w:line="352" w:lineRule="auto" w:before="1"/>
        <w:ind w:left="142" w:firstLine="707"/>
      </w:pPr>
      <w:r>
        <w:rPr/>
        <w:t>Un valor de </w:t>
      </w:r>
      <w:r>
        <w:rPr>
          <w:rFonts w:ascii="Symbol" w:hAnsi="Symbol"/>
          <w:i/>
          <w:sz w:val="25"/>
        </w:rPr>
        <w:t></w:t>
      </w:r>
      <w:r>
        <w:rPr>
          <w:rFonts w:ascii="Times New Roman" w:hAnsi="Times New Roman"/>
          <w:i/>
          <w:sz w:val="25"/>
        </w:rPr>
        <w:t> </w:t>
      </w:r>
      <w:r>
        <w:rPr/>
        <w:t>calculado de +1.00 revela que la variable independiente </w:t>
      </w:r>
      <w:r>
        <w:rPr>
          <w:i/>
        </w:rPr>
        <w:t>X </w:t>
      </w:r>
      <w:r>
        <w:rPr/>
        <w:t>y la variable dependiente </w:t>
      </w:r>
      <w:r>
        <w:rPr>
          <w:i/>
        </w:rPr>
        <w:t>Y </w:t>
      </w:r>
      <w:r>
        <w:rPr/>
        <w:t>están relacionadas en forma directamente proporcional.</w:t>
      </w:r>
    </w:p>
    <w:p>
      <w:pPr>
        <w:pStyle w:val="BodyText"/>
        <w:spacing w:before="3"/>
        <w:ind w:left="850" w:right="157"/>
        <w:rPr>
          <w:rFonts w:ascii="Symbol" w:hAnsi="Symbol"/>
          <w:i/>
          <w:sz w:val="25"/>
        </w:rPr>
      </w:pPr>
      <w:r>
        <w:rPr/>
        <w:t>Si no existe en absoluto relación entre los dos conjuntos de variables, la </w:t>
      </w:r>
      <w:r>
        <w:rPr>
          <w:rFonts w:ascii="Symbol" w:hAnsi="Symbol"/>
          <w:i/>
          <w:sz w:val="25"/>
        </w:rPr>
        <w:t></w:t>
      </w:r>
    </w:p>
    <w:p>
      <w:pPr>
        <w:pStyle w:val="BodyText"/>
        <w:spacing w:before="135"/>
        <w:ind w:left="142" w:right="157"/>
      </w:pPr>
      <w:r>
        <w:rPr/>
        <w:t>será cercana a cero. Un coeficiente de correlación </w:t>
      </w:r>
      <w:r>
        <w:rPr>
          <w:rFonts w:ascii="Symbol" w:hAnsi="Symbol"/>
          <w:i/>
          <w:sz w:val="25"/>
        </w:rPr>
        <w:t></w:t>
      </w:r>
      <w:r>
        <w:rPr>
          <w:rFonts w:ascii="Times New Roman" w:hAnsi="Times New Roman"/>
          <w:i/>
          <w:sz w:val="25"/>
        </w:rPr>
        <w:t> </w:t>
      </w:r>
      <w:r>
        <w:rPr/>
        <w:t>cercano a 0 indica que la</w:t>
      </w:r>
    </w:p>
    <w:p>
      <w:pPr>
        <w:spacing w:after="0"/>
        <w:sectPr>
          <w:type w:val="continuous"/>
          <w:pgSz w:w="12240" w:h="15840"/>
          <w:pgMar w:top="720" w:bottom="280" w:left="1560" w:right="1560"/>
        </w:sectPr>
      </w:pPr>
    </w:p>
    <w:p>
      <w:pPr>
        <w:pStyle w:val="BodyText"/>
        <w:rPr>
          <w:sz w:val="20"/>
        </w:rPr>
      </w:pPr>
    </w:p>
    <w:p>
      <w:pPr>
        <w:pStyle w:val="BodyText"/>
        <w:spacing w:before="4"/>
        <w:rPr>
          <w:sz w:val="16"/>
        </w:rPr>
      </w:pPr>
    </w:p>
    <w:p>
      <w:pPr>
        <w:pStyle w:val="BodyText"/>
        <w:spacing w:line="352" w:lineRule="auto" w:before="56"/>
        <w:ind w:left="142"/>
      </w:pPr>
      <w:r>
        <w:rPr/>
        <w:t>realción</w:t>
      </w:r>
      <w:r>
        <w:rPr>
          <w:spacing w:val="-13"/>
        </w:rPr>
        <w:t> </w:t>
      </w:r>
      <w:r>
        <w:rPr/>
        <w:t>es</w:t>
      </w:r>
      <w:r>
        <w:rPr>
          <w:spacing w:val="-12"/>
        </w:rPr>
        <w:t> </w:t>
      </w:r>
      <w:r>
        <w:rPr/>
        <w:t>poco</w:t>
      </w:r>
      <w:r>
        <w:rPr>
          <w:spacing w:val="-13"/>
        </w:rPr>
        <w:t> </w:t>
      </w:r>
      <w:r>
        <w:rPr/>
        <w:t>intensa</w:t>
      </w:r>
      <w:r>
        <w:rPr>
          <w:spacing w:val="-12"/>
        </w:rPr>
        <w:t> </w:t>
      </w:r>
      <w:r>
        <w:rPr/>
        <w:t>o</w:t>
      </w:r>
      <w:r>
        <w:rPr>
          <w:spacing w:val="-13"/>
        </w:rPr>
        <w:t> </w:t>
      </w:r>
      <w:r>
        <w:rPr/>
        <w:t>débil.</w:t>
      </w:r>
      <w:r>
        <w:rPr>
          <w:spacing w:val="-12"/>
        </w:rPr>
        <w:t> </w:t>
      </w:r>
      <w:r>
        <w:rPr/>
        <w:t>Se</w:t>
      </w:r>
      <w:r>
        <w:rPr>
          <w:spacing w:val="-12"/>
        </w:rPr>
        <w:t> </w:t>
      </w:r>
      <w:r>
        <w:rPr/>
        <w:t>llega</w:t>
      </w:r>
      <w:r>
        <w:rPr>
          <w:spacing w:val="-13"/>
        </w:rPr>
        <w:t> </w:t>
      </w:r>
      <w:r>
        <w:rPr/>
        <w:t>a</w:t>
      </w:r>
      <w:r>
        <w:rPr>
          <w:spacing w:val="-12"/>
        </w:rPr>
        <w:t> </w:t>
      </w:r>
      <w:r>
        <w:rPr/>
        <w:t>la</w:t>
      </w:r>
      <w:r>
        <w:rPr>
          <w:spacing w:val="-16"/>
        </w:rPr>
        <w:t> </w:t>
      </w:r>
      <w:r>
        <w:rPr/>
        <w:t>misma</w:t>
      </w:r>
      <w:r>
        <w:rPr>
          <w:spacing w:val="-12"/>
        </w:rPr>
        <w:t> </w:t>
      </w:r>
      <w:r>
        <w:rPr/>
        <w:t>conclusión</w:t>
      </w:r>
      <w:r>
        <w:rPr>
          <w:spacing w:val="-13"/>
        </w:rPr>
        <w:t> </w:t>
      </w:r>
      <w:r>
        <w:rPr/>
        <w:t>si</w:t>
      </w:r>
      <w:r>
        <w:rPr>
          <w:spacing w:val="-8"/>
        </w:rPr>
        <w:t> </w:t>
      </w:r>
      <w:r>
        <w:rPr>
          <w:rFonts w:ascii="Symbol" w:hAnsi="Symbol"/>
          <w:i/>
          <w:sz w:val="25"/>
        </w:rPr>
        <w:t></w:t>
      </w:r>
      <w:r>
        <w:rPr>
          <w:rFonts w:ascii="Times New Roman" w:hAnsi="Times New Roman"/>
          <w:i/>
          <w:spacing w:val="-10"/>
          <w:sz w:val="25"/>
        </w:rPr>
        <w:t> </w:t>
      </w:r>
      <w:r>
        <w:rPr/>
        <w:t>resulta</w:t>
      </w:r>
      <w:r>
        <w:rPr>
          <w:spacing w:val="-13"/>
        </w:rPr>
        <w:t> </w:t>
      </w:r>
      <w:r>
        <w:rPr/>
        <w:t>negativa en la misma</w:t>
      </w:r>
      <w:r>
        <w:rPr>
          <w:spacing w:val="-11"/>
        </w:rPr>
        <w:t> </w:t>
      </w:r>
      <w:r>
        <w:rPr/>
        <w:t>proporción.</w:t>
      </w:r>
    </w:p>
    <w:p>
      <w:pPr>
        <w:pStyle w:val="BodyText"/>
        <w:spacing w:before="11"/>
        <w:ind w:left="850" w:right="786"/>
      </w:pPr>
      <w:r>
        <w:rPr/>
        <w:t>La fuerza de correlación no depende de la dirección.</w:t>
      </w:r>
    </w:p>
    <w:p>
      <w:pPr>
        <w:pStyle w:val="BodyText"/>
        <w:spacing w:line="360" w:lineRule="auto" w:before="139"/>
        <w:ind w:left="142" w:right="144" w:firstLine="707"/>
        <w:jc w:val="both"/>
      </w:pPr>
      <w:r>
        <w:rPr/>
        <w:t>Si la correlación es débil, existe una dispersión considerable con respecto a un línea recta trazada a través del espacio central de los datos. Para que un diagrama</w:t>
      </w:r>
      <w:r>
        <w:rPr>
          <w:spacing w:val="-7"/>
        </w:rPr>
        <w:t> </w:t>
      </w:r>
      <w:r>
        <w:rPr/>
        <w:t>de</w:t>
      </w:r>
      <w:r>
        <w:rPr>
          <w:spacing w:val="-5"/>
        </w:rPr>
        <w:t> </w:t>
      </w:r>
      <w:r>
        <w:rPr/>
        <w:t>dispersión</w:t>
      </w:r>
      <w:r>
        <w:rPr>
          <w:spacing w:val="-5"/>
        </w:rPr>
        <w:t> </w:t>
      </w:r>
      <w:r>
        <w:rPr/>
        <w:t>represente</w:t>
      </w:r>
      <w:r>
        <w:rPr>
          <w:spacing w:val="-7"/>
        </w:rPr>
        <w:t> </w:t>
      </w:r>
      <w:r>
        <w:rPr/>
        <w:t>una</w:t>
      </w:r>
      <w:r>
        <w:rPr>
          <w:spacing w:val="-5"/>
        </w:rPr>
        <w:t> </w:t>
      </w:r>
      <w:r>
        <w:rPr/>
        <w:t>relación</w:t>
      </w:r>
      <w:r>
        <w:rPr>
          <w:spacing w:val="-7"/>
        </w:rPr>
        <w:t> </w:t>
      </w:r>
      <w:r>
        <w:rPr/>
        <w:t>fuerte,</w:t>
      </w:r>
      <w:r>
        <w:rPr>
          <w:spacing w:val="-7"/>
        </w:rPr>
        <w:t> </w:t>
      </w:r>
      <w:r>
        <w:rPr/>
        <w:t>debe</w:t>
      </w:r>
      <w:r>
        <w:rPr>
          <w:spacing w:val="-5"/>
        </w:rPr>
        <w:t> </w:t>
      </w:r>
      <w:r>
        <w:rPr/>
        <w:t>haber</w:t>
      </w:r>
      <w:r>
        <w:rPr>
          <w:spacing w:val="-6"/>
        </w:rPr>
        <w:t> </w:t>
      </w:r>
      <w:r>
        <w:rPr/>
        <w:t>poca</w:t>
      </w:r>
      <w:r>
        <w:rPr>
          <w:spacing w:val="-7"/>
        </w:rPr>
        <w:t> </w:t>
      </w:r>
      <w:r>
        <w:rPr/>
        <w:t>dispersión con respecto a la</w:t>
      </w:r>
      <w:r>
        <w:rPr>
          <w:spacing w:val="-6"/>
        </w:rPr>
        <w:t> </w:t>
      </w:r>
      <w:r>
        <w:rPr/>
        <w:t>recta.</w:t>
      </w:r>
    </w:p>
    <w:p>
      <w:pPr>
        <w:pStyle w:val="BodyText"/>
        <w:spacing w:before="125"/>
        <w:ind w:left="142" w:right="786"/>
      </w:pPr>
      <w:r>
        <w:rPr/>
        <w:t>Correlación Positiva</w:t>
      </w:r>
    </w:p>
    <w:p>
      <w:pPr>
        <w:pStyle w:val="BodyText"/>
        <w:spacing w:line="360" w:lineRule="auto" w:before="197"/>
        <w:ind w:left="142" w:right="138" w:firstLine="707"/>
        <w:jc w:val="both"/>
      </w:pPr>
      <w:r>
        <w:rPr/>
        <w:t>Los rendimientos de activos positivamente correlacionados tienden a desplazarse</w:t>
      </w:r>
      <w:r>
        <w:rPr>
          <w:spacing w:val="-9"/>
        </w:rPr>
        <w:t> </w:t>
      </w:r>
      <w:r>
        <w:rPr/>
        <w:t>simultáneamente</w:t>
      </w:r>
      <w:r>
        <w:rPr>
          <w:spacing w:val="-10"/>
        </w:rPr>
        <w:t> </w:t>
      </w:r>
      <w:r>
        <w:rPr/>
        <w:t>en</w:t>
      </w:r>
      <w:r>
        <w:rPr>
          <w:spacing w:val="-8"/>
        </w:rPr>
        <w:t> </w:t>
      </w:r>
      <w:r>
        <w:rPr/>
        <w:t>la</w:t>
      </w:r>
      <w:r>
        <w:rPr>
          <w:spacing w:val="-11"/>
        </w:rPr>
        <w:t> </w:t>
      </w:r>
      <w:r>
        <w:rPr/>
        <w:t>misma</w:t>
      </w:r>
      <w:r>
        <w:rPr>
          <w:spacing w:val="-11"/>
        </w:rPr>
        <w:t> </w:t>
      </w:r>
      <w:r>
        <w:rPr/>
        <w:t>dirección.</w:t>
      </w:r>
      <w:r>
        <w:rPr>
          <w:spacing w:val="-9"/>
        </w:rPr>
        <w:t> </w:t>
      </w:r>
      <w:r>
        <w:rPr/>
        <w:t>Mientras</w:t>
      </w:r>
      <w:r>
        <w:rPr>
          <w:spacing w:val="-12"/>
        </w:rPr>
        <w:t> </w:t>
      </w:r>
      <w:r>
        <w:rPr/>
        <w:t>más</w:t>
      </w:r>
      <w:r>
        <w:rPr>
          <w:spacing w:val="-14"/>
        </w:rPr>
        <w:t> </w:t>
      </w:r>
      <w:r>
        <w:rPr/>
        <w:t>cercano</w:t>
      </w:r>
      <w:r>
        <w:rPr>
          <w:spacing w:val="-11"/>
        </w:rPr>
        <w:t> </w:t>
      </w:r>
      <w:r>
        <w:rPr/>
        <w:t>a</w:t>
      </w:r>
      <w:r>
        <w:rPr>
          <w:spacing w:val="-11"/>
        </w:rPr>
        <w:t> </w:t>
      </w:r>
      <w:r>
        <w:rPr/>
        <w:t>1</w:t>
      </w:r>
      <w:r>
        <w:rPr>
          <w:spacing w:val="-8"/>
        </w:rPr>
        <w:t> </w:t>
      </w:r>
      <w:r>
        <w:rPr/>
        <w:t>sea el valor de la correlación, más fuerte será la tendencia a desplazarse en la misma dirección.</w:t>
      </w:r>
    </w:p>
    <w:p>
      <w:pPr>
        <w:pStyle w:val="BodyText"/>
        <w:spacing w:before="5"/>
        <w:rPr>
          <w:sz w:val="31"/>
        </w:rPr>
      </w:pPr>
    </w:p>
    <w:p>
      <w:pPr>
        <w:spacing w:before="1"/>
        <w:ind w:left="479" w:right="480" w:firstLine="0"/>
        <w:jc w:val="center"/>
        <w:rPr>
          <w:sz w:val="22"/>
        </w:rPr>
      </w:pPr>
      <w:bookmarkStart w:name="_bookmark17" w:id="31"/>
      <w:bookmarkEnd w:id="31"/>
      <w:r>
        <w:rPr/>
      </w:r>
      <w:r>
        <w:rPr>
          <w:sz w:val="22"/>
        </w:rPr>
        <w:t>Figura 03. Correlación positiva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p>
    <w:p>
      <w:pPr>
        <w:spacing w:before="86"/>
        <w:ind w:left="2040" w:right="0" w:firstLine="0"/>
        <w:jc w:val="left"/>
        <w:rPr>
          <w:rFonts w:ascii="Times New Roman"/>
          <w:b/>
          <w:sz w:val="14"/>
        </w:rPr>
      </w:pPr>
      <w:r>
        <w:rPr/>
        <w:pict>
          <v:group style="position:absolute;margin-left:187.359253pt;margin-top:-62.712574pt;width:249.65pt;height:143.4pt;mso-position-horizontal-relative:page;mso-position-vertical-relative:paragraph;z-index:2512" coordorigin="3747,-1254" coordsize="4993,2868">
            <v:line style="position:absolute" from="3753,1605" to="8734,1605" stroked="true" strokeweight=".557153pt" strokecolor="#7e7e7e">
              <v:stroke dashstyle="dash"/>
            </v:line>
            <v:line style="position:absolute" from="3753,1605" to="8734,1605" stroked="true" strokeweight=".557153pt" strokecolor="#000000"/>
            <v:shape style="position:absolute;left:300;top:3691;width:6676;height:2760" coordorigin="300,3691" coordsize="6676,2760" path="m3759,1187l8734,1187m3759,775l8734,775m3759,362l8734,362m3759,-39l8734,-39m3759,-451l8734,-451m3759,-863l8734,-863e" filled="false" stroked="true" strokeweight=".558044pt" strokecolor="#7e7e7e">
              <v:path arrowok="t"/>
              <v:stroke dashstyle="dash"/>
            </v:shape>
            <v:line style="position:absolute" from="3753,-1248" to="3753,1605" stroked="true" strokeweight=".558936pt" strokecolor="#000000"/>
            <v:shape style="position:absolute;left:718;top:6358;width:112;height:101" coordorigin="718,6358" coordsize="112,101" path="m4104,1176l4104,1185,4096,1193,4087,1193,4078,1193,4070,1185,4070,1176,4070,1167,4078,1159,4087,1159,4096,1159,4104,1167,4104,1176xm4147,1156l4147,1165,4139,1172,4130,1172,4121,1172,4113,1165,4113,1156,4113,1146,4121,1139,4130,1139,4139,1139,4147,1146,4147,1156xm4153,1135l4153,1144,4146,1152,4137,1152,4127,1152,4120,1144,4120,1135,4120,1126,4127,1118,4137,1118,4146,1118,4153,1126,4153,1135xe" filled="false" stroked="true" strokeweight=".558602pt" strokecolor="#000000">
              <v:path arrowok="t"/>
            </v:shape>
            <v:shape style="position:absolute;left:4390;top:969;width:293;height:168" type="#_x0000_t75" stroked="false">
              <v:imagedata r:id="rId23" o:title=""/>
            </v:shape>
            <v:shape style="position:absolute;left:1584;top:6109;width:201;height:73" coordorigin="1584,6109" coordsize="201,73" path="m4749,970l4749,980,4742,987,4733,987,4723,987,4716,980,4716,970,4716,961,4723,954,4733,954,4742,954,4749,961,4749,970xm4865,950l4865,959,4858,966,4848,966,4839,966,4832,959,4832,950,4832,940,4839,933,4848,933,4858,933,4865,940,4865,950xe" filled="false" stroked="true" strokeweight=".558602pt" strokecolor="#000000">
              <v:path arrowok="t"/>
            </v:shape>
            <v:shape style="position:absolute;left:4942;top:680;width:266;height:271" type="#_x0000_t75" stroked="false">
              <v:imagedata r:id="rId24" o:title=""/>
            </v:shape>
            <v:shape style="position:absolute;left:5238;top:577;width:248;height:127" type="#_x0000_t75" stroked="false">
              <v:imagedata r:id="rId25" o:title=""/>
            </v:shape>
            <v:shape style="position:absolute;left:5532;top:63;width:695;height:539" type="#_x0000_t75" stroked="false">
              <v:imagedata r:id="rId26" o:title=""/>
            </v:shape>
            <v:shape style="position:absolute;left:6304;top:-40;width:120;height:127" type="#_x0000_t75" stroked="false">
              <v:imagedata r:id="rId27" o:title=""/>
            </v:shape>
            <v:shape style="position:absolute;left:3951;top:4612;width:872;height:212" coordorigin="3951,4612" coordsize="872,212" path="m6513,-39l6513,-29,6506,-22,6496,-22,6487,-22,6480,-29,6480,-39,6480,-48,6487,-55,6496,-55,6506,-55,6513,-48,6513,-39xm6556,-59l6556,-50,6549,-42,6539,-42,6530,-42,6523,-50,6523,-59,6523,-68,6530,-76,6539,-76,6549,-76,6556,-68,6556,-59xm6563,-80l6563,-71,6555,-63,6546,-63,6537,-63,6529,-71,6529,-80,6529,-89,6537,-96,6546,-96,6555,-96,6563,-89,6563,-80xm6634,-100l6634,-91,6626,-84,6617,-84,6608,-84,6600,-91,6600,-100,6600,-110,6608,-117,6617,-117,6626,-117,6634,-110,6634,-100xm7055,-121l7055,-112,7048,-104,7039,-104,7030,-104,7022,-112,7022,-121,7022,-130,7030,-138,7039,-138,7048,-138,7055,-130,7055,-121xm7114,-142l7114,-132,7106,-125,7097,-125,7088,-125,7080,-132,7080,-142,7080,-151,7088,-158,7097,-158,7106,-158,7114,-151,7114,-142xm7130,-162l7130,-153,7122,-145,7113,-145,7103,-145,7096,-153,7096,-162,7096,-171,7103,-179,7113,-179,7122,-179,7130,-171,7130,-162xe" filled="false" stroked="true" strokeweight=".558602pt" strokecolor="#000000">
              <v:path arrowok="t"/>
            </v:shape>
            <v:shape style="position:absolute;left:7184;top:-370;width:158;height:209" type="#_x0000_t75" stroked="false">
              <v:imagedata r:id="rId28" o:title=""/>
            </v:shape>
            <v:shape style="position:absolute;left:7399;top:-617;width:196;height:271" type="#_x0000_t75" stroked="false">
              <v:imagedata r:id="rId29" o:title=""/>
            </v:shape>
            <v:shape style="position:absolute;left:7657;top:-823;width:244;height:230" type="#_x0000_t75" stroked="false">
              <v:imagedata r:id="rId30" o:title=""/>
            </v:shape>
            <v:shape style="position:absolute;left:5935;top:3670;width:190;height:101" coordorigin="5935,3670" coordsize="190,101" path="m7991,-821l7991,-812,7984,-804,7975,-804,7965,-804,7958,-812,7958,-821,7958,-830,7965,-838,7975,-838,7984,-838,7991,-830,7991,-821xm7993,-841l7993,-832,7986,-825,7977,-825,7967,-825,7960,-832,7960,-841,7960,-851,7967,-858,7977,-858,7986,-858,7993,-851,7993,-841xm8100,-862l8100,-853,8092,-845,8083,-845,8074,-845,8066,-853,8066,-862,8066,-871,8074,-879,8083,-879,8092,-879,8100,-871,8100,-862xe" filled="false" stroked="true" strokeweight=".558602pt" strokecolor="#000000">
              <v:path arrowok="t"/>
            </v:shape>
            <v:line style="position:absolute" from="4077,1282" to="8079,-813" stroked="true" strokeweight=".557536pt" strokecolor="#000000"/>
            <v:shape style="position:absolute;left:6224;top:1468;width:106;height:146" type="#_x0000_t202" filled="false" stroked="false">
              <v:textbox inset="0,0,0,0">
                <w:txbxContent>
                  <w:p>
                    <w:pPr>
                      <w:spacing w:line="146" w:lineRule="exact" w:before="0"/>
                      <w:ind w:left="0" w:right="0" w:firstLine="0"/>
                      <w:jc w:val="left"/>
                      <w:rPr>
                        <w:rFonts w:ascii="Times New Roman"/>
                        <w:b/>
                        <w:sz w:val="14"/>
                      </w:rPr>
                    </w:pPr>
                    <w:r>
                      <w:rPr>
                        <w:rFonts w:ascii="Times New Roman"/>
                        <w:b/>
                        <w:w w:val="104"/>
                        <w:sz w:val="14"/>
                      </w:rPr>
                      <w:t>X</w:t>
                    </w:r>
                  </w:p>
                </w:txbxContent>
              </v:textbox>
              <w10:wrap type="none"/>
            </v:shape>
            <w10:wrap type="none"/>
          </v:group>
        </w:pict>
      </w:r>
      <w:r>
        <w:rPr>
          <w:rFonts w:ascii="Times New Roman"/>
          <w:b/>
          <w:w w:val="104"/>
          <w:sz w:val="14"/>
        </w:rPr>
        <w:t>Y</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4"/>
        <w:rPr>
          <w:rFonts w:ascii="Times New Roman"/>
          <w:b/>
          <w:sz w:val="25"/>
        </w:rPr>
      </w:pPr>
    </w:p>
    <w:p>
      <w:pPr>
        <w:spacing w:before="74"/>
        <w:ind w:left="142" w:right="137" w:firstLine="0"/>
        <w:jc w:val="both"/>
        <w:rPr>
          <w:sz w:val="20"/>
        </w:rPr>
      </w:pPr>
      <w:r>
        <w:rPr>
          <w:sz w:val="20"/>
        </w:rPr>
        <w:t>Correlación Positiva entre el Activo 1 (Eje X) y el Activo 2 (Eje Y). Si el Activo 1 observa un rendimiento</w:t>
      </w:r>
      <w:r>
        <w:rPr>
          <w:spacing w:val="-11"/>
          <w:sz w:val="20"/>
        </w:rPr>
        <w:t> </w:t>
      </w:r>
      <w:r>
        <w:rPr>
          <w:sz w:val="20"/>
        </w:rPr>
        <w:t>positivo,</w:t>
      </w:r>
      <w:r>
        <w:rPr>
          <w:spacing w:val="-11"/>
          <w:sz w:val="20"/>
        </w:rPr>
        <w:t> </w:t>
      </w:r>
      <w:r>
        <w:rPr>
          <w:sz w:val="20"/>
        </w:rPr>
        <w:t>también</w:t>
      </w:r>
      <w:r>
        <w:rPr>
          <w:spacing w:val="-13"/>
          <w:sz w:val="20"/>
        </w:rPr>
        <w:t> </w:t>
      </w:r>
      <w:r>
        <w:rPr>
          <w:sz w:val="20"/>
        </w:rPr>
        <w:t>lo</w:t>
      </w:r>
      <w:r>
        <w:rPr>
          <w:spacing w:val="-13"/>
          <w:sz w:val="20"/>
        </w:rPr>
        <w:t> </w:t>
      </w:r>
      <w:r>
        <w:rPr>
          <w:sz w:val="20"/>
        </w:rPr>
        <w:t>hará</w:t>
      </w:r>
      <w:r>
        <w:rPr>
          <w:spacing w:val="-12"/>
          <w:sz w:val="20"/>
        </w:rPr>
        <w:t> </w:t>
      </w:r>
      <w:r>
        <w:rPr>
          <w:sz w:val="20"/>
        </w:rPr>
        <w:t>el</w:t>
      </w:r>
      <w:r>
        <w:rPr>
          <w:spacing w:val="-11"/>
          <w:sz w:val="20"/>
        </w:rPr>
        <w:t> </w:t>
      </w:r>
      <w:r>
        <w:rPr>
          <w:sz w:val="20"/>
        </w:rPr>
        <w:t>Activo</w:t>
      </w:r>
      <w:r>
        <w:rPr>
          <w:spacing w:val="-13"/>
          <w:sz w:val="20"/>
        </w:rPr>
        <w:t> </w:t>
      </w:r>
      <w:r>
        <w:rPr>
          <w:sz w:val="20"/>
        </w:rPr>
        <w:t>2.</w:t>
      </w:r>
      <w:r>
        <w:rPr>
          <w:spacing w:val="-13"/>
          <w:sz w:val="20"/>
        </w:rPr>
        <w:t> </w:t>
      </w:r>
      <w:r>
        <w:rPr>
          <w:sz w:val="20"/>
        </w:rPr>
        <w:t>Cuando</w:t>
      </w:r>
      <w:r>
        <w:rPr>
          <w:spacing w:val="-13"/>
          <w:sz w:val="20"/>
        </w:rPr>
        <w:t> </w:t>
      </w:r>
      <w:r>
        <w:rPr>
          <w:sz w:val="20"/>
        </w:rPr>
        <w:t>el</w:t>
      </w:r>
      <w:r>
        <w:rPr>
          <w:spacing w:val="-11"/>
          <w:sz w:val="20"/>
        </w:rPr>
        <w:t> </w:t>
      </w:r>
      <w:r>
        <w:rPr>
          <w:sz w:val="20"/>
        </w:rPr>
        <w:t>Activo</w:t>
      </w:r>
      <w:r>
        <w:rPr>
          <w:spacing w:val="-13"/>
          <w:sz w:val="20"/>
        </w:rPr>
        <w:t> </w:t>
      </w:r>
      <w:r>
        <w:rPr>
          <w:sz w:val="20"/>
        </w:rPr>
        <w:t>1</w:t>
      </w:r>
      <w:r>
        <w:rPr>
          <w:spacing w:val="-11"/>
          <w:sz w:val="20"/>
        </w:rPr>
        <w:t> </w:t>
      </w:r>
      <w:r>
        <w:rPr>
          <w:sz w:val="20"/>
        </w:rPr>
        <w:t>observa</w:t>
      </w:r>
      <w:r>
        <w:rPr>
          <w:spacing w:val="-13"/>
          <w:sz w:val="20"/>
        </w:rPr>
        <w:t> </w:t>
      </w:r>
      <w:r>
        <w:rPr>
          <w:sz w:val="20"/>
        </w:rPr>
        <w:t>rendimientos</w:t>
      </w:r>
      <w:r>
        <w:rPr>
          <w:spacing w:val="-12"/>
          <w:sz w:val="20"/>
        </w:rPr>
        <w:t> </w:t>
      </w:r>
      <w:r>
        <w:rPr>
          <w:sz w:val="20"/>
        </w:rPr>
        <w:t>negativos, también lo hace el Activo</w:t>
      </w:r>
      <w:r>
        <w:rPr>
          <w:spacing w:val="-10"/>
          <w:sz w:val="20"/>
        </w:rPr>
        <w:t> </w:t>
      </w:r>
      <w:r>
        <w:rPr>
          <w:sz w:val="20"/>
        </w:rPr>
        <w:t>2.</w:t>
      </w:r>
    </w:p>
    <w:p>
      <w:pPr>
        <w:pStyle w:val="BodyText"/>
        <w:rPr>
          <w:sz w:val="20"/>
        </w:rPr>
      </w:pPr>
    </w:p>
    <w:p>
      <w:pPr>
        <w:pStyle w:val="BodyText"/>
        <w:spacing w:before="132"/>
        <w:ind w:left="142"/>
        <w:jc w:val="both"/>
      </w:pPr>
      <w:r>
        <w:rPr/>
        <w:t>Correlación Negativa</w:t>
      </w:r>
    </w:p>
    <w:p>
      <w:pPr>
        <w:pStyle w:val="BodyText"/>
        <w:spacing w:line="360" w:lineRule="auto" w:before="197"/>
        <w:ind w:left="142" w:right="136" w:firstLine="707"/>
        <w:jc w:val="both"/>
      </w:pPr>
      <w:r>
        <w:rPr/>
        <w:t>Los rendimientos de activos negativamente correlacionados tienden a desplazarse</w:t>
      </w:r>
      <w:r>
        <w:rPr>
          <w:spacing w:val="-15"/>
        </w:rPr>
        <w:t> </w:t>
      </w:r>
      <w:r>
        <w:rPr/>
        <w:t>simultáneamente</w:t>
      </w:r>
      <w:r>
        <w:rPr>
          <w:spacing w:val="-16"/>
        </w:rPr>
        <w:t> </w:t>
      </w:r>
      <w:r>
        <w:rPr/>
        <w:t>en</w:t>
      </w:r>
      <w:r>
        <w:rPr>
          <w:spacing w:val="-14"/>
        </w:rPr>
        <w:t> </w:t>
      </w:r>
      <w:r>
        <w:rPr/>
        <w:t>dirección</w:t>
      </w:r>
      <w:r>
        <w:rPr>
          <w:spacing w:val="-14"/>
        </w:rPr>
        <w:t> </w:t>
      </w:r>
      <w:r>
        <w:rPr/>
        <w:t>opuesta.</w:t>
      </w:r>
      <w:r>
        <w:rPr>
          <w:spacing w:val="-14"/>
        </w:rPr>
        <w:t> </w:t>
      </w:r>
      <w:r>
        <w:rPr/>
        <w:t>Mientras</w:t>
      </w:r>
      <w:r>
        <w:rPr>
          <w:spacing w:val="-17"/>
        </w:rPr>
        <w:t> </w:t>
      </w:r>
      <w:r>
        <w:rPr/>
        <w:t>más</w:t>
      </w:r>
      <w:r>
        <w:rPr>
          <w:spacing w:val="-15"/>
        </w:rPr>
        <w:t> </w:t>
      </w:r>
      <w:r>
        <w:rPr/>
        <w:t>cercano</w:t>
      </w:r>
      <w:r>
        <w:rPr>
          <w:spacing w:val="-14"/>
        </w:rPr>
        <w:t> </w:t>
      </w:r>
      <w:r>
        <w:rPr/>
        <w:t>a</w:t>
      </w:r>
      <w:r>
        <w:rPr>
          <w:spacing w:val="-6"/>
        </w:rPr>
        <w:t> </w:t>
      </w:r>
      <w:r>
        <w:rPr>
          <w:rFonts w:ascii="Symbol" w:hAnsi="Symbol"/>
        </w:rPr>
        <w:t></w:t>
      </w:r>
      <w:r>
        <w:rPr/>
        <w:t>1</w:t>
      </w:r>
      <w:r>
        <w:rPr>
          <w:spacing w:val="-14"/>
        </w:rPr>
        <w:t> </w:t>
      </w:r>
      <w:r>
        <w:rPr/>
        <w:t>sea el valor de la correlación, más fuerte será la tendencia a desplazarse en sentido opuesto.</w:t>
      </w:r>
    </w:p>
    <w:p>
      <w:pPr>
        <w:spacing w:after="0" w:line="360" w:lineRule="auto"/>
        <w:jc w:val="both"/>
        <w:sectPr>
          <w:pgSz w:w="12240" w:h="15840"/>
          <w:pgMar w:header="731" w:footer="737" w:top="1180" w:bottom="920" w:left="1560" w:right="1560"/>
        </w:sectPr>
      </w:pPr>
    </w:p>
    <w:p>
      <w:pPr>
        <w:pStyle w:val="BodyText"/>
        <w:rPr>
          <w:sz w:val="20"/>
        </w:rPr>
      </w:pPr>
    </w:p>
    <w:p>
      <w:pPr>
        <w:pStyle w:val="BodyText"/>
        <w:spacing w:before="8"/>
        <w:rPr>
          <w:sz w:val="15"/>
        </w:rPr>
      </w:pPr>
    </w:p>
    <w:p>
      <w:pPr>
        <w:spacing w:before="73"/>
        <w:ind w:left="3025" w:right="786" w:firstLine="0"/>
        <w:jc w:val="left"/>
        <w:rPr>
          <w:sz w:val="22"/>
        </w:rPr>
      </w:pPr>
      <w:bookmarkStart w:name="_bookmark18" w:id="32"/>
      <w:bookmarkEnd w:id="32"/>
      <w:r>
        <w:rPr/>
      </w:r>
      <w:r>
        <w:rPr>
          <w:sz w:val="22"/>
        </w:rPr>
        <w:t>Figura 04. Correlación negativa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p>
    <w:p>
      <w:pPr>
        <w:spacing w:before="86"/>
        <w:ind w:left="2038" w:right="0" w:firstLine="0"/>
        <w:jc w:val="left"/>
        <w:rPr>
          <w:rFonts w:ascii="Times New Roman"/>
          <w:b/>
          <w:sz w:val="14"/>
        </w:rPr>
      </w:pPr>
      <w:r>
        <w:rPr/>
        <w:pict>
          <v:group style="position:absolute;margin-left:187.249222pt;margin-top:-62.712593pt;width:249.9pt;height:143.4pt;mso-position-horizontal-relative:page;mso-position-vertical-relative:paragraph;z-index:2560" coordorigin="3745,-1254" coordsize="4998,2868">
            <v:line style="position:absolute" from="3751,1605" to="8736,1605" stroked="true" strokeweight=".557153pt" strokecolor="#7e7e7e">
              <v:stroke dashstyle="dash"/>
            </v:line>
            <v:line style="position:absolute" from="3751,1605" to="8736,1605" stroked="true" strokeweight=".557153pt" strokecolor="#000000"/>
            <v:shape style="position:absolute;left:300;top:9315;width:6676;height:2580" coordorigin="300,9315" coordsize="6676,2580" path="m3757,1120l8736,1120m3757,641l8736,641m3757,162l8736,162m3757,-317l8736,-317m3757,-796l8736,-796e" filled="false" stroked="true" strokeweight=".5583pt" strokecolor="#7e7e7e">
              <v:path arrowok="t"/>
              <v:stroke dashstyle="dash"/>
            </v:shape>
            <v:line style="position:absolute" from="3751,-1248" to="3751,1605" stroked="true" strokeweight=".559447pt" strokecolor="#000000"/>
            <v:shape style="position:absolute;left:5935;top:12433;width:190;height:110" coordorigin="5935,12433" coordsize="190,110" path="m8101,1585l8101,1594,8094,1601,8085,1601,8075,1601,8068,1594,8068,1585,8068,1575,8075,1568,8085,1568,8094,1568,8101,1575,8101,1585xm7995,1560l7995,1570,7987,1577,7978,1577,7969,1577,7962,1570,7962,1560,7962,1551,7969,1544,7978,1544,7987,1544,7995,1551,7995,1560xm7993,1536l7993,1546,7986,1553,7976,1553,7967,1553,7960,1546,7960,1536,7960,1527,7967,1520,7976,1520,7986,1520,7993,1527,7993,1536xe" filled="false" stroked="true" strokeweight=".558858pt" strokecolor="#000000">
              <v:path arrowok="t"/>
            </v:shape>
            <v:shape style="position:absolute;left:7658;top:1274;width:244;height:261" type="#_x0000_t75" stroked="false">
              <v:imagedata r:id="rId31" o:title=""/>
            </v:shape>
            <v:shape style="position:absolute;left:7400;top:986;width:196;height:309" type="#_x0000_t75" stroked="false">
              <v:imagedata r:id="rId32" o:title=""/>
            </v:shape>
            <v:shape style="position:absolute;left:7185;top:770;width:158;height:237" type="#_x0000_t75" stroked="false">
              <v:imagedata r:id="rId33" o:title=""/>
            </v:shape>
            <v:shape style="position:absolute;left:4009;top:11237;width:815;height:207" coordorigin="4009,11237" coordsize="815,207" path="m7130,768l7130,777,7123,785,7114,785,7104,785,7097,777,7097,768,7097,759,7104,751,7114,751,7123,751,7130,759,7130,768xm7115,744l7115,753,7107,761,7098,761,7088,761,7081,753,7081,744,7081,735,7088,727,7098,727,7107,727,7115,735,7115,744xm7056,720l7056,729,7049,737,7040,737,7030,737,7023,729,7023,720,7023,711,7030,703,7040,703,7049,703,7056,711,7056,720xm6634,696l6634,705,6627,713,6618,713,6608,713,6601,705,6601,696,6601,687,6608,679,6618,679,6627,679,6634,687,6634,696xm6563,672l6563,681,6555,688,6546,688,6537,688,6529,681,6529,672,6529,663,6537,655,6546,655,6555,655,6563,663,6563,672xm6557,648l6557,657,6549,664,6540,664,6530,664,6523,657,6523,648,6523,639,6530,631,6540,631,6549,631,6557,639,6557,648xe" filled="false" stroked="true" strokeweight=".558858pt" strokecolor="#000000">
              <v:path arrowok="t"/>
            </v:shape>
            <v:shape style="position:absolute;left:6304;top:481;width:215;height:165" type="#_x0000_t75" stroked="false">
              <v:imagedata r:id="rId34" o:title=""/>
            </v:shape>
            <v:shape style="position:absolute;left:5532;top:-119;width:696;height:621" type="#_x0000_t75" stroked="false">
              <v:imagedata r:id="rId35" o:title=""/>
            </v:shape>
            <v:shape style="position:absolute;left:5337;top:-215;width:148;height:117" type="#_x0000_t75" stroked="false">
              <v:imagedata r:id="rId36" o:title=""/>
            </v:shape>
            <v:shape style="position:absolute;left:5243;top:-234;width:34;height:34" coordorigin="5243,-234" coordsize="34,34" path="m5277,-217l5277,-208,5269,-200,5260,-200,5251,-200,5243,-208,5243,-217,5243,-226,5251,-234,5260,-234,5269,-234,5277,-226,5277,-217xe" filled="false" stroked="true" strokeweight=".558854pt" strokecolor="#000000">
              <v:path arrowok="t"/>
            </v:shape>
            <v:shape style="position:absolute;left:4941;top:-527;width:266;height:309" type="#_x0000_t75" stroked="false">
              <v:imagedata r:id="rId37" o:title=""/>
            </v:shape>
            <v:shape style="position:absolute;left:1584;top:9620;width:201;height:78" coordorigin="1584,9620" coordsize="201,78" path="m4864,-529l4864,-520,4857,-513,4847,-513,4838,-513,4830,-520,4830,-529,4830,-538,4838,-546,4847,-546,4857,-546,4864,-538,4864,-529xm4748,-553l4748,-544,4740,-536,4731,-536,4722,-536,4714,-544,4714,-553,4714,-562,4722,-570,4731,-570,4740,-570,4748,-562,4748,-553xe" filled="false" stroked="true" strokeweight=".558858pt" strokecolor="#000000">
              <v:path arrowok="t"/>
            </v:shape>
            <v:shape style="position:absolute;left:4388;top:-744;width:294;height:189" type="#_x0000_t75" stroked="false">
              <v:imagedata r:id="rId38" o:title=""/>
            </v:shape>
            <v:shape style="position:absolute;left:718;top:9297;width:112;height:110" coordorigin="718,9297" coordsize="112,110" path="m4152,-745l4152,-736,4144,-729,4135,-729,4126,-729,4118,-736,4118,-745,4118,-755,4126,-762,4135,-762,4144,-762,4152,-755,4152,-745xm4145,-769l4145,-760,4137,-753,4128,-753,4119,-753,4111,-760,4111,-769,4111,-779,4119,-786,4128,-786,4137,-786,4145,-779,4145,-769xm4102,-793l4102,-784,4094,-777,4085,-777,4076,-777,4068,-784,4068,-793,4068,-803,4076,-810,4085,-810,4094,-810,4102,-803,4102,-793xe" filled="false" stroked="true" strokeweight=".558858pt" strokecolor="#000000">
              <v:path arrowok="t"/>
            </v:shape>
            <v:line style="position:absolute" from="4075,-936" to="8081,1516" stroked="true" strokeweight=".557778pt" strokecolor="#000000"/>
            <v:shape style="position:absolute;left:6224;top:1468;width:106;height:146" type="#_x0000_t202" filled="false" stroked="false">
              <v:textbox inset="0,0,0,0">
                <w:txbxContent>
                  <w:p>
                    <w:pPr>
                      <w:spacing w:line="146" w:lineRule="exact" w:before="0"/>
                      <w:ind w:left="0" w:right="0" w:firstLine="0"/>
                      <w:jc w:val="left"/>
                      <w:rPr>
                        <w:rFonts w:ascii="Times New Roman"/>
                        <w:b/>
                        <w:sz w:val="14"/>
                      </w:rPr>
                    </w:pPr>
                    <w:r>
                      <w:rPr>
                        <w:rFonts w:ascii="Times New Roman"/>
                        <w:b/>
                        <w:w w:val="104"/>
                        <w:sz w:val="14"/>
                      </w:rPr>
                      <w:t>X</w:t>
                    </w:r>
                  </w:p>
                </w:txbxContent>
              </v:textbox>
              <w10:wrap type="none"/>
            </v:shape>
            <w10:wrap type="none"/>
          </v:group>
        </w:pict>
      </w:r>
      <w:r>
        <w:rPr>
          <w:rFonts w:ascii="Times New Roman"/>
          <w:b/>
          <w:w w:val="104"/>
          <w:sz w:val="14"/>
        </w:rPr>
        <w:t>Y</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3"/>
        <w:rPr>
          <w:rFonts w:ascii="Times New Roman"/>
          <w:b/>
          <w:sz w:val="25"/>
        </w:rPr>
      </w:pPr>
    </w:p>
    <w:p>
      <w:pPr>
        <w:spacing w:before="74"/>
        <w:ind w:left="142" w:right="136" w:firstLine="0"/>
        <w:jc w:val="both"/>
        <w:rPr>
          <w:sz w:val="20"/>
        </w:rPr>
      </w:pPr>
      <w:r>
        <w:rPr>
          <w:sz w:val="20"/>
        </w:rPr>
        <w:t>Correlación Negativa entre el Activo 1 (Eje X) y el Activo 2 (Eje Y). Cuando el Activo 1 observa rendimientos positivos, los rendimientos obervados por el Activo 2 son negativos. Cuando el Activo 1 observa rendimientos negativos, el Activo 2 observa rendimientos positivos.</w:t>
      </w:r>
    </w:p>
    <w:p>
      <w:pPr>
        <w:pStyle w:val="BodyText"/>
        <w:rPr>
          <w:sz w:val="20"/>
        </w:rPr>
      </w:pPr>
    </w:p>
    <w:p>
      <w:pPr>
        <w:pStyle w:val="BodyText"/>
        <w:spacing w:before="129"/>
        <w:ind w:left="142"/>
        <w:jc w:val="both"/>
      </w:pPr>
      <w:r>
        <w:rPr/>
        <w:t>Correlación Nula</w:t>
      </w:r>
    </w:p>
    <w:p>
      <w:pPr>
        <w:pStyle w:val="BodyText"/>
        <w:spacing w:line="360" w:lineRule="auto" w:before="199"/>
        <w:ind w:left="142" w:right="144" w:firstLine="707"/>
        <w:jc w:val="both"/>
      </w:pPr>
      <w:r>
        <w:rPr/>
        <w:t>Los rendimientos de activos no correlacionados se desplazan de forma independiente. Mientras más cercano a 0 sea el valor de la correlación, mayor independencia habrá entre los rendimientos de los dos activos.</w:t>
      </w:r>
    </w:p>
    <w:p>
      <w:pPr>
        <w:pStyle w:val="BodyText"/>
        <w:spacing w:before="5"/>
        <w:rPr>
          <w:sz w:val="31"/>
        </w:rPr>
      </w:pPr>
    </w:p>
    <w:p>
      <w:pPr>
        <w:spacing w:before="1"/>
        <w:ind w:left="0" w:right="0" w:firstLine="0"/>
        <w:jc w:val="center"/>
        <w:rPr>
          <w:sz w:val="22"/>
        </w:rPr>
      </w:pPr>
      <w:bookmarkStart w:name="_bookmark19" w:id="33"/>
      <w:bookmarkEnd w:id="33"/>
      <w:r>
        <w:rPr/>
      </w:r>
      <w:r>
        <w:rPr>
          <w:sz w:val="22"/>
        </w:rPr>
        <w:t>Figura 05. Correlación nula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spacing w:before="87"/>
        <w:ind w:left="1939" w:right="0" w:firstLine="0"/>
        <w:jc w:val="left"/>
        <w:rPr>
          <w:rFonts w:ascii="Times New Roman"/>
          <w:b/>
          <w:sz w:val="14"/>
        </w:rPr>
      </w:pPr>
      <w:r>
        <w:rPr/>
        <w:pict>
          <v:group style="position:absolute;margin-left:182.314102pt;margin-top:-64.384293pt;width:252.6pt;height:145.950pt;mso-position-horizontal-relative:page;mso-position-vertical-relative:paragraph;z-index:2608" coordorigin="3646,-1288" coordsize="5052,2919">
            <v:shape style="position:absolute;left:293;top:1879;width:6766;height:3878" coordorigin="293,1879" coordsize="6766,3878" path="m3652,1608l8692,1608m3658,1122l8686,1122m3658,643l8686,643m3658,163l8686,163m3658,-317l8686,-317m3658,-796l8686,-796m3658,-1276l8686,-1276e" filled="false" stroked="true" strokeweight=".558241pt" strokecolor="#7e7e7e">
              <v:path arrowok="t"/>
              <v:stroke dashstyle="dash"/>
            </v:shape>
            <v:rect style="position:absolute;left:3652;top:-1282;width:5039;height:2889" filled="false" stroked="true" strokeweight=".558024pt" strokecolor="#000000"/>
            <v:shape style="position:absolute;left:336;top:2532;width:5623;height:3247" coordorigin="336,2532" coordsize="5623,3247" path="m4012,603l4012,612,4005,620,3995,620,3986,620,3979,612,3979,603,3979,594,3986,586,3995,586,4005,586,4012,594,4012,603xm6824,339l6824,348,6816,356,6807,356,6798,356,6790,348,6790,339,6790,330,6798,322,6807,322,6816,322,6824,330,6824,339xm7831,126l7831,135,7823,143,7814,143,7805,143,7797,135,7797,126,7797,117,7805,109,7814,109,7823,109,7831,117,7831,126xm6656,-707l6656,-698,6648,-691,6639,-691,6630,-691,6622,-698,6622,-707,6622,-717,6630,-724,6639,-724,6648,-724,6656,-717,6656,-707xm6866,1109l6866,1118,6858,1126,6849,1126,6840,1126,6832,1118,6832,1109,6832,1100,6840,1092,6849,1092,6858,1092,6866,1100,6866,1109xm6404,445l6404,454,6397,462,6387,462,6378,462,6370,454,6370,445,6370,436,6378,428,6387,428,6397,428,6404,436,6404,445xm4222,799l4222,809,4214,816,4205,816,4196,816,4188,809,4188,799,4188,790,4196,783,4205,783,4214,783,4222,790,4222,799xm3844,979l3844,988,3837,996,3828,996,3818,996,3811,988,3811,979,3811,970,3818,963,3828,963,3837,963,3844,970,3844,979xm5397,1455l5397,1464,5389,1471,5380,1471,5371,1471,5363,1464,5363,1455,5363,1445,5371,1438,5380,1438,5389,1438,5397,1445,5397,1455xm4851,1005l4851,1014,4844,1022,4835,1022,4825,1022,4818,1014,4818,1005,4818,996,4825,988,4835,988,4844,988,4851,996,4851,1005xm3928,1366l3928,1376,3921,1383,3912,1383,3902,1383,3895,1376,3895,1366,3895,1357,3902,1350,3912,1350,3921,1350,3928,1357,3928,1366xm5103,-429l5103,-420,5096,-412,5086,-412,5077,-412,5070,-420,5070,-429,5070,-438,5077,-446,5086,-446,5096,-446,5103,-438,5103,-429xm3760,-684l3760,-675,3753,-668,3744,-668,3734,-668,3727,-675,3727,-684,3727,-694,3734,-701,3744,-701,3753,-701,3760,-694,3760,-684xm5942,-602l5942,-592,5935,-585,5926,-585,5916,-585,5909,-592,5909,-602,5909,-611,5916,-618,5926,-618,5935,-618,5942,-611,5942,-602xm7075,331l7075,340,7068,347,7059,347,7049,347,7042,340,7042,331,7042,321,7049,314,7059,314,7068,314,7075,321,7075,331xm5355,1430l5355,1439,5347,1447,5338,1447,5329,1447,5322,1439,5322,1430,5322,1421,5329,1413,5338,1413,5347,1413,5355,1421,5355,1430xm5691,-588l5691,-579,5683,-571,5674,-571,5665,-571,5657,-579,5657,-588,5657,-597,5665,-605,5674,-605,5683,-605,5691,-597,5691,-588xm5481,702l5481,711,5473,719,5464,719,5455,719,5447,711,5447,702,5447,693,5455,685,5464,685,5473,685,5481,693,5481,702xm4726,1130l4726,1140,4718,1147,4709,1147,4700,1147,4692,1140,4692,1130,4692,1121,4700,1114,4709,1114,4718,1114,4726,1121,4726,1130xm7663,135l7663,145,7655,152,7646,152,7637,152,7629,145,7629,135,7629,126,7637,119,7646,119,7655,119,7663,126,7663,135xm6026,205l6026,214,6019,222,6010,222,6000,222,5993,214,5993,205,5993,196,6000,188,6010,188,6019,188,6026,196,6026,205xm4264,1507l4264,1516,4256,1523,4247,1523,4238,1523,4230,1516,4230,1507,4230,1497,4238,1490,4247,1490,4256,1490,4264,1497,4264,1507xm6362,391l6362,400,6355,408,6345,408,6336,408,6329,400,6329,391,6329,382,6336,374,6345,374,6355,374,6362,382,6362,391xm5984,197l5984,206,5977,214,5968,214,5958,214,5951,206,5951,197,5951,188,5958,180,5968,180,5977,180,5984,188,5984,197xm5900,-773l5900,-764,5893,-756,5884,-756,5875,-756,5867,-764,5867,-773,5867,-782,5875,-790,5884,-790,5893,-790,5900,-782,5900,-773xm5019,331l5019,340,5012,347,5003,347,4993,347,4986,340,4986,331,4986,321,4993,314,5003,314,5012,314,5019,321,5019,331xm4516,-466l4516,-456,4508,-449,4499,-449,4490,-449,4482,-456,4482,-466,4482,-475,4490,-482,4499,-482,4508,-482,4516,-475,4516,-466xm6068,-752l6068,-742,6061,-735,6052,-735,6042,-735,6035,-742,6035,-752,6035,-761,6042,-768,6052,-768,6061,-768,6068,-761,6068,-752xm5271,72l5271,81,5264,89,5254,89,5245,89,5237,81,5237,72,5237,63,5245,55,5254,55,5264,55,5271,63,5271,72xm5523,11l5523,20,5515,28,5506,28,5497,28,5489,20,5489,11,5489,2,5497,-6,5506,-6,5515,-6,5523,2,5523,11xm6530,-502l6530,-493,6522,-485,6513,-485,6504,-485,6496,-493,6496,-502,6496,-511,6504,-519,6513,-519,6522,-519,6530,-511,6530,-502xm5229,247l5229,256,5222,264,5212,264,5203,264,5196,256,5196,247,5196,238,5203,230,5212,230,5222,230,5229,238,5229,247xm6782,296l6782,305,6774,313,6765,313,6756,313,6748,305,6748,296,6748,287,6756,279,6765,279,6774,279,6782,287,6782,296xm4558,64l4558,74,4550,81,4541,81,4532,81,4524,74,4524,64,4524,55,4532,48,4541,48,4550,48,4558,55,4558,64xm6488,280l6488,290,6480,297,6471,297,6462,297,6455,290,6455,280,6455,271,6462,264,6471,264,6480,264,6488,271,6488,280xm4138,1460l4138,1470,4131,1477,4121,1477,4112,1477,4105,1470,4105,1460,4105,1451,4112,1444,4121,1444,4131,1444,4138,1451,4138,1460xm7411,1377l7411,1387,7404,1394,7394,1394,7385,1394,7378,1387,7378,1377,7378,1368,7385,1361,7394,1361,7404,1361,7411,1368,7411,1377xm5439,212l5439,221,5431,229,5422,229,5413,229,5405,221,5405,212,5405,203,5413,195,5422,195,5431,195,5439,203,5439,212xm7243,1340l7243,1349,7236,1356,7227,1356,7217,1356,7210,1349,7210,1340,7210,1330,7217,1323,7227,1323,7236,1323,7243,1330,7243,1340xm5817,-143l5817,-134,5809,-127,5800,-127,5791,-127,5783,-134,5783,-143,5783,-152,5791,-160,5800,-160,5809,-160,5817,-152,5817,-143xm4684,-32l4684,-23,4676,-15,4667,-15,4658,-15,4650,-23,4650,-32,4650,-41,4658,-49,4667,-49,4676,-49,4684,-41,4684,-32xm5775,-569l5775,-559,5767,-552,5758,-552,5749,-552,5741,-559,5741,-569,5741,-578,5749,-585,5758,-585,5767,-585,5775,-578,5775,-569xm6278,-134l6278,-125,6271,-118,6261,-118,6252,-118,6245,-125,6245,-134,6245,-143,6252,-151,6261,-151,6271,-151,6278,-143,6278,-134xm7537,-319l7537,-310,7530,-302,7520,-302,7511,-302,7503,-310,7503,-319,7503,-328,7511,-336,7520,-336,7530,-336,7537,-328,7537,-319xm4768,635l4768,645,4760,652,4751,652,4741,652,4734,645,4734,635,4734,626,4741,619,4751,619,4760,619,4768,626,4768,635xm3802,128l3802,137,3795,144,3786,144,3776,144,3769,137,3769,128,3769,118,3776,111,3786,111,3795,111,3802,118,3802,128xm7579,1505l7579,1514,7572,1522,7562,1522,7553,1522,7545,1514,7545,1505,7545,1496,7553,1488,7562,1488,7572,1488,7579,1496,7579,1505xm7789,1283l7789,1292,7781,1300,7772,1300,7763,1300,7755,1292,7755,1283,7755,1274,7763,1266,7772,1266,7781,1266,7789,1274,7789,1283xm7117,1041l7117,1051,7110,1058,7101,1058,7091,1058,7084,1051,7084,1041,7084,1032,7091,1025,7101,1025,7110,1025,7117,1032,7117,1041xm7747,121l7747,130,7739,138,7730,138,7721,138,7713,130,7713,121,7713,112,7721,104,7730,104,7739,104,7747,112,7747,121xm4306,764l4306,773,4298,780,4289,780,4280,780,4272,773,4272,764,4272,754,4280,747,4289,747,4298,747,4306,754,4306,764xm6194,782l6194,791,6187,799,6177,799,6168,799,6161,791,6161,782,6161,773,6168,765,6177,765,6187,765,6194,773,6194,782xm4642,1565l4642,1574,4634,1582,4625,1582,4616,1582,4608,1574,4608,1565,4608,1556,4616,1548,4625,1548,4634,1548,4642,1556,4642,1565xm7033,1192l7033,1201,7026,1209,7017,1209,7008,1209,7000,1201,7000,1192,7000,1183,7008,1175,7017,1175,7026,1175,7033,1183,7033,1192xm3718,1237l3718,1246,3711,1253,3702,1253,3692,1253,3685,1246,3685,1237,3685,1227,3692,1220,3702,1220,3711,1220,3718,1227,3718,1237xm5649,1418l5649,1428,5641,1435,5632,1435,5623,1435,5615,1428,5615,1418,5615,1409,5623,1402,5632,1402,5641,1402,5649,1409,5649,1418xm4390,1594l4390,1603,4382,1611,4373,1611,4364,1611,4356,1603,4356,1594,4356,1585,4364,1577,4373,1577,4382,1577,4390,1585,4390,1594xm7873,843l7873,853,7865,860,7856,860,7847,860,7839,853,7839,843,7839,834,7847,827,7856,827,7865,827,7873,834,7873,843xm6110,-232l6110,-222,6103,-215,6094,-215,6084,-215,6077,-222,6077,-232,6077,-241,6084,-248,6094,-248,6103,-248,6110,-241,6110,-232xm4348,-238l4348,-229,4340,-222,4331,-222,4322,-222,4314,-229,4314,-238,4314,-248,4322,-255,4331,-255,4340,-255,4348,-248,4348,-238xm4977,191l4977,200,4970,208,4961,208,4951,208,4944,200,4944,191,4944,182,4951,174,4961,174,4970,174,4977,182,4977,191xm5733,514l5733,523,5725,531,5716,531,5707,531,5699,523,5699,514,5699,505,5707,497,5716,497,5725,497,5733,505,5733,514xm5145,-645l5145,-635,5138,-628,5128,-628,5119,-628,5112,-635,5112,-645,5112,-654,5119,-661,5128,-661,5138,-661,5145,-654,5145,-645xm6950,-295l6950,-286,6942,-278,6933,-278,6923,-278,6916,-286,6916,-295,6916,-304,6923,-312,6933,-312,6942,-312,6950,-304,6950,-295xm5859,-272l5859,-263,5851,-256,5842,-256,5833,-256,5825,-263,5825,-272,5825,-282,5833,-289,5842,-289,5851,-289,5859,-282,5859,-272xm6236,734l6236,744,6229,751,6219,751,6210,751,6203,744,6203,734,6203,725,6210,718,6219,718,6229,718,6236,725,6236,734xm7495,1148l7495,1157,7488,1165,7478,1165,7469,1165,7462,1157,7462,1148,7462,1139,7469,1131,7478,1131,7488,1131,7495,1139,7495,1148xm5187,1077l5187,1086,5180,1093,5170,1093,5161,1093,5154,1086,5154,1077,5154,1067,5161,1060,5170,1060,5180,1060,5187,1067,5187,1077xm4935,623l4935,633,4928,640,4919,640,4909,640,4902,633,4902,623,4902,614,4909,607,4919,607,4928,607,4935,614,4935,623xm5061,886l5061,896,5054,903,5044,903,5035,903,5028,896,5028,886,5028,877,5035,870,5044,870,5054,870,5061,877,5061,886xm6614,-352l6614,-343,6606,-335,6597,-335,6588,-335,6580,-343,6580,-352,6580,-361,6588,-369,6597,-369,6606,-369,6614,-361,6614,-352xm4893,1483l4893,1493,4886,1500,4877,1500,4867,1500,4860,1493,4860,1483,4860,1474,4867,1467,4877,1467,4886,1467,4893,1474,4893,1483xm6992,-497l6992,-488,6984,-480,6975,-480,6966,-480,6958,-488,6958,-497,6958,-506,6966,-514,6975,-514,6984,-514,6992,-506,6992,-497xm6698,-207l6698,-198,6690,-190,6681,-190,6672,-190,6664,-198,6664,-207,6664,-216,6672,-224,6681,-224,6690,-224,6698,-216,6698,-207xm3886,821l3886,830,3879,838,3870,838,3860,838,3853,830,3853,821,3853,812,3860,804,3870,804,3879,804,3886,812,3886,821xm5607,1008l5607,1017,5599,1024,5590,1024,5581,1024,5573,1017,5573,1008,5573,998,5581,991,5590,991,5599,991,5607,998,5607,1008xm6572,1593l6572,1603,6564,1610,6555,1610,6546,1610,6538,1603,6538,1593,6538,1584,6546,1577,6555,1577,6564,1577,6572,1584,6572,1593xm7285,150l7285,159,7278,167,7269,167,7259,167,7252,159,7252,150,7252,141,7259,133,7269,133,7278,133,7285,141,7285,150xm5565,76l5565,85,5557,93,5548,93,5539,93,5531,85,5531,76,5531,67,5539,59,5548,59,5557,59,5565,67,5565,76xm7453,1060l7453,1069,7446,1077,7436,1077,7427,1077,7420,1069,7420,1060,7420,1051,7427,1043,7436,1043,7446,1043,7453,1051,7453,1060xm6908,1323l6908,1332,6900,1340,6891,1340,6882,1340,6874,1332,6874,1323,6874,1314,6882,1306,6891,1306,6900,1306,6908,1314,6908,1323xm6740,1366l6740,1375,6732,1382,6723,1382,6714,1382,6706,1375,6706,1366,6706,1356,6714,1349,6723,1349,6732,1349,6740,1356,6740,1366xm4600,-564l4600,-555,4592,-547,4583,-547,4574,-547,4566,-555,4566,-564,4566,-573,4574,-581,4583,-581,4592,-581,4600,-573,4600,-564xm4096,-766l4096,-756,4089,-749,4079,-749,4070,-749,4063,-756,4063,-766,4063,-775,4070,-782,4079,-782,4089,-782,4096,-775,4096,-766xm6152,1608l6152,1617,6145,1625,6136,1625,6126,1625,6119,1617,6119,1608,6119,1599,6126,1591,6136,1591,6145,1591,6152,1599,6152,1608xm4180,-460l4180,-451,4173,-443,4163,-443,4154,-443,4147,-451,4147,-460,4147,-469,4154,-477,4163,-477,4173,-477,4180,-469,4180,-460xm3970,1311l3970,1321,3963,1328,3953,1328,3944,1328,3937,1321,3937,1311,3937,1302,3944,1295,3953,1295,3963,1295,3970,1302,3970,1311xm6446,-305l6446,-295,6439,-288,6429,-288,6420,-288,6412,-295,6412,-305,6412,-314,6420,-321,6429,-321,6439,-321,6446,-314,6446,-305xm7201,511l7201,520,7194,528,7185,528,7175,528,7168,520,7168,511,7168,502,7175,494,7185,494,7194,494,7201,502,7201,511xm7369,1587l7369,1596,7362,1604,7352,1604,7343,1604,7336,1596,7336,1587,7336,1578,7343,1570,7352,1570,7362,1570,7369,1578,7369,1587xm5313,-591l5313,-582,5306,-574,5296,-574,5287,-574,5280,-582,5280,-591,5280,-600,5287,-608,5296,-608,5306,-608,5313,-600,5313,-591xm7705,1156l7705,1165,7697,1173,7688,1173,7679,1173,7671,1165,7671,1156,7671,1147,7679,1139,7688,1139,7697,1139,7705,1147,7705,1156xm4432,-515l4432,-506,4424,-498,4415,-498,4406,-498,4398,-506,4398,-515,4398,-524,4406,-532,4415,-532,4424,-532,4432,-524,4432,-515xm4809,958l4809,967,4802,975,4793,975,4783,975,4776,967,4776,958,4776,949,4783,941,4793,941,4802,941,4809,949,4809,958xm7327,799l7327,808,7320,815,7310,815,7301,815,7294,808,7294,799,7294,789,7301,782,7310,782,7320,782,7327,789,7327,799xm4474,1310l4474,1319,4466,1327,4457,1327,4448,1327,4440,1319,4440,1310,4440,1301,4448,1293,4457,1293,4466,1293,4474,1301,4474,1310xm6320,737l6320,746,6313,754,6303,754,6294,754,6287,746,6287,737,6287,728,6294,720,6303,720,6313,720,6320,728,6320,737xm7159,-226l7159,-217,7152,-210,7143,-210,7133,-210,7126,-217,7126,-226,7126,-236,7133,-243,7143,-243,7152,-243,7159,-236,7159,-226xm4054,1320l4054,1329,4047,1337,4037,1337,4028,1337,4021,1329,4021,1320,4021,1311,4028,1303,4037,1303,4047,1303,4054,1311,4054,1320xm7621,486l7621,496,7613,503,7604,503,7595,503,7587,496,7587,486,7587,477,7595,470,7604,470,7613,470,7621,477,7621,486xe" filled="false" stroked="true" strokeweight=".558799pt" strokecolor="#000000">
              <v:path arrowok="t"/>
            </v:shape>
            <v:shape style="position:absolute;left:6122;top:1470;width:106;height:146" type="#_x0000_t202" filled="false" stroked="false">
              <v:textbox inset="0,0,0,0">
                <w:txbxContent>
                  <w:p>
                    <w:pPr>
                      <w:spacing w:line="146" w:lineRule="exact" w:before="0"/>
                      <w:ind w:left="0" w:right="0" w:firstLine="0"/>
                      <w:jc w:val="left"/>
                      <w:rPr>
                        <w:rFonts w:ascii="Times New Roman"/>
                        <w:b/>
                        <w:sz w:val="14"/>
                      </w:rPr>
                    </w:pPr>
                    <w:r>
                      <w:rPr>
                        <w:rFonts w:ascii="Times New Roman"/>
                        <w:b/>
                        <w:w w:val="104"/>
                        <w:sz w:val="14"/>
                      </w:rPr>
                      <w:t>X</w:t>
                    </w:r>
                  </w:p>
                </w:txbxContent>
              </v:textbox>
              <w10:wrap type="none"/>
            </v:shape>
            <w10:wrap type="none"/>
          </v:group>
        </w:pict>
      </w:r>
      <w:r>
        <w:rPr>
          <w:rFonts w:ascii="Times New Roman"/>
          <w:b/>
          <w:w w:val="103"/>
          <w:sz w:val="14"/>
        </w:rPr>
        <w:t>Y</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6"/>
        <w:rPr>
          <w:rFonts w:ascii="Times New Roman"/>
          <w:b/>
          <w:sz w:val="25"/>
        </w:rPr>
      </w:pPr>
    </w:p>
    <w:p>
      <w:pPr>
        <w:spacing w:before="74"/>
        <w:ind w:left="142" w:right="142" w:firstLine="0"/>
        <w:jc w:val="both"/>
        <w:rPr>
          <w:sz w:val="20"/>
        </w:rPr>
      </w:pPr>
      <w:r>
        <w:rPr>
          <w:sz w:val="20"/>
        </w:rPr>
        <w:t>Correlación</w:t>
      </w:r>
      <w:r>
        <w:rPr>
          <w:spacing w:val="-1"/>
          <w:sz w:val="20"/>
        </w:rPr>
        <w:t> </w:t>
      </w:r>
      <w:r>
        <w:rPr>
          <w:sz w:val="20"/>
        </w:rPr>
        <w:t>independiente</w:t>
      </w:r>
      <w:r>
        <w:rPr>
          <w:spacing w:val="-1"/>
          <w:sz w:val="20"/>
        </w:rPr>
        <w:t> </w:t>
      </w:r>
      <w:r>
        <w:rPr>
          <w:sz w:val="20"/>
        </w:rPr>
        <w:t>entre</w:t>
      </w:r>
      <w:r>
        <w:rPr>
          <w:spacing w:val="-3"/>
          <w:sz w:val="20"/>
        </w:rPr>
        <w:t> </w:t>
      </w:r>
      <w:r>
        <w:rPr>
          <w:sz w:val="20"/>
        </w:rPr>
        <w:t>el</w:t>
      </w:r>
      <w:r>
        <w:rPr>
          <w:spacing w:val="-4"/>
          <w:sz w:val="20"/>
        </w:rPr>
        <w:t> </w:t>
      </w:r>
      <w:r>
        <w:rPr>
          <w:sz w:val="20"/>
        </w:rPr>
        <w:t>Activo</w:t>
      </w:r>
      <w:r>
        <w:rPr>
          <w:spacing w:val="-3"/>
          <w:sz w:val="20"/>
        </w:rPr>
        <w:t> </w:t>
      </w:r>
      <w:r>
        <w:rPr>
          <w:sz w:val="20"/>
        </w:rPr>
        <w:t>1</w:t>
      </w:r>
      <w:r>
        <w:rPr>
          <w:spacing w:val="-3"/>
          <w:sz w:val="20"/>
        </w:rPr>
        <w:t> </w:t>
      </w:r>
      <w:r>
        <w:rPr>
          <w:sz w:val="20"/>
        </w:rPr>
        <w:t>(Eje</w:t>
      </w:r>
      <w:r>
        <w:rPr>
          <w:spacing w:val="-3"/>
          <w:sz w:val="20"/>
        </w:rPr>
        <w:t> </w:t>
      </w:r>
      <w:r>
        <w:rPr>
          <w:sz w:val="20"/>
        </w:rPr>
        <w:t>X) y</w:t>
      </w:r>
      <w:r>
        <w:rPr>
          <w:spacing w:val="-6"/>
          <w:sz w:val="20"/>
        </w:rPr>
        <w:t> </w:t>
      </w:r>
      <w:r>
        <w:rPr>
          <w:sz w:val="20"/>
        </w:rPr>
        <w:t>el</w:t>
      </w:r>
      <w:r>
        <w:rPr>
          <w:spacing w:val="-4"/>
          <w:sz w:val="20"/>
        </w:rPr>
        <w:t> </w:t>
      </w:r>
      <w:r>
        <w:rPr>
          <w:sz w:val="20"/>
        </w:rPr>
        <w:t>Activo</w:t>
      </w:r>
      <w:r>
        <w:rPr>
          <w:spacing w:val="-1"/>
          <w:sz w:val="20"/>
        </w:rPr>
        <w:t> </w:t>
      </w:r>
      <w:r>
        <w:rPr>
          <w:sz w:val="20"/>
        </w:rPr>
        <w:t>2</w:t>
      </w:r>
      <w:r>
        <w:rPr>
          <w:spacing w:val="-3"/>
          <w:sz w:val="20"/>
        </w:rPr>
        <w:t> </w:t>
      </w:r>
      <w:r>
        <w:rPr>
          <w:sz w:val="20"/>
        </w:rPr>
        <w:t>(Eje</w:t>
      </w:r>
      <w:r>
        <w:rPr>
          <w:spacing w:val="-1"/>
          <w:sz w:val="20"/>
        </w:rPr>
        <w:t> </w:t>
      </w:r>
      <w:r>
        <w:rPr>
          <w:sz w:val="20"/>
        </w:rPr>
        <w:t>Y).</w:t>
      </w:r>
      <w:r>
        <w:rPr>
          <w:spacing w:val="-3"/>
          <w:sz w:val="20"/>
        </w:rPr>
        <w:t> </w:t>
      </w:r>
      <w:r>
        <w:rPr>
          <w:sz w:val="20"/>
        </w:rPr>
        <w:t>Cuando</w:t>
      </w:r>
      <w:r>
        <w:rPr>
          <w:spacing w:val="-3"/>
          <w:sz w:val="20"/>
        </w:rPr>
        <w:t> </w:t>
      </w:r>
      <w:r>
        <w:rPr>
          <w:sz w:val="20"/>
        </w:rPr>
        <w:t>el</w:t>
      </w:r>
      <w:r>
        <w:rPr>
          <w:spacing w:val="-4"/>
          <w:sz w:val="20"/>
        </w:rPr>
        <w:t> </w:t>
      </w:r>
      <w:r>
        <w:rPr>
          <w:sz w:val="20"/>
        </w:rPr>
        <w:t>Activo</w:t>
      </w:r>
      <w:r>
        <w:rPr>
          <w:spacing w:val="-1"/>
          <w:sz w:val="20"/>
        </w:rPr>
        <w:t> </w:t>
      </w:r>
      <w:r>
        <w:rPr>
          <w:sz w:val="20"/>
        </w:rPr>
        <w:t>1</w:t>
      </w:r>
      <w:r>
        <w:rPr>
          <w:spacing w:val="-3"/>
          <w:sz w:val="20"/>
        </w:rPr>
        <w:t> </w:t>
      </w:r>
      <w:r>
        <w:rPr>
          <w:sz w:val="20"/>
        </w:rPr>
        <w:t>observa rendimientos positivos, los rendimientos observados por el Activo 2 pueden ser positivos O negativos, por lo que no existe</w:t>
      </w:r>
      <w:r>
        <w:rPr>
          <w:spacing w:val="-17"/>
          <w:sz w:val="20"/>
        </w:rPr>
        <w:t> </w:t>
      </w:r>
      <w:r>
        <w:rPr>
          <w:sz w:val="20"/>
        </w:rPr>
        <w:t>correlación.</w:t>
      </w:r>
    </w:p>
    <w:p>
      <w:pPr>
        <w:spacing w:after="0"/>
        <w:jc w:val="both"/>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before="70"/>
        <w:ind w:left="142" w:right="786"/>
      </w:pPr>
      <w:r>
        <w:rPr/>
        <w:t>Correlación y volatilidad</w:t>
      </w:r>
    </w:p>
    <w:p>
      <w:pPr>
        <w:pStyle w:val="BodyText"/>
        <w:spacing w:line="355" w:lineRule="auto" w:before="199"/>
        <w:ind w:left="142" w:right="144" w:firstLine="707"/>
        <w:jc w:val="both"/>
        <w:rPr>
          <w:sz w:val="16"/>
        </w:rPr>
      </w:pPr>
      <w:r>
        <w:rPr/>
        <w:t>La estructura de correlación de un portafolio puede ser modificada alterando la posición en algunos de los activos.</w:t>
      </w:r>
      <w:r>
        <w:rPr>
          <w:position w:val="8"/>
          <w:sz w:val="16"/>
        </w:rPr>
        <w:t>29</w:t>
      </w:r>
    </w:p>
    <w:p>
      <w:pPr>
        <w:pStyle w:val="BodyText"/>
        <w:spacing w:before="127"/>
        <w:ind w:left="142" w:right="786"/>
      </w:pPr>
      <w:r>
        <w:rPr/>
        <w:t>Correlación y Riesgo</w:t>
      </w:r>
    </w:p>
    <w:p>
      <w:pPr>
        <w:pStyle w:val="BodyText"/>
        <w:spacing w:line="357" w:lineRule="auto" w:before="197"/>
        <w:ind w:left="142" w:right="138" w:firstLine="707"/>
        <w:jc w:val="both"/>
        <w:rPr>
          <w:sz w:val="16"/>
        </w:rPr>
      </w:pPr>
      <w:r>
        <w:rPr/>
        <w:t>El riesgo de un portafolio depende, entre otros factores, de la correlación entre sus activos.</w:t>
      </w:r>
      <w:r>
        <w:rPr>
          <w:position w:val="8"/>
          <w:sz w:val="16"/>
        </w:rPr>
        <w:t>30</w:t>
      </w:r>
    </w:p>
    <w:p>
      <w:pPr>
        <w:pStyle w:val="BodyText"/>
        <w:spacing w:before="121"/>
        <w:ind w:left="142" w:right="786"/>
      </w:pPr>
      <w:r>
        <w:rPr/>
        <w:t>Matriz de correlaciones</w:t>
      </w:r>
    </w:p>
    <w:p>
      <w:pPr>
        <w:pStyle w:val="BodyText"/>
        <w:spacing w:line="355" w:lineRule="auto" w:before="200"/>
        <w:ind w:left="142" w:right="146" w:firstLine="707"/>
        <w:jc w:val="both"/>
        <w:rPr>
          <w:sz w:val="16"/>
        </w:rPr>
      </w:pPr>
      <w:r>
        <w:rPr/>
        <w:t>Con portafolios de más de dos activos, el análisis se realiza a través de la matriz de correlaciones.</w:t>
      </w:r>
      <w:r>
        <w:rPr>
          <w:position w:val="8"/>
          <w:sz w:val="16"/>
        </w:rPr>
        <w:t>31</w:t>
      </w:r>
    </w:p>
    <w:p>
      <w:pPr>
        <w:pStyle w:val="BodyText"/>
        <w:spacing w:before="127"/>
        <w:ind w:left="142" w:right="786"/>
      </w:pPr>
      <w:r>
        <w:rPr/>
        <w:t>Matriz de varianza-covarianza</w:t>
      </w:r>
    </w:p>
    <w:p>
      <w:pPr>
        <w:pStyle w:val="BodyText"/>
        <w:spacing w:line="357" w:lineRule="auto" w:before="197"/>
        <w:ind w:left="142" w:right="142" w:firstLine="707"/>
        <w:jc w:val="both"/>
        <w:rPr>
          <w:sz w:val="16"/>
        </w:rPr>
      </w:pPr>
      <w:r>
        <w:rPr/>
        <w:t>Para</w:t>
      </w:r>
      <w:r>
        <w:rPr>
          <w:spacing w:val="-7"/>
        </w:rPr>
        <w:t> </w:t>
      </w:r>
      <w:r>
        <w:rPr/>
        <w:t>determinar</w:t>
      </w:r>
      <w:r>
        <w:rPr>
          <w:spacing w:val="-7"/>
        </w:rPr>
        <w:t> </w:t>
      </w:r>
      <w:r>
        <w:rPr/>
        <w:t>la</w:t>
      </w:r>
      <w:r>
        <w:rPr>
          <w:spacing w:val="-6"/>
        </w:rPr>
        <w:t> </w:t>
      </w:r>
      <w:r>
        <w:rPr/>
        <w:t>volatilidad</w:t>
      </w:r>
      <w:r>
        <w:rPr>
          <w:spacing w:val="-8"/>
        </w:rPr>
        <w:t> </w:t>
      </w:r>
      <w:r>
        <w:rPr/>
        <w:t>de</w:t>
      </w:r>
      <w:r>
        <w:rPr>
          <w:spacing w:val="-6"/>
        </w:rPr>
        <w:t> </w:t>
      </w:r>
      <w:r>
        <w:rPr/>
        <w:t>un</w:t>
      </w:r>
      <w:r>
        <w:rPr>
          <w:spacing w:val="-6"/>
        </w:rPr>
        <w:t> </w:t>
      </w:r>
      <w:r>
        <w:rPr/>
        <w:t>portafolio,</w:t>
      </w:r>
      <w:r>
        <w:rPr>
          <w:spacing w:val="-6"/>
        </w:rPr>
        <w:t> </w:t>
      </w:r>
      <w:r>
        <w:rPr/>
        <w:t>debemos</w:t>
      </w:r>
      <w:r>
        <w:rPr>
          <w:spacing w:val="-7"/>
        </w:rPr>
        <w:t> </w:t>
      </w:r>
      <w:r>
        <w:rPr/>
        <w:t>conocer</w:t>
      </w:r>
      <w:r>
        <w:rPr>
          <w:spacing w:val="-7"/>
        </w:rPr>
        <w:t> </w:t>
      </w:r>
      <w:r>
        <w:rPr/>
        <w:t>la</w:t>
      </w:r>
      <w:r>
        <w:rPr>
          <w:spacing w:val="-9"/>
        </w:rPr>
        <w:t> </w:t>
      </w:r>
      <w:r>
        <w:rPr/>
        <w:t>matriz</w:t>
      </w:r>
      <w:r>
        <w:rPr>
          <w:spacing w:val="-9"/>
        </w:rPr>
        <w:t> </w:t>
      </w:r>
      <w:r>
        <w:rPr/>
        <w:t>de varianza-covarianza, a partir de las volatilidades de cada activo individual y de las correlaciones entre</w:t>
      </w:r>
      <w:r>
        <w:rPr>
          <w:spacing w:val="-11"/>
        </w:rPr>
        <w:t> </w:t>
      </w:r>
      <w:r>
        <w:rPr/>
        <w:t>ellos.</w:t>
      </w:r>
      <w:r>
        <w:rPr>
          <w:position w:val="8"/>
          <w:sz w:val="16"/>
        </w:rPr>
        <w:t>32</w:t>
      </w:r>
    </w:p>
    <w:p>
      <w:pPr>
        <w:pStyle w:val="BodyText"/>
        <w:spacing w:before="5"/>
        <w:rPr>
          <w:sz w:val="14"/>
        </w:rPr>
      </w:pPr>
      <w:r>
        <w:rPr/>
        <w:pict>
          <v:line style="position:absolute;mso-position-horizontal-relative:page;mso-position-vertical-relative:paragraph;z-index:2632;mso-wrap-distance-left:0;mso-wrap-distance-right:0" from="85.103996pt,10.562309pt" to="229.123996pt,10.562309pt" stroked="true" strokeweight=".600010pt" strokecolor="#000000">
            <w10:wrap type="topAndBottom"/>
          </v:line>
        </w:pict>
      </w:r>
    </w:p>
    <w:p>
      <w:pPr>
        <w:spacing w:line="240" w:lineRule="auto" w:before="78"/>
        <w:ind w:left="142" w:right="227" w:firstLine="0"/>
        <w:jc w:val="left"/>
        <w:rPr>
          <w:sz w:val="20"/>
        </w:rPr>
      </w:pPr>
      <w:r>
        <w:rPr>
          <w:position w:val="6"/>
          <w:sz w:val="13"/>
        </w:rPr>
        <w:t>29 </w:t>
      </w:r>
      <w:r>
        <w:rPr>
          <w:sz w:val="20"/>
        </w:rPr>
        <w:t>La estructura de correlación de un portafolio puede ser modificada alterando la posición en algunos de los activos. Si se tiene un portafolio con posiciones largas en el activo </w:t>
      </w:r>
      <w:r>
        <w:rPr>
          <w:i/>
          <w:sz w:val="20"/>
        </w:rPr>
        <w:t>X </w:t>
      </w:r>
      <w:r>
        <w:rPr>
          <w:sz w:val="20"/>
        </w:rPr>
        <w:t>y en el activo </w:t>
      </w:r>
      <w:r>
        <w:rPr>
          <w:i/>
          <w:sz w:val="20"/>
        </w:rPr>
        <w:t>Y</w:t>
      </w:r>
      <w:r>
        <w:rPr>
          <w:sz w:val="20"/>
        </w:rPr>
        <w:t>, donde la correlación entre ambos es positiva, al modificar la posición de larga a corta en cualquiera de ellos el resultado será que en adelante los rendimientos de dicho activo cambiarán de signo y, por lo tanto, tenderán a surgir ganancias en uno de los activos cuando surjan pérdidas en el otro, es decir, se genera un efecto de inmunización del riesgo de uno de los activos a variaciones en el precio de mercado.</w:t>
      </w:r>
    </w:p>
    <w:p>
      <w:pPr>
        <w:spacing w:before="0"/>
        <w:ind w:left="142" w:right="157" w:firstLine="0"/>
        <w:jc w:val="left"/>
        <w:rPr>
          <w:sz w:val="20"/>
        </w:rPr>
      </w:pPr>
      <w:r>
        <w:rPr>
          <w:sz w:val="20"/>
        </w:rPr>
        <w:t>Esta lógica subyace a la cobertura lineal óptima, estructurada a través de contratos forwards y futuros o de coberturas sintéticas lineales, porque se crea un portafolio con dos activos cuyos rendimientos se desplazan en sentidos opuestos. Si la correlación entre ellos es positiva, el flujo contrario será generado porque las posiciones son opuestas: larga y corta. Si la correlación es negativa, el flujo contrario será generado por sí solo al mantener posiciones iguales en los dos activos: larga y larga o corta y corta.</w:t>
      </w:r>
    </w:p>
    <w:p>
      <w:pPr>
        <w:spacing w:before="0"/>
        <w:ind w:left="142" w:right="157" w:firstLine="0"/>
        <w:jc w:val="left"/>
        <w:rPr>
          <w:sz w:val="20"/>
        </w:rPr>
      </w:pPr>
      <w:r>
        <w:rPr>
          <w:position w:val="6"/>
          <w:sz w:val="13"/>
        </w:rPr>
        <w:t>30 </w:t>
      </w:r>
      <w:r>
        <w:rPr>
          <w:sz w:val="20"/>
        </w:rPr>
        <w:t>Si la correlación es positiva, los activos del portafolio se desplazarán simultáneamente tanto a favor como en contra, por lo que los rendimientos fluctúan sobre márgenes más amplios y, por lo tanto, el riesgo del portafolio será mayor. Si los activos están negativamente correlacionados, uno de los activos perderá mientras el otro gana y viceversa, por lo que los rendimientos del portafolio fluctuarán en márgenes menores incluso a los de la fluctuación de cada uno de los activos por separado, disminuyendo por lo tanto el riesgo del portafolio.</w:t>
      </w:r>
    </w:p>
    <w:p>
      <w:pPr>
        <w:spacing w:before="0"/>
        <w:ind w:left="142" w:right="85" w:firstLine="0"/>
        <w:jc w:val="left"/>
        <w:rPr>
          <w:sz w:val="20"/>
        </w:rPr>
      </w:pPr>
      <w:r>
        <w:rPr>
          <w:sz w:val="20"/>
        </w:rPr>
        <w:t>Si los rendimientos de los activos del portafolio están independientemente correlacionados entre sí, se comportarán algunas ocasiones en forma opuesta y algunas otras en forma paralela, por lo que los rendimientos del portafolio fluctuarán en rangos moderados, es decir, sin incrementar ni reducir significativamente el riesgo del portafolio.</w:t>
      </w:r>
    </w:p>
    <w:p>
      <w:pPr>
        <w:spacing w:before="0"/>
        <w:ind w:left="142" w:right="342" w:firstLine="0"/>
        <w:jc w:val="left"/>
        <w:rPr>
          <w:sz w:val="20"/>
        </w:rPr>
      </w:pPr>
      <w:r>
        <w:rPr>
          <w:position w:val="6"/>
          <w:sz w:val="13"/>
        </w:rPr>
        <w:t>31 </w:t>
      </w:r>
      <w:r>
        <w:rPr>
          <w:sz w:val="20"/>
        </w:rPr>
        <w:t>Presenta las correlaciones de cada par de activos posible dentro del portafolio. Dado que, por definición, cada activo estará perfectamente correlacionado consigo mismo, los valores a lo largo de la diagonal de la matriz serán cada uno igual a la unidad.</w:t>
      </w:r>
    </w:p>
    <w:p>
      <w:pPr>
        <w:spacing w:before="0"/>
        <w:ind w:left="142" w:right="417" w:firstLine="0"/>
        <w:jc w:val="left"/>
        <w:rPr>
          <w:sz w:val="20"/>
        </w:rPr>
      </w:pPr>
      <w:r>
        <w:rPr>
          <w:position w:val="6"/>
          <w:sz w:val="13"/>
        </w:rPr>
        <w:t>32 </w:t>
      </w:r>
      <w:r>
        <w:rPr>
          <w:sz w:val="20"/>
        </w:rPr>
        <w:t>Para obtenerla, multiplicaremos cada elemento de la matriz de correlación por la volatilidad de los activos de la pareja correspondiente (fila y columna de la matriz).</w:t>
      </w:r>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40" w:firstLine="707"/>
        <w:jc w:val="both"/>
      </w:pPr>
      <w:r>
        <w:rPr/>
        <w:t>Debido</w:t>
      </w:r>
      <w:r>
        <w:rPr>
          <w:spacing w:val="-11"/>
        </w:rPr>
        <w:t> </w:t>
      </w:r>
      <w:r>
        <w:rPr/>
        <w:t>a</w:t>
      </w:r>
      <w:r>
        <w:rPr>
          <w:spacing w:val="-12"/>
        </w:rPr>
        <w:t> </w:t>
      </w:r>
      <w:r>
        <w:rPr/>
        <w:t>que</w:t>
      </w:r>
      <w:r>
        <w:rPr>
          <w:spacing w:val="-12"/>
        </w:rPr>
        <w:t> </w:t>
      </w:r>
      <w:r>
        <w:rPr/>
        <w:t>cada</w:t>
      </w:r>
      <w:r>
        <w:rPr>
          <w:spacing w:val="-12"/>
        </w:rPr>
        <w:t> </w:t>
      </w:r>
      <w:r>
        <w:rPr/>
        <w:t>activo</w:t>
      </w:r>
      <w:r>
        <w:rPr>
          <w:spacing w:val="-12"/>
        </w:rPr>
        <w:t> </w:t>
      </w:r>
      <w:r>
        <w:rPr/>
        <w:t>está</w:t>
      </w:r>
      <w:r>
        <w:rPr>
          <w:spacing w:val="-11"/>
        </w:rPr>
        <w:t> </w:t>
      </w:r>
      <w:r>
        <w:rPr/>
        <w:t>perfectamente</w:t>
      </w:r>
      <w:r>
        <w:rPr>
          <w:spacing w:val="-14"/>
        </w:rPr>
        <w:t> </w:t>
      </w:r>
      <w:r>
        <w:rPr/>
        <w:t>correlacionado</w:t>
      </w:r>
      <w:r>
        <w:rPr>
          <w:spacing w:val="-12"/>
        </w:rPr>
        <w:t> </w:t>
      </w:r>
      <w:r>
        <w:rPr/>
        <w:t>consigo</w:t>
      </w:r>
      <w:r>
        <w:rPr>
          <w:spacing w:val="-12"/>
        </w:rPr>
        <w:t> </w:t>
      </w:r>
      <w:r>
        <w:rPr/>
        <w:t>mismo, y por lo tanto su correlación es igual a 1, los elementos en la diagonal de la matriz de</w:t>
      </w:r>
      <w:r>
        <w:rPr>
          <w:spacing w:val="-7"/>
        </w:rPr>
        <w:t> </w:t>
      </w:r>
      <w:r>
        <w:rPr/>
        <w:t>varianza-covarianza</w:t>
      </w:r>
      <w:r>
        <w:rPr>
          <w:spacing w:val="-7"/>
        </w:rPr>
        <w:t> </w:t>
      </w:r>
      <w:r>
        <w:rPr/>
        <w:t>son</w:t>
      </w:r>
      <w:r>
        <w:rPr>
          <w:spacing w:val="-7"/>
        </w:rPr>
        <w:t> </w:t>
      </w:r>
      <w:r>
        <w:rPr/>
        <w:t>las</w:t>
      </w:r>
      <w:r>
        <w:rPr>
          <w:spacing w:val="-8"/>
        </w:rPr>
        <w:t> </w:t>
      </w:r>
      <w:r>
        <w:rPr/>
        <w:t>varianzas</w:t>
      </w:r>
      <w:r>
        <w:rPr>
          <w:spacing w:val="-8"/>
        </w:rPr>
        <w:t> </w:t>
      </w:r>
      <w:r>
        <w:rPr/>
        <w:t>de</w:t>
      </w:r>
      <w:r>
        <w:rPr>
          <w:spacing w:val="-9"/>
        </w:rPr>
        <w:t> </w:t>
      </w:r>
      <w:r>
        <w:rPr/>
        <w:t>cada</w:t>
      </w:r>
      <w:r>
        <w:rPr>
          <w:spacing w:val="-9"/>
        </w:rPr>
        <w:t> </w:t>
      </w:r>
      <w:r>
        <w:rPr/>
        <w:t>activo</w:t>
      </w:r>
      <w:r>
        <w:rPr>
          <w:spacing w:val="-7"/>
        </w:rPr>
        <w:t> </w:t>
      </w:r>
      <w:r>
        <w:rPr/>
        <w:t>del</w:t>
      </w:r>
      <w:r>
        <w:rPr>
          <w:spacing w:val="-8"/>
        </w:rPr>
        <w:t> </w:t>
      </w:r>
      <w:r>
        <w:rPr/>
        <w:t>portafolio,</w:t>
      </w:r>
      <w:r>
        <w:rPr>
          <w:spacing w:val="-7"/>
        </w:rPr>
        <w:t> </w:t>
      </w:r>
      <w:r>
        <w:rPr/>
        <w:t>y</w:t>
      </w:r>
      <w:r>
        <w:rPr>
          <w:spacing w:val="-10"/>
        </w:rPr>
        <w:t> </w:t>
      </w:r>
      <w:r>
        <w:rPr/>
        <w:t>el</w:t>
      </w:r>
      <w:r>
        <w:rPr>
          <w:spacing w:val="-8"/>
        </w:rPr>
        <w:t> </w:t>
      </w:r>
      <w:r>
        <w:rPr/>
        <w:t>resto</w:t>
      </w:r>
      <w:r>
        <w:rPr>
          <w:spacing w:val="-7"/>
        </w:rPr>
        <w:t> </w:t>
      </w:r>
      <w:r>
        <w:rPr/>
        <w:t>de los elementos son las covarianzas de cada pareja del</w:t>
      </w:r>
      <w:r>
        <w:rPr>
          <w:spacing w:val="-18"/>
        </w:rPr>
        <w:t> </w:t>
      </w:r>
      <w:r>
        <w:rPr/>
        <w:t>portafolio.</w:t>
      </w:r>
    </w:p>
    <w:p>
      <w:pPr>
        <w:pStyle w:val="BodyText"/>
        <w:spacing w:line="360" w:lineRule="auto" w:before="2"/>
        <w:ind w:left="142" w:right="142" w:firstLine="707"/>
        <w:jc w:val="both"/>
      </w:pPr>
      <w:r>
        <w:rPr/>
        <w:t>La matriz de varianza-covarianza es simétrica debido a que se deriva de la matriz de correlaciones, la cual también es simétrica.</w:t>
      </w:r>
    </w:p>
    <w:p>
      <w:pPr>
        <w:pStyle w:val="BodyText"/>
        <w:spacing w:line="360" w:lineRule="auto" w:before="2"/>
        <w:ind w:left="142" w:right="137" w:firstLine="707"/>
        <w:jc w:val="both"/>
      </w:pPr>
      <w:r>
        <w:rPr/>
        <w:t>Para</w:t>
      </w:r>
      <w:r>
        <w:rPr>
          <w:spacing w:val="-7"/>
        </w:rPr>
        <w:t> </w:t>
      </w:r>
      <w:r>
        <w:rPr/>
        <w:t>determinar</w:t>
      </w:r>
      <w:r>
        <w:rPr>
          <w:spacing w:val="-5"/>
        </w:rPr>
        <w:t> </w:t>
      </w:r>
      <w:r>
        <w:rPr/>
        <w:t>la</w:t>
      </w:r>
      <w:r>
        <w:rPr>
          <w:spacing w:val="-6"/>
        </w:rPr>
        <w:t> </w:t>
      </w:r>
      <w:r>
        <w:rPr/>
        <w:t>volatilidad</w:t>
      </w:r>
      <w:r>
        <w:rPr>
          <w:spacing w:val="-6"/>
        </w:rPr>
        <w:t> </w:t>
      </w:r>
      <w:r>
        <w:rPr/>
        <w:t>a</w:t>
      </w:r>
      <w:r>
        <w:rPr>
          <w:spacing w:val="-6"/>
        </w:rPr>
        <w:t> </w:t>
      </w:r>
      <w:r>
        <w:rPr/>
        <w:t>partir</w:t>
      </w:r>
      <w:r>
        <w:rPr>
          <w:spacing w:val="-7"/>
        </w:rPr>
        <w:t> </w:t>
      </w:r>
      <w:r>
        <w:rPr/>
        <w:t>de</w:t>
      </w:r>
      <w:r>
        <w:rPr>
          <w:spacing w:val="-6"/>
        </w:rPr>
        <w:t> </w:t>
      </w:r>
      <w:r>
        <w:rPr/>
        <w:t>la</w:t>
      </w:r>
      <w:r>
        <w:rPr>
          <w:spacing w:val="-6"/>
        </w:rPr>
        <w:t> </w:t>
      </w:r>
      <w:r>
        <w:rPr/>
        <w:t>matriz</w:t>
      </w:r>
      <w:r>
        <w:rPr>
          <w:spacing w:val="-7"/>
        </w:rPr>
        <w:t> </w:t>
      </w:r>
      <w:r>
        <w:rPr/>
        <w:t>de</w:t>
      </w:r>
      <w:r>
        <w:rPr>
          <w:spacing w:val="-4"/>
        </w:rPr>
        <w:t> </w:t>
      </w:r>
      <w:r>
        <w:rPr/>
        <w:t>varianza-covarianza,</w:t>
      </w:r>
      <w:r>
        <w:rPr>
          <w:spacing w:val="-4"/>
        </w:rPr>
        <w:t> </w:t>
      </w:r>
      <w:r>
        <w:rPr/>
        <w:t>se requiere además el vector de las ponderaciones de cada activo en el</w:t>
      </w:r>
      <w:r>
        <w:rPr>
          <w:spacing w:val="-18"/>
        </w:rPr>
        <w:t> </w:t>
      </w:r>
      <w:r>
        <w:rPr/>
        <w:t>portafolio.</w:t>
      </w:r>
    </w:p>
    <w:p>
      <w:pPr>
        <w:pStyle w:val="BodyText"/>
      </w:pPr>
    </w:p>
    <w:p>
      <w:pPr>
        <w:pStyle w:val="ListParagraph"/>
        <w:numPr>
          <w:ilvl w:val="1"/>
          <w:numId w:val="8"/>
        </w:numPr>
        <w:tabs>
          <w:tab w:pos="594" w:val="left" w:leader="none"/>
        </w:tabs>
        <w:spacing w:line="240" w:lineRule="auto" w:before="206" w:after="0"/>
        <w:ind w:left="593" w:right="0" w:hanging="451"/>
        <w:jc w:val="left"/>
        <w:rPr>
          <w:b/>
          <w:sz w:val="28"/>
        </w:rPr>
      </w:pPr>
      <w:bookmarkStart w:name="_bookmark20" w:id="34"/>
      <w:bookmarkEnd w:id="34"/>
      <w:r>
        <w:rPr/>
      </w:r>
      <w:bookmarkStart w:name="_bookmark20" w:id="35"/>
      <w:bookmarkEnd w:id="35"/>
      <w:r>
        <w:rPr>
          <w:b/>
          <w:sz w:val="28"/>
        </w:rPr>
        <w:t>E</w:t>
      </w:r>
      <w:r>
        <w:rPr>
          <w:b/>
          <w:sz w:val="22"/>
        </w:rPr>
        <w:t>L MODELO DE VALUACIÓN DE ACTIVOS DE CAPITAL</w:t>
      </w:r>
      <w:r>
        <w:rPr>
          <w:b/>
          <w:spacing w:val="-19"/>
          <w:sz w:val="22"/>
        </w:rPr>
        <w:t> </w:t>
      </w:r>
      <w:r>
        <w:rPr>
          <w:b/>
          <w:sz w:val="28"/>
        </w:rPr>
        <w:t>(CAPM)</w:t>
      </w:r>
    </w:p>
    <w:p>
      <w:pPr>
        <w:pStyle w:val="Heading3"/>
        <w:spacing w:before="238"/>
      </w:pPr>
      <w:r>
        <w:rPr/>
        <w:t>Conceptos generales</w:t>
      </w:r>
    </w:p>
    <w:p>
      <w:pPr>
        <w:pStyle w:val="BodyText"/>
        <w:spacing w:line="360" w:lineRule="auto" w:before="62"/>
        <w:ind w:left="142" w:right="143" w:firstLine="707"/>
        <w:jc w:val="both"/>
      </w:pPr>
      <w:r>
        <w:rPr/>
        <w:t>El</w:t>
      </w:r>
      <w:r>
        <w:rPr>
          <w:spacing w:val="-14"/>
        </w:rPr>
        <w:t> </w:t>
      </w:r>
      <w:r>
        <w:rPr/>
        <w:t>modelo</w:t>
      </w:r>
      <w:r>
        <w:rPr>
          <w:spacing w:val="-13"/>
        </w:rPr>
        <w:t> </w:t>
      </w:r>
      <w:r>
        <w:rPr/>
        <w:t>de</w:t>
      </w:r>
      <w:r>
        <w:rPr>
          <w:spacing w:val="-13"/>
        </w:rPr>
        <w:t> </w:t>
      </w:r>
      <w:r>
        <w:rPr/>
        <w:t>valuación</w:t>
      </w:r>
      <w:r>
        <w:rPr>
          <w:spacing w:val="-15"/>
        </w:rPr>
        <w:t> </w:t>
      </w:r>
      <w:r>
        <w:rPr/>
        <w:t>de</w:t>
      </w:r>
      <w:r>
        <w:rPr>
          <w:spacing w:val="-13"/>
        </w:rPr>
        <w:t> </w:t>
      </w:r>
      <w:r>
        <w:rPr/>
        <w:t>activos</w:t>
      </w:r>
      <w:r>
        <w:rPr>
          <w:spacing w:val="-14"/>
        </w:rPr>
        <w:t> </w:t>
      </w:r>
      <w:r>
        <w:rPr/>
        <w:t>de</w:t>
      </w:r>
      <w:r>
        <w:rPr>
          <w:spacing w:val="-13"/>
        </w:rPr>
        <w:t> </w:t>
      </w:r>
      <w:r>
        <w:rPr/>
        <w:t>capital</w:t>
      </w:r>
      <w:r>
        <w:rPr>
          <w:spacing w:val="-14"/>
        </w:rPr>
        <w:t> </w:t>
      </w:r>
      <w:r>
        <w:rPr/>
        <w:t>(CAPM,</w:t>
      </w:r>
      <w:r>
        <w:rPr>
          <w:spacing w:val="-13"/>
        </w:rPr>
        <w:t> </w:t>
      </w:r>
      <w:r>
        <w:rPr/>
        <w:t>por</w:t>
      </w:r>
      <w:r>
        <w:rPr>
          <w:spacing w:val="-15"/>
        </w:rPr>
        <w:t> </w:t>
      </w:r>
      <w:r>
        <w:rPr/>
        <w:t>sus</w:t>
      </w:r>
      <w:r>
        <w:rPr>
          <w:spacing w:val="-14"/>
        </w:rPr>
        <w:t> </w:t>
      </w:r>
      <w:r>
        <w:rPr/>
        <w:t>siglas</w:t>
      </w:r>
      <w:r>
        <w:rPr>
          <w:spacing w:val="-13"/>
        </w:rPr>
        <w:t> </w:t>
      </w:r>
      <w:r>
        <w:rPr/>
        <w:t>en</w:t>
      </w:r>
      <w:r>
        <w:rPr>
          <w:spacing w:val="-13"/>
        </w:rPr>
        <w:t> </w:t>
      </w:r>
      <w:r>
        <w:rPr/>
        <w:t>inglés) es una teoría acerca de los precios de equilibrio en los mercados de activos riesgosos Se basa en la teoría de la selección de cartera y da como resultado las relaciones cuantitativas que deben existir entre tasas esperadas de rendimiento de activos riesgosos con el supuesto de que los precios de los activos se ajustan para igualar la oferta y la</w:t>
      </w:r>
      <w:r>
        <w:rPr>
          <w:spacing w:val="-6"/>
        </w:rPr>
        <w:t> </w:t>
      </w:r>
      <w:r>
        <w:rPr/>
        <w:t>demanda.</w:t>
      </w:r>
    </w:p>
    <w:p>
      <w:pPr>
        <w:pStyle w:val="BodyText"/>
        <w:spacing w:before="2"/>
        <w:ind w:left="850" w:right="786"/>
      </w:pPr>
      <w:r>
        <w:rPr/>
        <w:t>El CAPM es importante por dos razones:</w:t>
      </w:r>
    </w:p>
    <w:p>
      <w:pPr>
        <w:pStyle w:val="ListParagraph"/>
        <w:numPr>
          <w:ilvl w:val="2"/>
          <w:numId w:val="8"/>
        </w:numPr>
        <w:tabs>
          <w:tab w:pos="1275" w:val="left" w:leader="none"/>
        </w:tabs>
        <w:spacing w:line="345" w:lineRule="auto" w:before="140" w:after="0"/>
        <w:ind w:left="1274" w:right="144" w:hanging="357"/>
        <w:jc w:val="both"/>
        <w:rPr>
          <w:sz w:val="24"/>
        </w:rPr>
      </w:pPr>
      <w:r>
        <w:rPr>
          <w:sz w:val="24"/>
        </w:rPr>
        <w:t>Primero, proporciona una justificación teórica para la práctica extendida de inversión pasiva conocida como</w:t>
      </w:r>
      <w:r>
        <w:rPr>
          <w:spacing w:val="-14"/>
          <w:sz w:val="24"/>
        </w:rPr>
        <w:t> </w:t>
      </w:r>
      <w:r>
        <w:rPr>
          <w:sz w:val="24"/>
        </w:rPr>
        <w:t>indexación</w:t>
      </w:r>
      <w:r>
        <w:rPr>
          <w:position w:val="8"/>
          <w:sz w:val="16"/>
        </w:rPr>
        <w:t>33</w:t>
      </w:r>
      <w:r>
        <w:rPr>
          <w:sz w:val="24"/>
        </w:rPr>
        <w:t>.</w:t>
      </w:r>
    </w:p>
    <w:p>
      <w:pPr>
        <w:pStyle w:val="ListParagraph"/>
        <w:numPr>
          <w:ilvl w:val="2"/>
          <w:numId w:val="8"/>
        </w:numPr>
        <w:tabs>
          <w:tab w:pos="1275" w:val="left" w:leader="none"/>
        </w:tabs>
        <w:spacing w:line="355" w:lineRule="auto" w:before="16" w:after="0"/>
        <w:ind w:left="1274" w:right="141" w:hanging="357"/>
        <w:jc w:val="both"/>
        <w:rPr>
          <w:sz w:val="24"/>
        </w:rPr>
      </w:pPr>
      <w:r>
        <w:rPr>
          <w:sz w:val="24"/>
        </w:rPr>
        <w:t>Segundo, el CAPM proporciona una forma de estimación de las tasas esperadas de rendimiento para usarse en una variedad de aplicaciones financieras.</w:t>
      </w:r>
    </w:p>
    <w:p>
      <w:pPr>
        <w:pStyle w:val="BodyText"/>
        <w:spacing w:line="362" w:lineRule="auto" w:before="8"/>
        <w:ind w:left="142" w:right="145" w:firstLine="707"/>
        <w:jc w:val="both"/>
      </w:pPr>
      <w:r>
        <w:rPr/>
        <w:t>En síntesis, podemos decir que el modelo de valuación de activos de capital es una teoría de equilibrio basada en la teoría de la selección de cartera.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r>
        <w:rPr/>
        <w:pict>
          <v:line style="position:absolute;mso-position-horizontal-relative:page;mso-position-vertical-relative:paragraph;z-index:2656;mso-wrap-distance-left:0;mso-wrap-distance-right:0" from="85.103996pt,13.704741pt" to="229.123996pt,13.704741pt" stroked="true" strokeweight=".599980pt" strokecolor="#000000">
            <w10:wrap type="topAndBottom"/>
          </v:line>
        </w:pict>
      </w:r>
    </w:p>
    <w:p>
      <w:pPr>
        <w:spacing w:before="78"/>
        <w:ind w:left="142" w:right="85" w:firstLine="0"/>
        <w:jc w:val="left"/>
        <w:rPr>
          <w:sz w:val="20"/>
        </w:rPr>
      </w:pPr>
      <w:r>
        <w:rPr>
          <w:position w:val="6"/>
          <w:sz w:val="13"/>
        </w:rPr>
        <w:t>33 </w:t>
      </w:r>
      <w:r>
        <w:rPr>
          <w:sz w:val="20"/>
        </w:rPr>
        <w:t>Indexación significa mantener una cartera diversificada en la que los valores se tienen en las mismas proporciones relativas que en un índice amplio de mercado como el Standard &amp; Poor's 500 o el índice de acciones internacionales de Morgan Stanley.</w:t>
      </w:r>
    </w:p>
    <w:p>
      <w:pPr>
        <w:spacing w:after="0"/>
        <w:jc w:val="left"/>
        <w:rPr>
          <w:sz w:val="20"/>
        </w:rPr>
        <w:sectPr>
          <w:pgSz w:w="12240" w:h="15840"/>
          <w:pgMar w:header="731" w:footer="737" w:top="1180" w:bottom="920" w:left="1560" w:right="1560"/>
        </w:sectPr>
      </w:pPr>
    </w:p>
    <w:p>
      <w:pPr>
        <w:pStyle w:val="BodyText"/>
        <w:rPr>
          <w:sz w:val="20"/>
        </w:rPr>
      </w:pPr>
    </w:p>
    <w:p>
      <w:pPr>
        <w:pStyle w:val="BodyText"/>
        <w:spacing w:before="7"/>
        <w:rPr>
          <w:sz w:val="21"/>
        </w:rPr>
      </w:pPr>
    </w:p>
    <w:p>
      <w:pPr>
        <w:pStyle w:val="BodyText"/>
        <w:spacing w:line="360" w:lineRule="auto"/>
        <w:ind w:left="142" w:right="141" w:firstLine="707"/>
        <w:jc w:val="both"/>
      </w:pPr>
      <w:r>
        <w:rPr/>
        <w:t>El CAPM</w:t>
      </w:r>
      <w:r>
        <w:rPr>
          <w:position w:val="8"/>
          <w:sz w:val="16"/>
        </w:rPr>
        <w:t>34 </w:t>
      </w:r>
      <w:r>
        <w:rPr/>
        <w:t>se derivó del siguiente cuestionamiento: ¿Qué primas de riesgo de</w:t>
      </w:r>
      <w:r>
        <w:rPr>
          <w:spacing w:val="-12"/>
        </w:rPr>
        <w:t> </w:t>
      </w:r>
      <w:r>
        <w:rPr/>
        <w:t>valores</w:t>
      </w:r>
      <w:r>
        <w:rPr>
          <w:spacing w:val="-15"/>
        </w:rPr>
        <w:t> </w:t>
      </w:r>
      <w:r>
        <w:rPr/>
        <w:t>estarían</w:t>
      </w:r>
      <w:r>
        <w:rPr>
          <w:spacing w:val="-14"/>
        </w:rPr>
        <w:t> </w:t>
      </w:r>
      <w:r>
        <w:rPr/>
        <w:t>en</w:t>
      </w:r>
      <w:r>
        <w:rPr>
          <w:spacing w:val="-16"/>
        </w:rPr>
        <w:t> </w:t>
      </w:r>
      <w:r>
        <w:rPr/>
        <w:t>equilibrio</w:t>
      </w:r>
      <w:r>
        <w:rPr>
          <w:spacing w:val="-12"/>
        </w:rPr>
        <w:t> </w:t>
      </w:r>
      <w:r>
        <w:rPr/>
        <w:t>si</w:t>
      </w:r>
      <w:r>
        <w:rPr>
          <w:spacing w:val="-13"/>
        </w:rPr>
        <w:t> </w:t>
      </w:r>
      <w:r>
        <w:rPr/>
        <w:t>la</w:t>
      </w:r>
      <w:r>
        <w:rPr>
          <w:spacing w:val="-14"/>
        </w:rPr>
        <w:t> </w:t>
      </w:r>
      <w:r>
        <w:rPr/>
        <w:t>gente</w:t>
      </w:r>
      <w:r>
        <w:rPr>
          <w:spacing w:val="-12"/>
        </w:rPr>
        <w:t> </w:t>
      </w:r>
      <w:r>
        <w:rPr/>
        <w:t>tuviera</w:t>
      </w:r>
      <w:r>
        <w:rPr>
          <w:spacing w:val="-12"/>
        </w:rPr>
        <w:t> </w:t>
      </w:r>
      <w:r>
        <w:rPr/>
        <w:t>el</w:t>
      </w:r>
      <w:r>
        <w:rPr>
          <w:spacing w:val="-15"/>
        </w:rPr>
        <w:t> </w:t>
      </w:r>
      <w:r>
        <w:rPr/>
        <w:t>mismo</w:t>
      </w:r>
      <w:r>
        <w:rPr>
          <w:spacing w:val="-14"/>
        </w:rPr>
        <w:t> </w:t>
      </w:r>
      <w:r>
        <w:rPr/>
        <w:t>conjunto</w:t>
      </w:r>
      <w:r>
        <w:rPr>
          <w:spacing w:val="-12"/>
        </w:rPr>
        <w:t> </w:t>
      </w:r>
      <w:r>
        <w:rPr/>
        <w:t>de</w:t>
      </w:r>
      <w:r>
        <w:rPr>
          <w:spacing w:val="-14"/>
        </w:rPr>
        <w:t> </w:t>
      </w:r>
      <w:r>
        <w:rPr/>
        <w:t>pronósticos de rendimientos y riesgos esperados, y todos escogieran sus carteras de manera óptima de acuerdo con los principios de diversificación</w:t>
      </w:r>
      <w:r>
        <w:rPr>
          <w:spacing w:val="-20"/>
        </w:rPr>
        <w:t> </w:t>
      </w:r>
      <w:r>
        <w:rPr/>
        <w:t>eficiente?</w:t>
      </w:r>
    </w:p>
    <w:p>
      <w:pPr>
        <w:pStyle w:val="BodyText"/>
        <w:spacing w:line="360" w:lineRule="auto" w:before="2"/>
        <w:ind w:left="142" w:right="150" w:firstLine="707"/>
        <w:jc w:val="both"/>
      </w:pPr>
      <w:r>
        <w:rPr/>
        <w:t>La idea fundamental en la que se apoya el CAPM es que, en equilibrio, el mercado recompensa a la gente por asumir riesgo.</w:t>
      </w:r>
    </w:p>
    <w:p>
      <w:pPr>
        <w:pStyle w:val="BodyText"/>
        <w:spacing w:line="360" w:lineRule="auto" w:before="2"/>
        <w:ind w:left="142" w:right="134" w:firstLine="707"/>
        <w:jc w:val="right"/>
      </w:pPr>
      <w:r>
        <w:rPr/>
        <w:t>El CAPM dice que en equilibrio, las tenencias relativas de cualquier</w:t>
      </w:r>
      <w:r>
        <w:rPr>
          <w:w w:val="99"/>
        </w:rPr>
        <w:t> </w:t>
      </w:r>
      <w:r>
        <w:rPr/>
        <w:t>inversionista en activos riesgosos serán las mismas que en la cartera de mercado.</w:t>
      </w:r>
      <w:r>
        <w:rPr>
          <w:w w:val="100"/>
        </w:rPr>
        <w:t> </w:t>
      </w:r>
      <w:r>
        <w:rPr/>
        <w:t>Debido a que el punto de tangencia o combinación óptima de activos riesgosos tiene la misma tenencia relativa de activos riesgosos que la cartera de</w:t>
      </w:r>
      <w:r>
        <w:rPr>
          <w:w w:val="99"/>
        </w:rPr>
        <w:t> </w:t>
      </w:r>
      <w:r>
        <w:rPr/>
        <w:t>mercado, ésta se localiza en algún punto de la línea de compensación de riesgo-</w:t>
      </w:r>
      <w:r>
        <w:rPr>
          <w:w w:val="99"/>
        </w:rPr>
        <w:t> </w:t>
      </w:r>
      <w:r>
        <w:rPr/>
        <w:t>rendimiento. En el CAPM, la línea de compensación se conoce como línea del</w:t>
      </w:r>
    </w:p>
    <w:p>
      <w:pPr>
        <w:pStyle w:val="BodyText"/>
        <w:spacing w:before="5"/>
        <w:ind w:left="142" w:right="786"/>
      </w:pPr>
      <w:r>
        <w:rPr/>
        <w:t>mercado de capitales (CML, por sus siglas en inglés).</w:t>
      </w:r>
    </w:p>
    <w:p>
      <w:pPr>
        <w:pStyle w:val="BodyText"/>
        <w:spacing w:line="360" w:lineRule="auto" w:before="137"/>
        <w:ind w:left="142" w:right="134" w:firstLine="707"/>
        <w:jc w:val="both"/>
      </w:pPr>
      <w:r>
        <w:rPr/>
        <w:t>El CAPM dice que en equilibrio, la CML representa las mejores combinaciones de riesgo-rendimiento disponibles para todos los inversionistas.</w:t>
      </w:r>
      <w:r>
        <w:rPr>
          <w:spacing w:val="-43"/>
        </w:rPr>
        <w:t> </w:t>
      </w:r>
      <w:r>
        <w:rPr/>
        <w:t>Por lo tanto, la pendiente de la CML es la prima de riesgo de la cartera de mercado dividida entre su desviación</w:t>
      </w:r>
      <w:r>
        <w:rPr>
          <w:spacing w:val="-7"/>
        </w:rPr>
        <w:t> </w:t>
      </w:r>
      <w:r>
        <w:rPr/>
        <w:t>estándar.</w:t>
      </w:r>
    </w:p>
    <w:p>
      <w:pPr>
        <w:pStyle w:val="Heading3"/>
      </w:pPr>
      <w:r>
        <w:rPr/>
        <w:t>El proceso de selección de una cartera personal</w:t>
      </w:r>
    </w:p>
    <w:p>
      <w:pPr>
        <w:pStyle w:val="BodyText"/>
        <w:spacing w:line="360" w:lineRule="auto" w:before="62"/>
        <w:ind w:left="142" w:right="146" w:firstLine="707"/>
        <w:jc w:val="both"/>
      </w:pPr>
      <w:r>
        <w:rPr/>
        <w:t>La selección de cartera es el estudio de la manera en que la gente debe invertir su dinero. Es un proceso de compensación entre el riesgo y el rendimiento esperado para encontrar la mejor cartera de activos y pasivos.</w:t>
      </w:r>
    </w:p>
    <w:p>
      <w:pPr>
        <w:pStyle w:val="BodyText"/>
        <w:spacing w:line="360" w:lineRule="auto" w:before="5"/>
        <w:ind w:left="142" w:right="145" w:firstLine="707"/>
        <w:jc w:val="both"/>
      </w:pPr>
      <w:r>
        <w:rPr/>
        <w:t>El elemento común en todas estas decisiones es la compensación entre el riesgo y el rendimiento esperado.</w:t>
      </w:r>
    </w:p>
    <w:p>
      <w:pPr>
        <w:pStyle w:val="BodyText"/>
        <w:spacing w:line="360" w:lineRule="auto" w:before="5"/>
        <w:ind w:left="142" w:right="144" w:firstLine="707"/>
        <w:jc w:val="both"/>
      </w:pPr>
      <w:r>
        <w:rPr/>
        <w:t>El objetivo es encontrar la cartera que ofrezca a los inversionistas la tasa de rendimiento esperada más alta para cualquier nivel de riesgo que estén dispuestos a tolerar.</w:t>
      </w:r>
    </w:p>
    <w:p>
      <w:pPr>
        <w:pStyle w:val="BodyText"/>
        <w:spacing w:before="2"/>
        <w:ind w:left="850" w:right="-9"/>
      </w:pPr>
      <w:r>
        <w:rPr/>
        <w:t>La optimización de la cartera a menudo se hace en un proceso de dos pasos:</w:t>
      </w:r>
    </w:p>
    <w:p>
      <w:pPr>
        <w:pStyle w:val="ListParagraph"/>
        <w:numPr>
          <w:ilvl w:val="2"/>
          <w:numId w:val="8"/>
        </w:numPr>
        <w:tabs>
          <w:tab w:pos="1274" w:val="left" w:leader="none"/>
          <w:tab w:pos="1275" w:val="left" w:leader="none"/>
        </w:tabs>
        <w:spacing w:line="240" w:lineRule="auto" w:before="140" w:after="0"/>
        <w:ind w:left="1274" w:right="0" w:hanging="357"/>
        <w:jc w:val="left"/>
        <w:rPr>
          <w:sz w:val="24"/>
        </w:rPr>
      </w:pPr>
      <w:r>
        <w:rPr>
          <w:sz w:val="24"/>
        </w:rPr>
        <w:t>hallar la combinación óptima de activos riesgosos,</w:t>
      </w:r>
      <w:r>
        <w:rPr>
          <w:spacing w:val="-14"/>
          <w:sz w:val="24"/>
        </w:rPr>
        <w:t> </w:t>
      </w:r>
      <w:r>
        <w:rPr>
          <w:sz w:val="24"/>
        </w:rPr>
        <w:t>y</w:t>
      </w:r>
    </w:p>
    <w:p>
      <w:pPr>
        <w:pStyle w:val="BodyText"/>
        <w:rPr>
          <w:sz w:val="20"/>
        </w:rPr>
      </w:pPr>
    </w:p>
    <w:p>
      <w:pPr>
        <w:pStyle w:val="BodyText"/>
        <w:spacing w:before="1"/>
        <w:rPr>
          <w:sz w:val="13"/>
        </w:rPr>
      </w:pPr>
      <w:r>
        <w:rPr/>
        <w:pict>
          <v:line style="position:absolute;mso-position-horizontal-relative:page;mso-position-vertical-relative:paragraph;z-index:2680;mso-wrap-distance-left:0;mso-wrap-distance-right:0" from="85.103996pt,9.804272pt" to="229.123996pt,9.804272pt" stroked="true" strokeweight=".599980pt" strokecolor="#000000">
            <w10:wrap type="topAndBottom"/>
          </v:line>
        </w:pict>
      </w:r>
    </w:p>
    <w:p>
      <w:pPr>
        <w:spacing w:before="78"/>
        <w:ind w:left="142" w:right="307" w:firstLine="0"/>
        <w:jc w:val="both"/>
        <w:rPr>
          <w:sz w:val="20"/>
        </w:rPr>
      </w:pPr>
      <w:r>
        <w:rPr>
          <w:position w:val="6"/>
          <w:sz w:val="13"/>
        </w:rPr>
        <w:t>34 </w:t>
      </w:r>
      <w:r>
        <w:rPr>
          <w:sz w:val="20"/>
        </w:rPr>
        <w:t>En 1990, William F. Sharpe recibió el Premio Nobel de Economía por su trabajo sobre el CAPM publicado en 1964. Otros que desarrollaron de manera independiente el CAPM</w:t>
      </w:r>
      <w:r>
        <w:rPr>
          <w:spacing w:val="-21"/>
          <w:sz w:val="20"/>
        </w:rPr>
        <w:t> </w:t>
      </w:r>
      <w:r>
        <w:rPr>
          <w:sz w:val="20"/>
        </w:rPr>
        <w:t>aproximadamente al mismo tiempo, fueron John Lintner y Jan</w:t>
      </w:r>
      <w:r>
        <w:rPr>
          <w:spacing w:val="-15"/>
          <w:sz w:val="20"/>
        </w:rPr>
        <w:t> </w:t>
      </w:r>
      <w:r>
        <w:rPr>
          <w:sz w:val="20"/>
        </w:rPr>
        <w:t>Mossin.</w:t>
      </w:r>
    </w:p>
    <w:p>
      <w:pPr>
        <w:spacing w:after="0"/>
        <w:jc w:val="both"/>
        <w:rPr>
          <w:sz w:val="20"/>
        </w:rPr>
        <w:sectPr>
          <w:footerReference w:type="default" r:id="rId39"/>
          <w:pgSz w:w="12240" w:h="15840"/>
          <w:pgMar w:footer="737" w:header="731" w:top="1180" w:bottom="920" w:left="1560" w:right="1560"/>
          <w:pgNumType w:start="35"/>
        </w:sectPr>
      </w:pPr>
    </w:p>
    <w:p>
      <w:pPr>
        <w:pStyle w:val="BodyText"/>
        <w:rPr>
          <w:sz w:val="20"/>
        </w:rPr>
      </w:pPr>
    </w:p>
    <w:p>
      <w:pPr>
        <w:pStyle w:val="BodyText"/>
        <w:spacing w:before="3"/>
        <w:rPr>
          <w:sz w:val="17"/>
        </w:rPr>
      </w:pPr>
    </w:p>
    <w:p>
      <w:pPr>
        <w:pStyle w:val="ListParagraph"/>
        <w:numPr>
          <w:ilvl w:val="2"/>
          <w:numId w:val="8"/>
        </w:numPr>
        <w:tabs>
          <w:tab w:pos="1274" w:val="left" w:leader="none"/>
          <w:tab w:pos="1275" w:val="left" w:leader="none"/>
        </w:tabs>
        <w:spacing w:line="350" w:lineRule="auto" w:before="56" w:after="0"/>
        <w:ind w:left="1274" w:right="145" w:hanging="357"/>
        <w:jc w:val="left"/>
        <w:rPr>
          <w:sz w:val="24"/>
        </w:rPr>
      </w:pPr>
      <w:r>
        <w:rPr>
          <w:sz w:val="24"/>
        </w:rPr>
        <w:t>combinar esta cartera óptima de activos riesgosos con un activo sin riesgo.</w:t>
      </w:r>
    </w:p>
    <w:p>
      <w:pPr>
        <w:pStyle w:val="BodyText"/>
        <w:spacing w:before="136"/>
        <w:ind w:left="142" w:right="786"/>
      </w:pPr>
      <w:r>
        <w:rPr/>
        <w:t>Activo sin riesgo</w:t>
      </w:r>
    </w:p>
    <w:p>
      <w:pPr>
        <w:pStyle w:val="BodyText"/>
        <w:spacing w:line="360" w:lineRule="auto" w:before="197"/>
        <w:ind w:left="142" w:right="139" w:firstLine="707"/>
        <w:jc w:val="both"/>
      </w:pPr>
      <w:r>
        <w:rPr/>
        <w:t>En la teoría de la selección de cartera el activo sin riesgo se define como un valor que ofrece una tasa de rendimiento perfectamente predecible en términos de la unidad de cuenta seleccionada para el análisis y la duración del horizonte de decisión del inversionista.</w:t>
      </w:r>
    </w:p>
    <w:p>
      <w:pPr>
        <w:pStyle w:val="BodyText"/>
        <w:spacing w:before="123"/>
        <w:ind w:left="142" w:right="786"/>
      </w:pPr>
      <w:r>
        <w:rPr/>
        <w:t>Determinación de la composición de la cartera y su desviación estándar</w:t>
      </w:r>
    </w:p>
    <w:p>
      <w:pPr>
        <w:pStyle w:val="ListParagraph"/>
        <w:numPr>
          <w:ilvl w:val="0"/>
          <w:numId w:val="11"/>
        </w:numPr>
        <w:tabs>
          <w:tab w:pos="1578" w:val="left" w:leader="none"/>
        </w:tabs>
        <w:spacing w:line="360" w:lineRule="auto" w:before="199" w:after="0"/>
        <w:ind w:left="1274" w:right="139" w:firstLine="0"/>
        <w:jc w:val="both"/>
        <w:rPr>
          <w:sz w:val="24"/>
        </w:rPr>
      </w:pPr>
      <w:r>
        <w:rPr>
          <w:sz w:val="24"/>
        </w:rPr>
        <w:t>Relacionar el rendimiento esperado de la cartera con la proporción invertida en el activo</w:t>
      </w:r>
      <w:r>
        <w:rPr>
          <w:spacing w:val="-11"/>
          <w:sz w:val="24"/>
        </w:rPr>
        <w:t> </w:t>
      </w:r>
      <w:r>
        <w:rPr>
          <w:sz w:val="24"/>
        </w:rPr>
        <w:t>riesgoso.</w:t>
      </w:r>
    </w:p>
    <w:p>
      <w:pPr>
        <w:pStyle w:val="BodyText"/>
        <w:spacing w:line="360" w:lineRule="auto" w:before="122"/>
        <w:ind w:left="1274" w:right="139"/>
        <w:jc w:val="both"/>
      </w:pPr>
      <w:r>
        <w:rPr/>
        <w:t>Expresando con la letra </w:t>
      </w:r>
      <w:r>
        <w:rPr>
          <w:i/>
        </w:rPr>
        <w:t>w </w:t>
      </w:r>
      <w:r>
        <w:rPr/>
        <w:t>la proporción de la inversión que se asignará al activo riesgoso. La proporción restante, 1 – </w:t>
      </w:r>
      <w:r>
        <w:rPr>
          <w:i/>
        </w:rPr>
        <w:t>w</w:t>
      </w:r>
      <w:r>
        <w:rPr/>
        <w:t>, se invertirá en el activo sin  riesgo.  Entonces,  la  tasa  de  rendimiento  esperada  de cualquier</w:t>
      </w:r>
    </w:p>
    <w:p>
      <w:pPr>
        <w:pStyle w:val="BodyText"/>
        <w:spacing w:before="2"/>
        <w:ind w:left="1274" w:right="786"/>
      </w:pPr>
      <w:r>
        <w:rPr/>
        <w:t>cartera, </w:t>
      </w:r>
      <w:r>
        <w:rPr>
          <w:rFonts w:ascii="Times New Roman" w:hAnsi="Times New Roman"/>
          <w:i/>
        </w:rPr>
        <w:t>E</w:t>
      </w:r>
      <w:r>
        <w:rPr>
          <w:rFonts w:ascii="Times New Roman" w:hAnsi="Times New Roman"/>
        </w:rPr>
        <w:t>(</w:t>
      </w:r>
      <w:r>
        <w:rPr>
          <w:rFonts w:ascii="Times New Roman" w:hAnsi="Times New Roman"/>
          <w:i/>
        </w:rPr>
        <w:t>r</w:t>
      </w:r>
      <w:r>
        <w:rPr>
          <w:rFonts w:ascii="Times New Roman" w:hAnsi="Times New Roman"/>
        </w:rPr>
        <w:t>) </w:t>
      </w:r>
      <w:r>
        <w:rPr/>
        <w:t>, está dada por:</w:t>
      </w:r>
    </w:p>
    <w:p>
      <w:pPr>
        <w:pStyle w:val="BodyText"/>
        <w:rPr>
          <w:sz w:val="20"/>
        </w:rPr>
      </w:pPr>
    </w:p>
    <w:p>
      <w:pPr>
        <w:spacing w:before="201"/>
        <w:ind w:left="479" w:right="515" w:firstLine="0"/>
        <w:jc w:val="center"/>
        <w:rPr>
          <w:rFonts w:ascii="Times New Roman" w:hAnsi="Times New Roman"/>
          <w:i/>
          <w:sz w:val="14"/>
        </w:rPr>
      </w:pPr>
      <w:r>
        <w:rPr>
          <w:rFonts w:ascii="Times New Roman" w:hAnsi="Times New Roman"/>
          <w:i/>
          <w:w w:val="105"/>
          <w:sz w:val="24"/>
        </w:rPr>
        <w:t>E</w:t>
      </w:r>
      <w:r>
        <w:rPr>
          <w:rFonts w:ascii="Times New Roman" w:hAnsi="Times New Roman"/>
          <w:w w:val="105"/>
          <w:sz w:val="24"/>
        </w:rPr>
        <w:t>(</w:t>
      </w:r>
      <w:r>
        <w:rPr>
          <w:rFonts w:ascii="Times New Roman" w:hAnsi="Times New Roman"/>
          <w:i/>
          <w:w w:val="105"/>
          <w:sz w:val="24"/>
        </w:rPr>
        <w:t>r</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Times New Roman" w:hAnsi="Times New Roman"/>
          <w:i/>
          <w:w w:val="105"/>
          <w:sz w:val="24"/>
        </w:rPr>
        <w:t>wE</w:t>
      </w:r>
      <w:r>
        <w:rPr>
          <w:rFonts w:ascii="Times New Roman" w:hAnsi="Times New Roman"/>
          <w:w w:val="105"/>
          <w:sz w:val="24"/>
        </w:rPr>
        <w:t>(</w:t>
      </w:r>
      <w:r>
        <w:rPr>
          <w:rFonts w:ascii="Times New Roman" w:hAnsi="Times New Roman"/>
          <w:i/>
          <w:w w:val="105"/>
          <w:sz w:val="24"/>
        </w:rPr>
        <w:t>r</w:t>
      </w:r>
      <w:r>
        <w:rPr>
          <w:rFonts w:ascii="Times New Roman" w:hAnsi="Times New Roman"/>
          <w:i/>
          <w:w w:val="105"/>
          <w:position w:val="-5"/>
          <w:sz w:val="14"/>
        </w:rPr>
        <w:t>s </w:t>
      </w:r>
      <w:r>
        <w:rPr>
          <w:rFonts w:ascii="Times New Roman" w:hAnsi="Times New Roman"/>
          <w:w w:val="105"/>
          <w:sz w:val="24"/>
        </w:rPr>
        <w:t>) </w:t>
      </w:r>
      <w:r>
        <w:rPr>
          <w:rFonts w:ascii="Symbol" w:hAnsi="Symbol"/>
          <w:w w:val="105"/>
          <w:sz w:val="24"/>
        </w:rPr>
        <w:t></w:t>
      </w:r>
      <w:r>
        <w:rPr>
          <w:rFonts w:ascii="Times New Roman" w:hAnsi="Times New Roman"/>
          <w:w w:val="105"/>
          <w:sz w:val="24"/>
        </w:rPr>
        <w:t> (1</w:t>
      </w:r>
      <w:r>
        <w:rPr>
          <w:rFonts w:ascii="Symbol" w:hAnsi="Symbol"/>
          <w:w w:val="105"/>
          <w:sz w:val="24"/>
        </w:rPr>
        <w:t></w:t>
      </w:r>
      <w:r>
        <w:rPr>
          <w:rFonts w:ascii="Times New Roman" w:hAnsi="Times New Roman"/>
          <w:w w:val="105"/>
          <w:sz w:val="24"/>
        </w:rPr>
        <w:t> </w:t>
      </w:r>
      <w:r>
        <w:rPr>
          <w:rFonts w:ascii="Times New Roman" w:hAnsi="Times New Roman"/>
          <w:i/>
          <w:w w:val="105"/>
          <w:sz w:val="24"/>
        </w:rPr>
        <w:t>w</w:t>
      </w:r>
      <w:r>
        <w:rPr>
          <w:rFonts w:ascii="Times New Roman" w:hAnsi="Times New Roman"/>
          <w:w w:val="105"/>
          <w:sz w:val="24"/>
        </w:rPr>
        <w:t>)</w:t>
      </w:r>
      <w:r>
        <w:rPr>
          <w:rFonts w:ascii="Times New Roman" w:hAnsi="Times New Roman"/>
          <w:i/>
          <w:w w:val="105"/>
          <w:sz w:val="24"/>
        </w:rPr>
        <w:t>r</w:t>
      </w:r>
      <w:r>
        <w:rPr>
          <w:rFonts w:ascii="Times New Roman" w:hAnsi="Times New Roman"/>
          <w:i/>
          <w:w w:val="105"/>
          <w:position w:val="-5"/>
          <w:sz w:val="14"/>
        </w:rPr>
        <w:t>f</w:t>
      </w:r>
    </w:p>
    <w:p>
      <w:pPr>
        <w:pStyle w:val="BodyText"/>
        <w:rPr>
          <w:rFonts w:ascii="Times New Roman"/>
          <w:i/>
          <w:sz w:val="20"/>
        </w:rPr>
      </w:pPr>
    </w:p>
    <w:p>
      <w:pPr>
        <w:spacing w:before="182"/>
        <w:ind w:left="15" w:right="0" w:firstLine="0"/>
        <w:jc w:val="center"/>
        <w:rPr>
          <w:rFonts w:ascii="Times New Roman" w:hAnsi="Times New Roman"/>
          <w:sz w:val="24"/>
        </w:rPr>
      </w:pPr>
      <w:r>
        <w:rPr>
          <w:rFonts w:ascii="Times New Roman" w:hAnsi="Times New Roman"/>
          <w:i/>
          <w:w w:val="105"/>
          <w:sz w:val="24"/>
        </w:rPr>
        <w:t>E</w:t>
      </w:r>
      <w:r>
        <w:rPr>
          <w:rFonts w:ascii="Times New Roman" w:hAnsi="Times New Roman"/>
          <w:w w:val="105"/>
          <w:sz w:val="24"/>
        </w:rPr>
        <w:t>(</w:t>
      </w:r>
      <w:r>
        <w:rPr>
          <w:rFonts w:ascii="Times New Roman" w:hAnsi="Times New Roman"/>
          <w:i/>
          <w:w w:val="105"/>
          <w:sz w:val="24"/>
        </w:rPr>
        <w:t>r</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Times New Roman" w:hAnsi="Times New Roman"/>
          <w:i/>
          <w:w w:val="105"/>
          <w:sz w:val="24"/>
        </w:rPr>
        <w:t>r</w:t>
      </w:r>
      <w:r>
        <w:rPr>
          <w:rFonts w:ascii="Times New Roman" w:hAnsi="Times New Roman"/>
          <w:i/>
          <w:w w:val="105"/>
          <w:position w:val="-5"/>
          <w:sz w:val="14"/>
        </w:rPr>
        <w:t>f  </w:t>
      </w:r>
      <w:r>
        <w:rPr>
          <w:rFonts w:ascii="Symbol" w:hAnsi="Symbol"/>
          <w:w w:val="105"/>
          <w:sz w:val="24"/>
        </w:rPr>
        <w:t></w:t>
      </w:r>
      <w:r>
        <w:rPr>
          <w:rFonts w:ascii="Times New Roman" w:hAnsi="Times New Roman"/>
          <w:w w:val="105"/>
          <w:sz w:val="24"/>
        </w:rPr>
        <w:t> </w:t>
      </w:r>
      <w:r>
        <w:rPr>
          <w:rFonts w:ascii="Times New Roman" w:hAnsi="Times New Roman"/>
          <w:i/>
          <w:w w:val="105"/>
          <w:sz w:val="24"/>
        </w:rPr>
        <w:t>w</w:t>
      </w:r>
      <w:r>
        <w:rPr>
          <w:rFonts w:ascii="Times New Roman" w:hAnsi="Times New Roman"/>
          <w:w w:val="105"/>
          <w:sz w:val="24"/>
        </w:rPr>
        <w:t>[</w:t>
      </w:r>
      <w:r>
        <w:rPr>
          <w:rFonts w:ascii="Times New Roman" w:hAnsi="Times New Roman"/>
          <w:i/>
          <w:w w:val="105"/>
          <w:sz w:val="24"/>
        </w:rPr>
        <w:t>E</w:t>
      </w:r>
      <w:r>
        <w:rPr>
          <w:rFonts w:ascii="Times New Roman" w:hAnsi="Times New Roman"/>
          <w:w w:val="105"/>
          <w:sz w:val="24"/>
        </w:rPr>
        <w:t>(</w:t>
      </w:r>
      <w:r>
        <w:rPr>
          <w:rFonts w:ascii="Times New Roman" w:hAnsi="Times New Roman"/>
          <w:i/>
          <w:w w:val="105"/>
          <w:sz w:val="24"/>
        </w:rPr>
        <w:t>r</w:t>
      </w:r>
      <w:r>
        <w:rPr>
          <w:rFonts w:ascii="Times New Roman" w:hAnsi="Times New Roman"/>
          <w:i/>
          <w:w w:val="105"/>
          <w:position w:val="-5"/>
          <w:sz w:val="14"/>
        </w:rPr>
        <w:t>s </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Times New Roman" w:hAnsi="Times New Roman"/>
          <w:i/>
          <w:w w:val="105"/>
          <w:sz w:val="24"/>
        </w:rPr>
        <w:t>r</w:t>
      </w:r>
      <w:r>
        <w:rPr>
          <w:rFonts w:ascii="Times New Roman" w:hAnsi="Times New Roman"/>
          <w:i/>
          <w:w w:val="105"/>
          <w:position w:val="-5"/>
          <w:sz w:val="14"/>
        </w:rPr>
        <w:t>f </w:t>
      </w:r>
      <w:r>
        <w:rPr>
          <w:rFonts w:ascii="Times New Roman" w:hAnsi="Times New Roman"/>
          <w:w w:val="105"/>
          <w:sz w:val="24"/>
        </w:rPr>
        <w:t>]</w:t>
      </w:r>
    </w:p>
    <w:p>
      <w:pPr>
        <w:pStyle w:val="BodyText"/>
        <w:rPr>
          <w:rFonts w:ascii="Times New Roman"/>
          <w:sz w:val="20"/>
        </w:rPr>
      </w:pPr>
    </w:p>
    <w:p>
      <w:pPr>
        <w:spacing w:after="0"/>
        <w:rPr>
          <w:rFonts w:ascii="Times New Roman"/>
          <w:sz w:val="20"/>
        </w:rPr>
        <w:sectPr>
          <w:pgSz w:w="12240" w:h="15840"/>
          <w:pgMar w:header="731" w:footer="737" w:top="1180" w:bottom="920" w:left="1560" w:right="1560"/>
        </w:sectPr>
      </w:pPr>
    </w:p>
    <w:p>
      <w:pPr>
        <w:pStyle w:val="BodyText"/>
        <w:spacing w:before="199"/>
        <w:ind w:left="142" w:right="-19"/>
      </w:pPr>
      <w:r>
        <w:rPr/>
        <w:t>donde</w:t>
      </w:r>
    </w:p>
    <w:p>
      <w:pPr>
        <w:spacing w:before="201"/>
        <w:ind w:left="74" w:right="-17" w:firstLine="0"/>
        <w:jc w:val="left"/>
        <w:rPr>
          <w:rFonts w:ascii="Times New Roman"/>
          <w:sz w:val="24"/>
        </w:rPr>
      </w:pPr>
      <w:r>
        <w:rPr/>
        <w:br w:type="column"/>
      </w:r>
      <w:r>
        <w:rPr>
          <w:rFonts w:ascii="Times New Roman"/>
          <w:i/>
          <w:sz w:val="24"/>
        </w:rPr>
        <w:t>E</w:t>
      </w:r>
      <w:r>
        <w:rPr>
          <w:rFonts w:ascii="Times New Roman"/>
          <w:sz w:val="24"/>
        </w:rPr>
        <w:t>(</w:t>
      </w:r>
      <w:r>
        <w:rPr>
          <w:rFonts w:ascii="Times New Roman"/>
          <w:i/>
          <w:sz w:val="24"/>
        </w:rPr>
        <w:t>r</w:t>
      </w:r>
      <w:r>
        <w:rPr>
          <w:rFonts w:ascii="Times New Roman"/>
          <w:i/>
          <w:position w:val="-5"/>
          <w:sz w:val="14"/>
        </w:rPr>
        <w:t>s</w:t>
      </w:r>
      <w:r>
        <w:rPr>
          <w:rFonts w:ascii="Times New Roman"/>
          <w:i/>
          <w:spacing w:val="-7"/>
          <w:position w:val="-5"/>
          <w:sz w:val="14"/>
        </w:rPr>
        <w:t> </w:t>
      </w:r>
      <w:r>
        <w:rPr>
          <w:rFonts w:ascii="Times New Roman"/>
          <w:sz w:val="24"/>
        </w:rPr>
        <w:t>)</w:t>
      </w:r>
    </w:p>
    <w:p>
      <w:pPr>
        <w:pStyle w:val="BodyText"/>
        <w:spacing w:before="199"/>
        <w:ind w:left="79" w:right="-9"/>
        <w:rPr>
          <w:rFonts w:ascii="Times New Roman"/>
          <w:i/>
          <w:sz w:val="14"/>
        </w:rPr>
      </w:pPr>
      <w:r>
        <w:rPr/>
        <w:br w:type="column"/>
      </w:r>
      <w:r>
        <w:rPr/>
        <w:t>expresa la tasa de rendimiento esperada del activo riesgoso y </w:t>
      </w:r>
      <w:r>
        <w:rPr>
          <w:rFonts w:ascii="Times New Roman"/>
          <w:i/>
        </w:rPr>
        <w:t>r</w:t>
      </w:r>
      <w:r>
        <w:rPr>
          <w:rFonts w:ascii="Times New Roman"/>
          <w:i/>
          <w:position w:val="-5"/>
          <w:sz w:val="14"/>
        </w:rPr>
        <w:t>f</w:t>
      </w:r>
    </w:p>
    <w:p>
      <w:pPr>
        <w:pStyle w:val="BodyText"/>
        <w:spacing w:before="199"/>
        <w:ind w:left="102"/>
      </w:pPr>
      <w:r>
        <w:rPr/>
        <w:br w:type="column"/>
      </w:r>
      <w:r>
        <w:rPr/>
        <w:t>es la</w:t>
      </w:r>
    </w:p>
    <w:p>
      <w:pPr>
        <w:spacing w:after="0"/>
        <w:sectPr>
          <w:type w:val="continuous"/>
          <w:pgSz w:w="12240" w:h="15840"/>
          <w:pgMar w:top="720" w:bottom="280" w:left="1560" w:right="1560"/>
          <w:cols w:num="4" w:equalWidth="0">
            <w:col w:w="811" w:space="40"/>
            <w:col w:w="560" w:space="40"/>
            <w:col w:w="6880" w:space="40"/>
            <w:col w:w="749"/>
          </w:cols>
        </w:sectPr>
      </w:pPr>
    </w:p>
    <w:p>
      <w:pPr>
        <w:pStyle w:val="BodyText"/>
        <w:spacing w:before="1"/>
        <w:rPr>
          <w:sz w:val="10"/>
        </w:rPr>
      </w:pPr>
    </w:p>
    <w:p>
      <w:pPr>
        <w:pStyle w:val="BodyText"/>
        <w:spacing w:before="69"/>
        <w:ind w:left="142" w:right="786"/>
      </w:pPr>
      <w:r>
        <w:rPr/>
        <w:t>tasa sin riesgo.</w:t>
      </w:r>
    </w:p>
    <w:p>
      <w:pPr>
        <w:pStyle w:val="BodyText"/>
        <w:spacing w:before="137"/>
        <w:ind w:left="850"/>
      </w:pPr>
      <w:r>
        <w:rPr/>
        <w:t>La</w:t>
      </w:r>
      <w:r>
        <w:rPr>
          <w:spacing w:val="54"/>
        </w:rPr>
        <w:t> </w:t>
      </w:r>
      <w:r>
        <w:rPr/>
        <w:t>tasa</w:t>
      </w:r>
      <w:r>
        <w:rPr>
          <w:spacing w:val="53"/>
        </w:rPr>
        <w:t> </w:t>
      </w:r>
      <w:r>
        <w:rPr/>
        <w:t>de</w:t>
      </w:r>
      <w:r>
        <w:rPr>
          <w:spacing w:val="52"/>
        </w:rPr>
        <w:t> </w:t>
      </w:r>
      <w:r>
        <w:rPr/>
        <w:t>rendimiento</w:t>
      </w:r>
      <w:r>
        <w:rPr>
          <w:spacing w:val="55"/>
        </w:rPr>
        <w:t> </w:t>
      </w:r>
      <w:r>
        <w:rPr/>
        <w:t>base</w:t>
      </w:r>
      <w:r>
        <w:rPr>
          <w:spacing w:val="52"/>
        </w:rPr>
        <w:t> </w:t>
      </w:r>
      <w:r>
        <w:rPr/>
        <w:t>de</w:t>
      </w:r>
      <w:r>
        <w:rPr>
          <w:spacing w:val="52"/>
        </w:rPr>
        <w:t> </w:t>
      </w:r>
      <w:r>
        <w:rPr/>
        <w:t>cualquier</w:t>
      </w:r>
      <w:r>
        <w:rPr>
          <w:spacing w:val="51"/>
        </w:rPr>
        <w:t> </w:t>
      </w:r>
      <w:r>
        <w:rPr/>
        <w:t>cartera</w:t>
      </w:r>
      <w:r>
        <w:rPr>
          <w:spacing w:val="54"/>
        </w:rPr>
        <w:t> </w:t>
      </w:r>
      <w:r>
        <w:rPr/>
        <w:t>es</w:t>
      </w:r>
      <w:r>
        <w:rPr>
          <w:spacing w:val="51"/>
        </w:rPr>
        <w:t> </w:t>
      </w:r>
      <w:r>
        <w:rPr/>
        <w:t>la</w:t>
      </w:r>
      <w:r>
        <w:rPr>
          <w:spacing w:val="51"/>
        </w:rPr>
        <w:t> </w:t>
      </w:r>
      <w:r>
        <w:rPr/>
        <w:t>tasa</w:t>
      </w:r>
      <w:r>
        <w:rPr>
          <w:spacing w:val="52"/>
        </w:rPr>
        <w:t> </w:t>
      </w:r>
      <w:r>
        <w:rPr/>
        <w:t>sin</w:t>
      </w:r>
      <w:r>
        <w:rPr>
          <w:spacing w:val="51"/>
        </w:rPr>
        <w:t> </w:t>
      </w:r>
      <w:r>
        <w:rPr/>
        <w:t>riesgo.</w:t>
      </w:r>
    </w:p>
    <w:p>
      <w:pPr>
        <w:pStyle w:val="BodyText"/>
        <w:spacing w:before="139"/>
        <w:ind w:left="142" w:right="157"/>
      </w:pPr>
      <w:r>
        <w:rPr/>
        <w:t>Además, se espera que la cartera rinda una prima por riesgo que depende de:</w:t>
      </w:r>
    </w:p>
    <w:p>
      <w:pPr>
        <w:spacing w:after="0"/>
        <w:sectPr>
          <w:type w:val="continuous"/>
          <w:pgSz w:w="12240" w:h="15840"/>
          <w:pgMar w:top="720" w:bottom="280" w:left="1560" w:right="1560"/>
        </w:sectPr>
      </w:pPr>
    </w:p>
    <w:p>
      <w:pPr>
        <w:pStyle w:val="ListParagraph"/>
        <w:numPr>
          <w:ilvl w:val="2"/>
          <w:numId w:val="8"/>
        </w:numPr>
        <w:tabs>
          <w:tab w:pos="1274" w:val="left" w:leader="none"/>
          <w:tab w:pos="1275" w:val="left" w:leader="none"/>
        </w:tabs>
        <w:spacing w:line="240" w:lineRule="auto" w:before="142" w:after="0"/>
        <w:ind w:left="1274" w:right="0" w:hanging="357"/>
        <w:jc w:val="left"/>
        <w:rPr>
          <w:sz w:val="24"/>
        </w:rPr>
      </w:pPr>
      <w:r>
        <w:rPr>
          <w:sz w:val="24"/>
        </w:rPr>
        <w:t>la prima por riesgo del activo</w:t>
      </w:r>
      <w:r>
        <w:rPr>
          <w:spacing w:val="-15"/>
          <w:sz w:val="24"/>
        </w:rPr>
        <w:t> </w:t>
      </w:r>
      <w:r>
        <w:rPr>
          <w:sz w:val="24"/>
        </w:rPr>
        <w:t>riesgoso,</w:t>
      </w:r>
    </w:p>
    <w:p>
      <w:pPr>
        <w:spacing w:before="142"/>
        <w:ind w:left="73" w:right="0" w:firstLine="0"/>
        <w:jc w:val="left"/>
        <w:rPr>
          <w:sz w:val="24"/>
        </w:rPr>
      </w:pPr>
      <w:r>
        <w:rPr/>
        <w:br w:type="column"/>
      </w:r>
      <w:r>
        <w:rPr>
          <w:rFonts w:ascii="Times New Roman" w:hAnsi="Times New Roman"/>
          <w:i/>
          <w:sz w:val="24"/>
        </w:rPr>
        <w:t>E</w:t>
      </w:r>
      <w:r>
        <w:rPr>
          <w:rFonts w:ascii="Times New Roman" w:hAnsi="Times New Roman"/>
          <w:sz w:val="24"/>
        </w:rPr>
        <w:t>(</w:t>
      </w:r>
      <w:r>
        <w:rPr>
          <w:rFonts w:ascii="Times New Roman" w:hAnsi="Times New Roman"/>
          <w:i/>
          <w:sz w:val="24"/>
        </w:rPr>
        <w:t>r</w:t>
      </w:r>
      <w:r>
        <w:rPr>
          <w:rFonts w:ascii="Times New Roman" w:hAnsi="Times New Roman"/>
          <w:i/>
          <w:position w:val="-5"/>
          <w:sz w:val="14"/>
        </w:rPr>
        <w:t>s </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r</w:t>
      </w:r>
      <w:r>
        <w:rPr>
          <w:rFonts w:ascii="Times New Roman" w:hAnsi="Times New Roman"/>
          <w:i/>
          <w:position w:val="-5"/>
          <w:sz w:val="14"/>
        </w:rPr>
        <w:t>f  </w:t>
      </w:r>
      <w:r>
        <w:rPr>
          <w:sz w:val="24"/>
        </w:rPr>
        <w:t>, y</w:t>
      </w:r>
    </w:p>
    <w:p>
      <w:pPr>
        <w:spacing w:after="0"/>
        <w:jc w:val="left"/>
        <w:rPr>
          <w:sz w:val="24"/>
        </w:rPr>
        <w:sectPr>
          <w:type w:val="continuous"/>
          <w:pgSz w:w="12240" w:h="15840"/>
          <w:pgMar w:top="720" w:bottom="280" w:left="1560" w:right="1560"/>
          <w:cols w:num="2" w:equalWidth="0">
            <w:col w:w="5381" w:space="40"/>
            <w:col w:w="3699"/>
          </w:cols>
        </w:sectPr>
      </w:pPr>
    </w:p>
    <w:p>
      <w:pPr>
        <w:pStyle w:val="BodyText"/>
        <w:spacing w:before="2"/>
        <w:rPr>
          <w:sz w:val="11"/>
        </w:rPr>
      </w:pPr>
    </w:p>
    <w:p>
      <w:pPr>
        <w:pStyle w:val="ListParagraph"/>
        <w:numPr>
          <w:ilvl w:val="2"/>
          <w:numId w:val="8"/>
        </w:numPr>
        <w:tabs>
          <w:tab w:pos="1274" w:val="left" w:leader="none"/>
          <w:tab w:pos="1275" w:val="left" w:leader="none"/>
        </w:tabs>
        <w:spacing w:line="352" w:lineRule="auto" w:before="56" w:after="0"/>
        <w:ind w:left="850" w:right="135" w:firstLine="67"/>
        <w:jc w:val="left"/>
        <w:rPr>
          <w:sz w:val="24"/>
        </w:rPr>
      </w:pPr>
      <w:r>
        <w:rPr>
          <w:sz w:val="24"/>
        </w:rPr>
        <w:t>la</w:t>
      </w:r>
      <w:r>
        <w:rPr>
          <w:spacing w:val="-6"/>
          <w:sz w:val="24"/>
        </w:rPr>
        <w:t> </w:t>
      </w:r>
      <w:r>
        <w:rPr>
          <w:sz w:val="24"/>
        </w:rPr>
        <w:t>proporción</w:t>
      </w:r>
      <w:r>
        <w:rPr>
          <w:spacing w:val="-8"/>
          <w:sz w:val="24"/>
        </w:rPr>
        <w:t> </w:t>
      </w:r>
      <w:r>
        <w:rPr>
          <w:sz w:val="24"/>
        </w:rPr>
        <w:t>de</w:t>
      </w:r>
      <w:r>
        <w:rPr>
          <w:spacing w:val="-6"/>
          <w:sz w:val="24"/>
        </w:rPr>
        <w:t> </w:t>
      </w:r>
      <w:r>
        <w:rPr>
          <w:sz w:val="24"/>
        </w:rPr>
        <w:t>la</w:t>
      </w:r>
      <w:r>
        <w:rPr>
          <w:spacing w:val="-9"/>
          <w:sz w:val="24"/>
        </w:rPr>
        <w:t> </w:t>
      </w:r>
      <w:r>
        <w:rPr>
          <w:sz w:val="24"/>
        </w:rPr>
        <w:t>cartera</w:t>
      </w:r>
      <w:r>
        <w:rPr>
          <w:spacing w:val="-7"/>
          <w:sz w:val="24"/>
        </w:rPr>
        <w:t> </w:t>
      </w:r>
      <w:r>
        <w:rPr>
          <w:sz w:val="24"/>
        </w:rPr>
        <w:t>invertida</w:t>
      </w:r>
      <w:r>
        <w:rPr>
          <w:spacing w:val="-6"/>
          <w:sz w:val="24"/>
        </w:rPr>
        <w:t> </w:t>
      </w:r>
      <w:r>
        <w:rPr>
          <w:sz w:val="24"/>
        </w:rPr>
        <w:t>en</w:t>
      </w:r>
      <w:r>
        <w:rPr>
          <w:spacing w:val="-8"/>
          <w:sz w:val="24"/>
        </w:rPr>
        <w:t> </w:t>
      </w:r>
      <w:r>
        <w:rPr>
          <w:sz w:val="24"/>
        </w:rPr>
        <w:t>el</w:t>
      </w:r>
      <w:r>
        <w:rPr>
          <w:spacing w:val="-7"/>
          <w:sz w:val="24"/>
        </w:rPr>
        <w:t> </w:t>
      </w:r>
      <w:r>
        <w:rPr>
          <w:sz w:val="24"/>
        </w:rPr>
        <w:t>activo</w:t>
      </w:r>
      <w:r>
        <w:rPr>
          <w:spacing w:val="-6"/>
          <w:sz w:val="24"/>
        </w:rPr>
        <w:t> </w:t>
      </w:r>
      <w:r>
        <w:rPr>
          <w:sz w:val="24"/>
        </w:rPr>
        <w:t>riesgoso,</w:t>
      </w:r>
      <w:r>
        <w:rPr>
          <w:spacing w:val="-6"/>
          <w:sz w:val="24"/>
        </w:rPr>
        <w:t> </w:t>
      </w:r>
      <w:r>
        <w:rPr>
          <w:sz w:val="24"/>
        </w:rPr>
        <w:t>indicada</w:t>
      </w:r>
      <w:r>
        <w:rPr>
          <w:spacing w:val="-6"/>
          <w:sz w:val="24"/>
        </w:rPr>
        <w:t> </w:t>
      </w:r>
      <w:r>
        <w:rPr>
          <w:sz w:val="24"/>
        </w:rPr>
        <w:t>por</w:t>
      </w:r>
      <w:r>
        <w:rPr>
          <w:spacing w:val="-5"/>
          <w:sz w:val="24"/>
        </w:rPr>
        <w:t> </w:t>
      </w:r>
      <w:r>
        <w:rPr>
          <w:i/>
          <w:sz w:val="24"/>
        </w:rPr>
        <w:t>w</w:t>
      </w:r>
      <w:r>
        <w:rPr>
          <w:sz w:val="24"/>
        </w:rPr>
        <w:t>. Para</w:t>
      </w:r>
      <w:r>
        <w:rPr>
          <w:spacing w:val="29"/>
          <w:sz w:val="24"/>
        </w:rPr>
        <w:t> </w:t>
      </w:r>
      <w:r>
        <w:rPr>
          <w:sz w:val="24"/>
        </w:rPr>
        <w:t>encontrar</w:t>
      </w:r>
      <w:r>
        <w:rPr>
          <w:spacing w:val="28"/>
          <w:sz w:val="24"/>
        </w:rPr>
        <w:t> </w:t>
      </w:r>
      <w:r>
        <w:rPr>
          <w:sz w:val="24"/>
        </w:rPr>
        <w:t>la</w:t>
      </w:r>
      <w:r>
        <w:rPr>
          <w:spacing w:val="29"/>
          <w:sz w:val="24"/>
        </w:rPr>
        <w:t> </w:t>
      </w:r>
      <w:r>
        <w:rPr>
          <w:sz w:val="24"/>
        </w:rPr>
        <w:t>composición</w:t>
      </w:r>
      <w:r>
        <w:rPr>
          <w:spacing w:val="30"/>
          <w:sz w:val="24"/>
        </w:rPr>
        <w:t> </w:t>
      </w:r>
      <w:r>
        <w:rPr>
          <w:sz w:val="24"/>
        </w:rPr>
        <w:t>de</w:t>
      </w:r>
      <w:r>
        <w:rPr>
          <w:spacing w:val="30"/>
          <w:sz w:val="24"/>
        </w:rPr>
        <w:t> </w:t>
      </w:r>
      <w:r>
        <w:rPr>
          <w:sz w:val="24"/>
        </w:rPr>
        <w:t>cartera</w:t>
      </w:r>
      <w:r>
        <w:rPr>
          <w:spacing w:val="27"/>
          <w:sz w:val="24"/>
        </w:rPr>
        <w:t> </w:t>
      </w:r>
      <w:r>
        <w:rPr>
          <w:sz w:val="24"/>
        </w:rPr>
        <w:t>que</w:t>
      </w:r>
      <w:r>
        <w:rPr>
          <w:spacing w:val="30"/>
          <w:sz w:val="24"/>
        </w:rPr>
        <w:t> </w:t>
      </w:r>
      <w:r>
        <w:rPr>
          <w:sz w:val="24"/>
        </w:rPr>
        <w:t>corresponde</w:t>
      </w:r>
      <w:r>
        <w:rPr>
          <w:spacing w:val="30"/>
          <w:sz w:val="24"/>
        </w:rPr>
        <w:t> </w:t>
      </w:r>
      <w:r>
        <w:rPr>
          <w:sz w:val="24"/>
        </w:rPr>
        <w:t>a</w:t>
      </w:r>
      <w:r>
        <w:rPr>
          <w:spacing w:val="27"/>
          <w:sz w:val="24"/>
        </w:rPr>
        <w:t> </w:t>
      </w:r>
      <w:r>
        <w:rPr>
          <w:sz w:val="24"/>
        </w:rPr>
        <w:t>una</w:t>
      </w:r>
      <w:r>
        <w:rPr>
          <w:spacing w:val="30"/>
          <w:sz w:val="24"/>
        </w:rPr>
        <w:t> </w:t>
      </w:r>
      <w:r>
        <w:rPr>
          <w:sz w:val="24"/>
        </w:rPr>
        <w:t>tasa</w:t>
      </w:r>
      <w:r>
        <w:rPr>
          <w:spacing w:val="27"/>
          <w:sz w:val="24"/>
        </w:rPr>
        <w:t> </w:t>
      </w:r>
      <w:r>
        <w:rPr>
          <w:sz w:val="24"/>
        </w:rPr>
        <w:t>de</w:t>
      </w:r>
    </w:p>
    <w:p>
      <w:pPr>
        <w:pStyle w:val="BodyText"/>
        <w:spacing w:before="13"/>
        <w:ind w:left="142" w:right="786"/>
      </w:pPr>
      <w:r>
        <w:rPr/>
        <w:t>rendimiento esperada </w:t>
      </w:r>
      <w:r>
        <w:rPr>
          <w:rFonts w:ascii="Times New Roman"/>
          <w:i/>
        </w:rPr>
        <w:t>E</w:t>
      </w:r>
      <w:r>
        <w:rPr>
          <w:rFonts w:ascii="Times New Roman"/>
        </w:rPr>
        <w:t>(</w:t>
      </w:r>
      <w:r>
        <w:rPr>
          <w:rFonts w:ascii="Times New Roman"/>
          <w:i/>
        </w:rPr>
        <w:t>r</w:t>
      </w:r>
      <w:r>
        <w:rPr>
          <w:rFonts w:ascii="Times New Roman"/>
        </w:rPr>
        <w:t>) </w:t>
      </w:r>
      <w:r>
        <w:rPr>
          <w:sz w:val="20"/>
        </w:rPr>
        <w:t>, </w:t>
      </w:r>
      <w:r>
        <w:rPr/>
        <w:t>despejamos </w:t>
      </w:r>
      <w:r>
        <w:rPr>
          <w:i/>
        </w:rPr>
        <w:t>w</w:t>
      </w:r>
      <w:r>
        <w:rPr/>
        <w:t>:</w:t>
      </w:r>
    </w:p>
    <w:p>
      <w:pPr>
        <w:pStyle w:val="BodyText"/>
        <w:rPr>
          <w:sz w:val="20"/>
        </w:rPr>
      </w:pPr>
    </w:p>
    <w:p>
      <w:pPr>
        <w:spacing w:before="201"/>
        <w:ind w:left="15" w:right="0" w:firstLine="0"/>
        <w:jc w:val="center"/>
        <w:rPr>
          <w:rFonts w:ascii="Times New Roman" w:hAnsi="Times New Roman"/>
          <w:sz w:val="24"/>
        </w:rPr>
      </w:pPr>
      <w:r>
        <w:rPr>
          <w:rFonts w:ascii="Times New Roman" w:hAnsi="Times New Roman"/>
          <w:i/>
          <w:w w:val="105"/>
          <w:sz w:val="24"/>
        </w:rPr>
        <w:t>E</w:t>
      </w:r>
      <w:r>
        <w:rPr>
          <w:rFonts w:ascii="Times New Roman" w:hAnsi="Times New Roman"/>
          <w:w w:val="105"/>
          <w:sz w:val="24"/>
        </w:rPr>
        <w:t>(</w:t>
      </w:r>
      <w:r>
        <w:rPr>
          <w:rFonts w:ascii="Times New Roman" w:hAnsi="Times New Roman"/>
          <w:i/>
          <w:w w:val="105"/>
          <w:sz w:val="24"/>
        </w:rPr>
        <w:t>r</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Times New Roman" w:hAnsi="Times New Roman"/>
          <w:i/>
          <w:w w:val="105"/>
          <w:sz w:val="24"/>
        </w:rPr>
        <w:t>r</w:t>
      </w:r>
      <w:r>
        <w:rPr>
          <w:rFonts w:ascii="Times New Roman" w:hAnsi="Times New Roman"/>
          <w:i/>
          <w:w w:val="105"/>
          <w:position w:val="-5"/>
          <w:sz w:val="14"/>
        </w:rPr>
        <w:t>f  </w:t>
      </w:r>
      <w:r>
        <w:rPr>
          <w:rFonts w:ascii="Symbol" w:hAnsi="Symbol"/>
          <w:w w:val="105"/>
          <w:sz w:val="24"/>
        </w:rPr>
        <w:t></w:t>
      </w:r>
      <w:r>
        <w:rPr>
          <w:rFonts w:ascii="Times New Roman" w:hAnsi="Times New Roman"/>
          <w:w w:val="105"/>
          <w:sz w:val="24"/>
        </w:rPr>
        <w:t> </w:t>
      </w:r>
      <w:r>
        <w:rPr>
          <w:rFonts w:ascii="Times New Roman" w:hAnsi="Times New Roman"/>
          <w:i/>
          <w:w w:val="105"/>
          <w:sz w:val="24"/>
        </w:rPr>
        <w:t>w</w:t>
      </w:r>
      <w:r>
        <w:rPr>
          <w:rFonts w:ascii="Times New Roman" w:hAnsi="Times New Roman"/>
          <w:w w:val="105"/>
          <w:sz w:val="24"/>
        </w:rPr>
        <w:t>[</w:t>
      </w:r>
      <w:r>
        <w:rPr>
          <w:rFonts w:ascii="Times New Roman" w:hAnsi="Times New Roman"/>
          <w:i/>
          <w:w w:val="105"/>
          <w:sz w:val="24"/>
        </w:rPr>
        <w:t>E</w:t>
      </w:r>
      <w:r>
        <w:rPr>
          <w:rFonts w:ascii="Times New Roman" w:hAnsi="Times New Roman"/>
          <w:w w:val="105"/>
          <w:sz w:val="24"/>
        </w:rPr>
        <w:t>(</w:t>
      </w:r>
      <w:r>
        <w:rPr>
          <w:rFonts w:ascii="Times New Roman" w:hAnsi="Times New Roman"/>
          <w:i/>
          <w:w w:val="105"/>
          <w:sz w:val="24"/>
        </w:rPr>
        <w:t>r</w:t>
      </w:r>
      <w:r>
        <w:rPr>
          <w:rFonts w:ascii="Times New Roman" w:hAnsi="Times New Roman"/>
          <w:i/>
          <w:w w:val="105"/>
          <w:position w:val="-5"/>
          <w:sz w:val="14"/>
        </w:rPr>
        <w:t>s </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Times New Roman" w:hAnsi="Times New Roman"/>
          <w:i/>
          <w:w w:val="105"/>
          <w:sz w:val="24"/>
        </w:rPr>
        <w:t>r</w:t>
      </w:r>
      <w:r>
        <w:rPr>
          <w:rFonts w:ascii="Times New Roman" w:hAnsi="Times New Roman"/>
          <w:i/>
          <w:w w:val="105"/>
          <w:position w:val="-5"/>
          <w:sz w:val="14"/>
        </w:rPr>
        <w:t>f </w:t>
      </w:r>
      <w:r>
        <w:rPr>
          <w:rFonts w:ascii="Times New Roman" w:hAnsi="Times New Roman"/>
          <w:w w:val="105"/>
          <w:sz w:val="24"/>
        </w:rPr>
        <w:t>]</w:t>
      </w:r>
    </w:p>
    <w:p>
      <w:pPr>
        <w:spacing w:after="0"/>
        <w:jc w:val="center"/>
        <w:rPr>
          <w:rFonts w:ascii="Times New Roman" w:hAnsi="Times New Roman"/>
          <w:sz w:val="24"/>
        </w:rPr>
        <w:sectPr>
          <w:type w:val="continuous"/>
          <w:pgSz w:w="12240" w:h="15840"/>
          <w:pgMar w:top="720" w:bottom="280" w:left="1560" w:right="1560"/>
        </w:sectPr>
      </w:pPr>
    </w:p>
    <w:p>
      <w:pPr>
        <w:pStyle w:val="BodyText"/>
        <w:rPr>
          <w:rFonts w:ascii="Times New Roman"/>
          <w:sz w:val="20"/>
        </w:rPr>
      </w:pPr>
    </w:p>
    <w:p>
      <w:pPr>
        <w:pStyle w:val="BodyText"/>
        <w:spacing w:before="3"/>
        <w:rPr>
          <w:rFonts w:ascii="Times New Roman"/>
          <w:sz w:val="16"/>
        </w:rPr>
      </w:pPr>
    </w:p>
    <w:p>
      <w:pPr>
        <w:spacing w:line="412" w:lineRule="exact" w:before="57"/>
        <w:ind w:left="479" w:right="565" w:firstLine="0"/>
        <w:jc w:val="center"/>
        <w:rPr>
          <w:rFonts w:ascii="Times New Roman" w:hAnsi="Times New Roman"/>
          <w:i/>
          <w:sz w:val="14"/>
        </w:rPr>
      </w:pPr>
      <w:r>
        <w:rPr/>
        <w:pict>
          <v:line style="position:absolute;mso-position-horizontal-relative:page;mso-position-vertical-relative:paragraph;z-index:-97216" from="293.114319pt,20.824575pt" to="339.741775pt,20.824575pt" stroked="true" strokeweight=".137263pt" strokecolor="#000000">
            <w10:wrap type="none"/>
          </v:line>
        </w:pict>
      </w:r>
      <w:r>
        <w:rPr>
          <w:rFonts w:ascii="Times New Roman" w:hAnsi="Times New Roman"/>
          <w:i/>
          <w:position w:val="-16"/>
          <w:sz w:val="24"/>
        </w:rPr>
        <w:t>w </w:t>
      </w:r>
      <w:r>
        <w:rPr>
          <w:rFonts w:ascii="Symbol" w:hAnsi="Symbol"/>
          <w:position w:val="-16"/>
          <w:sz w:val="24"/>
        </w:rPr>
        <w:t></w:t>
      </w:r>
      <w:r>
        <w:rPr>
          <w:rFonts w:ascii="Times New Roman" w:hAnsi="Times New Roman"/>
          <w:position w:val="-16"/>
          <w:sz w:val="24"/>
        </w:rPr>
        <w:t> </w:t>
      </w:r>
      <w:r>
        <w:rPr>
          <w:rFonts w:ascii="Times New Roman" w:hAnsi="Times New Roman"/>
          <w:i/>
          <w:sz w:val="24"/>
        </w:rPr>
        <w:t>E</w:t>
      </w:r>
      <w:r>
        <w:rPr>
          <w:rFonts w:ascii="Times New Roman" w:hAnsi="Times New Roman"/>
          <w:sz w:val="24"/>
        </w:rPr>
        <w:t>(</w:t>
      </w:r>
      <w:r>
        <w:rPr>
          <w:rFonts w:ascii="Times New Roman" w:hAnsi="Times New Roman"/>
          <w:i/>
          <w:sz w:val="24"/>
        </w:rPr>
        <w:t>r</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r</w:t>
      </w:r>
      <w:r>
        <w:rPr>
          <w:rFonts w:ascii="Times New Roman" w:hAnsi="Times New Roman"/>
          <w:i/>
          <w:position w:val="-5"/>
          <w:sz w:val="14"/>
        </w:rPr>
        <w:t>f</w:t>
      </w:r>
    </w:p>
    <w:p>
      <w:pPr>
        <w:spacing w:line="279" w:lineRule="exact" w:before="0"/>
        <w:ind w:left="363" w:right="0" w:firstLine="0"/>
        <w:jc w:val="center"/>
        <w:rPr>
          <w:rFonts w:ascii="Times New Roman" w:hAnsi="Times New Roman"/>
          <w:i/>
          <w:sz w:val="14"/>
        </w:rPr>
      </w:pPr>
      <w:r>
        <w:rPr>
          <w:rFonts w:ascii="Times New Roman" w:hAnsi="Times New Roman"/>
          <w:i/>
          <w:sz w:val="24"/>
        </w:rPr>
        <w:t>E</w:t>
      </w:r>
      <w:r>
        <w:rPr>
          <w:rFonts w:ascii="Times New Roman" w:hAnsi="Times New Roman"/>
          <w:sz w:val="24"/>
        </w:rPr>
        <w:t>(</w:t>
      </w:r>
      <w:r>
        <w:rPr>
          <w:rFonts w:ascii="Times New Roman" w:hAnsi="Times New Roman"/>
          <w:i/>
          <w:sz w:val="24"/>
        </w:rPr>
        <w:t>r</w:t>
      </w:r>
      <w:r>
        <w:rPr>
          <w:rFonts w:ascii="Times New Roman" w:hAnsi="Times New Roman"/>
          <w:i/>
          <w:position w:val="-5"/>
          <w:sz w:val="14"/>
        </w:rPr>
        <w:t>s </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r</w:t>
      </w:r>
      <w:r>
        <w:rPr>
          <w:rFonts w:ascii="Times New Roman" w:hAnsi="Times New Roman"/>
          <w:i/>
          <w:position w:val="-5"/>
          <w:sz w:val="14"/>
        </w:rPr>
        <w:t>f</w:t>
      </w:r>
    </w:p>
    <w:p>
      <w:pPr>
        <w:pStyle w:val="BodyText"/>
        <w:spacing w:before="2"/>
        <w:rPr>
          <w:rFonts w:ascii="Times New Roman"/>
          <w:i/>
          <w:sz w:val="28"/>
        </w:rPr>
      </w:pPr>
    </w:p>
    <w:p>
      <w:pPr>
        <w:spacing w:after="0"/>
        <w:rPr>
          <w:rFonts w:ascii="Times New Roman"/>
          <w:sz w:val="28"/>
        </w:rPr>
        <w:sectPr>
          <w:pgSz w:w="12240" w:h="15840"/>
          <w:pgMar w:header="731" w:footer="737" w:top="1180" w:bottom="920" w:left="1560" w:right="1560"/>
        </w:sectPr>
      </w:pPr>
    </w:p>
    <w:p>
      <w:pPr>
        <w:spacing w:before="74"/>
        <w:ind w:left="142" w:right="0" w:firstLine="0"/>
        <w:jc w:val="left"/>
        <w:rPr>
          <w:sz w:val="20"/>
        </w:rPr>
      </w:pPr>
      <w:r>
        <w:rPr>
          <w:w w:val="95"/>
          <w:sz w:val="20"/>
        </w:rPr>
        <w:t>Donde:</w:t>
      </w:r>
    </w:p>
    <w:p>
      <w:pPr>
        <w:pStyle w:val="BodyText"/>
        <w:rPr>
          <w:sz w:val="23"/>
        </w:rPr>
      </w:pPr>
      <w:r>
        <w:rPr/>
        <w:br w:type="column"/>
      </w:r>
      <w:r>
        <w:rPr>
          <w:sz w:val="23"/>
        </w:rPr>
      </w:r>
    </w:p>
    <w:p>
      <w:pPr>
        <w:spacing w:line="275" w:lineRule="exact" w:before="0"/>
        <w:ind w:left="65" w:right="0" w:firstLine="0"/>
        <w:jc w:val="left"/>
        <w:rPr>
          <w:sz w:val="20"/>
        </w:rPr>
      </w:pPr>
      <w:r>
        <w:rPr>
          <w:rFonts w:ascii="Times New Roman" w:hAnsi="Times New Roman"/>
          <w:i/>
          <w:sz w:val="23"/>
        </w:rPr>
        <w:t>w </w:t>
      </w:r>
      <w:r>
        <w:rPr>
          <w:rFonts w:ascii="Symbol" w:hAnsi="Symbol"/>
          <w:sz w:val="23"/>
        </w:rPr>
        <w:t></w:t>
      </w:r>
      <w:r>
        <w:rPr>
          <w:rFonts w:ascii="Times New Roman" w:hAnsi="Times New Roman"/>
          <w:sz w:val="23"/>
        </w:rPr>
        <w:t> </w:t>
      </w:r>
      <w:r>
        <w:rPr>
          <w:sz w:val="20"/>
        </w:rPr>
        <w:t>Proporción de la inversión que se asignará al activo con riesgo.</w:t>
      </w:r>
    </w:p>
    <w:p>
      <w:pPr>
        <w:spacing w:line="280" w:lineRule="exact" w:before="0"/>
        <w:ind w:left="38" w:right="0" w:firstLine="0"/>
        <w:jc w:val="left"/>
        <w:rPr>
          <w:sz w:val="20"/>
        </w:rPr>
      </w:pPr>
      <w:r>
        <w:rPr>
          <w:rFonts w:ascii="Times New Roman" w:hAnsi="Times New Roman"/>
          <w:sz w:val="24"/>
        </w:rPr>
        <w:t>1 </w:t>
      </w:r>
      <w:r>
        <w:rPr>
          <w:rFonts w:ascii="Symbol" w:hAnsi="Symbol"/>
          <w:sz w:val="24"/>
        </w:rPr>
        <w:t></w:t>
      </w:r>
      <w:r>
        <w:rPr>
          <w:rFonts w:ascii="Times New Roman" w:hAnsi="Times New Roman"/>
          <w:sz w:val="24"/>
        </w:rPr>
        <w:t> </w:t>
      </w:r>
      <w:r>
        <w:rPr>
          <w:rFonts w:ascii="Times New Roman" w:hAnsi="Times New Roman"/>
          <w:i/>
          <w:sz w:val="24"/>
        </w:rPr>
        <w:t>w </w:t>
      </w:r>
      <w:r>
        <w:rPr>
          <w:rFonts w:ascii="Symbol" w:hAnsi="Symbol"/>
          <w:sz w:val="24"/>
        </w:rPr>
        <w:t></w:t>
      </w:r>
      <w:r>
        <w:rPr>
          <w:position w:val="1"/>
          <w:sz w:val="20"/>
        </w:rPr>
        <w:t>Proporción de la inversión que se asignará al activo sin riesgo.</w:t>
      </w:r>
    </w:p>
    <w:p>
      <w:pPr>
        <w:spacing w:line="273" w:lineRule="auto" w:before="0"/>
        <w:ind w:left="62" w:right="2787" w:firstLine="5"/>
        <w:jc w:val="left"/>
        <w:rPr>
          <w:sz w:val="20"/>
        </w:rPr>
      </w:pPr>
      <w:r>
        <w:rPr>
          <w:rFonts w:ascii="Times New Roman" w:hAnsi="Times New Roman"/>
          <w:i/>
          <w:sz w:val="24"/>
        </w:rPr>
        <w:t>E</w:t>
      </w:r>
      <w:r>
        <w:rPr>
          <w:rFonts w:ascii="Times New Roman" w:hAnsi="Times New Roman"/>
          <w:sz w:val="24"/>
        </w:rPr>
        <w:t>(</w:t>
      </w:r>
      <w:r>
        <w:rPr>
          <w:rFonts w:ascii="Times New Roman" w:hAnsi="Times New Roman"/>
          <w:i/>
          <w:sz w:val="24"/>
        </w:rPr>
        <w:t>r</w:t>
      </w:r>
      <w:r>
        <w:rPr>
          <w:rFonts w:ascii="Times New Roman" w:hAnsi="Times New Roman"/>
          <w:sz w:val="24"/>
        </w:rPr>
        <w:t>) </w:t>
      </w:r>
      <w:r>
        <w:rPr>
          <w:rFonts w:ascii="Symbol" w:hAnsi="Symbol"/>
          <w:sz w:val="24"/>
        </w:rPr>
        <w:t></w:t>
      </w:r>
      <w:r>
        <w:rPr>
          <w:rFonts w:ascii="Times New Roman" w:hAnsi="Times New Roman"/>
          <w:sz w:val="24"/>
        </w:rPr>
        <w:t> </w:t>
      </w:r>
      <w:r>
        <w:rPr>
          <w:sz w:val="20"/>
        </w:rPr>
        <w:t>Tasa de rendimiento esperada de cualquier cartera </w:t>
      </w:r>
      <w:r>
        <w:rPr>
          <w:rFonts w:ascii="Times New Roman" w:hAnsi="Times New Roman"/>
          <w:i/>
          <w:sz w:val="24"/>
        </w:rPr>
        <w:t>E</w:t>
      </w:r>
      <w:r>
        <w:rPr>
          <w:rFonts w:ascii="Times New Roman" w:hAnsi="Times New Roman"/>
          <w:sz w:val="24"/>
        </w:rPr>
        <w:t>(</w:t>
      </w:r>
      <w:r>
        <w:rPr>
          <w:rFonts w:ascii="Times New Roman" w:hAnsi="Times New Roman"/>
          <w:i/>
          <w:sz w:val="24"/>
        </w:rPr>
        <w:t>r</w:t>
      </w:r>
      <w:r>
        <w:rPr>
          <w:rFonts w:ascii="Times New Roman" w:hAnsi="Times New Roman"/>
          <w:i/>
          <w:position w:val="-5"/>
          <w:sz w:val="14"/>
        </w:rPr>
        <w:t>s </w:t>
      </w:r>
      <w:r>
        <w:rPr>
          <w:rFonts w:ascii="Times New Roman" w:hAnsi="Times New Roman"/>
          <w:sz w:val="24"/>
        </w:rPr>
        <w:t>) </w:t>
      </w:r>
      <w:r>
        <w:rPr>
          <w:rFonts w:ascii="Symbol" w:hAnsi="Symbol"/>
          <w:sz w:val="24"/>
        </w:rPr>
        <w:t></w:t>
      </w:r>
      <w:r>
        <w:rPr>
          <w:rFonts w:ascii="Times New Roman" w:hAnsi="Times New Roman"/>
          <w:sz w:val="24"/>
        </w:rPr>
        <w:t> </w:t>
      </w:r>
      <w:r>
        <w:rPr>
          <w:sz w:val="20"/>
        </w:rPr>
        <w:t>Tasa de rendimiento esperada del activo con riesgo </w:t>
      </w:r>
      <w:r>
        <w:rPr>
          <w:rFonts w:ascii="Times New Roman" w:hAnsi="Times New Roman"/>
          <w:i/>
          <w:sz w:val="24"/>
        </w:rPr>
        <w:t>r</w:t>
      </w:r>
      <w:r>
        <w:rPr>
          <w:rFonts w:ascii="Times New Roman" w:hAnsi="Times New Roman"/>
          <w:i/>
          <w:position w:val="-5"/>
          <w:sz w:val="14"/>
        </w:rPr>
        <w:t>j  </w:t>
      </w:r>
      <w:r>
        <w:rPr>
          <w:rFonts w:ascii="Symbol" w:hAnsi="Symbol"/>
          <w:sz w:val="24"/>
        </w:rPr>
        <w:t></w:t>
      </w:r>
      <w:r>
        <w:rPr>
          <w:rFonts w:ascii="Times New Roman" w:hAnsi="Times New Roman"/>
          <w:sz w:val="24"/>
        </w:rPr>
        <w:t> </w:t>
      </w:r>
      <w:r>
        <w:rPr>
          <w:sz w:val="20"/>
        </w:rPr>
        <w:t>Tasa de interés sin riesgo</w:t>
      </w:r>
    </w:p>
    <w:p>
      <w:pPr>
        <w:spacing w:after="0" w:line="273" w:lineRule="auto"/>
        <w:jc w:val="left"/>
        <w:rPr>
          <w:sz w:val="20"/>
        </w:rPr>
        <w:sectPr>
          <w:type w:val="continuous"/>
          <w:pgSz w:w="12240" w:h="15840"/>
          <w:pgMar w:top="720" w:bottom="280" w:left="1560" w:right="1560"/>
          <w:cols w:num="2" w:equalWidth="0">
            <w:col w:w="786" w:space="40"/>
            <w:col w:w="8294"/>
          </w:cols>
        </w:sectPr>
      </w:pPr>
    </w:p>
    <w:p>
      <w:pPr>
        <w:pStyle w:val="BodyText"/>
        <w:spacing w:before="9"/>
        <w:rPr>
          <w:sz w:val="14"/>
        </w:rPr>
      </w:pPr>
    </w:p>
    <w:p>
      <w:pPr>
        <w:pStyle w:val="ListParagraph"/>
        <w:numPr>
          <w:ilvl w:val="0"/>
          <w:numId w:val="11"/>
        </w:numPr>
        <w:tabs>
          <w:tab w:pos="1597" w:val="left" w:leader="none"/>
        </w:tabs>
        <w:spacing w:line="360" w:lineRule="auto" w:before="70" w:after="0"/>
        <w:ind w:left="1274" w:right="142" w:firstLine="0"/>
        <w:jc w:val="left"/>
        <w:rPr>
          <w:sz w:val="24"/>
        </w:rPr>
      </w:pPr>
      <w:r>
        <w:rPr>
          <w:sz w:val="24"/>
        </w:rPr>
        <w:t>Relacionar la desviación estándar de la cartera con la proporción invertida en el activo</w:t>
      </w:r>
      <w:r>
        <w:rPr>
          <w:spacing w:val="-11"/>
          <w:sz w:val="24"/>
        </w:rPr>
        <w:t> </w:t>
      </w:r>
      <w:r>
        <w:rPr>
          <w:sz w:val="24"/>
        </w:rPr>
        <w:t>riesgoso.</w:t>
      </w:r>
    </w:p>
    <w:p>
      <w:pPr>
        <w:pStyle w:val="BodyText"/>
        <w:spacing w:line="360" w:lineRule="auto" w:before="2"/>
        <w:ind w:left="142" w:right="143" w:firstLine="707"/>
        <w:jc w:val="both"/>
      </w:pPr>
      <w:r>
        <w:rPr/>
        <w:t>Cuando se combina un activo riesgoso con uno sin riesgo en una cartera, la desviación estándar de esa cartera es la del activo riesgos o multiplicada por la ponderación de ese activo en la cartera. Al expresar la desviación estándar del </w:t>
      </w:r>
      <w:r>
        <w:rPr>
          <w:position w:val="1"/>
        </w:rPr>
        <w:t>activo riesgoso con </w:t>
      </w:r>
      <w:r>
        <w:rPr>
          <w:i/>
          <w:position w:val="1"/>
        </w:rPr>
        <w:t>σ</w:t>
      </w:r>
      <w:r>
        <w:rPr>
          <w:sz w:val="16"/>
        </w:rPr>
        <w:t>s</w:t>
      </w:r>
      <w:r>
        <w:rPr>
          <w:position w:val="1"/>
        </w:rPr>
        <w:t>, tenemos una expresión para la desviación estándar de la </w:t>
      </w:r>
      <w:r>
        <w:rPr/>
        <w:t>cartera:</w:t>
      </w:r>
    </w:p>
    <w:p>
      <w:pPr>
        <w:pStyle w:val="BodyText"/>
        <w:spacing w:before="7"/>
        <w:rPr>
          <w:sz w:val="15"/>
        </w:rPr>
      </w:pPr>
    </w:p>
    <w:p>
      <w:pPr>
        <w:spacing w:before="51"/>
        <w:ind w:left="479" w:right="495" w:firstLine="0"/>
        <w:jc w:val="center"/>
        <w:rPr>
          <w:rFonts w:ascii="Times New Roman" w:hAnsi="Times New Roman"/>
          <w:i/>
          <w:sz w:val="24"/>
        </w:rPr>
      </w:pPr>
      <w:r>
        <w:rPr>
          <w:rFonts w:ascii="Symbol" w:hAnsi="Symbol"/>
          <w:i/>
          <w:sz w:val="26"/>
        </w:rPr>
        <w:t></w:t>
      </w:r>
      <w:r>
        <w:rPr>
          <w:rFonts w:ascii="Times New Roman" w:hAnsi="Times New Roman"/>
          <w:i/>
          <w:sz w:val="26"/>
        </w:rPr>
        <w:t> </w:t>
      </w:r>
      <w:r>
        <w:rPr>
          <w:rFonts w:ascii="Symbol" w:hAnsi="Symbol"/>
          <w:sz w:val="24"/>
        </w:rPr>
        <w:t></w:t>
      </w:r>
      <w:r>
        <w:rPr>
          <w:rFonts w:ascii="Times New Roman" w:hAnsi="Times New Roman"/>
          <w:sz w:val="24"/>
        </w:rPr>
        <w:t> </w:t>
      </w:r>
      <w:r>
        <w:rPr>
          <w:rFonts w:ascii="Symbol" w:hAnsi="Symbol"/>
          <w:i/>
          <w:sz w:val="26"/>
        </w:rPr>
        <w:t></w:t>
      </w:r>
      <w:r>
        <w:rPr>
          <w:rFonts w:ascii="Times New Roman" w:hAnsi="Times New Roman"/>
          <w:position w:val="-5"/>
          <w:sz w:val="14"/>
        </w:rPr>
        <w:t>2</w:t>
      </w:r>
      <w:r>
        <w:rPr>
          <w:rFonts w:ascii="Times New Roman" w:hAnsi="Times New Roman"/>
          <w:i/>
          <w:sz w:val="24"/>
        </w:rPr>
        <w:t>w </w:t>
      </w:r>
      <w:r>
        <w:rPr>
          <w:rFonts w:ascii="Symbol" w:hAnsi="Symbol"/>
          <w:sz w:val="24"/>
        </w:rPr>
        <w:t></w:t>
      </w:r>
      <w:r>
        <w:rPr>
          <w:rFonts w:ascii="Times New Roman" w:hAnsi="Times New Roman"/>
          <w:sz w:val="24"/>
        </w:rPr>
        <w:t> 0.2</w:t>
      </w:r>
      <w:r>
        <w:rPr>
          <w:rFonts w:ascii="Times New Roman" w:hAnsi="Times New Roman"/>
          <w:i/>
          <w:sz w:val="24"/>
        </w:rPr>
        <w:t>w</w:t>
      </w:r>
    </w:p>
    <w:p>
      <w:pPr>
        <w:pStyle w:val="BodyText"/>
        <w:spacing w:before="11"/>
        <w:rPr>
          <w:rFonts w:ascii="Times New Roman"/>
          <w:i/>
          <w:sz w:val="25"/>
        </w:rPr>
      </w:pPr>
    </w:p>
    <w:p>
      <w:pPr>
        <w:pStyle w:val="BodyText"/>
        <w:spacing w:line="360" w:lineRule="auto" w:before="70"/>
        <w:ind w:left="142" w:right="142" w:firstLine="707"/>
        <w:jc w:val="both"/>
      </w:pPr>
      <w:r>
        <w:rPr/>
        <w:t>Por</w:t>
      </w:r>
      <w:r>
        <w:rPr>
          <w:spacing w:val="-16"/>
        </w:rPr>
        <w:t> </w:t>
      </w:r>
      <w:r>
        <w:rPr/>
        <w:t>último,</w:t>
      </w:r>
      <w:r>
        <w:rPr>
          <w:spacing w:val="-17"/>
        </w:rPr>
        <w:t> </w:t>
      </w:r>
      <w:r>
        <w:rPr/>
        <w:t>podemos</w:t>
      </w:r>
      <w:r>
        <w:rPr>
          <w:spacing w:val="-17"/>
        </w:rPr>
        <w:t> </w:t>
      </w:r>
      <w:r>
        <w:rPr/>
        <w:t>eliminar</w:t>
      </w:r>
      <w:r>
        <w:rPr>
          <w:spacing w:val="-15"/>
        </w:rPr>
        <w:t> </w:t>
      </w:r>
      <w:r>
        <w:rPr>
          <w:i/>
        </w:rPr>
        <w:t>w</w:t>
      </w:r>
      <w:r>
        <w:rPr>
          <w:i/>
          <w:spacing w:val="-15"/>
        </w:rPr>
        <w:t> </w:t>
      </w:r>
      <w:r>
        <w:rPr/>
        <w:t>para</w:t>
      </w:r>
      <w:r>
        <w:rPr>
          <w:spacing w:val="-14"/>
        </w:rPr>
        <w:t> </w:t>
      </w:r>
      <w:r>
        <w:rPr/>
        <w:t>derivar</w:t>
      </w:r>
      <w:r>
        <w:rPr>
          <w:spacing w:val="-16"/>
        </w:rPr>
        <w:t> </w:t>
      </w:r>
      <w:r>
        <w:rPr/>
        <w:t>de</w:t>
      </w:r>
      <w:r>
        <w:rPr>
          <w:spacing w:val="-17"/>
        </w:rPr>
        <w:t> </w:t>
      </w:r>
      <w:r>
        <w:rPr/>
        <w:t>manera</w:t>
      </w:r>
      <w:r>
        <w:rPr>
          <w:spacing w:val="-17"/>
        </w:rPr>
        <w:t> </w:t>
      </w:r>
      <w:r>
        <w:rPr/>
        <w:t>directa</w:t>
      </w:r>
      <w:r>
        <w:rPr>
          <w:spacing w:val="-16"/>
        </w:rPr>
        <w:t> </w:t>
      </w:r>
      <w:r>
        <w:rPr/>
        <w:t>la</w:t>
      </w:r>
      <w:r>
        <w:rPr>
          <w:spacing w:val="-18"/>
        </w:rPr>
        <w:t> </w:t>
      </w:r>
      <w:r>
        <w:rPr/>
        <w:t>fórmula</w:t>
      </w:r>
      <w:r>
        <w:rPr>
          <w:spacing w:val="-17"/>
        </w:rPr>
        <w:t> </w:t>
      </w:r>
      <w:r>
        <w:rPr/>
        <w:t>que relaciona la tasa de rendimiento esperada con la desviación estándar a lo largo de la línea de</w:t>
      </w:r>
      <w:r>
        <w:rPr>
          <w:spacing w:val="-10"/>
        </w:rPr>
        <w:t> </w:t>
      </w:r>
      <w:r>
        <w:rPr/>
        <w:t>compensación.</w:t>
      </w:r>
    </w:p>
    <w:p>
      <w:pPr>
        <w:pStyle w:val="ListParagraph"/>
        <w:numPr>
          <w:ilvl w:val="0"/>
          <w:numId w:val="11"/>
        </w:numPr>
        <w:tabs>
          <w:tab w:pos="1635" w:val="left" w:leader="none"/>
        </w:tabs>
        <w:spacing w:line="360" w:lineRule="auto" w:before="2" w:after="0"/>
        <w:ind w:left="1274" w:right="142" w:firstLine="0"/>
        <w:jc w:val="left"/>
        <w:rPr>
          <w:sz w:val="24"/>
        </w:rPr>
      </w:pPr>
      <w:r>
        <w:rPr>
          <w:sz w:val="24"/>
        </w:rPr>
        <w:t>Relacionar la tasa de rendimiento esperada con su desviación estándar.</w:t>
      </w:r>
    </w:p>
    <w:p>
      <w:pPr>
        <w:pStyle w:val="BodyText"/>
        <w:rPr>
          <w:sz w:val="15"/>
        </w:rPr>
      </w:pPr>
    </w:p>
    <w:p>
      <w:pPr>
        <w:spacing w:after="0"/>
        <w:rPr>
          <w:sz w:val="15"/>
        </w:rPr>
        <w:sectPr>
          <w:type w:val="continuous"/>
          <w:pgSz w:w="12240" w:h="15840"/>
          <w:pgMar w:top="720" w:bottom="280" w:left="1560" w:right="1560"/>
        </w:sectPr>
      </w:pPr>
    </w:p>
    <w:p>
      <w:pPr>
        <w:spacing w:before="234"/>
        <w:ind w:left="0" w:right="0" w:firstLine="0"/>
        <w:jc w:val="right"/>
        <w:rPr>
          <w:rFonts w:ascii="Times New Roman" w:hAnsi="Times New Roman"/>
          <w:i/>
          <w:sz w:val="14"/>
        </w:rPr>
      </w:pPr>
      <w:r>
        <w:rPr>
          <w:rFonts w:ascii="Times New Roman" w:hAnsi="Times New Roman"/>
          <w:i/>
          <w:sz w:val="24"/>
        </w:rPr>
        <w:t>E</w:t>
      </w:r>
      <w:r>
        <w:rPr>
          <w:rFonts w:ascii="Times New Roman" w:hAnsi="Times New Roman"/>
          <w:sz w:val="24"/>
        </w:rPr>
        <w:t>(</w:t>
      </w:r>
      <w:r>
        <w:rPr>
          <w:rFonts w:ascii="Times New Roman" w:hAnsi="Times New Roman"/>
          <w:i/>
          <w:sz w:val="24"/>
        </w:rPr>
        <w:t>r</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r</w:t>
      </w:r>
      <w:r>
        <w:rPr>
          <w:rFonts w:ascii="Times New Roman" w:hAnsi="Times New Roman"/>
          <w:i/>
          <w:position w:val="-5"/>
          <w:sz w:val="14"/>
        </w:rPr>
        <w:t>f</w:t>
      </w:r>
    </w:p>
    <w:p>
      <w:pPr>
        <w:spacing w:line="227" w:lineRule="exact" w:before="59"/>
        <w:ind w:left="247" w:right="3727" w:firstLine="0"/>
        <w:jc w:val="center"/>
        <w:rPr>
          <w:rFonts w:ascii="Times New Roman" w:hAnsi="Times New Roman"/>
          <w:i/>
          <w:sz w:val="24"/>
        </w:rPr>
      </w:pPr>
      <w:r>
        <w:rPr/>
        <w:br w:type="column"/>
      </w:r>
      <w:r>
        <w:rPr>
          <w:rFonts w:ascii="Times New Roman" w:hAnsi="Times New Roman"/>
          <w:i/>
          <w:sz w:val="24"/>
        </w:rPr>
        <w:t>E</w:t>
      </w:r>
      <w:r>
        <w:rPr>
          <w:rFonts w:ascii="Times New Roman" w:hAnsi="Times New Roman"/>
          <w:sz w:val="24"/>
        </w:rPr>
        <w:t>(</w:t>
      </w:r>
      <w:r>
        <w:rPr>
          <w:rFonts w:ascii="Times New Roman" w:hAnsi="Times New Roman"/>
          <w:i/>
          <w:sz w:val="24"/>
        </w:rPr>
        <w:t>r </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r</w:t>
      </w:r>
    </w:p>
    <w:p>
      <w:pPr>
        <w:pStyle w:val="ListParagraph"/>
        <w:numPr>
          <w:ilvl w:val="0"/>
          <w:numId w:val="12"/>
        </w:numPr>
        <w:tabs>
          <w:tab w:pos="588" w:val="left" w:leader="none"/>
          <w:tab w:pos="589" w:val="left" w:leader="none"/>
          <w:tab w:pos="1070" w:val="left" w:leader="none"/>
        </w:tabs>
        <w:spacing w:line="182" w:lineRule="exact" w:before="0" w:after="0"/>
        <w:ind w:left="588" w:right="0" w:hanging="529"/>
        <w:jc w:val="left"/>
        <w:rPr>
          <w:rFonts w:ascii="Symbol" w:hAnsi="Symbol"/>
          <w:i/>
          <w:sz w:val="25"/>
        </w:rPr>
      </w:pPr>
      <w:r>
        <w:rPr/>
        <w:pict>
          <v:line style="position:absolute;mso-position-horizontal-relative:page;mso-position-vertical-relative:paragraph;z-index:-97192" from="305.440338pt,6.659312pt" to="351.975928pt,6.659312pt" stroked="true" strokeweight=".139127pt" strokecolor="#000000">
            <w10:wrap type="none"/>
          </v:line>
        </w:pict>
      </w:r>
      <w:r>
        <w:rPr>
          <w:rFonts w:ascii="Times New Roman" w:hAnsi="Times New Roman"/>
          <w:i/>
          <w:w w:val="105"/>
          <w:sz w:val="14"/>
        </w:rPr>
        <w:t>s</w:t>
        <w:tab/>
        <w:t>f </w:t>
      </w:r>
      <w:r>
        <w:rPr>
          <w:rFonts w:ascii="Times New Roman" w:hAnsi="Times New Roman"/>
          <w:i/>
          <w:spacing w:val="18"/>
          <w:w w:val="105"/>
          <w:sz w:val="14"/>
        </w:rPr>
        <w:t> </w:t>
      </w:r>
      <w:r>
        <w:rPr>
          <w:rFonts w:ascii="Symbol" w:hAnsi="Symbol"/>
          <w:i/>
          <w:w w:val="105"/>
          <w:position w:val="-10"/>
          <w:sz w:val="25"/>
        </w:rPr>
        <w:t></w:t>
      </w:r>
    </w:p>
    <w:p>
      <w:pPr>
        <w:spacing w:line="284" w:lineRule="exact" w:before="0"/>
        <w:ind w:left="247" w:right="3682" w:firstLine="0"/>
        <w:jc w:val="center"/>
        <w:rPr>
          <w:rFonts w:ascii="Times New Roman" w:hAnsi="Times New Roman"/>
          <w:i/>
          <w:sz w:val="14"/>
        </w:rPr>
      </w:pPr>
      <w:r>
        <w:rPr>
          <w:rFonts w:ascii="Symbol" w:hAnsi="Symbol"/>
          <w:i/>
          <w:w w:val="105"/>
          <w:sz w:val="25"/>
        </w:rPr>
        <w:t></w:t>
      </w:r>
      <w:r>
        <w:rPr>
          <w:rFonts w:ascii="Times New Roman" w:hAnsi="Times New Roman"/>
          <w:i/>
          <w:w w:val="105"/>
          <w:sz w:val="25"/>
        </w:rPr>
        <w:t> </w:t>
      </w:r>
      <w:r>
        <w:rPr>
          <w:rFonts w:ascii="Times New Roman" w:hAnsi="Times New Roman"/>
          <w:i/>
          <w:w w:val="105"/>
          <w:position w:val="-5"/>
          <w:sz w:val="14"/>
        </w:rPr>
        <w:t>s</w:t>
      </w:r>
    </w:p>
    <w:p>
      <w:pPr>
        <w:spacing w:after="0" w:line="284" w:lineRule="exact"/>
        <w:jc w:val="center"/>
        <w:rPr>
          <w:rFonts w:ascii="Times New Roman" w:hAnsi="Times New Roman"/>
          <w:sz w:val="14"/>
        </w:rPr>
        <w:sectPr>
          <w:type w:val="continuous"/>
          <w:pgSz w:w="12240" w:h="15840"/>
          <w:pgMar w:top="720" w:bottom="280" w:left="1560" w:right="1560"/>
          <w:cols w:num="2" w:equalWidth="0">
            <w:col w:w="4260" w:space="40"/>
            <w:col w:w="4820"/>
          </w:cols>
        </w:sectPr>
      </w:pPr>
    </w:p>
    <w:p>
      <w:pPr>
        <w:pStyle w:val="BodyText"/>
        <w:spacing w:before="5"/>
        <w:rPr>
          <w:rFonts w:ascii="Times New Roman"/>
          <w:i/>
          <w:sz w:val="27"/>
        </w:rPr>
      </w:pPr>
    </w:p>
    <w:p>
      <w:pPr>
        <w:pStyle w:val="BodyText"/>
        <w:spacing w:line="360" w:lineRule="auto" w:before="70"/>
        <w:ind w:left="142" w:right="157" w:firstLine="707"/>
      </w:pPr>
      <w:r>
        <w:rPr/>
        <w:t>En otras palabras, la tasa de rendimiento esperada de la cartera expresada como  una  función  de  su  desviación  estándar  es  una  línea  recta,  con      una</w:t>
      </w:r>
    </w:p>
    <w:p>
      <w:pPr>
        <w:spacing w:after="0" w:line="360" w:lineRule="auto"/>
        <w:sectPr>
          <w:type w:val="continuous"/>
          <w:pgSz w:w="12240" w:h="15840"/>
          <w:pgMar w:top="720" w:bottom="280" w:left="1560" w:right="1560"/>
        </w:sectPr>
      </w:pPr>
    </w:p>
    <w:p>
      <w:pPr>
        <w:pStyle w:val="BodyText"/>
        <w:spacing w:before="24"/>
        <w:ind w:left="142" w:right="-18"/>
      </w:pPr>
      <w:r>
        <w:rPr/>
        <w:t>intersección</w:t>
      </w:r>
    </w:p>
    <w:p>
      <w:pPr>
        <w:spacing w:before="24"/>
        <w:ind w:left="62" w:right="0" w:firstLine="0"/>
        <w:jc w:val="left"/>
        <w:rPr>
          <w:sz w:val="24"/>
        </w:rPr>
      </w:pPr>
      <w:r>
        <w:rPr/>
        <w:br w:type="column"/>
      </w:r>
      <w:r>
        <w:rPr>
          <w:rFonts w:ascii="Times New Roman"/>
          <w:i/>
          <w:sz w:val="24"/>
        </w:rPr>
        <w:t>r</w:t>
      </w:r>
      <w:r>
        <w:rPr>
          <w:rFonts w:ascii="Times New Roman"/>
          <w:i/>
          <w:position w:val="-5"/>
          <w:sz w:val="14"/>
        </w:rPr>
        <w:t>f  </w:t>
      </w:r>
      <w:r>
        <w:rPr>
          <w:sz w:val="20"/>
        </w:rPr>
        <w:t>y </w:t>
      </w:r>
      <w:r>
        <w:rPr>
          <w:sz w:val="24"/>
        </w:rPr>
        <w:t>una pendiente:</w:t>
      </w:r>
    </w:p>
    <w:p>
      <w:pPr>
        <w:spacing w:after="0"/>
        <w:jc w:val="left"/>
        <w:rPr>
          <w:sz w:val="24"/>
        </w:rPr>
        <w:sectPr>
          <w:type w:val="continuous"/>
          <w:pgSz w:w="12240" w:h="15840"/>
          <w:pgMar w:top="720" w:bottom="280" w:left="1560" w:right="1560"/>
          <w:cols w:num="2" w:equalWidth="0">
            <w:col w:w="1425" w:space="40"/>
            <w:col w:w="7655"/>
          </w:cols>
        </w:sectPr>
      </w:pPr>
    </w:p>
    <w:p>
      <w:pPr>
        <w:pStyle w:val="BodyText"/>
        <w:rPr>
          <w:sz w:val="20"/>
        </w:rPr>
      </w:pPr>
    </w:p>
    <w:p>
      <w:pPr>
        <w:spacing w:before="184"/>
        <w:ind w:left="479" w:right="529" w:firstLine="0"/>
        <w:jc w:val="center"/>
        <w:rPr>
          <w:rFonts w:ascii="Times New Roman" w:hAnsi="Times New Roman"/>
          <w:i/>
          <w:sz w:val="14"/>
        </w:rPr>
      </w:pPr>
      <w:r>
        <w:rPr/>
        <w:pict>
          <v:line style="position:absolute;mso-position-horizontal-relative:page;mso-position-vertical-relative:paragraph;z-index:2704;mso-wrap-distance-left:0;mso-wrap-distance-right:0" from="282.7789pt,27.231012pt" to="329.366029pt,27.231012pt" stroked="true" strokeweight=".139127pt" strokecolor="#000000">
            <w10:wrap type="topAndBottom"/>
          </v:line>
        </w:pict>
      </w:r>
      <w:r>
        <w:rPr>
          <w:rFonts w:ascii="Times New Roman" w:hAnsi="Times New Roman"/>
          <w:i/>
          <w:sz w:val="24"/>
        </w:rPr>
        <w:t>E</w:t>
      </w:r>
      <w:r>
        <w:rPr>
          <w:rFonts w:ascii="Times New Roman" w:hAnsi="Times New Roman"/>
          <w:sz w:val="24"/>
        </w:rPr>
        <w:t>(</w:t>
      </w:r>
      <w:r>
        <w:rPr>
          <w:rFonts w:ascii="Times New Roman" w:hAnsi="Times New Roman"/>
          <w:i/>
          <w:sz w:val="24"/>
        </w:rPr>
        <w:t>r</w:t>
      </w:r>
      <w:r>
        <w:rPr>
          <w:rFonts w:ascii="Times New Roman" w:hAnsi="Times New Roman"/>
          <w:i/>
          <w:position w:val="-5"/>
          <w:sz w:val="14"/>
        </w:rPr>
        <w:t>s </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r</w:t>
      </w:r>
      <w:r>
        <w:rPr>
          <w:rFonts w:ascii="Times New Roman" w:hAnsi="Times New Roman"/>
          <w:i/>
          <w:position w:val="-5"/>
          <w:sz w:val="14"/>
        </w:rPr>
        <w:t>f</w:t>
      </w:r>
    </w:p>
    <w:p>
      <w:pPr>
        <w:spacing w:before="0"/>
        <w:ind w:left="479" w:right="521" w:firstLine="0"/>
        <w:jc w:val="center"/>
        <w:rPr>
          <w:rFonts w:ascii="Times New Roman" w:hAnsi="Times New Roman"/>
          <w:i/>
          <w:sz w:val="14"/>
        </w:rPr>
      </w:pPr>
      <w:r>
        <w:rPr>
          <w:rFonts w:ascii="Symbol" w:hAnsi="Symbol"/>
          <w:i/>
          <w:w w:val="105"/>
          <w:sz w:val="25"/>
        </w:rPr>
        <w:t></w:t>
      </w:r>
      <w:r>
        <w:rPr>
          <w:rFonts w:ascii="Times New Roman" w:hAnsi="Times New Roman"/>
          <w:i/>
          <w:w w:val="105"/>
          <w:sz w:val="25"/>
        </w:rPr>
        <w:t> </w:t>
      </w:r>
      <w:r>
        <w:rPr>
          <w:rFonts w:ascii="Times New Roman" w:hAnsi="Times New Roman"/>
          <w:i/>
          <w:w w:val="105"/>
          <w:position w:val="-5"/>
          <w:sz w:val="14"/>
        </w:rPr>
        <w:t>s</w:t>
      </w:r>
    </w:p>
    <w:p>
      <w:pPr>
        <w:spacing w:after="0"/>
        <w:jc w:val="center"/>
        <w:rPr>
          <w:rFonts w:ascii="Times New Roman" w:hAnsi="Times New Roman"/>
          <w:sz w:val="14"/>
        </w:rPr>
        <w:sectPr>
          <w:type w:val="continuous"/>
          <w:pgSz w:w="12240" w:h="15840"/>
          <w:pgMar w:top="720" w:bottom="280" w:left="1560" w:right="1560"/>
        </w:sectPr>
      </w:pPr>
    </w:p>
    <w:p>
      <w:pPr>
        <w:pStyle w:val="BodyText"/>
        <w:rPr>
          <w:rFonts w:ascii="Times New Roman"/>
          <w:i/>
          <w:sz w:val="20"/>
        </w:rPr>
      </w:pPr>
    </w:p>
    <w:p>
      <w:pPr>
        <w:pStyle w:val="BodyText"/>
        <w:rPr>
          <w:rFonts w:ascii="Times New Roman"/>
          <w:i/>
          <w:sz w:val="16"/>
        </w:rPr>
      </w:pPr>
    </w:p>
    <w:p>
      <w:pPr>
        <w:pStyle w:val="BodyText"/>
        <w:spacing w:line="360" w:lineRule="auto" w:before="70"/>
        <w:ind w:left="142" w:right="146" w:firstLine="707"/>
        <w:jc w:val="both"/>
      </w:pPr>
      <w:r>
        <w:rPr/>
        <w:t>La pendiente de la línea de compensación mide el rendimiento esperado extra que el mercado ofrece por cada unidad de riesgo extra que el inversionista está dispuesto a soportar.</w:t>
      </w:r>
    </w:p>
    <w:p>
      <w:pPr>
        <w:pStyle w:val="Heading3"/>
        <w:spacing w:before="122"/>
      </w:pPr>
      <w:r>
        <w:rPr/>
        <w:t>Cómo alcanzar un rendimiento esperado</w:t>
      </w:r>
    </w:p>
    <w:p>
      <w:pPr>
        <w:pStyle w:val="BodyText"/>
        <w:spacing w:before="122"/>
        <w:ind w:left="142" w:right="786"/>
      </w:pPr>
      <w:r>
        <w:rPr/>
        <w:t>Eficiencia de la cartera</w:t>
      </w:r>
    </w:p>
    <w:p>
      <w:pPr>
        <w:pStyle w:val="BodyText"/>
        <w:spacing w:line="360" w:lineRule="auto" w:before="197"/>
        <w:ind w:left="142" w:right="143" w:firstLine="707"/>
        <w:jc w:val="both"/>
      </w:pPr>
      <w:r>
        <w:rPr/>
        <w:t>Una cartera eficiente se define como la cartera que ofrece al inversionista la tasa de rendimiento esperada más alta posible a un nivel especificado de riesgo.</w:t>
      </w:r>
    </w:p>
    <w:p>
      <w:pPr>
        <w:pStyle w:val="BodyText"/>
        <w:spacing w:line="360" w:lineRule="auto" w:before="2"/>
        <w:ind w:left="142" w:right="141" w:firstLine="707"/>
        <w:jc w:val="both"/>
      </w:pPr>
      <w:r>
        <w:rPr/>
        <w:t>Combinar dos activos riesgosos en una cartera es igual que combinar un activo riesgoso con un activo sin riesgo. Cuando uno de los dos activos no tiene riesgo,</w:t>
      </w:r>
      <w:r>
        <w:rPr>
          <w:spacing w:val="-10"/>
        </w:rPr>
        <w:t> </w:t>
      </w:r>
      <w:r>
        <w:rPr/>
        <w:t>la</w:t>
      </w:r>
      <w:r>
        <w:rPr>
          <w:spacing w:val="-10"/>
        </w:rPr>
        <w:t> </w:t>
      </w:r>
      <w:r>
        <w:rPr/>
        <w:t>desviación</w:t>
      </w:r>
      <w:r>
        <w:rPr>
          <w:spacing w:val="-9"/>
        </w:rPr>
        <w:t> </w:t>
      </w:r>
      <w:r>
        <w:rPr/>
        <w:t>estándar</w:t>
      </w:r>
      <w:r>
        <w:rPr>
          <w:spacing w:val="-11"/>
        </w:rPr>
        <w:t> </w:t>
      </w:r>
      <w:r>
        <w:rPr/>
        <w:t>de</w:t>
      </w:r>
      <w:r>
        <w:rPr>
          <w:spacing w:val="-12"/>
        </w:rPr>
        <w:t> </w:t>
      </w:r>
      <w:r>
        <w:rPr/>
        <w:t>su</w:t>
      </w:r>
      <w:r>
        <w:rPr>
          <w:spacing w:val="-9"/>
        </w:rPr>
        <w:t> </w:t>
      </w:r>
      <w:r>
        <w:rPr/>
        <w:t>tasa</w:t>
      </w:r>
      <w:r>
        <w:rPr>
          <w:spacing w:val="-12"/>
        </w:rPr>
        <w:t> </w:t>
      </w:r>
      <w:r>
        <w:rPr/>
        <w:t>de</w:t>
      </w:r>
      <w:r>
        <w:rPr>
          <w:spacing w:val="-9"/>
        </w:rPr>
        <w:t> </w:t>
      </w:r>
      <w:r>
        <w:rPr/>
        <w:t>rendimiento</w:t>
      </w:r>
      <w:r>
        <w:rPr>
          <w:spacing w:val="-9"/>
        </w:rPr>
        <w:t> </w:t>
      </w:r>
      <w:r>
        <w:rPr/>
        <w:t>y</w:t>
      </w:r>
      <w:r>
        <w:rPr>
          <w:spacing w:val="-12"/>
        </w:rPr>
        <w:t> </w:t>
      </w:r>
      <w:r>
        <w:rPr/>
        <w:t>su</w:t>
      </w:r>
      <w:r>
        <w:rPr>
          <w:spacing w:val="-9"/>
        </w:rPr>
        <w:t> </w:t>
      </w:r>
      <w:r>
        <w:rPr/>
        <w:t>correlación</w:t>
      </w:r>
      <w:r>
        <w:rPr>
          <w:spacing w:val="-9"/>
        </w:rPr>
        <w:t> </w:t>
      </w:r>
      <w:r>
        <w:rPr/>
        <w:t>con</w:t>
      </w:r>
      <w:r>
        <w:rPr>
          <w:spacing w:val="-9"/>
        </w:rPr>
        <w:t> </w:t>
      </w:r>
      <w:r>
        <w:rPr/>
        <w:t>el</w:t>
      </w:r>
      <w:r>
        <w:rPr>
          <w:spacing w:val="-12"/>
        </w:rPr>
        <w:t> </w:t>
      </w:r>
      <w:r>
        <w:rPr/>
        <w:t>otro activo</w:t>
      </w:r>
      <w:r>
        <w:rPr>
          <w:spacing w:val="-17"/>
        </w:rPr>
        <w:t> </w:t>
      </w:r>
      <w:r>
        <w:rPr/>
        <w:t>son</w:t>
      </w:r>
      <w:r>
        <w:rPr>
          <w:spacing w:val="-17"/>
        </w:rPr>
        <w:t> </w:t>
      </w:r>
      <w:r>
        <w:rPr/>
        <w:t>cero.</w:t>
      </w:r>
      <w:r>
        <w:rPr>
          <w:spacing w:val="-19"/>
        </w:rPr>
        <w:t> </w:t>
      </w:r>
      <w:r>
        <w:rPr/>
        <w:t>Cuando</w:t>
      </w:r>
      <w:r>
        <w:rPr>
          <w:spacing w:val="-17"/>
        </w:rPr>
        <w:t> </w:t>
      </w:r>
      <w:r>
        <w:rPr/>
        <w:t>ambos</w:t>
      </w:r>
      <w:r>
        <w:rPr>
          <w:spacing w:val="-20"/>
        </w:rPr>
        <w:t> </w:t>
      </w:r>
      <w:r>
        <w:rPr/>
        <w:t>activos</w:t>
      </w:r>
      <w:r>
        <w:rPr>
          <w:spacing w:val="-17"/>
        </w:rPr>
        <w:t> </w:t>
      </w:r>
      <w:r>
        <w:rPr/>
        <w:t>tienen</w:t>
      </w:r>
      <w:r>
        <w:rPr>
          <w:spacing w:val="-19"/>
        </w:rPr>
        <w:t> </w:t>
      </w:r>
      <w:r>
        <w:rPr/>
        <w:t>riesgo,</w:t>
      </w:r>
      <w:r>
        <w:rPr>
          <w:spacing w:val="-17"/>
        </w:rPr>
        <w:t> </w:t>
      </w:r>
      <w:r>
        <w:rPr/>
        <w:t>el</w:t>
      </w:r>
      <w:r>
        <w:rPr>
          <w:spacing w:val="-20"/>
        </w:rPr>
        <w:t> </w:t>
      </w:r>
      <w:r>
        <w:rPr/>
        <w:t>análisis</w:t>
      </w:r>
      <w:r>
        <w:rPr>
          <w:spacing w:val="-18"/>
        </w:rPr>
        <w:t> </w:t>
      </w:r>
      <w:r>
        <w:rPr/>
        <w:t>de</w:t>
      </w:r>
      <w:r>
        <w:rPr>
          <w:spacing w:val="-19"/>
        </w:rPr>
        <w:t> </w:t>
      </w:r>
      <w:r>
        <w:rPr/>
        <w:t>la</w:t>
      </w:r>
      <w:r>
        <w:rPr>
          <w:spacing w:val="-19"/>
        </w:rPr>
        <w:t> </w:t>
      </w:r>
      <w:r>
        <w:rPr/>
        <w:t>compensación entre el riesgo y el rendimiento es algo más</w:t>
      </w:r>
      <w:r>
        <w:rPr>
          <w:spacing w:val="-15"/>
        </w:rPr>
        <w:t> </w:t>
      </w:r>
      <w:r>
        <w:rPr/>
        <w:t>complicado.</w:t>
      </w:r>
    </w:p>
    <w:p>
      <w:pPr>
        <w:pStyle w:val="BodyText"/>
        <w:spacing w:line="360" w:lineRule="auto" w:before="2"/>
        <w:ind w:left="142" w:right="135" w:firstLine="707"/>
        <w:jc w:val="both"/>
      </w:pPr>
      <w:r>
        <w:rPr/>
        <w:t>La fórmula para la tasa de rendimiento media de cualquier cartera que consiste en una proporción w en el Activo Riesgoso 1 y una proporción 1−</w:t>
      </w:r>
      <w:r>
        <w:rPr>
          <w:i/>
        </w:rPr>
        <w:t>w </w:t>
      </w:r>
      <w:r>
        <w:rPr/>
        <w:t>en el Activo Riesgoso 2 es:</w:t>
      </w:r>
    </w:p>
    <w:p>
      <w:pPr>
        <w:pStyle w:val="BodyText"/>
        <w:spacing w:before="7"/>
        <w:rPr>
          <w:sz w:val="16"/>
        </w:rPr>
      </w:pPr>
    </w:p>
    <w:p>
      <w:pPr>
        <w:spacing w:before="61"/>
        <w:ind w:left="0" w:right="0" w:firstLine="0"/>
        <w:jc w:val="center"/>
        <w:rPr>
          <w:rFonts w:ascii="Times New Roman" w:hAnsi="Times New Roman"/>
          <w:sz w:val="24"/>
        </w:rPr>
      </w:pPr>
      <w:r>
        <w:rPr>
          <w:rFonts w:ascii="Times New Roman" w:hAnsi="Times New Roman"/>
          <w:i/>
          <w:w w:val="105"/>
          <w:sz w:val="24"/>
        </w:rPr>
        <w:t>E</w:t>
      </w:r>
      <w:r>
        <w:rPr>
          <w:rFonts w:ascii="Times New Roman" w:hAnsi="Times New Roman"/>
          <w:w w:val="105"/>
          <w:sz w:val="24"/>
        </w:rPr>
        <w:t>(</w:t>
      </w:r>
      <w:r>
        <w:rPr>
          <w:rFonts w:ascii="Times New Roman" w:hAnsi="Times New Roman"/>
          <w:i/>
          <w:w w:val="105"/>
          <w:sz w:val="24"/>
        </w:rPr>
        <w:t>r</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Times New Roman" w:hAnsi="Times New Roman"/>
          <w:i/>
          <w:w w:val="105"/>
          <w:sz w:val="24"/>
        </w:rPr>
        <w:t>wE</w:t>
      </w:r>
      <w:r>
        <w:rPr>
          <w:rFonts w:ascii="Times New Roman" w:hAnsi="Times New Roman"/>
          <w:w w:val="105"/>
          <w:sz w:val="24"/>
        </w:rPr>
        <w:t>(</w:t>
      </w:r>
      <w:r>
        <w:rPr>
          <w:rFonts w:ascii="Times New Roman" w:hAnsi="Times New Roman"/>
          <w:i/>
          <w:w w:val="105"/>
          <w:sz w:val="24"/>
        </w:rPr>
        <w:t>r</w:t>
      </w:r>
      <w:r>
        <w:rPr>
          <w:rFonts w:ascii="Times New Roman" w:hAnsi="Times New Roman"/>
          <w:w w:val="105"/>
          <w:sz w:val="24"/>
        </w:rPr>
        <w:t>) </w:t>
      </w:r>
      <w:r>
        <w:rPr>
          <w:rFonts w:ascii="Symbol" w:hAnsi="Symbol"/>
          <w:w w:val="105"/>
          <w:sz w:val="24"/>
        </w:rPr>
        <w:t></w:t>
      </w:r>
      <w:r>
        <w:rPr>
          <w:rFonts w:ascii="Times New Roman" w:hAnsi="Times New Roman"/>
          <w:w w:val="105"/>
          <w:sz w:val="24"/>
        </w:rPr>
        <w:t> (1 </w:t>
      </w:r>
      <w:r>
        <w:rPr>
          <w:rFonts w:ascii="Symbol" w:hAnsi="Symbol"/>
          <w:w w:val="105"/>
          <w:sz w:val="24"/>
        </w:rPr>
        <w:t></w:t>
      </w:r>
      <w:r>
        <w:rPr>
          <w:rFonts w:ascii="Times New Roman" w:hAnsi="Times New Roman"/>
          <w:w w:val="105"/>
          <w:sz w:val="24"/>
        </w:rPr>
        <w:t> </w:t>
      </w:r>
      <w:r>
        <w:rPr>
          <w:rFonts w:ascii="Times New Roman" w:hAnsi="Times New Roman"/>
          <w:i/>
          <w:w w:val="105"/>
          <w:sz w:val="24"/>
        </w:rPr>
        <w:t>w</w:t>
      </w:r>
      <w:r>
        <w:rPr>
          <w:rFonts w:ascii="Times New Roman" w:hAnsi="Times New Roman"/>
          <w:w w:val="105"/>
          <w:sz w:val="24"/>
        </w:rPr>
        <w:t>)</w:t>
      </w:r>
      <w:r>
        <w:rPr>
          <w:rFonts w:ascii="Times New Roman" w:hAnsi="Times New Roman"/>
          <w:i/>
          <w:w w:val="105"/>
          <w:sz w:val="24"/>
        </w:rPr>
        <w:t>E</w:t>
      </w:r>
      <w:r>
        <w:rPr>
          <w:rFonts w:ascii="Times New Roman" w:hAnsi="Times New Roman"/>
          <w:w w:val="105"/>
          <w:sz w:val="24"/>
        </w:rPr>
        <w:t>(</w:t>
      </w:r>
      <w:r>
        <w:rPr>
          <w:rFonts w:ascii="Times New Roman" w:hAnsi="Times New Roman"/>
          <w:i/>
          <w:w w:val="105"/>
          <w:sz w:val="24"/>
        </w:rPr>
        <w:t>r</w:t>
      </w:r>
      <w:r>
        <w:rPr>
          <w:rFonts w:ascii="Times New Roman" w:hAnsi="Times New Roman"/>
          <w:w w:val="105"/>
          <w:position w:val="-5"/>
          <w:sz w:val="14"/>
        </w:rPr>
        <w:t>2 </w:t>
      </w:r>
      <w:r>
        <w:rPr>
          <w:rFonts w:ascii="Times New Roman" w:hAnsi="Times New Roman"/>
          <w:w w:val="105"/>
          <w:sz w:val="24"/>
        </w:rPr>
        <w:t>)</w:t>
      </w:r>
    </w:p>
    <w:p>
      <w:pPr>
        <w:pStyle w:val="BodyText"/>
        <w:spacing w:before="1"/>
        <w:rPr>
          <w:rFonts w:ascii="Times New Roman"/>
          <w:sz w:val="26"/>
        </w:rPr>
      </w:pPr>
    </w:p>
    <w:p>
      <w:pPr>
        <w:pStyle w:val="BodyText"/>
        <w:spacing w:before="70"/>
        <w:ind w:left="142" w:right="786"/>
      </w:pPr>
      <w:r>
        <w:rPr/>
        <w:t>y la fórmula para la varianza es:</w:t>
      </w:r>
    </w:p>
    <w:p>
      <w:pPr>
        <w:pStyle w:val="BodyText"/>
        <w:spacing w:before="7"/>
        <w:rPr>
          <w:sz w:val="27"/>
        </w:rPr>
      </w:pPr>
    </w:p>
    <w:p>
      <w:pPr>
        <w:spacing w:line="199" w:lineRule="exact" w:before="70"/>
        <w:ind w:left="2255" w:right="786" w:firstLine="0"/>
        <w:jc w:val="left"/>
        <w:rPr>
          <w:rFonts w:ascii="Symbol" w:hAnsi="Symbol"/>
          <w:i/>
          <w:sz w:val="25"/>
        </w:rPr>
      </w:pPr>
      <w:r>
        <w:rPr>
          <w:rFonts w:ascii="Symbol" w:hAnsi="Symbol"/>
          <w:i/>
          <w:w w:val="105"/>
          <w:sz w:val="25"/>
        </w:rPr>
        <w:t></w:t>
      </w:r>
      <w:r>
        <w:rPr>
          <w:rFonts w:ascii="Times New Roman" w:hAnsi="Times New Roman"/>
          <w:i/>
          <w:w w:val="105"/>
          <w:sz w:val="25"/>
        </w:rPr>
        <w:t> </w:t>
      </w:r>
      <w:r>
        <w:rPr>
          <w:rFonts w:ascii="Times New Roman" w:hAnsi="Times New Roman"/>
          <w:w w:val="105"/>
          <w:position w:val="11"/>
          <w:sz w:val="14"/>
        </w:rPr>
        <w:t>2  </w:t>
      </w:r>
      <w:r>
        <w:rPr>
          <w:rFonts w:ascii="Symbol" w:hAnsi="Symbol"/>
          <w:w w:val="105"/>
          <w:sz w:val="24"/>
        </w:rPr>
        <w:t></w:t>
      </w:r>
      <w:r>
        <w:rPr>
          <w:rFonts w:ascii="Times New Roman" w:hAnsi="Times New Roman"/>
          <w:w w:val="105"/>
          <w:sz w:val="24"/>
        </w:rPr>
        <w:t> </w:t>
      </w:r>
      <w:r>
        <w:rPr>
          <w:rFonts w:ascii="Times New Roman" w:hAnsi="Times New Roman"/>
          <w:i/>
          <w:w w:val="105"/>
          <w:sz w:val="24"/>
        </w:rPr>
        <w:t>w</w:t>
      </w:r>
      <w:r>
        <w:rPr>
          <w:rFonts w:ascii="Times New Roman" w:hAnsi="Times New Roman"/>
          <w:w w:val="105"/>
          <w:position w:val="11"/>
          <w:sz w:val="14"/>
        </w:rPr>
        <w:t>2</w:t>
      </w:r>
      <w:r>
        <w:rPr>
          <w:rFonts w:ascii="Symbol" w:hAnsi="Symbol"/>
          <w:i/>
          <w:w w:val="105"/>
          <w:sz w:val="25"/>
        </w:rPr>
        <w:t></w:t>
      </w:r>
      <w:r>
        <w:rPr>
          <w:rFonts w:ascii="Times New Roman" w:hAnsi="Times New Roman"/>
          <w:i/>
          <w:w w:val="105"/>
          <w:sz w:val="25"/>
        </w:rPr>
        <w:t> </w:t>
      </w:r>
      <w:r>
        <w:rPr>
          <w:rFonts w:ascii="Times New Roman" w:hAnsi="Times New Roman"/>
          <w:w w:val="105"/>
          <w:position w:val="11"/>
          <w:sz w:val="14"/>
        </w:rPr>
        <w:t>2  </w:t>
      </w:r>
      <w:r>
        <w:rPr>
          <w:rFonts w:ascii="Symbol" w:hAnsi="Symbol"/>
          <w:w w:val="105"/>
          <w:sz w:val="24"/>
        </w:rPr>
        <w:t></w:t>
      </w:r>
      <w:r>
        <w:rPr>
          <w:rFonts w:ascii="Times New Roman" w:hAnsi="Times New Roman"/>
          <w:w w:val="105"/>
          <w:sz w:val="24"/>
        </w:rPr>
        <w:t> (1</w:t>
      </w:r>
      <w:r>
        <w:rPr>
          <w:rFonts w:ascii="Symbol" w:hAnsi="Symbol"/>
          <w:w w:val="105"/>
          <w:sz w:val="24"/>
        </w:rPr>
        <w:t></w:t>
      </w:r>
      <w:r>
        <w:rPr>
          <w:rFonts w:ascii="Times New Roman" w:hAnsi="Times New Roman"/>
          <w:w w:val="105"/>
          <w:sz w:val="24"/>
        </w:rPr>
        <w:t> </w:t>
      </w:r>
      <w:r>
        <w:rPr>
          <w:rFonts w:ascii="Times New Roman" w:hAnsi="Times New Roman"/>
          <w:i/>
          <w:w w:val="105"/>
          <w:sz w:val="24"/>
        </w:rPr>
        <w:t>w</w:t>
      </w:r>
      <w:r>
        <w:rPr>
          <w:rFonts w:ascii="Times New Roman" w:hAnsi="Times New Roman"/>
          <w:w w:val="105"/>
          <w:sz w:val="24"/>
        </w:rPr>
        <w:t>)</w:t>
      </w:r>
      <w:r>
        <w:rPr>
          <w:rFonts w:ascii="Times New Roman" w:hAnsi="Times New Roman"/>
          <w:w w:val="105"/>
          <w:position w:val="11"/>
          <w:sz w:val="14"/>
        </w:rPr>
        <w:t>2 </w:t>
      </w:r>
      <w:r>
        <w:rPr>
          <w:rFonts w:ascii="Symbol" w:hAnsi="Symbol"/>
          <w:i/>
          <w:w w:val="105"/>
          <w:sz w:val="25"/>
        </w:rPr>
        <w:t></w:t>
      </w:r>
      <w:r>
        <w:rPr>
          <w:rFonts w:ascii="Times New Roman" w:hAnsi="Times New Roman"/>
          <w:i/>
          <w:w w:val="105"/>
          <w:sz w:val="25"/>
        </w:rPr>
        <w:t> </w:t>
      </w:r>
      <w:r>
        <w:rPr>
          <w:rFonts w:ascii="Times New Roman" w:hAnsi="Times New Roman"/>
          <w:w w:val="105"/>
          <w:position w:val="11"/>
          <w:sz w:val="14"/>
        </w:rPr>
        <w:t>2  </w:t>
      </w:r>
      <w:r>
        <w:rPr>
          <w:rFonts w:ascii="Symbol" w:hAnsi="Symbol"/>
          <w:w w:val="105"/>
          <w:sz w:val="24"/>
        </w:rPr>
        <w:t></w:t>
      </w:r>
      <w:r>
        <w:rPr>
          <w:rFonts w:ascii="Times New Roman" w:hAnsi="Times New Roman"/>
          <w:w w:val="105"/>
          <w:sz w:val="24"/>
        </w:rPr>
        <w:t> 2</w:t>
      </w:r>
      <w:r>
        <w:rPr>
          <w:rFonts w:ascii="Times New Roman" w:hAnsi="Times New Roman"/>
          <w:i/>
          <w:w w:val="105"/>
          <w:sz w:val="24"/>
        </w:rPr>
        <w:t>w</w:t>
      </w:r>
      <w:r>
        <w:rPr>
          <w:rFonts w:ascii="Times New Roman" w:hAnsi="Times New Roman"/>
          <w:w w:val="105"/>
          <w:sz w:val="24"/>
        </w:rPr>
        <w:t>(1</w:t>
      </w:r>
      <w:r>
        <w:rPr>
          <w:rFonts w:ascii="Symbol" w:hAnsi="Symbol"/>
          <w:w w:val="105"/>
          <w:sz w:val="24"/>
        </w:rPr>
        <w:t></w:t>
      </w:r>
      <w:r>
        <w:rPr>
          <w:rFonts w:ascii="Times New Roman" w:hAnsi="Times New Roman"/>
          <w:w w:val="105"/>
          <w:sz w:val="24"/>
        </w:rPr>
        <w:t> </w:t>
      </w:r>
      <w:r>
        <w:rPr>
          <w:rFonts w:ascii="Times New Roman" w:hAnsi="Times New Roman"/>
          <w:i/>
          <w:w w:val="105"/>
          <w:sz w:val="24"/>
        </w:rPr>
        <w:t>w</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Symbol" w:hAnsi="Symbol"/>
          <w:i/>
          <w:w w:val="105"/>
          <w:sz w:val="25"/>
        </w:rPr>
        <w:t></w:t>
      </w:r>
      <w:r>
        <w:rPr>
          <w:rFonts w:ascii="Times New Roman" w:hAnsi="Times New Roman"/>
          <w:i/>
          <w:w w:val="105"/>
          <w:sz w:val="25"/>
        </w:rPr>
        <w:t> </w:t>
      </w:r>
      <w:r>
        <w:rPr>
          <w:rFonts w:ascii="Symbol" w:hAnsi="Symbol"/>
          <w:i/>
          <w:w w:val="105"/>
          <w:sz w:val="25"/>
        </w:rPr>
        <w:t></w:t>
      </w:r>
    </w:p>
    <w:p>
      <w:pPr>
        <w:tabs>
          <w:tab w:pos="4497" w:val="left" w:leader="none"/>
          <w:tab w:pos="6340" w:val="left" w:leader="none"/>
        </w:tabs>
        <w:spacing w:line="143" w:lineRule="exact" w:before="0"/>
        <w:ind w:left="3231" w:right="786" w:firstLine="0"/>
        <w:jc w:val="left"/>
        <w:rPr>
          <w:rFonts w:ascii="Times New Roman"/>
          <w:sz w:val="14"/>
        </w:rPr>
      </w:pPr>
      <w:r>
        <w:rPr>
          <w:rFonts w:ascii="Times New Roman"/>
          <w:w w:val="105"/>
          <w:sz w:val="14"/>
        </w:rPr>
        <w:t>1</w:t>
        <w:tab/>
        <w:t>1</w:t>
        <w:tab/>
        <w:t>1   </w:t>
      </w:r>
      <w:r>
        <w:rPr>
          <w:rFonts w:ascii="Times New Roman"/>
          <w:spacing w:val="21"/>
          <w:w w:val="105"/>
          <w:sz w:val="14"/>
        </w:rPr>
        <w:t> </w:t>
      </w:r>
      <w:r>
        <w:rPr>
          <w:rFonts w:ascii="Times New Roman"/>
          <w:w w:val="105"/>
          <w:sz w:val="14"/>
        </w:rPr>
        <w:t>2</w:t>
      </w:r>
    </w:p>
    <w:p>
      <w:pPr>
        <w:pStyle w:val="BodyText"/>
        <w:spacing w:before="10"/>
        <w:rPr>
          <w:rFonts w:ascii="Times New Roman"/>
          <w:sz w:val="25"/>
        </w:rPr>
      </w:pPr>
    </w:p>
    <w:p>
      <w:pPr>
        <w:pStyle w:val="BodyText"/>
        <w:spacing w:before="69"/>
        <w:ind w:left="142" w:right="786"/>
      </w:pPr>
      <w:r>
        <w:rPr/>
        <w:t>La combinación óptima de activos riesgosos</w:t>
      </w:r>
    </w:p>
    <w:p>
      <w:pPr>
        <w:pStyle w:val="BodyText"/>
        <w:spacing w:line="360" w:lineRule="auto" w:before="199"/>
        <w:ind w:left="142" w:right="136" w:firstLine="707"/>
        <w:jc w:val="both"/>
      </w:pPr>
      <w:r>
        <w:rPr/>
        <w:t>Consideremos las combinaciones de riesgo-rendimiento que podemos obtener cuando combinamos el activo sin riesgo con los dos activos riesgosos. La siguiente figura representa una descripción gráfica de todas las posibles combinaciones riesgo-rendimiento y también ilustra cómo localizar la combinación óptima de activos riesgosos que se combinarán con el activo sin riesgo.</w:t>
      </w:r>
    </w:p>
    <w:p>
      <w:pPr>
        <w:spacing w:after="0" w:line="360" w:lineRule="auto"/>
        <w:jc w:val="both"/>
        <w:sectPr>
          <w:pgSz w:w="12240" w:h="15840"/>
          <w:pgMar w:header="731" w:footer="737" w:top="1180" w:bottom="920" w:left="1560" w:right="1560"/>
        </w:sectPr>
      </w:pPr>
    </w:p>
    <w:p>
      <w:pPr>
        <w:pStyle w:val="BodyText"/>
        <w:rPr>
          <w:sz w:val="20"/>
        </w:rPr>
      </w:pPr>
    </w:p>
    <w:p>
      <w:pPr>
        <w:pStyle w:val="BodyText"/>
        <w:spacing w:before="8"/>
        <w:rPr>
          <w:sz w:val="15"/>
        </w:rPr>
      </w:pPr>
    </w:p>
    <w:p>
      <w:pPr>
        <w:spacing w:before="73"/>
        <w:ind w:left="2033" w:right="0" w:firstLine="0"/>
        <w:jc w:val="left"/>
        <w:rPr>
          <w:sz w:val="22"/>
        </w:rPr>
      </w:pPr>
      <w:bookmarkStart w:name="_bookmark21" w:id="36"/>
      <w:bookmarkEnd w:id="36"/>
      <w:r>
        <w:rPr/>
      </w:r>
      <w:r>
        <w:rPr>
          <w:sz w:val="22"/>
        </w:rPr>
        <w:t>Figura 06 Combinación óptima de activos riesgosos</w:t>
      </w:r>
    </w:p>
    <w:p>
      <w:pPr>
        <w:spacing w:before="90"/>
        <w:ind w:left="1706" w:right="0" w:firstLine="0"/>
        <w:jc w:val="left"/>
        <w:rPr>
          <w:rFonts w:ascii="Times New Roman"/>
          <w:sz w:val="14"/>
        </w:rPr>
      </w:pPr>
      <w:r>
        <w:rPr/>
        <w:pict>
          <v:group style="position:absolute;margin-left:185.481171pt;margin-top:8.532952pt;width:265.95pt;height:124.25pt;mso-position-horizontal-relative:page;mso-position-vertical-relative:paragraph;z-index:2824" coordorigin="3710,171" coordsize="5319,2485">
            <v:shape style="position:absolute;left:1221;top:9106;width:8537;height:3459" coordorigin="1221,9106" coordsize="8537,3459" path="m3753,2308l9014,2308m3753,2003l9014,2003m3753,1698l9014,1698m3753,1395l9014,1395m3753,1091l9014,1091m3753,786l9014,786m3753,481l9014,481m3753,177l9014,177e" filled="false" stroked="true" strokeweight=".147897pt" strokecolor="#000000">
              <v:path arrowok="t"/>
              <v:stroke dashstyle="dash"/>
            </v:shape>
            <v:shape style="position:absolute;left:1154;top:9106;width:8604;height:4020" coordorigin="1154,9106" coordsize="8604,4020" path="m3753,2612l3753,177m3711,2612l3753,2612m3711,2308l3753,2308m3711,2003l3753,2003m3711,1698l3753,1698m3711,1395l3753,1395m3711,1091l3753,1091m3711,786l3753,786m3711,481l3753,481m3711,177l3753,177m3753,2612l9014,2612m3753,2612l3753,2654m4806,2612l4806,2654m5857,2612l5857,2654m6910,2612l6910,2654m7962,2612l7962,2654m9014,2612l9014,2654e" filled="false" stroked="true" strokeweight=".147897pt" strokecolor="#000000">
              <v:path arrowok="t"/>
            </v:shape>
            <v:shape style="position:absolute;left:6288;top:264;width:2735;height:1604" coordorigin="6288,264" coordsize="2735,1604" path="m9023,1868l8935,1851,8483,1761,8046,1669,7634,1577,7251,1485,6910,1395,6625,1304,6415,1212,6298,1120,6288,1030,6384,938,6576,847,6848,755,7180,665,7554,573,7962,481,8394,390,8844,299,9023,264e" filled="false" stroked="true" strokeweight=".591561pt" strokecolor="#0000ff">
              <v:path arrowok="t"/>
            </v:shape>
            <v:shape style="position:absolute;left:8916;top:1832;width:37;height:37" coordorigin="8916,1832" coordsize="37,37" path="m8945,1832l8924,1832,8916,1840,8916,1860,8924,1868,8945,1868,8953,1860,8953,1840,8945,1832xe" filled="true" fillcolor="#0000ff" stroked="false">
              <v:path arrowok="t"/>
              <v:fill type="solid"/>
            </v:shape>
            <v:shape style="position:absolute;left:8916;top:1832;width:37;height:37" coordorigin="8916,1832" coordsize="37,37" path="m8953,1850l8953,1860,8945,1868,8934,1868,8924,1868,8916,1860,8916,1850,8916,1840,8924,1832,8934,1832,8945,1832,8953,1840,8953,1850xe" filled="false" stroked="true" strokeweight=".295793pt" strokecolor="#000000">
              <v:path arrowok="t"/>
            </v:shape>
            <v:shape style="position:absolute;left:8463;top:1741;width:37;height:37" coordorigin="8463,1741" coordsize="37,37" path="m8492,1741l8472,1741,8463,1750,8463,1770,8472,1778,8492,1778,8500,1770,8500,1750,8492,1741xe" filled="true" fillcolor="#0000ff" stroked="false">
              <v:path arrowok="t"/>
              <v:fill type="solid"/>
            </v:shape>
            <v:shape style="position:absolute;left:8463;top:1741;width:37;height:37" coordorigin="8463,1741" coordsize="37,37" path="m8500,1760l8500,1770,8492,1778,8482,1778,8472,1778,8463,1770,8463,1760,8463,1750,8472,1741,8482,1741,8492,1741,8500,1750,8500,1760xe" filled="false" stroked="true" strokeweight=".295793pt" strokecolor="#000000">
              <v:path arrowok="t"/>
            </v:shape>
            <v:shape style="position:absolute;left:8027;top:1650;width:37;height:37" coordorigin="8027,1650" coordsize="37,37" path="m8056,1650l8035,1650,8027,1658,8027,1678,8035,1687,8056,1687,8064,1678,8064,1658,8056,1650xe" filled="true" fillcolor="#0000ff" stroked="false">
              <v:path arrowok="t"/>
              <v:fill type="solid"/>
            </v:shape>
            <v:shape style="position:absolute;left:8027;top:1650;width:37;height:37" coordorigin="8027,1650" coordsize="37,37" path="m8064,1668l8064,1678,8056,1687,8046,1687,8035,1687,8027,1678,8027,1668,8027,1658,8035,1650,8046,1650,8056,1650,8064,1658,8064,1668xe" filled="false" stroked="true" strokeweight=".295793pt" strokecolor="#000000">
              <v:path arrowok="t"/>
            </v:shape>
            <v:shape style="position:absolute;left:7614;top:1558;width:37;height:37" coordorigin="7614,1558" coordsize="37,37" path="m7643,1558l7623,1558,7614,1566,7614,1587,7623,1595,7643,1595,7651,1587,7651,1566,7643,1558xe" filled="true" fillcolor="#0000ff" stroked="false">
              <v:path arrowok="t"/>
              <v:fill type="solid"/>
            </v:shape>
            <v:shape style="position:absolute;left:7614;top:1558;width:37;height:37" coordorigin="7614,1558" coordsize="37,37" path="m7651,1576l7651,1587,7643,1595,7633,1595,7623,1595,7614,1587,7614,1576,7614,1566,7623,1558,7633,1558,7643,1558,7651,1566,7651,1576xe" filled="false" stroked="true" strokeweight=".295793pt" strokecolor="#000000">
              <v:path arrowok="t"/>
            </v:shape>
            <v:shape style="position:absolute;left:7231;top:1466;width:37;height:37" coordorigin="7231,1466" coordsize="37,37" path="m7260,1466l7240,1466,7231,1475,7231,1495,7240,1503,7260,1503,7268,1495,7268,1475,7260,1466xe" filled="true" fillcolor="#0000ff" stroked="false">
              <v:path arrowok="t"/>
              <v:fill type="solid"/>
            </v:shape>
            <v:shape style="position:absolute;left:7231;top:1466;width:37;height:37" coordorigin="7231,1466" coordsize="37,37" path="m7268,1485l7268,1495,7260,1503,7250,1503,7240,1503,7231,1495,7231,1485,7231,1475,7240,1466,7250,1466,7260,1466,7268,1475,7268,1485xe" filled="false" stroked="true" strokeweight=".295793pt" strokecolor="#000000">
              <v:path arrowok="t"/>
            </v:shape>
            <v:shape style="position:absolute;left:6891;top:1376;width:37;height:37" coordorigin="6891,1376" coordsize="37,37" path="m6920,1376l6900,1376,6891,1384,6891,1405,6900,1413,6920,1413,6928,1405,6928,1384,6920,1376xe" filled="true" fillcolor="#0000ff" stroked="false">
              <v:path arrowok="t"/>
              <v:fill type="solid"/>
            </v:shape>
            <v:shape style="position:absolute;left:6891;top:1376;width:37;height:37" coordorigin="6891,1376" coordsize="37,37" path="m6928,1395l6928,1405,6920,1413,6910,1413,6900,1413,6891,1405,6891,1395,6891,1384,6900,1376,6910,1376,6920,1376,6928,1384,6928,1395xe" filled="false" stroked="true" strokeweight=".295793pt" strokecolor="#000000">
              <v:path arrowok="t"/>
            </v:shape>
            <v:shape style="position:absolute;left:6606;top:1284;width:37;height:37" coordorigin="6606,1284" coordsize="37,37" path="m6634,1284l6614,1284,6606,1293,6606,1313,6614,1321,6634,1321,6643,1313,6643,1293,6634,1284xe" filled="true" fillcolor="#0000ff" stroked="false">
              <v:path arrowok="t"/>
              <v:fill type="solid"/>
            </v:shape>
            <v:shape style="position:absolute;left:6606;top:1284;width:37;height:37" coordorigin="6606,1284" coordsize="37,37" path="m6643,1303l6643,1313,6634,1321,6624,1321,6614,1321,6606,1313,6606,1303,6606,1293,6614,1284,6624,1284,6634,1284,6643,1293,6643,1303xe" filled="false" stroked="true" strokeweight=".295793pt" strokecolor="#000000">
              <v:path arrowok="t"/>
            </v:shape>
            <v:shape style="position:absolute;left:6396;top:1193;width:37;height:37" coordorigin="6396,1193" coordsize="37,37" path="m6424,1193l6404,1193,6396,1201,6396,1221,6404,1230,6424,1230,6433,1221,6433,1201,6424,1193xe" filled="true" fillcolor="#0000ff" stroked="false">
              <v:path arrowok="t"/>
              <v:fill type="solid"/>
            </v:shape>
            <v:shape style="position:absolute;left:6396;top:1193;width:37;height:37" coordorigin="6396,1193" coordsize="37,37" path="m6433,1211l6433,1221,6424,1230,6414,1230,6404,1230,6396,1221,6396,1211,6396,1201,6404,1193,6414,1193,6424,1193,6433,1201,6433,1211xe" filled="false" stroked="true" strokeweight=".295793pt" strokecolor="#000000">
              <v:path arrowok="t"/>
            </v:shape>
            <v:shape style="position:absolute;left:6279;top:1101;width:37;height:37" coordorigin="6279,1101" coordsize="37,37" path="m6307,1101l6287,1101,6279,1109,6279,1130,6287,1138,6307,1138,6316,1130,6316,1109,6307,1101xe" filled="true" fillcolor="#0000ff" stroked="false">
              <v:path arrowok="t"/>
              <v:fill type="solid"/>
            </v:shape>
            <v:shape style="position:absolute;left:6279;top:1101;width:37;height:37" coordorigin="6279,1101" coordsize="37,37" path="m6316,1119l6316,1130,6307,1138,6297,1138,6287,1138,6279,1130,6279,1119,6279,1109,6287,1101,6297,1101,6307,1101,6316,1109,6316,1119xe" filled="false" stroked="true" strokeweight=".295793pt" strokecolor="#000000">
              <v:path arrowok="t"/>
            </v:shape>
            <v:shape style="position:absolute;left:6268;top:1011;width:37;height:37" coordorigin="6268,1011" coordsize="37,37" path="m6297,1011l6277,1011,6268,1019,6268,1039,6277,1048,6297,1048,6305,1039,6305,1019,6297,1011xe" filled="true" fillcolor="#0000ff" stroked="false">
              <v:path arrowok="t"/>
              <v:fill type="solid"/>
            </v:shape>
            <v:shape style="position:absolute;left:6268;top:1011;width:37;height:37" coordorigin="6268,1011" coordsize="37,37" path="m6305,1029l6305,1039,6297,1048,6287,1048,6277,1048,6268,1039,6268,1029,6268,1019,6277,1011,6287,1011,6297,1011,6305,1019,6305,1029xe" filled="false" stroked="true" strokeweight=".295793pt" strokecolor="#000000">
              <v:path arrowok="t"/>
            </v:shape>
            <v:shape style="position:absolute;left:6365;top:919;width:37;height:37" coordorigin="6365,919" coordsize="37,37" path="m6393,919l6373,919,6365,927,6365,948,6373,956,6393,956,6402,948,6402,927,6393,919xe" filled="true" fillcolor="#0000ff" stroked="false">
              <v:path arrowok="t"/>
              <v:fill type="solid"/>
            </v:shape>
            <v:shape style="position:absolute;left:6365;top:919;width:37;height:37" coordorigin="6365,919" coordsize="37,37" path="m6402,938l6402,948,6393,956,6383,956,6373,956,6365,948,6365,938,6365,927,6373,919,6383,919,6393,919,6402,927,6402,938xe" filled="false" stroked="true" strokeweight=".295793pt" strokecolor="#000000">
              <v:path arrowok="t"/>
            </v:shape>
            <v:shape style="position:absolute;left:6557;top:827;width:37;height:37" coordorigin="6557,827" coordsize="37,37" path="m6586,827l6565,827,6557,836,6557,856,6565,864,6586,864,6594,856,6594,836,6586,827xe" filled="true" fillcolor="#0000ff" stroked="false">
              <v:path arrowok="t"/>
              <v:fill type="solid"/>
            </v:shape>
            <v:shape style="position:absolute;left:6557;top:827;width:37;height:37" coordorigin="6557,827" coordsize="37,37" path="m6594,846l6594,856,6586,864,6575,864,6565,864,6557,856,6557,846,6557,836,6565,827,6575,827,6586,827,6594,836,6594,846xe" filled="false" stroked="true" strokeweight=".295793pt" strokecolor="#000000">
              <v:path arrowok="t"/>
            </v:shape>
            <v:shape style="position:absolute;left:6829;top:736;width:37;height:37" coordorigin="6829,736" coordsize="37,37" path="m6858,736l6837,736,6829,744,6829,764,6837,773,6858,773,6866,764,6866,744,6858,736xe" filled="true" fillcolor="#0000ff" stroked="false">
              <v:path arrowok="t"/>
              <v:fill type="solid"/>
            </v:shape>
            <v:shape style="position:absolute;left:6829;top:736;width:37;height:37" coordorigin="6829,736" coordsize="37,37" path="m6866,754l6866,764,6858,773,6847,773,6837,773,6829,764,6829,754,6829,744,6837,736,6847,736,6858,736,6866,744,6866,754xe" filled="false" stroked="true" strokeweight=".295793pt" strokecolor="#000000">
              <v:path arrowok="t"/>
            </v:shape>
            <v:shape style="position:absolute;left:7160;top:645;width:37;height:37" coordorigin="7160,645" coordsize="37,37" path="m7189,645l7169,645,7160,654,7160,674,7169,682,7189,682,7197,674,7197,654,7189,645xe" filled="true" fillcolor="#0000ff" stroked="false">
              <v:path arrowok="t"/>
              <v:fill type="solid"/>
            </v:shape>
            <v:shape style="position:absolute;left:7160;top:645;width:37;height:37" coordorigin="7160,645" coordsize="37,37" path="m7197,664l7197,674,7189,682,7179,682,7169,682,7160,674,7160,664,7160,654,7169,645,7179,645,7189,645,7197,654,7197,664xe" filled="false" stroked="true" strokeweight=".295793pt" strokecolor="#000000">
              <v:path arrowok="t"/>
            </v:shape>
            <v:shape style="position:absolute;left:7535;top:554;width:37;height:37" coordorigin="7535,554" coordsize="37,37" path="m7563,554l7543,554,7535,562,7535,582,7543,591,7563,591,7572,582,7572,562,7563,554xe" filled="true" fillcolor="#0000ff" stroked="false">
              <v:path arrowok="t"/>
              <v:fill type="solid"/>
            </v:shape>
            <v:shape style="position:absolute;left:7535;top:554;width:37;height:37" coordorigin="7535,554" coordsize="37,37" path="m7572,572l7572,582,7563,591,7553,591,7543,591,7535,582,7535,572,7535,562,7543,554,7553,554,7563,554,7572,562,7572,572xe" filled="false" stroked="true" strokeweight=".295793pt" strokecolor="#000000">
              <v:path arrowok="t"/>
            </v:shape>
            <v:shape style="position:absolute;left:7943;top:462;width:37;height:37" coordorigin="7943,462" coordsize="37,37" path="m7971,462l7951,462,7943,470,7943,491,7951,499,7971,499,7980,491,7980,470,7971,462xe" filled="true" fillcolor="#0000ff" stroked="false">
              <v:path arrowok="t"/>
              <v:fill type="solid"/>
            </v:shape>
            <v:shape style="position:absolute;left:7943;top:462;width:37;height:37" coordorigin="7943,462" coordsize="37,37" path="m7980,481l7980,491,7971,499,7961,499,7951,499,7943,491,7943,481,7943,470,7951,462,7961,462,7971,462,7980,470,7980,481xe" filled="false" stroked="true" strokeweight=".295793pt" strokecolor="#000000">
              <v:path arrowok="t"/>
            </v:shape>
            <v:shape style="position:absolute;left:8375;top:370;width:37;height:37" coordorigin="8375,370" coordsize="37,37" path="m8403,370l8383,370,8375,379,8375,399,8383,407,8403,407,8412,399,8412,379,8403,370xe" filled="true" fillcolor="#0000ff" stroked="false">
              <v:path arrowok="t"/>
              <v:fill type="solid"/>
            </v:shape>
            <v:shape style="position:absolute;left:8375;top:370;width:37;height:37" coordorigin="8375,370" coordsize="37,37" path="m8412,389l8412,399,8403,407,8393,407,8383,407,8375,399,8375,389,8375,379,8383,370,8393,370,8403,370,8412,379,8412,389xe" filled="false" stroked="true" strokeweight=".295793pt" strokecolor="#000000">
              <v:path arrowok="t"/>
            </v:shape>
            <v:shape style="position:absolute;left:8824;top:280;width:37;height:37" coordorigin="8824,280" coordsize="37,37" path="m8853,280l8833,280,8824,288,8824,309,8833,317,8853,317,8861,309,8861,288,8853,280xe" filled="true" fillcolor="#0000ff" stroked="false">
              <v:path arrowok="t"/>
              <v:fill type="solid"/>
            </v:shape>
            <v:shape style="position:absolute;left:8824;top:280;width:37;height:37" coordorigin="8824,280" coordsize="37,37" path="m8861,299l8861,309,8853,317,8843,317,8833,317,8824,309,8824,299,8824,288,8833,280,8843,280,8853,280,8861,288,8861,299xe" filled="false" stroked="true" strokeweight=".295793pt" strokecolor="#000000">
              <v:path arrowok="t"/>
            </v:shape>
            <v:shape style="position:absolute;left:3753;top:177;width:4995;height:1522" coordorigin="3753,177" coordsize="4995,1522" path="m6825,762l3753,1698,6825,762,8747,177e" filled="false" stroked="true" strokeweight=".591544pt" strokecolor="#ff0000">
              <v:path arrowok="t"/>
            </v:shape>
            <v:shape style="position:absolute;left:6788;top:725;width:74;height:74" coordorigin="6788,725" coordsize="74,74" path="m6825,725l6810,728,6798,736,6791,748,6788,762,6791,777,6798,788,6810,796,6825,799,6839,796,6851,788,6859,777,6862,762,6859,748,6851,736,6839,728,6825,725xe" filled="true" fillcolor="#ff0000" stroked="false">
              <v:path arrowok="t"/>
              <v:fill type="solid"/>
            </v:shape>
            <v:shape style="position:absolute;left:6788;top:725;width:74;height:74" coordorigin="6788,725" coordsize="74,74" path="m6862,762l6859,777,6851,788,6839,796,6825,799,6810,796,6798,788,6791,777,6788,762,6791,748,6798,736,6810,728,6825,725,6839,728,6851,736,6859,748,6862,762xe" filled="false" stroked="true" strokeweight=".295793pt" strokecolor="#000000">
              <v:path arrowok="t"/>
            </v:shape>
            <v:shape style="position:absolute;left:3716;top:1661;width:74;height:74" coordorigin="3716,1661" coordsize="74,74" path="m3753,1661l3738,1664,3726,1672,3718,1684,3716,1698,3718,1713,3726,1725,3738,1732,3753,1735,3767,1732,3779,1725,3787,1713,3790,1698,3787,1684,3779,1672,3767,1664,3753,1661xe" filled="true" fillcolor="#ff0000" stroked="false">
              <v:path arrowok="t"/>
              <v:fill type="solid"/>
            </v:shape>
            <v:shape style="position:absolute;left:3716;top:1661;width:74;height:74" coordorigin="3716,1661" coordsize="74,74" path="m3790,1698l3787,1713,3779,1725,3767,1732,3753,1735,3738,1732,3726,1725,3718,1713,3716,1698,3718,1684,3726,1672,3738,1664,3753,1661,3767,1664,3779,1672,3787,1684,3790,1698xe" filled="false" stroked="true" strokeweight=".295793pt" strokecolor="#000000">
              <v:path arrowok="t"/>
            </v:shape>
            <v:shape style="position:absolute;left:6788;top:725;width:74;height:74" coordorigin="6788,725" coordsize="74,74" path="m6825,725l6810,728,6798,736,6791,748,6788,762,6791,777,6798,788,6810,796,6825,799,6839,796,6851,788,6859,777,6862,762,6859,748,6851,736,6839,728,6825,725xe" filled="true" fillcolor="#ff0000" stroked="false">
              <v:path arrowok="t"/>
              <v:fill type="solid"/>
            </v:shape>
            <v:shape style="position:absolute;left:6788;top:725;width:74;height:74" coordorigin="6788,725" coordsize="74,74" path="m6862,762l6859,777,6851,788,6839,796,6825,799,6810,796,6798,788,6791,777,6788,762,6791,748,6798,736,6810,728,6825,725,6839,728,6851,736,6859,748,6862,762xe" filled="false" stroked="true" strokeweight=".295793pt" strokecolor="#000000">
              <v:path arrowok="t"/>
            </v:shape>
            <w10:wrap type="none"/>
          </v:group>
        </w:pict>
      </w:r>
      <w:r>
        <w:rPr>
          <w:rFonts w:ascii="Times New Roman"/>
          <w:sz w:val="14"/>
        </w:rPr>
        <w:t>16.0%</w:t>
      </w:r>
    </w:p>
    <w:p>
      <w:pPr>
        <w:pStyle w:val="BodyText"/>
        <w:spacing w:before="5"/>
        <w:rPr>
          <w:rFonts w:ascii="Times New Roman"/>
          <w:sz w:val="12"/>
        </w:rPr>
      </w:pPr>
    </w:p>
    <w:p>
      <w:pPr>
        <w:spacing w:before="0"/>
        <w:ind w:left="1706" w:right="0" w:firstLine="0"/>
        <w:jc w:val="left"/>
        <w:rPr>
          <w:rFonts w:ascii="Times New Roman"/>
          <w:sz w:val="14"/>
        </w:rPr>
      </w:pPr>
      <w:r>
        <w:rPr>
          <w:rFonts w:ascii="Times New Roman"/>
          <w:sz w:val="14"/>
        </w:rPr>
        <w:t>14.0%</w:t>
      </w:r>
    </w:p>
    <w:p>
      <w:pPr>
        <w:pStyle w:val="BodyText"/>
        <w:spacing w:before="5"/>
        <w:rPr>
          <w:rFonts w:ascii="Times New Roman"/>
          <w:sz w:val="12"/>
        </w:rPr>
      </w:pPr>
    </w:p>
    <w:p>
      <w:pPr>
        <w:spacing w:before="0"/>
        <w:ind w:left="1706" w:right="0" w:firstLine="0"/>
        <w:jc w:val="left"/>
        <w:rPr>
          <w:rFonts w:ascii="Times New Roman"/>
          <w:sz w:val="14"/>
        </w:rPr>
      </w:pPr>
      <w:r>
        <w:rPr/>
        <w:pict>
          <v:shape style="position:absolute;margin-left:149.735947pt;margin-top:5.849232pt;width:9.1pt;height:53.4pt;mso-position-horizontal-relative:page;mso-position-vertical-relative:paragraph;z-index:2872" type="#_x0000_t202" filled="false" stroked="false">
            <v:textbox inset="0,0,0,0" style="layout-flow:vertical;mso-layout-flow-alt:bottom-to-top">
              <w:txbxContent>
                <w:p>
                  <w:pPr>
                    <w:spacing w:before="3"/>
                    <w:ind w:left="20" w:right="-418" w:firstLine="0"/>
                    <w:jc w:val="left"/>
                    <w:rPr>
                      <w:rFonts w:ascii="Times New Roman"/>
                      <w:b/>
                      <w:sz w:val="14"/>
                    </w:rPr>
                  </w:pPr>
                  <w:r>
                    <w:rPr>
                      <w:rFonts w:ascii="Times New Roman"/>
                      <w:b/>
                      <w:w w:val="101"/>
                      <w:sz w:val="14"/>
                    </w:rPr>
                    <w:t>E</w:t>
                  </w:r>
                  <w:r>
                    <w:rPr>
                      <w:rFonts w:ascii="Times New Roman"/>
                      <w:b/>
                      <w:spacing w:val="1"/>
                      <w:w w:val="101"/>
                      <w:sz w:val="14"/>
                    </w:rPr>
                    <w:t>x</w:t>
                  </w:r>
                  <w:r>
                    <w:rPr>
                      <w:rFonts w:ascii="Times New Roman"/>
                      <w:b/>
                      <w:spacing w:val="-1"/>
                      <w:w w:val="101"/>
                      <w:sz w:val="14"/>
                    </w:rPr>
                    <w:t>p</w:t>
                  </w:r>
                  <w:r>
                    <w:rPr>
                      <w:rFonts w:ascii="Times New Roman"/>
                      <w:b/>
                      <w:w w:val="101"/>
                      <w:sz w:val="14"/>
                    </w:rPr>
                    <w:t>ecte</w:t>
                  </w:r>
                  <w:r>
                    <w:rPr>
                      <w:rFonts w:ascii="Times New Roman"/>
                      <w:b/>
                      <w:w w:val="101"/>
                      <w:sz w:val="14"/>
                    </w:rPr>
                    <w:t>d</w:t>
                  </w:r>
                  <w:r>
                    <w:rPr>
                      <w:rFonts w:ascii="Times New Roman"/>
                      <w:b/>
                      <w:spacing w:val="-4"/>
                      <w:sz w:val="14"/>
                    </w:rPr>
                    <w:t> </w:t>
                  </w:r>
                  <w:r>
                    <w:rPr>
                      <w:rFonts w:ascii="Times New Roman"/>
                      <w:b/>
                      <w:spacing w:val="-1"/>
                      <w:w w:val="101"/>
                      <w:sz w:val="14"/>
                    </w:rPr>
                    <w:t>R</w:t>
                  </w:r>
                  <w:r>
                    <w:rPr>
                      <w:rFonts w:ascii="Times New Roman"/>
                      <w:b/>
                      <w:w w:val="101"/>
                      <w:sz w:val="14"/>
                    </w:rPr>
                    <w:t>e</w:t>
                  </w:r>
                  <w:r>
                    <w:rPr>
                      <w:rFonts w:ascii="Times New Roman"/>
                      <w:b/>
                      <w:w w:val="101"/>
                      <w:sz w:val="14"/>
                    </w:rPr>
                    <w:t>t</w:t>
                  </w:r>
                  <w:r>
                    <w:rPr>
                      <w:rFonts w:ascii="Times New Roman"/>
                      <w:b/>
                      <w:spacing w:val="-1"/>
                      <w:w w:val="101"/>
                      <w:sz w:val="14"/>
                    </w:rPr>
                    <w:t>u</w:t>
                  </w:r>
                  <w:r>
                    <w:rPr>
                      <w:rFonts w:ascii="Times New Roman"/>
                      <w:b/>
                      <w:w w:val="101"/>
                      <w:sz w:val="14"/>
                    </w:rPr>
                    <w:t>r</w:t>
                  </w:r>
                  <w:r>
                    <w:rPr>
                      <w:rFonts w:ascii="Times New Roman"/>
                      <w:b/>
                      <w:w w:val="101"/>
                      <w:sz w:val="14"/>
                    </w:rPr>
                    <w:t>n</w:t>
                  </w:r>
                </w:p>
              </w:txbxContent>
            </v:textbox>
            <w10:wrap type="none"/>
          </v:shape>
        </w:pict>
      </w:r>
      <w:r>
        <w:rPr>
          <w:rFonts w:ascii="Times New Roman"/>
          <w:sz w:val="14"/>
        </w:rPr>
        <w:t>12.0%</w:t>
      </w:r>
    </w:p>
    <w:p>
      <w:pPr>
        <w:pStyle w:val="BodyText"/>
        <w:spacing w:before="5"/>
        <w:rPr>
          <w:rFonts w:ascii="Times New Roman"/>
          <w:sz w:val="12"/>
        </w:rPr>
      </w:pPr>
    </w:p>
    <w:p>
      <w:pPr>
        <w:spacing w:before="0"/>
        <w:ind w:left="1706" w:right="0" w:firstLine="0"/>
        <w:jc w:val="left"/>
        <w:rPr>
          <w:rFonts w:ascii="Times New Roman"/>
          <w:sz w:val="14"/>
        </w:rPr>
      </w:pPr>
      <w:r>
        <w:rPr>
          <w:rFonts w:ascii="Times New Roman"/>
          <w:sz w:val="14"/>
        </w:rPr>
        <w:t>10.0%</w:t>
      </w:r>
    </w:p>
    <w:p>
      <w:pPr>
        <w:pStyle w:val="BodyText"/>
        <w:spacing w:before="5"/>
        <w:rPr>
          <w:rFonts w:ascii="Times New Roman"/>
          <w:sz w:val="12"/>
        </w:rPr>
      </w:pPr>
    </w:p>
    <w:p>
      <w:pPr>
        <w:spacing w:before="0"/>
        <w:ind w:left="1777" w:right="0" w:firstLine="0"/>
        <w:jc w:val="left"/>
        <w:rPr>
          <w:rFonts w:ascii="Times New Roman"/>
          <w:sz w:val="14"/>
        </w:rPr>
      </w:pPr>
      <w:r>
        <w:rPr>
          <w:rFonts w:ascii="Times New Roman"/>
          <w:sz w:val="14"/>
        </w:rPr>
        <w:t>8.0%</w:t>
      </w:r>
    </w:p>
    <w:p>
      <w:pPr>
        <w:pStyle w:val="BodyText"/>
        <w:spacing w:before="5"/>
        <w:rPr>
          <w:rFonts w:ascii="Times New Roman"/>
          <w:sz w:val="12"/>
        </w:rPr>
      </w:pPr>
    </w:p>
    <w:p>
      <w:pPr>
        <w:spacing w:before="0"/>
        <w:ind w:left="1777" w:right="0" w:firstLine="0"/>
        <w:jc w:val="left"/>
        <w:rPr>
          <w:rFonts w:ascii="Times New Roman"/>
          <w:sz w:val="14"/>
        </w:rPr>
      </w:pPr>
      <w:r>
        <w:rPr>
          <w:rFonts w:ascii="Times New Roman"/>
          <w:sz w:val="14"/>
        </w:rPr>
        <w:t>6.0%</w:t>
      </w:r>
    </w:p>
    <w:p>
      <w:pPr>
        <w:pStyle w:val="BodyText"/>
        <w:spacing w:before="5"/>
        <w:rPr>
          <w:rFonts w:ascii="Times New Roman"/>
          <w:sz w:val="12"/>
        </w:rPr>
      </w:pPr>
    </w:p>
    <w:p>
      <w:pPr>
        <w:spacing w:before="0"/>
        <w:ind w:left="1777" w:right="0" w:firstLine="0"/>
        <w:jc w:val="left"/>
        <w:rPr>
          <w:rFonts w:ascii="Times New Roman"/>
          <w:sz w:val="14"/>
        </w:rPr>
      </w:pPr>
      <w:r>
        <w:rPr>
          <w:rFonts w:ascii="Times New Roman"/>
          <w:sz w:val="14"/>
        </w:rPr>
        <w:t>4.0%</w:t>
      </w:r>
    </w:p>
    <w:p>
      <w:pPr>
        <w:pStyle w:val="BodyText"/>
        <w:spacing w:before="5"/>
        <w:rPr>
          <w:rFonts w:ascii="Times New Roman"/>
          <w:sz w:val="12"/>
        </w:rPr>
      </w:pPr>
    </w:p>
    <w:p>
      <w:pPr>
        <w:spacing w:before="0"/>
        <w:ind w:left="1777" w:right="0" w:firstLine="0"/>
        <w:jc w:val="left"/>
        <w:rPr>
          <w:rFonts w:ascii="Times New Roman"/>
          <w:sz w:val="14"/>
        </w:rPr>
      </w:pPr>
      <w:r>
        <w:rPr>
          <w:rFonts w:ascii="Times New Roman"/>
          <w:sz w:val="14"/>
        </w:rPr>
        <w:t>2.0%</w:t>
      </w:r>
    </w:p>
    <w:p>
      <w:pPr>
        <w:pStyle w:val="BodyText"/>
        <w:spacing w:before="5"/>
        <w:rPr>
          <w:rFonts w:ascii="Times New Roman"/>
          <w:sz w:val="12"/>
        </w:rPr>
      </w:pPr>
    </w:p>
    <w:p>
      <w:pPr>
        <w:spacing w:before="0"/>
        <w:ind w:left="1777" w:right="0" w:firstLine="0"/>
        <w:jc w:val="left"/>
        <w:rPr>
          <w:rFonts w:ascii="Times New Roman"/>
          <w:sz w:val="14"/>
        </w:rPr>
      </w:pPr>
      <w:r>
        <w:rPr>
          <w:rFonts w:ascii="Times New Roman"/>
          <w:sz w:val="14"/>
        </w:rPr>
        <w:t>0.0%</w:t>
      </w:r>
    </w:p>
    <w:p>
      <w:pPr>
        <w:tabs>
          <w:tab w:pos="1052" w:val="left" w:leader="none"/>
          <w:tab w:pos="2069" w:val="left" w:leader="none"/>
          <w:tab w:pos="3121" w:val="left" w:leader="none"/>
          <w:tab w:pos="4174" w:val="left" w:leader="none"/>
          <w:tab w:pos="5226" w:val="left" w:leader="none"/>
        </w:tabs>
        <w:spacing w:before="5"/>
        <w:ind w:left="0" w:right="992" w:firstLine="0"/>
        <w:jc w:val="center"/>
        <w:rPr>
          <w:rFonts w:ascii="Times New Roman"/>
          <w:sz w:val="14"/>
        </w:rPr>
      </w:pPr>
      <w:r>
        <w:rPr>
          <w:rFonts w:ascii="Times New Roman"/>
          <w:sz w:val="14"/>
        </w:rPr>
        <w:t>0.0%</w:t>
        <w:tab/>
        <w:t>5.0%</w:t>
        <w:tab/>
        <w:t>10.0%</w:t>
        <w:tab/>
        <w:t>15.0%</w:t>
        <w:tab/>
        <w:t>20.0%</w:t>
        <w:tab/>
        <w:t>25.0%</w:t>
      </w:r>
    </w:p>
    <w:p>
      <w:pPr>
        <w:spacing w:before="113"/>
        <w:ind w:left="0" w:right="1115" w:firstLine="0"/>
        <w:jc w:val="center"/>
        <w:rPr>
          <w:rFonts w:ascii="Times New Roman"/>
          <w:b/>
          <w:sz w:val="14"/>
        </w:rPr>
      </w:pPr>
      <w:r>
        <w:rPr>
          <w:rFonts w:ascii="Times New Roman"/>
          <w:b/>
          <w:sz w:val="14"/>
        </w:rPr>
        <w:t>Standard Deviation</w:t>
      </w:r>
    </w:p>
    <w:p>
      <w:pPr>
        <w:pStyle w:val="BodyText"/>
        <w:spacing w:before="4"/>
        <w:rPr>
          <w:rFonts w:ascii="Times New Roman"/>
          <w:b/>
          <w:sz w:val="16"/>
        </w:rPr>
      </w:pPr>
    </w:p>
    <w:p>
      <w:pPr>
        <w:spacing w:before="74"/>
        <w:ind w:left="3358" w:right="0" w:firstLine="0"/>
        <w:jc w:val="left"/>
        <w:rPr>
          <w:sz w:val="20"/>
        </w:rPr>
      </w:pPr>
      <w:r>
        <w:rPr>
          <w:sz w:val="20"/>
        </w:rPr>
        <w:t>Fuente: Elaboración propia</w:t>
      </w:r>
    </w:p>
    <w:p>
      <w:pPr>
        <w:pStyle w:val="BodyText"/>
        <w:rPr>
          <w:sz w:val="20"/>
        </w:rPr>
      </w:pPr>
    </w:p>
    <w:p>
      <w:pPr>
        <w:pStyle w:val="BodyText"/>
        <w:spacing w:line="360" w:lineRule="auto" w:before="129"/>
        <w:ind w:left="142" w:right="1695" w:firstLine="707"/>
        <w:jc w:val="both"/>
      </w:pPr>
      <w:r>
        <w:rPr/>
        <w:t>Una línea recta que une un punto X con </w:t>
      </w:r>
      <w:r>
        <w:rPr>
          <w:i/>
        </w:rPr>
        <w:t>cualquier </w:t>
      </w:r>
      <w:r>
        <w:rPr/>
        <w:t>punto de la curva representa una </w:t>
      </w:r>
      <w:r>
        <w:rPr>
          <w:i/>
        </w:rPr>
        <w:t>línea de compensación riesgo-rendimiento </w:t>
      </w:r>
      <w:r>
        <w:rPr/>
        <w:t>que incluye una combinación en particular de dos activos con riesgo y el activo sin riesgo (Cetes). La línea de compensación más alta que podemos obtener es la que une los</w:t>
      </w:r>
      <w:r>
        <w:rPr>
          <w:spacing w:val="-38"/>
        </w:rPr>
        <w:t> </w:t>
      </w:r>
      <w:r>
        <w:rPr/>
        <w:t>puntos es el que hace </w:t>
      </w:r>
      <w:r>
        <w:rPr>
          <w:i/>
        </w:rPr>
        <w:t>tangencia </w:t>
      </w:r>
      <w:r>
        <w:rPr/>
        <w:t>entre la línea recta y la curva. Esta cartera riesgosa se conoce como </w:t>
      </w:r>
      <w:r>
        <w:rPr>
          <w:i/>
        </w:rPr>
        <w:t>combinación óptima de activos riesgosos</w:t>
      </w:r>
      <w:r>
        <w:rPr/>
        <w:t>. Es la cartera de activos riesgosos que se combina después con el activo sin riesgo para lograr las carteras más</w:t>
      </w:r>
      <w:r>
        <w:rPr>
          <w:spacing w:val="-9"/>
        </w:rPr>
        <w:t> </w:t>
      </w:r>
      <w:r>
        <w:rPr/>
        <w:t>eficientes.</w:t>
      </w:r>
      <w:r>
        <w:rPr>
          <w:spacing w:val="-9"/>
        </w:rPr>
        <w:t> </w:t>
      </w:r>
      <w:r>
        <w:rPr/>
        <w:t>La</w:t>
      </w:r>
      <w:r>
        <w:rPr>
          <w:spacing w:val="-8"/>
        </w:rPr>
        <w:t> </w:t>
      </w:r>
      <w:r>
        <w:rPr/>
        <w:t>fórmula</w:t>
      </w:r>
      <w:r>
        <w:rPr>
          <w:spacing w:val="-9"/>
        </w:rPr>
        <w:t> </w:t>
      </w:r>
      <w:r>
        <w:rPr/>
        <w:t>para</w:t>
      </w:r>
      <w:r>
        <w:rPr>
          <w:spacing w:val="-9"/>
        </w:rPr>
        <w:t> </w:t>
      </w:r>
      <w:r>
        <w:rPr/>
        <w:t>encontrar</w:t>
      </w:r>
      <w:r>
        <w:rPr>
          <w:spacing w:val="-7"/>
        </w:rPr>
        <w:t> </w:t>
      </w:r>
      <w:r>
        <w:rPr/>
        <w:t>las</w:t>
      </w:r>
      <w:r>
        <w:rPr>
          <w:spacing w:val="-7"/>
        </w:rPr>
        <w:t> </w:t>
      </w:r>
      <w:r>
        <w:rPr/>
        <w:t>proporciones</w:t>
      </w:r>
      <w:r>
        <w:rPr>
          <w:spacing w:val="-9"/>
        </w:rPr>
        <w:t> </w:t>
      </w:r>
      <w:r>
        <w:rPr/>
        <w:t>de</w:t>
      </w:r>
      <w:r>
        <w:rPr>
          <w:spacing w:val="-6"/>
        </w:rPr>
        <w:t> </w:t>
      </w:r>
      <w:r>
        <w:rPr/>
        <w:t>la</w:t>
      </w:r>
      <w:r>
        <w:rPr>
          <w:spacing w:val="-9"/>
        </w:rPr>
        <w:t> </w:t>
      </w:r>
      <w:r>
        <w:rPr/>
        <w:t>cartera</w:t>
      </w:r>
      <w:r>
        <w:rPr>
          <w:spacing w:val="-9"/>
        </w:rPr>
        <w:t> </w:t>
      </w:r>
      <w:r>
        <w:rPr/>
        <w:t>en</w:t>
      </w:r>
      <w:r>
        <w:rPr>
          <w:spacing w:val="-8"/>
        </w:rPr>
        <w:t> </w:t>
      </w:r>
      <w:r>
        <w:rPr/>
        <w:t>el</w:t>
      </w:r>
      <w:r>
        <w:rPr>
          <w:spacing w:val="-10"/>
        </w:rPr>
        <w:t> </w:t>
      </w:r>
      <w:r>
        <w:rPr/>
        <w:t>punto de</w:t>
      </w:r>
      <w:r>
        <w:rPr>
          <w:spacing w:val="-4"/>
        </w:rPr>
        <w:t> </w:t>
      </w:r>
      <w:r>
        <w:rPr/>
        <w:t>tangencia:</w:t>
      </w:r>
    </w:p>
    <w:p>
      <w:pPr>
        <w:spacing w:after="0" w:line="360" w:lineRule="auto"/>
        <w:jc w:val="both"/>
        <w:sectPr>
          <w:pgSz w:w="12240" w:h="15840"/>
          <w:pgMar w:header="731" w:footer="737" w:top="1180" w:bottom="920" w:left="1560" w:right="0"/>
        </w:sectPr>
      </w:pPr>
    </w:p>
    <w:p>
      <w:pPr>
        <w:spacing w:line="319" w:lineRule="exact" w:before="130"/>
        <w:ind w:left="3087" w:right="2" w:firstLine="0"/>
        <w:jc w:val="left"/>
        <w:rPr>
          <w:rFonts w:ascii="Times New Roman" w:hAnsi="Times New Roman"/>
          <w:i/>
          <w:sz w:val="24"/>
        </w:rPr>
      </w:pPr>
      <w:r>
        <w:rPr>
          <w:rFonts w:ascii="Symbol" w:hAnsi="Symbol"/>
          <w:spacing w:val="3"/>
          <w:sz w:val="37"/>
        </w:rPr>
        <w:t></w:t>
      </w:r>
      <w:r>
        <w:rPr>
          <w:rFonts w:ascii="Times New Roman" w:hAnsi="Times New Roman"/>
          <w:i/>
          <w:spacing w:val="3"/>
          <w:sz w:val="24"/>
        </w:rPr>
        <w:t>E</w:t>
      </w:r>
      <w:r>
        <w:rPr>
          <w:rFonts w:ascii="Times New Roman" w:hAnsi="Times New Roman"/>
          <w:spacing w:val="3"/>
          <w:sz w:val="24"/>
        </w:rPr>
        <w:t>(</w:t>
      </w:r>
      <w:r>
        <w:rPr>
          <w:rFonts w:ascii="Times New Roman" w:hAnsi="Times New Roman"/>
          <w:i/>
          <w:spacing w:val="3"/>
          <w:sz w:val="24"/>
        </w:rPr>
        <w:t>r</w:t>
      </w:r>
      <w:r>
        <w:rPr>
          <w:rFonts w:ascii="Times New Roman" w:hAnsi="Times New Roman"/>
          <w:i/>
          <w:spacing w:val="-21"/>
          <w:sz w:val="24"/>
        </w:rPr>
        <w:t> </w:t>
      </w:r>
      <w:r>
        <w:rPr>
          <w:rFonts w:ascii="Times New Roman" w:hAnsi="Times New Roman"/>
          <w:sz w:val="24"/>
        </w:rPr>
        <w:t>)</w:t>
      </w:r>
      <w:r>
        <w:rPr>
          <w:rFonts w:ascii="Times New Roman" w:hAnsi="Times New Roman"/>
          <w:spacing w:val="-21"/>
          <w:sz w:val="24"/>
        </w:rPr>
        <w:t> </w:t>
      </w:r>
      <w:r>
        <w:rPr>
          <w:rFonts w:ascii="Symbol" w:hAnsi="Symbol"/>
          <w:sz w:val="24"/>
        </w:rPr>
        <w:t></w:t>
      </w:r>
      <w:r>
        <w:rPr>
          <w:rFonts w:ascii="Times New Roman" w:hAnsi="Times New Roman"/>
          <w:spacing w:val="-20"/>
          <w:sz w:val="24"/>
        </w:rPr>
        <w:t> </w:t>
      </w:r>
      <w:r>
        <w:rPr>
          <w:rFonts w:ascii="Times New Roman" w:hAnsi="Times New Roman"/>
          <w:i/>
          <w:sz w:val="24"/>
        </w:rPr>
        <w:t>r</w:t>
      </w:r>
      <w:r>
        <w:rPr>
          <w:rFonts w:ascii="Times New Roman" w:hAnsi="Times New Roman"/>
          <w:i/>
          <w:spacing w:val="28"/>
          <w:sz w:val="24"/>
        </w:rPr>
        <w:t> </w:t>
      </w:r>
      <w:r>
        <w:rPr>
          <w:rFonts w:ascii="Symbol" w:hAnsi="Symbol"/>
          <w:spacing w:val="7"/>
          <w:sz w:val="37"/>
        </w:rPr>
        <w:t></w:t>
      </w:r>
      <w:r>
        <w:rPr>
          <w:rFonts w:ascii="Symbol" w:hAnsi="Symbol"/>
          <w:spacing w:val="7"/>
          <w:sz w:val="24"/>
        </w:rPr>
        <w:t></w:t>
      </w:r>
      <w:r>
        <w:rPr>
          <w:rFonts w:ascii="Symbol" w:hAnsi="Symbol"/>
          <w:i/>
          <w:spacing w:val="7"/>
          <w:sz w:val="25"/>
        </w:rPr>
        <w:t></w:t>
      </w:r>
      <w:r>
        <w:rPr>
          <w:rFonts w:ascii="Times New Roman" w:hAnsi="Times New Roman"/>
          <w:i/>
          <w:spacing w:val="-27"/>
          <w:sz w:val="25"/>
        </w:rPr>
        <w:t> </w:t>
      </w:r>
      <w:r>
        <w:rPr>
          <w:rFonts w:ascii="Times New Roman" w:hAnsi="Times New Roman"/>
          <w:position w:val="11"/>
          <w:sz w:val="14"/>
        </w:rPr>
        <w:t>2</w:t>
      </w:r>
      <w:r>
        <w:rPr>
          <w:rFonts w:ascii="Times New Roman" w:hAnsi="Times New Roman"/>
          <w:spacing w:val="22"/>
          <w:position w:val="11"/>
          <w:sz w:val="14"/>
        </w:rPr>
        <w:t> </w:t>
      </w:r>
      <w:r>
        <w:rPr>
          <w:rFonts w:ascii="Symbol" w:hAnsi="Symbol"/>
          <w:sz w:val="24"/>
        </w:rPr>
        <w:t></w:t>
      </w:r>
      <w:r>
        <w:rPr>
          <w:rFonts w:ascii="Times New Roman" w:hAnsi="Times New Roman"/>
          <w:spacing w:val="-22"/>
          <w:sz w:val="24"/>
        </w:rPr>
        <w:t> </w:t>
      </w:r>
      <w:r>
        <w:rPr>
          <w:rFonts w:ascii="Symbol" w:hAnsi="Symbol"/>
          <w:spacing w:val="3"/>
          <w:sz w:val="37"/>
        </w:rPr>
        <w:t></w:t>
      </w:r>
      <w:r>
        <w:rPr>
          <w:rFonts w:ascii="Times New Roman" w:hAnsi="Times New Roman"/>
          <w:i/>
          <w:spacing w:val="3"/>
          <w:sz w:val="24"/>
        </w:rPr>
        <w:t>E</w:t>
      </w:r>
      <w:r>
        <w:rPr>
          <w:rFonts w:ascii="Times New Roman" w:hAnsi="Times New Roman"/>
          <w:spacing w:val="3"/>
          <w:sz w:val="24"/>
        </w:rPr>
        <w:t>(</w:t>
      </w:r>
      <w:r>
        <w:rPr>
          <w:rFonts w:ascii="Times New Roman" w:hAnsi="Times New Roman"/>
          <w:i/>
          <w:spacing w:val="3"/>
          <w:sz w:val="24"/>
        </w:rPr>
        <w:t>r</w:t>
      </w:r>
      <w:r>
        <w:rPr>
          <w:rFonts w:ascii="Times New Roman" w:hAnsi="Times New Roman"/>
          <w:i/>
          <w:spacing w:val="-2"/>
          <w:sz w:val="24"/>
        </w:rPr>
        <w:t> </w:t>
      </w:r>
      <w:r>
        <w:rPr>
          <w:rFonts w:ascii="Times New Roman" w:hAnsi="Times New Roman"/>
          <w:sz w:val="24"/>
        </w:rPr>
        <w:t>)</w:t>
      </w:r>
      <w:r>
        <w:rPr>
          <w:rFonts w:ascii="Times New Roman" w:hAnsi="Times New Roman"/>
          <w:spacing w:val="-20"/>
          <w:sz w:val="24"/>
        </w:rPr>
        <w:t> </w:t>
      </w:r>
      <w:r>
        <w:rPr>
          <w:rFonts w:ascii="Symbol" w:hAnsi="Symbol"/>
          <w:sz w:val="24"/>
        </w:rPr>
        <w:t></w:t>
      </w:r>
      <w:r>
        <w:rPr>
          <w:rFonts w:ascii="Times New Roman" w:hAnsi="Times New Roman"/>
          <w:sz w:val="24"/>
        </w:rPr>
        <w:t> </w:t>
      </w:r>
      <w:r>
        <w:rPr>
          <w:rFonts w:ascii="Times New Roman" w:hAnsi="Times New Roman"/>
          <w:i/>
          <w:sz w:val="24"/>
        </w:rPr>
        <w:t>r</w:t>
      </w:r>
    </w:p>
    <w:p>
      <w:pPr>
        <w:spacing w:line="319" w:lineRule="exact" w:before="130"/>
        <w:ind w:left="62" w:right="0" w:firstLine="0"/>
        <w:jc w:val="left"/>
        <w:rPr>
          <w:rFonts w:ascii="Symbol" w:hAnsi="Symbol"/>
          <w:i/>
          <w:sz w:val="25"/>
        </w:rPr>
      </w:pPr>
      <w:r>
        <w:rPr/>
        <w:br w:type="column"/>
      </w:r>
      <w:r>
        <w:rPr>
          <w:rFonts w:ascii="Symbol" w:hAnsi="Symbol"/>
          <w:sz w:val="37"/>
        </w:rPr>
        <w:t></w:t>
      </w:r>
      <w:r>
        <w:rPr>
          <w:rFonts w:ascii="Symbol" w:hAnsi="Symbol"/>
          <w:sz w:val="24"/>
        </w:rPr>
        <w:t></w:t>
      </w:r>
      <w:r>
        <w:rPr>
          <w:rFonts w:ascii="Times New Roman" w:hAnsi="Times New Roman"/>
          <w:sz w:val="24"/>
        </w:rPr>
        <w:t> </w:t>
      </w:r>
      <w:r>
        <w:rPr>
          <w:rFonts w:ascii="Symbol" w:hAnsi="Symbol"/>
          <w:i/>
          <w:sz w:val="25"/>
        </w:rPr>
        <w:t></w:t>
      </w:r>
      <w:r>
        <w:rPr>
          <w:rFonts w:ascii="Times New Roman" w:hAnsi="Times New Roman"/>
          <w:i/>
          <w:sz w:val="25"/>
        </w:rPr>
        <w:t> </w:t>
      </w:r>
      <w:r>
        <w:rPr>
          <w:rFonts w:ascii="Symbol" w:hAnsi="Symbol"/>
          <w:i/>
          <w:sz w:val="25"/>
        </w:rPr>
        <w:t></w:t>
      </w:r>
    </w:p>
    <w:p>
      <w:pPr>
        <w:spacing w:after="0" w:line="319" w:lineRule="exact"/>
        <w:jc w:val="left"/>
        <w:rPr>
          <w:rFonts w:ascii="Symbol" w:hAnsi="Symbol"/>
          <w:sz w:val="25"/>
        </w:rPr>
        <w:sectPr>
          <w:type w:val="continuous"/>
          <w:pgSz w:w="12240" w:h="15840"/>
          <w:pgMar w:top="720" w:bottom="280" w:left="1560" w:right="0"/>
          <w:cols w:num="2" w:equalWidth="0">
            <w:col w:w="5601" w:space="40"/>
            <w:col w:w="5039"/>
          </w:cols>
        </w:sectPr>
      </w:pPr>
    </w:p>
    <w:p>
      <w:pPr>
        <w:tabs>
          <w:tab w:pos="3465" w:val="left" w:leader="none"/>
          <w:tab w:pos="3949" w:val="left" w:leader="none"/>
          <w:tab w:pos="4454" w:val="right" w:leader="none"/>
        </w:tabs>
        <w:spacing w:line="151" w:lineRule="exact" w:before="0"/>
        <w:ind w:left="1221" w:right="0" w:firstLine="0"/>
        <w:jc w:val="left"/>
        <w:rPr>
          <w:rFonts w:ascii="Times New Roman" w:hAnsi="Times New Roman"/>
          <w:sz w:val="14"/>
        </w:rPr>
      </w:pPr>
      <w:r>
        <w:rPr>
          <w:rFonts w:ascii="Times New Roman" w:hAnsi="Times New Roman"/>
          <w:i/>
          <w:position w:val="-10"/>
          <w:sz w:val="24"/>
        </w:rPr>
        <w:t>w</w:t>
      </w:r>
      <w:r>
        <w:rPr>
          <w:rFonts w:ascii="Times New Roman" w:hAnsi="Times New Roman"/>
          <w:i/>
          <w:spacing w:val="55"/>
          <w:position w:val="-10"/>
          <w:sz w:val="24"/>
        </w:rPr>
        <w:t> </w:t>
      </w:r>
      <w:r>
        <w:rPr>
          <w:rFonts w:ascii="Symbol" w:hAnsi="Symbol"/>
          <w:position w:val="-10"/>
          <w:sz w:val="24"/>
        </w:rPr>
        <w:t></w:t>
      </w:r>
      <w:r>
        <w:rPr>
          <w:rFonts w:ascii="Times New Roman" w:hAnsi="Times New Roman"/>
          <w:position w:val="-10"/>
          <w:sz w:val="24"/>
        </w:rPr>
        <w:tab/>
      </w:r>
      <w:r>
        <w:rPr>
          <w:rFonts w:ascii="Times New Roman" w:hAnsi="Times New Roman"/>
          <w:sz w:val="14"/>
        </w:rPr>
        <w:t>1</w:t>
        <w:tab/>
      </w:r>
      <w:r>
        <w:rPr>
          <w:rFonts w:ascii="Times New Roman" w:hAnsi="Times New Roman"/>
          <w:i/>
          <w:sz w:val="14"/>
        </w:rPr>
        <w:t>f</w:t>
      </w:r>
      <w:r>
        <w:rPr>
          <w:rFonts w:ascii="Times New Roman" w:hAnsi="Times New Roman"/>
          <w:sz w:val="14"/>
        </w:rPr>
        <w:tab/>
        <w:t>2</w:t>
      </w:r>
    </w:p>
    <w:p>
      <w:pPr>
        <w:tabs>
          <w:tab w:pos="1104" w:val="left" w:leader="none"/>
          <w:tab w:pos="1678" w:val="left" w:leader="none"/>
        </w:tabs>
        <w:spacing w:line="144" w:lineRule="exact" w:before="0"/>
        <w:ind w:left="610" w:right="0" w:firstLine="0"/>
        <w:jc w:val="left"/>
        <w:rPr>
          <w:rFonts w:ascii="Times New Roman"/>
          <w:sz w:val="14"/>
        </w:rPr>
      </w:pPr>
      <w:r>
        <w:rPr/>
        <w:br w:type="column"/>
      </w:r>
      <w:r>
        <w:rPr>
          <w:rFonts w:ascii="Times New Roman"/>
          <w:sz w:val="14"/>
        </w:rPr>
        <w:t>2</w:t>
        <w:tab/>
      </w:r>
      <w:r>
        <w:rPr>
          <w:rFonts w:ascii="Times New Roman"/>
          <w:i/>
          <w:sz w:val="14"/>
        </w:rPr>
        <w:t>f</w:t>
        <w:tab/>
      </w:r>
      <w:r>
        <w:rPr>
          <w:rFonts w:ascii="Times New Roman"/>
          <w:sz w:val="14"/>
        </w:rPr>
        <w:t>1   </w:t>
      </w:r>
      <w:r>
        <w:rPr>
          <w:rFonts w:ascii="Times New Roman"/>
          <w:spacing w:val="10"/>
          <w:sz w:val="14"/>
        </w:rPr>
        <w:t> </w:t>
      </w:r>
      <w:r>
        <w:rPr>
          <w:rFonts w:ascii="Times New Roman"/>
          <w:sz w:val="14"/>
        </w:rPr>
        <w:t>2</w:t>
      </w:r>
    </w:p>
    <w:p>
      <w:pPr>
        <w:spacing w:after="0" w:line="144" w:lineRule="exact"/>
        <w:jc w:val="left"/>
        <w:rPr>
          <w:rFonts w:ascii="Times New Roman"/>
          <w:sz w:val="14"/>
        </w:rPr>
        <w:sectPr>
          <w:type w:val="continuous"/>
          <w:pgSz w:w="12240" w:h="15840"/>
          <w:pgMar w:top="720" w:bottom="280" w:left="1560" w:right="0"/>
          <w:cols w:num="2" w:equalWidth="0">
            <w:col w:w="4455" w:space="40"/>
            <w:col w:w="6185"/>
          </w:cols>
        </w:sectPr>
      </w:pPr>
    </w:p>
    <w:p>
      <w:pPr>
        <w:tabs>
          <w:tab w:pos="1703" w:val="left" w:leader="none"/>
        </w:tabs>
        <w:spacing w:line="256" w:lineRule="exact" w:before="0"/>
        <w:ind w:left="1362" w:right="0" w:firstLine="0"/>
        <w:jc w:val="left"/>
        <w:rPr>
          <w:rFonts w:ascii="Times New Roman" w:hAnsi="Times New Roman"/>
          <w:i/>
          <w:sz w:val="24"/>
        </w:rPr>
      </w:pPr>
      <w:r>
        <w:rPr/>
        <w:pict>
          <v:line style="position:absolute;mso-position-horizontal-relative:page;mso-position-vertical-relative:paragraph;z-index:-97168" from="162.733841pt,1.027703pt" to="472.282436pt,1.027703pt" stroked="true" strokeweight=".138945pt" strokecolor="#000000">
            <w10:wrap type="none"/>
          </v:line>
        </w:pict>
      </w:r>
      <w:r>
        <w:rPr>
          <w:rFonts w:ascii="Times New Roman" w:hAnsi="Times New Roman"/>
          <w:position w:val="17"/>
          <w:sz w:val="14"/>
        </w:rPr>
        <w:t>1</w:t>
        <w:tab/>
      </w:r>
      <w:r>
        <w:rPr>
          <w:rFonts w:ascii="Symbol" w:hAnsi="Symbol"/>
          <w:spacing w:val="3"/>
          <w:sz w:val="37"/>
        </w:rPr>
        <w:t></w:t>
      </w:r>
      <w:r>
        <w:rPr>
          <w:rFonts w:ascii="Times New Roman" w:hAnsi="Times New Roman"/>
          <w:i/>
          <w:spacing w:val="3"/>
          <w:sz w:val="24"/>
        </w:rPr>
        <w:t>E</w:t>
      </w:r>
      <w:r>
        <w:rPr>
          <w:rFonts w:ascii="Times New Roman" w:hAnsi="Times New Roman"/>
          <w:spacing w:val="3"/>
          <w:sz w:val="24"/>
        </w:rPr>
        <w:t>(</w:t>
      </w:r>
      <w:r>
        <w:rPr>
          <w:rFonts w:ascii="Times New Roman" w:hAnsi="Times New Roman"/>
          <w:i/>
          <w:spacing w:val="3"/>
          <w:sz w:val="24"/>
        </w:rPr>
        <w:t>r</w:t>
      </w:r>
      <w:r>
        <w:rPr>
          <w:rFonts w:ascii="Times New Roman" w:hAnsi="Times New Roman"/>
          <w:i/>
          <w:spacing w:val="-28"/>
          <w:sz w:val="24"/>
        </w:rPr>
        <w:t> </w:t>
      </w:r>
      <w:r>
        <w:rPr>
          <w:rFonts w:ascii="Times New Roman" w:hAnsi="Times New Roman"/>
          <w:sz w:val="24"/>
        </w:rPr>
        <w:t>)</w:t>
      </w:r>
      <w:r>
        <w:rPr>
          <w:rFonts w:ascii="Times New Roman" w:hAnsi="Times New Roman"/>
          <w:spacing w:val="-28"/>
          <w:sz w:val="24"/>
        </w:rPr>
        <w:t> </w:t>
      </w:r>
      <w:r>
        <w:rPr>
          <w:rFonts w:ascii="Symbol" w:hAnsi="Symbol"/>
          <w:sz w:val="24"/>
        </w:rPr>
        <w:t></w:t>
      </w:r>
      <w:r>
        <w:rPr>
          <w:rFonts w:ascii="Times New Roman" w:hAnsi="Times New Roman"/>
          <w:spacing w:val="-27"/>
          <w:sz w:val="24"/>
        </w:rPr>
        <w:t> </w:t>
      </w:r>
      <w:r>
        <w:rPr>
          <w:rFonts w:ascii="Times New Roman" w:hAnsi="Times New Roman"/>
          <w:i/>
          <w:sz w:val="24"/>
        </w:rPr>
        <w:t>r</w:t>
      </w:r>
    </w:p>
    <w:p>
      <w:pPr>
        <w:spacing w:line="256" w:lineRule="exact" w:before="0"/>
        <w:ind w:left="62" w:right="0" w:firstLine="0"/>
        <w:jc w:val="left"/>
        <w:rPr>
          <w:rFonts w:ascii="Times New Roman" w:hAnsi="Times New Roman"/>
          <w:i/>
          <w:sz w:val="24"/>
        </w:rPr>
      </w:pPr>
      <w:r>
        <w:rPr/>
        <w:br w:type="column"/>
      </w:r>
      <w:r>
        <w:rPr>
          <w:rFonts w:ascii="Symbol" w:hAnsi="Symbol"/>
          <w:sz w:val="37"/>
        </w:rPr>
        <w:t></w:t>
      </w:r>
      <w:r>
        <w:rPr>
          <w:rFonts w:ascii="Symbol" w:hAnsi="Symbol"/>
          <w:sz w:val="24"/>
        </w:rPr>
        <w:t></w:t>
      </w:r>
      <w:r>
        <w:rPr>
          <w:rFonts w:ascii="Symbol" w:hAnsi="Symbol"/>
          <w:i/>
          <w:sz w:val="25"/>
        </w:rPr>
        <w:t></w:t>
      </w:r>
      <w:r>
        <w:rPr>
          <w:rFonts w:ascii="Times New Roman" w:hAnsi="Times New Roman"/>
          <w:i/>
          <w:sz w:val="25"/>
        </w:rPr>
        <w:t> </w:t>
      </w:r>
      <w:r>
        <w:rPr>
          <w:rFonts w:ascii="Times New Roman" w:hAnsi="Times New Roman"/>
          <w:position w:val="11"/>
          <w:sz w:val="14"/>
        </w:rPr>
        <w:t>2  </w:t>
      </w:r>
      <w:r>
        <w:rPr>
          <w:rFonts w:ascii="Symbol" w:hAnsi="Symbol"/>
          <w:sz w:val="24"/>
        </w:rPr>
        <w:t></w:t>
      </w:r>
      <w:r>
        <w:rPr>
          <w:rFonts w:ascii="Times New Roman" w:hAnsi="Times New Roman"/>
          <w:sz w:val="24"/>
        </w:rPr>
        <w:t> </w:t>
      </w:r>
      <w:r>
        <w:rPr>
          <w:rFonts w:ascii="Symbol" w:hAnsi="Symbol"/>
          <w:sz w:val="37"/>
        </w:rPr>
        <w:t></w:t>
      </w:r>
      <w:r>
        <w:rPr>
          <w:rFonts w:ascii="Times New Roman" w:hAnsi="Times New Roman"/>
          <w:i/>
          <w:sz w:val="24"/>
        </w:rPr>
        <w:t>E</w:t>
      </w:r>
      <w:r>
        <w:rPr>
          <w:rFonts w:ascii="Times New Roman" w:hAnsi="Times New Roman"/>
          <w:sz w:val="24"/>
        </w:rPr>
        <w:t>(</w:t>
      </w:r>
      <w:r>
        <w:rPr>
          <w:rFonts w:ascii="Times New Roman" w:hAnsi="Times New Roman"/>
          <w:i/>
          <w:sz w:val="24"/>
        </w:rPr>
        <w:t>r </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r</w:t>
      </w:r>
    </w:p>
    <w:p>
      <w:pPr>
        <w:spacing w:line="256" w:lineRule="exact" w:before="0"/>
        <w:ind w:left="62" w:right="0" w:firstLine="0"/>
        <w:jc w:val="left"/>
        <w:rPr>
          <w:rFonts w:ascii="Times New Roman" w:hAnsi="Times New Roman"/>
          <w:i/>
          <w:sz w:val="24"/>
        </w:rPr>
      </w:pPr>
      <w:r>
        <w:rPr/>
        <w:br w:type="column"/>
      </w:r>
      <w:r>
        <w:rPr>
          <w:rFonts w:ascii="Symbol" w:hAnsi="Symbol"/>
          <w:sz w:val="37"/>
        </w:rPr>
        <w:t></w:t>
      </w:r>
      <w:r>
        <w:rPr>
          <w:rFonts w:ascii="Symbol" w:hAnsi="Symbol"/>
          <w:sz w:val="24"/>
        </w:rPr>
        <w:t></w:t>
      </w:r>
      <w:r>
        <w:rPr>
          <w:rFonts w:ascii="Symbol" w:hAnsi="Symbol"/>
          <w:i/>
          <w:sz w:val="25"/>
        </w:rPr>
        <w:t></w:t>
      </w:r>
      <w:r>
        <w:rPr>
          <w:rFonts w:ascii="Times New Roman" w:hAnsi="Times New Roman"/>
          <w:i/>
          <w:sz w:val="25"/>
        </w:rPr>
        <w:t> </w:t>
      </w:r>
      <w:r>
        <w:rPr>
          <w:rFonts w:ascii="Times New Roman" w:hAnsi="Times New Roman"/>
          <w:position w:val="11"/>
          <w:sz w:val="14"/>
        </w:rPr>
        <w:t>2 </w:t>
      </w:r>
      <w:r>
        <w:rPr>
          <w:rFonts w:ascii="Symbol" w:hAnsi="Symbol"/>
          <w:sz w:val="24"/>
        </w:rPr>
        <w:t></w:t>
      </w:r>
      <w:r>
        <w:rPr>
          <w:rFonts w:ascii="Times New Roman" w:hAnsi="Times New Roman"/>
          <w:sz w:val="24"/>
        </w:rPr>
        <w:t> </w:t>
      </w:r>
      <w:r>
        <w:rPr>
          <w:rFonts w:ascii="Symbol" w:hAnsi="Symbol"/>
          <w:sz w:val="37"/>
        </w:rPr>
        <w:t></w:t>
      </w:r>
      <w:r>
        <w:rPr>
          <w:rFonts w:ascii="Times New Roman" w:hAnsi="Times New Roman"/>
          <w:i/>
          <w:sz w:val="24"/>
        </w:rPr>
        <w:t>E</w:t>
      </w:r>
      <w:r>
        <w:rPr>
          <w:rFonts w:ascii="Times New Roman" w:hAnsi="Times New Roman"/>
          <w:sz w:val="24"/>
        </w:rPr>
        <w:t>(</w:t>
      </w:r>
      <w:r>
        <w:rPr>
          <w:rFonts w:ascii="Times New Roman" w:hAnsi="Times New Roman"/>
          <w:i/>
          <w:sz w:val="24"/>
        </w:rPr>
        <w:t>r </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r</w:t>
      </w:r>
    </w:p>
    <w:p>
      <w:pPr>
        <w:pStyle w:val="ListParagraph"/>
        <w:numPr>
          <w:ilvl w:val="0"/>
          <w:numId w:val="12"/>
        </w:numPr>
        <w:tabs>
          <w:tab w:pos="285" w:val="left" w:leader="none"/>
        </w:tabs>
        <w:spacing w:line="188" w:lineRule="exact" w:before="68" w:after="0"/>
        <w:ind w:left="284" w:right="0" w:hanging="187"/>
        <w:jc w:val="left"/>
        <w:rPr>
          <w:rFonts w:ascii="Times New Roman" w:hAnsi="Times New Roman"/>
          <w:i/>
          <w:sz w:val="24"/>
        </w:rPr>
      </w:pPr>
      <w:r>
        <w:rPr>
          <w:rFonts w:ascii="Times New Roman" w:hAnsi="Times New Roman"/>
          <w:i/>
          <w:spacing w:val="14"/>
          <w:w w:val="101"/>
          <w:sz w:val="24"/>
        </w:rPr>
        <w:br w:type="column"/>
      </w:r>
      <w:r>
        <w:rPr>
          <w:rFonts w:ascii="Times New Roman" w:hAnsi="Times New Roman"/>
          <w:i/>
          <w:spacing w:val="8"/>
          <w:sz w:val="24"/>
        </w:rPr>
        <w:t>E</w:t>
      </w:r>
      <w:r>
        <w:rPr>
          <w:rFonts w:ascii="Times New Roman" w:hAnsi="Times New Roman"/>
          <w:spacing w:val="8"/>
          <w:sz w:val="24"/>
        </w:rPr>
        <w:t>(</w:t>
      </w:r>
      <w:r>
        <w:rPr>
          <w:rFonts w:ascii="Times New Roman" w:hAnsi="Times New Roman"/>
          <w:i/>
          <w:spacing w:val="8"/>
          <w:sz w:val="24"/>
        </w:rPr>
        <w:t>r </w:t>
      </w:r>
      <w:r>
        <w:rPr>
          <w:rFonts w:ascii="Times New Roman" w:hAnsi="Times New Roman"/>
          <w:sz w:val="24"/>
        </w:rPr>
        <w:t>) </w:t>
      </w:r>
      <w:r>
        <w:rPr>
          <w:rFonts w:ascii="Symbol" w:hAnsi="Symbol"/>
          <w:sz w:val="24"/>
        </w:rPr>
        <w:t></w:t>
      </w:r>
      <w:r>
        <w:rPr>
          <w:rFonts w:ascii="Times New Roman" w:hAnsi="Times New Roman"/>
          <w:spacing w:val="-25"/>
          <w:sz w:val="24"/>
        </w:rPr>
        <w:t> </w:t>
      </w:r>
      <w:r>
        <w:rPr>
          <w:rFonts w:ascii="Times New Roman" w:hAnsi="Times New Roman"/>
          <w:i/>
          <w:sz w:val="24"/>
        </w:rPr>
        <w:t>r</w:t>
      </w:r>
    </w:p>
    <w:p>
      <w:pPr>
        <w:spacing w:line="256" w:lineRule="exact" w:before="0"/>
        <w:ind w:left="62" w:right="0" w:firstLine="0"/>
        <w:jc w:val="left"/>
        <w:rPr>
          <w:rFonts w:ascii="Symbol" w:hAnsi="Symbol"/>
          <w:i/>
          <w:sz w:val="25"/>
        </w:rPr>
      </w:pPr>
      <w:r>
        <w:rPr/>
        <w:br w:type="column"/>
      </w:r>
      <w:r>
        <w:rPr>
          <w:rFonts w:ascii="Symbol" w:hAnsi="Symbol"/>
          <w:sz w:val="37"/>
        </w:rPr>
        <w:t></w:t>
      </w:r>
      <w:r>
        <w:rPr>
          <w:rFonts w:ascii="Symbol" w:hAnsi="Symbol"/>
          <w:sz w:val="24"/>
        </w:rPr>
        <w:t></w:t>
      </w:r>
      <w:r>
        <w:rPr>
          <w:rFonts w:ascii="Times New Roman" w:hAnsi="Times New Roman"/>
          <w:sz w:val="24"/>
        </w:rPr>
        <w:t> </w:t>
      </w:r>
      <w:r>
        <w:rPr>
          <w:rFonts w:ascii="Symbol" w:hAnsi="Symbol"/>
          <w:i/>
          <w:sz w:val="25"/>
        </w:rPr>
        <w:t></w:t>
      </w:r>
      <w:r>
        <w:rPr>
          <w:rFonts w:ascii="Times New Roman" w:hAnsi="Times New Roman"/>
          <w:i/>
          <w:sz w:val="25"/>
        </w:rPr>
        <w:t> </w:t>
      </w:r>
      <w:r>
        <w:rPr>
          <w:rFonts w:ascii="Symbol" w:hAnsi="Symbol"/>
          <w:i/>
          <w:sz w:val="25"/>
        </w:rPr>
        <w:t></w:t>
      </w:r>
    </w:p>
    <w:p>
      <w:pPr>
        <w:spacing w:after="0" w:line="256" w:lineRule="exact"/>
        <w:jc w:val="left"/>
        <w:rPr>
          <w:rFonts w:ascii="Symbol" w:hAnsi="Symbol"/>
          <w:sz w:val="25"/>
        </w:rPr>
        <w:sectPr>
          <w:type w:val="continuous"/>
          <w:pgSz w:w="12240" w:h="15840"/>
          <w:pgMar w:top="720" w:bottom="280" w:left="1560" w:right="0"/>
          <w:cols w:num="5" w:equalWidth="0">
            <w:col w:w="2566" w:space="40"/>
            <w:col w:w="1614" w:space="40"/>
            <w:col w:w="1587" w:space="40"/>
            <w:col w:w="1100" w:space="40"/>
            <w:col w:w="3653"/>
          </w:cols>
        </w:sectPr>
      </w:pPr>
    </w:p>
    <w:p>
      <w:pPr>
        <w:tabs>
          <w:tab w:pos="483" w:val="left" w:leader="none"/>
          <w:tab w:pos="988" w:val="right" w:leader="none"/>
        </w:tabs>
        <w:spacing w:line="144" w:lineRule="exact" w:before="0"/>
        <w:ind w:left="0" w:right="0" w:firstLine="0"/>
        <w:jc w:val="right"/>
        <w:rPr>
          <w:rFonts w:ascii="Times New Roman"/>
          <w:sz w:val="14"/>
        </w:rPr>
      </w:pPr>
      <w:r>
        <w:rPr>
          <w:rFonts w:ascii="Times New Roman"/>
          <w:sz w:val="14"/>
        </w:rPr>
        <w:t>1</w:t>
        <w:tab/>
      </w:r>
      <w:r>
        <w:rPr>
          <w:rFonts w:ascii="Times New Roman"/>
          <w:i/>
          <w:sz w:val="14"/>
        </w:rPr>
        <w:t>f</w:t>
      </w:r>
      <w:r>
        <w:rPr>
          <w:rFonts w:ascii="Times New Roman"/>
          <w:sz w:val="14"/>
        </w:rPr>
        <w:tab/>
        <w:t>2</w:t>
      </w:r>
    </w:p>
    <w:p>
      <w:pPr>
        <w:spacing w:before="62"/>
        <w:ind w:left="1221" w:right="0" w:firstLine="0"/>
        <w:jc w:val="left"/>
        <w:rPr>
          <w:rFonts w:ascii="Times New Roman" w:hAnsi="Times New Roman"/>
          <w:sz w:val="14"/>
        </w:rPr>
      </w:pPr>
      <w:r>
        <w:rPr>
          <w:rFonts w:ascii="Times New Roman" w:hAnsi="Times New Roman"/>
          <w:i/>
          <w:sz w:val="24"/>
        </w:rPr>
        <w:t>w</w:t>
      </w:r>
      <w:r>
        <w:rPr>
          <w:rFonts w:ascii="Times New Roman" w:hAnsi="Times New Roman"/>
          <w:position w:val="-5"/>
          <w:sz w:val="14"/>
        </w:rPr>
        <w:t>2  </w:t>
      </w:r>
      <w:r>
        <w:rPr>
          <w:rFonts w:ascii="Symbol" w:hAnsi="Symbol"/>
          <w:sz w:val="24"/>
        </w:rPr>
        <w:t></w:t>
      </w:r>
      <w:r>
        <w:rPr>
          <w:rFonts w:ascii="Times New Roman" w:hAnsi="Times New Roman"/>
          <w:sz w:val="24"/>
        </w:rPr>
        <w:t> 1 </w:t>
      </w:r>
      <w:r>
        <w:rPr>
          <w:rFonts w:ascii="Symbol" w:hAnsi="Symbol"/>
          <w:sz w:val="24"/>
        </w:rPr>
        <w:t></w:t>
      </w:r>
      <w:r>
        <w:rPr>
          <w:rFonts w:ascii="Times New Roman" w:hAnsi="Times New Roman"/>
          <w:sz w:val="24"/>
        </w:rPr>
        <w:t> </w:t>
      </w:r>
      <w:r>
        <w:rPr>
          <w:rFonts w:ascii="Times New Roman" w:hAnsi="Times New Roman"/>
          <w:i/>
          <w:sz w:val="24"/>
        </w:rPr>
        <w:t>w</w:t>
      </w:r>
      <w:r>
        <w:rPr>
          <w:rFonts w:ascii="Times New Roman" w:hAnsi="Times New Roman"/>
          <w:position w:val="-5"/>
          <w:sz w:val="14"/>
        </w:rPr>
        <w:t>1</w:t>
      </w:r>
    </w:p>
    <w:p>
      <w:pPr>
        <w:tabs>
          <w:tab w:pos="1107" w:val="left" w:leader="none"/>
          <w:tab w:pos="1600" w:val="right" w:leader="none"/>
        </w:tabs>
        <w:spacing w:line="144" w:lineRule="exact" w:before="0"/>
        <w:ind w:left="613" w:right="0" w:firstLine="0"/>
        <w:jc w:val="left"/>
        <w:rPr>
          <w:rFonts w:ascii="Times New Roman"/>
          <w:sz w:val="14"/>
        </w:rPr>
      </w:pPr>
      <w:r>
        <w:rPr/>
        <w:br w:type="column"/>
      </w:r>
      <w:r>
        <w:rPr>
          <w:rFonts w:ascii="Times New Roman"/>
          <w:sz w:val="14"/>
        </w:rPr>
        <w:t>2</w:t>
        <w:tab/>
      </w:r>
      <w:r>
        <w:rPr>
          <w:rFonts w:ascii="Times New Roman"/>
          <w:i/>
          <w:sz w:val="14"/>
        </w:rPr>
        <w:t>f</w:t>
      </w:r>
      <w:r>
        <w:rPr>
          <w:rFonts w:ascii="Times New Roman"/>
          <w:sz w:val="14"/>
        </w:rPr>
        <w:tab/>
        <w:t>1</w:t>
      </w:r>
    </w:p>
    <w:p>
      <w:pPr>
        <w:tabs>
          <w:tab w:pos="1093" w:val="left" w:leader="none"/>
          <w:tab w:pos="1738" w:val="left" w:leader="none"/>
          <w:tab w:pos="2232" w:val="left" w:leader="none"/>
          <w:tab w:pos="2807" w:val="left" w:leader="none"/>
        </w:tabs>
        <w:spacing w:line="144" w:lineRule="exact" w:before="0"/>
        <w:ind w:left="610" w:right="0" w:firstLine="0"/>
        <w:jc w:val="left"/>
        <w:rPr>
          <w:rFonts w:ascii="Times New Roman"/>
          <w:sz w:val="14"/>
        </w:rPr>
      </w:pPr>
      <w:r>
        <w:rPr/>
        <w:br w:type="column"/>
      </w:r>
      <w:r>
        <w:rPr>
          <w:rFonts w:ascii="Times New Roman"/>
          <w:sz w:val="14"/>
        </w:rPr>
        <w:t>1</w:t>
        <w:tab/>
      </w:r>
      <w:r>
        <w:rPr>
          <w:rFonts w:ascii="Times New Roman"/>
          <w:i/>
          <w:sz w:val="14"/>
        </w:rPr>
        <w:t>f</w:t>
        <w:tab/>
      </w:r>
      <w:r>
        <w:rPr>
          <w:rFonts w:ascii="Times New Roman"/>
          <w:sz w:val="14"/>
        </w:rPr>
        <w:t>2</w:t>
        <w:tab/>
      </w:r>
      <w:r>
        <w:rPr>
          <w:rFonts w:ascii="Times New Roman"/>
          <w:i/>
          <w:sz w:val="14"/>
        </w:rPr>
        <w:t>f</w:t>
        <w:tab/>
      </w:r>
      <w:r>
        <w:rPr>
          <w:rFonts w:ascii="Times New Roman"/>
          <w:sz w:val="14"/>
        </w:rPr>
        <w:t>1   </w:t>
      </w:r>
      <w:r>
        <w:rPr>
          <w:rFonts w:ascii="Times New Roman"/>
          <w:spacing w:val="9"/>
          <w:sz w:val="14"/>
        </w:rPr>
        <w:t> </w:t>
      </w:r>
      <w:r>
        <w:rPr>
          <w:rFonts w:ascii="Times New Roman"/>
          <w:sz w:val="14"/>
        </w:rPr>
        <w:t>2</w:t>
      </w:r>
    </w:p>
    <w:p>
      <w:pPr>
        <w:spacing w:after="0" w:line="144" w:lineRule="exact"/>
        <w:jc w:val="left"/>
        <w:rPr>
          <w:rFonts w:ascii="Times New Roman"/>
          <w:sz w:val="14"/>
        </w:rPr>
        <w:sectPr>
          <w:type w:val="continuous"/>
          <w:pgSz w:w="12240" w:h="15840"/>
          <w:pgMar w:top="720" w:bottom="280" w:left="1560" w:right="0"/>
          <w:cols w:num="3" w:equalWidth="0">
            <w:col w:w="3071" w:space="40"/>
            <w:col w:w="1601" w:space="40"/>
            <w:col w:w="5928"/>
          </w:cols>
        </w:sectPr>
      </w:pPr>
    </w:p>
    <w:p>
      <w:pPr>
        <w:pStyle w:val="BodyText"/>
        <w:spacing w:before="373"/>
        <w:ind w:left="850"/>
      </w:pPr>
      <w:r>
        <w:rPr/>
        <w:t>Así, la nueva línea de compensación eficiente se da mediante la fórmula:</w:t>
      </w:r>
    </w:p>
    <w:p>
      <w:pPr>
        <w:spacing w:line="338" w:lineRule="exact" w:before="233"/>
        <w:ind w:left="3408" w:right="0" w:firstLine="0"/>
        <w:jc w:val="left"/>
        <w:rPr>
          <w:rFonts w:ascii="Symbol" w:hAnsi="Symbol"/>
          <w:sz w:val="39"/>
        </w:rPr>
      </w:pPr>
      <w:r>
        <w:rPr>
          <w:rFonts w:ascii="Times New Roman" w:hAnsi="Times New Roman"/>
          <w:i/>
          <w:sz w:val="24"/>
        </w:rPr>
        <w:t>E</w:t>
      </w:r>
      <w:r>
        <w:rPr>
          <w:rFonts w:ascii="Times New Roman" w:hAnsi="Times New Roman"/>
          <w:sz w:val="24"/>
        </w:rPr>
        <w:t>(</w:t>
      </w:r>
      <w:r>
        <w:rPr>
          <w:rFonts w:ascii="Times New Roman" w:hAnsi="Times New Roman"/>
          <w:i/>
          <w:sz w:val="24"/>
        </w:rPr>
        <w:t>r</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r  </w:t>
      </w:r>
      <w:r>
        <w:rPr>
          <w:rFonts w:ascii="Symbol" w:hAnsi="Symbol"/>
          <w:sz w:val="24"/>
        </w:rPr>
        <w:t></w:t>
      </w:r>
      <w:r>
        <w:rPr>
          <w:rFonts w:ascii="Times New Roman" w:hAnsi="Times New Roman"/>
          <w:sz w:val="24"/>
        </w:rPr>
        <w:t> </w:t>
      </w:r>
      <w:r>
        <w:rPr>
          <w:rFonts w:ascii="Times New Roman" w:hAnsi="Times New Roman"/>
          <w:i/>
          <w:sz w:val="24"/>
        </w:rPr>
        <w:t>w</w:t>
      </w:r>
      <w:r>
        <w:rPr>
          <w:rFonts w:ascii="Symbol" w:hAnsi="Symbol"/>
          <w:sz w:val="39"/>
        </w:rPr>
        <w:t></w:t>
      </w:r>
      <w:r>
        <w:rPr>
          <w:rFonts w:ascii="Times New Roman" w:hAnsi="Times New Roman"/>
          <w:i/>
          <w:sz w:val="24"/>
        </w:rPr>
        <w:t>E</w:t>
      </w:r>
      <w:r>
        <w:rPr>
          <w:rFonts w:ascii="Times New Roman" w:hAnsi="Times New Roman"/>
          <w:sz w:val="24"/>
        </w:rPr>
        <w:t>(</w:t>
      </w:r>
      <w:r>
        <w:rPr>
          <w:rFonts w:ascii="Times New Roman" w:hAnsi="Times New Roman"/>
          <w:i/>
          <w:sz w:val="24"/>
        </w:rPr>
        <w:t>r </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r </w:t>
      </w:r>
      <w:r>
        <w:rPr>
          <w:rFonts w:ascii="Symbol" w:hAnsi="Symbol"/>
          <w:sz w:val="39"/>
        </w:rPr>
        <w:t></w:t>
      </w:r>
    </w:p>
    <w:p>
      <w:pPr>
        <w:tabs>
          <w:tab w:pos="860" w:val="left" w:leader="none"/>
          <w:tab w:pos="1381" w:val="left" w:leader="none"/>
        </w:tabs>
        <w:spacing w:line="145" w:lineRule="exact" w:before="0"/>
        <w:ind w:left="0" w:right="882" w:firstLine="0"/>
        <w:jc w:val="center"/>
        <w:rPr>
          <w:rFonts w:ascii="Times New Roman"/>
          <w:i/>
          <w:sz w:val="14"/>
        </w:rPr>
      </w:pPr>
      <w:r>
        <w:rPr>
          <w:rFonts w:ascii="Times New Roman"/>
          <w:i/>
          <w:w w:val="105"/>
          <w:sz w:val="14"/>
        </w:rPr>
        <w:t>f</w:t>
        <w:tab/>
        <w:t>T</w:t>
        <w:tab/>
        <w:t>f</w:t>
      </w:r>
    </w:p>
    <w:p>
      <w:pPr>
        <w:spacing w:after="0" w:line="145" w:lineRule="exact"/>
        <w:jc w:val="center"/>
        <w:rPr>
          <w:rFonts w:ascii="Times New Roman"/>
          <w:sz w:val="14"/>
        </w:rPr>
        <w:sectPr>
          <w:type w:val="continuous"/>
          <w:pgSz w:w="12240" w:h="15840"/>
          <w:pgMar w:top="720" w:bottom="280" w:left="1560" w:right="0"/>
        </w:sectPr>
      </w:pPr>
    </w:p>
    <w:p>
      <w:pPr>
        <w:spacing w:before="567"/>
        <w:ind w:left="0" w:right="0" w:firstLine="0"/>
        <w:jc w:val="right"/>
        <w:rPr>
          <w:rFonts w:ascii="Times New Roman" w:hAnsi="Times New Roman"/>
          <w:i/>
          <w:sz w:val="13"/>
        </w:rPr>
      </w:pPr>
      <w:r>
        <w:rPr>
          <w:rFonts w:ascii="Symbol" w:hAnsi="Symbol"/>
          <w:w w:val="105"/>
          <w:sz w:val="23"/>
        </w:rPr>
        <w:t></w:t>
      </w:r>
      <w:r>
        <w:rPr>
          <w:rFonts w:ascii="Times New Roman" w:hAnsi="Times New Roman"/>
          <w:w w:val="105"/>
          <w:sz w:val="23"/>
        </w:rPr>
        <w:t> </w:t>
      </w:r>
      <w:r>
        <w:rPr>
          <w:rFonts w:ascii="Times New Roman" w:hAnsi="Times New Roman"/>
          <w:i/>
          <w:w w:val="105"/>
          <w:sz w:val="23"/>
        </w:rPr>
        <w:t>r</w:t>
      </w:r>
      <w:r>
        <w:rPr>
          <w:rFonts w:ascii="Times New Roman" w:hAnsi="Times New Roman"/>
          <w:i/>
          <w:w w:val="105"/>
          <w:position w:val="-5"/>
          <w:sz w:val="13"/>
        </w:rPr>
        <w:t>f</w:t>
      </w:r>
    </w:p>
    <w:p>
      <w:pPr>
        <w:spacing w:line="360" w:lineRule="exact" w:before="267"/>
        <w:ind w:left="0" w:right="5146" w:firstLine="0"/>
        <w:jc w:val="center"/>
        <w:rPr>
          <w:rFonts w:ascii="Symbol" w:hAnsi="Symbol"/>
          <w:sz w:val="36"/>
        </w:rPr>
      </w:pPr>
      <w:r>
        <w:rPr/>
        <w:br w:type="column"/>
      </w:r>
      <w:r>
        <w:rPr>
          <w:rFonts w:ascii="Symbol" w:hAnsi="Symbol"/>
          <w:sz w:val="36"/>
        </w:rPr>
        <w:t></w:t>
      </w:r>
      <w:r>
        <w:rPr>
          <w:rFonts w:ascii="Times New Roman" w:hAnsi="Times New Roman"/>
          <w:i/>
          <w:sz w:val="23"/>
        </w:rPr>
        <w:t>E</w:t>
      </w:r>
      <w:r>
        <w:rPr>
          <w:rFonts w:ascii="Times New Roman" w:hAnsi="Times New Roman"/>
          <w:sz w:val="23"/>
        </w:rPr>
        <w:t>(</w:t>
      </w:r>
      <w:r>
        <w:rPr>
          <w:rFonts w:ascii="Times New Roman" w:hAnsi="Times New Roman"/>
          <w:i/>
          <w:sz w:val="23"/>
        </w:rPr>
        <w:t>r </w:t>
      </w:r>
      <w:r>
        <w:rPr>
          <w:rFonts w:ascii="Times New Roman" w:hAnsi="Times New Roman"/>
          <w:sz w:val="23"/>
        </w:rPr>
        <w:t>) </w:t>
      </w:r>
      <w:r>
        <w:rPr>
          <w:rFonts w:ascii="Symbol" w:hAnsi="Symbol"/>
          <w:sz w:val="23"/>
        </w:rPr>
        <w:t></w:t>
      </w:r>
      <w:r>
        <w:rPr>
          <w:rFonts w:ascii="Times New Roman" w:hAnsi="Times New Roman"/>
          <w:sz w:val="23"/>
        </w:rPr>
        <w:t> </w:t>
      </w:r>
      <w:r>
        <w:rPr>
          <w:rFonts w:ascii="Times New Roman" w:hAnsi="Times New Roman"/>
          <w:i/>
          <w:sz w:val="23"/>
        </w:rPr>
        <w:t>r </w:t>
      </w:r>
      <w:r>
        <w:rPr>
          <w:rFonts w:ascii="Symbol" w:hAnsi="Symbol"/>
          <w:sz w:val="36"/>
        </w:rPr>
        <w:t></w:t>
      </w:r>
    </w:p>
    <w:p>
      <w:pPr>
        <w:tabs>
          <w:tab w:pos="1110" w:val="left" w:leader="none"/>
        </w:tabs>
        <w:spacing w:line="187" w:lineRule="exact" w:before="0"/>
        <w:ind w:left="0" w:right="5097" w:firstLine="0"/>
        <w:jc w:val="center"/>
        <w:rPr>
          <w:rFonts w:ascii="Symbol" w:hAnsi="Symbol"/>
          <w:i/>
          <w:sz w:val="25"/>
        </w:rPr>
      </w:pPr>
      <w:r>
        <w:rPr/>
        <w:pict>
          <v:line style="position:absolute;mso-position-horizontal-relative:page;mso-position-vertical-relative:paragraph;z-index:-97144" from="286.432617pt,5.871974pt" to="341.04214pt,5.871974pt" stroked="true" strokeweight=".137493pt" strokecolor="#000000">
            <w10:wrap type="none"/>
          </v:line>
        </w:pict>
      </w:r>
      <w:r>
        <w:rPr/>
        <w:pict>
          <v:shape style="position:absolute;margin-left:306.209015pt;margin-top:-2.516599pt;width:3.9pt;height:6.9pt;mso-position-horizontal-relative:page;mso-position-vertical-relative:paragraph;z-index:-97096" type="#_x0000_t202" filled="false" stroked="false">
            <v:textbox inset="0,0,0,0">
              <w:txbxContent>
                <w:p>
                  <w:pPr>
                    <w:spacing w:line="137" w:lineRule="exact" w:before="0"/>
                    <w:ind w:left="0" w:right="0" w:firstLine="0"/>
                    <w:jc w:val="left"/>
                    <w:rPr>
                      <w:rFonts w:ascii="Times New Roman"/>
                      <w:i/>
                      <w:sz w:val="13"/>
                    </w:rPr>
                  </w:pPr>
                  <w:r>
                    <w:rPr>
                      <w:rFonts w:ascii="Times New Roman"/>
                      <w:i/>
                      <w:w w:val="107"/>
                      <w:sz w:val="13"/>
                    </w:rPr>
                    <w:t>T</w:t>
                  </w:r>
                </w:p>
              </w:txbxContent>
            </v:textbox>
            <w10:wrap type="none"/>
          </v:shape>
        </w:pict>
      </w:r>
      <w:r>
        <w:rPr>
          <w:rFonts w:ascii="Symbol" w:hAnsi="Symbol"/>
          <w:w w:val="105"/>
          <w:sz w:val="23"/>
        </w:rPr>
        <w:t></w:t>
      </w:r>
      <w:r>
        <w:rPr>
          <w:rFonts w:ascii="Times New Roman" w:hAnsi="Times New Roman"/>
          <w:w w:val="105"/>
          <w:sz w:val="23"/>
        </w:rPr>
        <w:tab/>
      </w:r>
      <w:r>
        <w:rPr>
          <w:rFonts w:ascii="Times New Roman" w:hAnsi="Times New Roman"/>
          <w:i/>
          <w:w w:val="105"/>
          <w:position w:val="11"/>
          <w:sz w:val="13"/>
        </w:rPr>
        <w:t>f     </w:t>
      </w:r>
      <w:r>
        <w:rPr>
          <w:rFonts w:ascii="Symbol" w:hAnsi="Symbol"/>
          <w:spacing w:val="9"/>
          <w:w w:val="105"/>
          <w:sz w:val="23"/>
        </w:rPr>
        <w:t></w:t>
      </w:r>
      <w:r>
        <w:rPr>
          <w:rFonts w:ascii="Symbol" w:hAnsi="Symbol"/>
          <w:i/>
          <w:spacing w:val="9"/>
          <w:w w:val="105"/>
          <w:sz w:val="25"/>
        </w:rPr>
        <w:t></w:t>
      </w:r>
    </w:p>
    <w:p>
      <w:pPr>
        <w:spacing w:line="301" w:lineRule="exact" w:before="0"/>
        <w:ind w:left="0" w:right="5229" w:firstLine="0"/>
        <w:jc w:val="center"/>
        <w:rPr>
          <w:rFonts w:ascii="Times New Roman" w:hAnsi="Times New Roman"/>
          <w:i/>
          <w:sz w:val="13"/>
        </w:rPr>
      </w:pPr>
      <w:r>
        <w:rPr>
          <w:rFonts w:ascii="Symbol" w:hAnsi="Symbol"/>
          <w:i/>
          <w:w w:val="105"/>
          <w:sz w:val="25"/>
        </w:rPr>
        <w:t></w:t>
      </w:r>
      <w:r>
        <w:rPr>
          <w:rFonts w:ascii="Times New Roman" w:hAnsi="Times New Roman"/>
          <w:i/>
          <w:w w:val="105"/>
          <w:position w:val="-5"/>
          <w:sz w:val="13"/>
        </w:rPr>
        <w:t>T</w:t>
      </w:r>
    </w:p>
    <w:p>
      <w:pPr>
        <w:spacing w:after="0" w:line="301" w:lineRule="exact"/>
        <w:jc w:val="center"/>
        <w:rPr>
          <w:rFonts w:ascii="Times New Roman" w:hAnsi="Times New Roman"/>
          <w:sz w:val="13"/>
        </w:rPr>
        <w:sectPr>
          <w:type w:val="continuous"/>
          <w:pgSz w:w="12240" w:h="15840"/>
          <w:pgMar w:top="720" w:bottom="280" w:left="1560" w:right="0"/>
          <w:cols w:num="2" w:equalWidth="0">
            <w:col w:w="3877" w:space="40"/>
            <w:col w:w="6763"/>
          </w:cols>
        </w:sectPr>
      </w:pPr>
    </w:p>
    <w:p>
      <w:pPr>
        <w:pStyle w:val="BodyText"/>
        <w:rPr>
          <w:rFonts w:ascii="Times New Roman"/>
          <w:i/>
          <w:sz w:val="20"/>
        </w:rPr>
      </w:pPr>
    </w:p>
    <w:p>
      <w:pPr>
        <w:pStyle w:val="BodyText"/>
        <w:rPr>
          <w:rFonts w:ascii="Times New Roman"/>
          <w:i/>
          <w:sz w:val="16"/>
        </w:rPr>
      </w:pPr>
    </w:p>
    <w:p>
      <w:pPr>
        <w:pStyle w:val="BodyText"/>
        <w:spacing w:before="70"/>
        <w:ind w:left="142" w:right="786"/>
      </w:pPr>
      <w:r>
        <w:rPr/>
        <w:t>Selección de la cartera preferida</w:t>
      </w:r>
    </w:p>
    <w:p>
      <w:pPr>
        <w:pStyle w:val="BodyText"/>
        <w:spacing w:line="360" w:lineRule="auto" w:before="199"/>
        <w:ind w:left="142" w:right="137" w:firstLine="707"/>
        <w:jc w:val="both"/>
      </w:pPr>
      <w:r>
        <w:rPr/>
        <w:t>Hay una sola cartera de los dos activos riesgosos, que es la más apropiada para combinar con el activo sin riesgo. Esta cartera riesgos a en particular, que corresponde</w:t>
      </w:r>
      <w:r>
        <w:rPr>
          <w:spacing w:val="-5"/>
        </w:rPr>
        <w:t> </w:t>
      </w:r>
      <w:r>
        <w:rPr/>
        <w:t>al</w:t>
      </w:r>
      <w:r>
        <w:rPr>
          <w:spacing w:val="-8"/>
        </w:rPr>
        <w:t> </w:t>
      </w:r>
      <w:r>
        <w:rPr/>
        <w:t>punto</w:t>
      </w:r>
      <w:r>
        <w:rPr>
          <w:spacing w:val="-4"/>
        </w:rPr>
        <w:t> </w:t>
      </w:r>
      <w:r>
        <w:rPr/>
        <w:t>de</w:t>
      </w:r>
      <w:r>
        <w:rPr>
          <w:spacing w:val="-5"/>
        </w:rPr>
        <w:t> </w:t>
      </w:r>
      <w:r>
        <w:rPr/>
        <w:t>tangencia</w:t>
      </w:r>
      <w:r>
        <w:rPr>
          <w:spacing w:val="-5"/>
        </w:rPr>
        <w:t> </w:t>
      </w:r>
      <w:r>
        <w:rPr/>
        <w:t>se</w:t>
      </w:r>
      <w:r>
        <w:rPr>
          <w:spacing w:val="-5"/>
        </w:rPr>
        <w:t> </w:t>
      </w:r>
      <w:r>
        <w:rPr/>
        <w:t>conoce</w:t>
      </w:r>
      <w:r>
        <w:rPr>
          <w:spacing w:val="-7"/>
        </w:rPr>
        <w:t> </w:t>
      </w:r>
      <w:r>
        <w:rPr/>
        <w:t>como</w:t>
      </w:r>
      <w:r>
        <w:rPr>
          <w:spacing w:val="-4"/>
        </w:rPr>
        <w:t> </w:t>
      </w:r>
      <w:r>
        <w:rPr>
          <w:i/>
        </w:rPr>
        <w:t>combinación</w:t>
      </w:r>
      <w:r>
        <w:rPr>
          <w:i/>
          <w:spacing w:val="-4"/>
        </w:rPr>
        <w:t> </w:t>
      </w:r>
      <w:r>
        <w:rPr>
          <w:i/>
        </w:rPr>
        <w:t>óptima</w:t>
      </w:r>
      <w:r>
        <w:rPr>
          <w:i/>
          <w:spacing w:val="-5"/>
        </w:rPr>
        <w:t> </w:t>
      </w:r>
      <w:r>
        <w:rPr>
          <w:i/>
        </w:rPr>
        <w:t>de</w:t>
      </w:r>
      <w:r>
        <w:rPr>
          <w:i/>
          <w:spacing w:val="-5"/>
        </w:rPr>
        <w:t> </w:t>
      </w:r>
      <w:r>
        <w:rPr>
          <w:i/>
        </w:rPr>
        <w:t>activos </w:t>
      </w:r>
      <w:r>
        <w:rPr>
          <w:i/>
        </w:rPr>
        <w:t>riesgosos</w:t>
      </w:r>
      <w:r>
        <w:rPr/>
        <w:t>. La cartera preferida es siempre alguna combinación de esta cartera de tangencia y el activo sin</w:t>
      </w:r>
      <w:r>
        <w:rPr>
          <w:spacing w:val="-13"/>
        </w:rPr>
        <w:t> </w:t>
      </w:r>
      <w:r>
        <w:rPr/>
        <w:t>riesgo.</w:t>
      </w:r>
    </w:p>
    <w:p>
      <w:pPr>
        <w:spacing w:line="360" w:lineRule="auto" w:before="0"/>
        <w:ind w:left="142" w:right="138" w:firstLine="707"/>
        <w:jc w:val="both"/>
        <w:rPr>
          <w:i/>
          <w:sz w:val="24"/>
        </w:rPr>
      </w:pPr>
      <w:r>
        <w:rPr>
          <w:sz w:val="24"/>
        </w:rPr>
        <w:t>Es importante señalar que al buscar la </w:t>
      </w:r>
      <w:r>
        <w:rPr>
          <w:i/>
          <w:sz w:val="24"/>
        </w:rPr>
        <w:t>combinación óptima de activos </w:t>
      </w:r>
      <w:r>
        <w:rPr>
          <w:i/>
          <w:sz w:val="24"/>
        </w:rPr>
        <w:t>riesgosos</w:t>
      </w:r>
      <w:r>
        <w:rPr>
          <w:i/>
          <w:spacing w:val="-12"/>
          <w:sz w:val="24"/>
        </w:rPr>
        <w:t> </w:t>
      </w:r>
      <w:r>
        <w:rPr>
          <w:sz w:val="24"/>
          <w:u w:val="single"/>
        </w:rPr>
        <w:t>no</w:t>
      </w:r>
      <w:r>
        <w:rPr>
          <w:spacing w:val="-13"/>
          <w:sz w:val="24"/>
          <w:u w:val="single"/>
        </w:rPr>
        <w:t> </w:t>
      </w:r>
      <w:r>
        <w:rPr>
          <w:sz w:val="24"/>
        </w:rPr>
        <w:t>necesitamos</w:t>
      </w:r>
      <w:r>
        <w:rPr>
          <w:spacing w:val="-13"/>
          <w:sz w:val="24"/>
        </w:rPr>
        <w:t> </w:t>
      </w:r>
      <w:r>
        <w:rPr>
          <w:sz w:val="24"/>
        </w:rPr>
        <w:t>conocer</w:t>
      </w:r>
      <w:r>
        <w:rPr>
          <w:spacing w:val="-13"/>
          <w:sz w:val="24"/>
        </w:rPr>
        <w:t> </w:t>
      </w:r>
      <w:r>
        <w:rPr>
          <w:sz w:val="24"/>
        </w:rPr>
        <w:t>ni</w:t>
      </w:r>
      <w:r>
        <w:rPr>
          <w:spacing w:val="-11"/>
          <w:sz w:val="24"/>
        </w:rPr>
        <w:t> </w:t>
      </w:r>
      <w:r>
        <w:rPr>
          <w:sz w:val="24"/>
        </w:rPr>
        <w:t>la</w:t>
      </w:r>
      <w:r>
        <w:rPr>
          <w:spacing w:val="-12"/>
          <w:sz w:val="24"/>
        </w:rPr>
        <w:t> </w:t>
      </w:r>
      <w:r>
        <w:rPr>
          <w:sz w:val="24"/>
        </w:rPr>
        <w:t>riqueza</w:t>
      </w:r>
      <w:r>
        <w:rPr>
          <w:spacing w:val="-9"/>
          <w:sz w:val="24"/>
        </w:rPr>
        <w:t> </w:t>
      </w:r>
      <w:r>
        <w:rPr>
          <w:sz w:val="24"/>
        </w:rPr>
        <w:t>ni</w:t>
      </w:r>
      <w:r>
        <w:rPr>
          <w:spacing w:val="-11"/>
          <w:sz w:val="24"/>
        </w:rPr>
        <w:t> </w:t>
      </w:r>
      <w:r>
        <w:rPr>
          <w:sz w:val="24"/>
        </w:rPr>
        <w:t>las</w:t>
      </w:r>
      <w:r>
        <w:rPr>
          <w:spacing w:val="-12"/>
          <w:sz w:val="24"/>
        </w:rPr>
        <w:t> </w:t>
      </w:r>
      <w:r>
        <w:rPr>
          <w:sz w:val="24"/>
        </w:rPr>
        <w:t>preferencias</w:t>
      </w:r>
      <w:r>
        <w:rPr>
          <w:spacing w:val="-12"/>
          <w:sz w:val="24"/>
        </w:rPr>
        <w:t> </w:t>
      </w:r>
      <w:r>
        <w:rPr>
          <w:sz w:val="24"/>
        </w:rPr>
        <w:t>del</w:t>
      </w:r>
      <w:r>
        <w:rPr>
          <w:spacing w:val="-11"/>
          <w:sz w:val="24"/>
        </w:rPr>
        <w:t> </w:t>
      </w:r>
      <w:r>
        <w:rPr>
          <w:sz w:val="24"/>
        </w:rPr>
        <w:t>inversionista. La</w:t>
      </w:r>
      <w:r>
        <w:rPr>
          <w:spacing w:val="-5"/>
          <w:sz w:val="24"/>
        </w:rPr>
        <w:t> </w:t>
      </w:r>
      <w:r>
        <w:rPr>
          <w:sz w:val="24"/>
        </w:rPr>
        <w:t>composición</w:t>
      </w:r>
      <w:r>
        <w:rPr>
          <w:spacing w:val="-5"/>
          <w:sz w:val="24"/>
        </w:rPr>
        <w:t> </w:t>
      </w:r>
      <w:r>
        <w:rPr>
          <w:sz w:val="24"/>
        </w:rPr>
        <w:t>de</w:t>
      </w:r>
      <w:r>
        <w:rPr>
          <w:spacing w:val="-7"/>
          <w:sz w:val="24"/>
        </w:rPr>
        <w:t> </w:t>
      </w:r>
      <w:r>
        <w:rPr>
          <w:sz w:val="24"/>
        </w:rPr>
        <w:t>esta</w:t>
      </w:r>
      <w:r>
        <w:rPr>
          <w:spacing w:val="-5"/>
          <w:sz w:val="24"/>
        </w:rPr>
        <w:t> </w:t>
      </w:r>
      <w:r>
        <w:rPr>
          <w:sz w:val="24"/>
        </w:rPr>
        <w:t>cartera</w:t>
      </w:r>
      <w:r>
        <w:rPr>
          <w:spacing w:val="-5"/>
          <w:sz w:val="24"/>
        </w:rPr>
        <w:t> </w:t>
      </w:r>
      <w:r>
        <w:rPr>
          <w:sz w:val="24"/>
        </w:rPr>
        <w:t>depende</w:t>
      </w:r>
      <w:r>
        <w:rPr>
          <w:spacing w:val="-5"/>
          <w:sz w:val="24"/>
        </w:rPr>
        <w:t> </w:t>
      </w:r>
      <w:r>
        <w:rPr>
          <w:sz w:val="24"/>
        </w:rPr>
        <w:t>sólo</w:t>
      </w:r>
      <w:r>
        <w:rPr>
          <w:spacing w:val="-7"/>
          <w:sz w:val="24"/>
        </w:rPr>
        <w:t> </w:t>
      </w:r>
      <w:r>
        <w:rPr>
          <w:sz w:val="24"/>
        </w:rPr>
        <w:t>de</w:t>
      </w:r>
      <w:r>
        <w:rPr>
          <w:spacing w:val="-5"/>
          <w:sz w:val="24"/>
        </w:rPr>
        <w:t> </w:t>
      </w:r>
      <w:r>
        <w:rPr>
          <w:sz w:val="24"/>
        </w:rPr>
        <w:t>la</w:t>
      </w:r>
      <w:r>
        <w:rPr>
          <w:spacing w:val="-5"/>
          <w:sz w:val="24"/>
        </w:rPr>
        <w:t> </w:t>
      </w:r>
      <w:r>
        <w:rPr>
          <w:sz w:val="24"/>
        </w:rPr>
        <w:t>tasa</w:t>
      </w:r>
      <w:r>
        <w:rPr>
          <w:spacing w:val="-5"/>
          <w:sz w:val="24"/>
        </w:rPr>
        <w:t> </w:t>
      </w:r>
      <w:r>
        <w:rPr>
          <w:sz w:val="24"/>
        </w:rPr>
        <w:t>de</w:t>
      </w:r>
      <w:r>
        <w:rPr>
          <w:spacing w:val="-5"/>
          <w:sz w:val="24"/>
        </w:rPr>
        <w:t> </w:t>
      </w:r>
      <w:r>
        <w:rPr>
          <w:sz w:val="24"/>
        </w:rPr>
        <w:t>rendimiento</w:t>
      </w:r>
      <w:r>
        <w:rPr>
          <w:spacing w:val="-4"/>
          <w:sz w:val="24"/>
        </w:rPr>
        <w:t> </w:t>
      </w:r>
      <w:r>
        <w:rPr>
          <w:sz w:val="24"/>
        </w:rPr>
        <w:t>esperada</w:t>
      </w:r>
      <w:r>
        <w:rPr>
          <w:spacing w:val="-5"/>
          <w:sz w:val="24"/>
        </w:rPr>
        <w:t> </w:t>
      </w:r>
      <w:r>
        <w:rPr>
          <w:sz w:val="24"/>
        </w:rPr>
        <w:t>y las desviaciones estándar de los activos riesgosos 1 y 2 y de la correlación entre ambos. Esto implica que </w:t>
      </w:r>
      <w:r>
        <w:rPr>
          <w:i/>
          <w:sz w:val="24"/>
        </w:rPr>
        <w:t>todos los inversionistas que concuerdan con las </w:t>
      </w:r>
      <w:r>
        <w:rPr>
          <w:i/>
          <w:sz w:val="24"/>
        </w:rPr>
        <w:t>distribuciones de probabilidades de las tasas de rendimiento desearán mantener esta misma cartera de tangencia en combinación con el activo sin</w:t>
      </w:r>
      <w:r>
        <w:rPr>
          <w:i/>
          <w:spacing w:val="-23"/>
          <w:sz w:val="24"/>
        </w:rPr>
        <w:t> </w:t>
      </w:r>
      <w:r>
        <w:rPr>
          <w:i/>
          <w:sz w:val="24"/>
        </w:rPr>
        <w:t>riesgo.</w:t>
      </w:r>
    </w:p>
    <w:p>
      <w:pPr>
        <w:pStyle w:val="BodyText"/>
        <w:spacing w:line="360" w:lineRule="auto" w:before="5"/>
        <w:ind w:left="142" w:right="140" w:firstLine="707"/>
        <w:jc w:val="both"/>
      </w:pPr>
      <w:r>
        <w:rPr/>
        <w:t>Éste es un resultado general que se aplica al caso en el que hay muchos activos riesgosos:</w:t>
      </w:r>
    </w:p>
    <w:p>
      <w:pPr>
        <w:spacing w:line="360" w:lineRule="auto" w:before="122"/>
        <w:ind w:left="850" w:right="140" w:firstLine="0"/>
        <w:jc w:val="both"/>
        <w:rPr>
          <w:sz w:val="22"/>
        </w:rPr>
      </w:pPr>
      <w:r>
        <w:rPr>
          <w:sz w:val="22"/>
        </w:rPr>
        <w:t>Siempre hay una cartera óptima particular de activos riesgosos que todos los inversionistas adversos al riesgo que comparten los mismos pronósticos de tasas de rendimiento, combinarán con el activo sin riesgo para alcanzar su cartera preferida.</w:t>
      </w:r>
    </w:p>
    <w:p>
      <w:pPr>
        <w:pStyle w:val="BodyText"/>
        <w:spacing w:before="123"/>
        <w:ind w:left="142" w:right="786"/>
      </w:pPr>
      <w:r>
        <w:rPr/>
        <w:t>Carteras con múltiples activos riesgosos</w:t>
      </w:r>
    </w:p>
    <w:p>
      <w:pPr>
        <w:pStyle w:val="BodyText"/>
        <w:spacing w:line="360" w:lineRule="auto" w:before="197"/>
        <w:ind w:left="142" w:right="135" w:firstLine="707"/>
        <w:jc w:val="both"/>
      </w:pPr>
      <w:r>
        <w:rPr/>
        <w:t>La figura 7 ilustra los datos y resultados de una hoja de cálculo electrónica utilizada</w:t>
      </w:r>
      <w:r>
        <w:rPr>
          <w:spacing w:val="-5"/>
        </w:rPr>
        <w:t> </w:t>
      </w:r>
      <w:r>
        <w:rPr/>
        <w:t>para</w:t>
      </w:r>
      <w:r>
        <w:rPr>
          <w:spacing w:val="-8"/>
        </w:rPr>
        <w:t> </w:t>
      </w:r>
      <w:r>
        <w:rPr/>
        <w:t>realizar</w:t>
      </w:r>
      <w:r>
        <w:rPr>
          <w:spacing w:val="-6"/>
        </w:rPr>
        <w:t> </w:t>
      </w:r>
      <w:r>
        <w:rPr/>
        <w:t>la</w:t>
      </w:r>
      <w:r>
        <w:rPr>
          <w:spacing w:val="-5"/>
        </w:rPr>
        <w:t> </w:t>
      </w:r>
      <w:r>
        <w:rPr/>
        <w:t>optimización</w:t>
      </w:r>
      <w:r>
        <w:rPr>
          <w:spacing w:val="-7"/>
        </w:rPr>
        <w:t> </w:t>
      </w:r>
      <w:r>
        <w:rPr/>
        <w:t>de</w:t>
      </w:r>
      <w:r>
        <w:rPr>
          <w:spacing w:val="-7"/>
        </w:rPr>
        <w:t> </w:t>
      </w:r>
      <w:r>
        <w:rPr/>
        <w:t>la</w:t>
      </w:r>
      <w:r>
        <w:rPr>
          <w:spacing w:val="-5"/>
        </w:rPr>
        <w:t> </w:t>
      </w:r>
      <w:r>
        <w:rPr/>
        <w:t>cartera.</w:t>
      </w:r>
      <w:r>
        <w:rPr>
          <w:spacing w:val="-5"/>
        </w:rPr>
        <w:t> </w:t>
      </w:r>
      <w:r>
        <w:rPr/>
        <w:t>Los</w:t>
      </w:r>
      <w:r>
        <w:rPr>
          <w:spacing w:val="-3"/>
        </w:rPr>
        <w:t> </w:t>
      </w:r>
      <w:r>
        <w:rPr>
          <w:i/>
        </w:rPr>
        <w:t>activos</w:t>
      </w:r>
      <w:r>
        <w:rPr>
          <w:i/>
          <w:spacing w:val="-8"/>
        </w:rPr>
        <w:t> </w:t>
      </w:r>
      <w:r>
        <w:rPr>
          <w:i/>
        </w:rPr>
        <w:t>básicos</w:t>
      </w:r>
      <w:r>
        <w:rPr>
          <w:i/>
          <w:spacing w:val="-4"/>
        </w:rPr>
        <w:t> </w:t>
      </w:r>
      <w:r>
        <w:rPr/>
        <w:t>individuales son el Activo Riesgoso 1, el Activo Riesgoso 2, y así sucesivamente. Se les representa como puntos sombreados en el diagrama de la izquierda. La curva que queda al noroeste de estos puntos se denomina </w:t>
      </w:r>
      <w:r>
        <w:rPr>
          <w:i/>
        </w:rPr>
        <w:t>frontera de la cartera eficiente </w:t>
      </w:r>
      <w:r>
        <w:rPr/>
        <w:t>de activos riesgosos. Se define como el conjunto de </w:t>
      </w:r>
      <w:r>
        <w:rPr>
          <w:i/>
        </w:rPr>
        <w:t>carteras </w:t>
      </w:r>
      <w:r>
        <w:rPr/>
        <w:t>de activos riesgosos</w:t>
      </w:r>
      <w:r>
        <w:rPr>
          <w:spacing w:val="-31"/>
        </w:rPr>
        <w:t> </w:t>
      </w:r>
      <w:r>
        <w:rPr/>
        <w:t>que ofrecen</w:t>
      </w:r>
      <w:r>
        <w:rPr>
          <w:spacing w:val="-7"/>
        </w:rPr>
        <w:t> </w:t>
      </w:r>
      <w:r>
        <w:rPr/>
        <w:t>la</w:t>
      </w:r>
      <w:r>
        <w:rPr>
          <w:spacing w:val="-7"/>
        </w:rPr>
        <w:t> </w:t>
      </w:r>
      <w:r>
        <w:rPr/>
        <w:t>tasa</w:t>
      </w:r>
      <w:r>
        <w:rPr>
          <w:spacing w:val="-7"/>
        </w:rPr>
        <w:t> </w:t>
      </w:r>
      <w:r>
        <w:rPr/>
        <w:t>de</w:t>
      </w:r>
      <w:r>
        <w:rPr>
          <w:spacing w:val="-7"/>
        </w:rPr>
        <w:t> </w:t>
      </w:r>
      <w:r>
        <w:rPr/>
        <w:t>rendimiento</w:t>
      </w:r>
      <w:r>
        <w:rPr>
          <w:spacing w:val="-7"/>
        </w:rPr>
        <w:t> </w:t>
      </w:r>
      <w:r>
        <w:rPr/>
        <w:t>esperada</w:t>
      </w:r>
      <w:r>
        <w:rPr>
          <w:spacing w:val="-7"/>
        </w:rPr>
        <w:t> </w:t>
      </w:r>
      <w:r>
        <w:rPr/>
        <w:t>más</w:t>
      </w:r>
      <w:r>
        <w:rPr>
          <w:spacing w:val="-10"/>
        </w:rPr>
        <w:t> </w:t>
      </w:r>
      <w:r>
        <w:rPr/>
        <w:t>alta</w:t>
      </w:r>
      <w:r>
        <w:rPr>
          <w:spacing w:val="-7"/>
        </w:rPr>
        <w:t> </w:t>
      </w:r>
      <w:r>
        <w:rPr/>
        <w:t>posible</w:t>
      </w:r>
      <w:r>
        <w:rPr>
          <w:spacing w:val="-7"/>
        </w:rPr>
        <w:t> </w:t>
      </w:r>
      <w:r>
        <w:rPr/>
        <w:t>para</w:t>
      </w:r>
      <w:r>
        <w:rPr>
          <w:spacing w:val="-8"/>
        </w:rPr>
        <w:t> </w:t>
      </w:r>
      <w:r>
        <w:rPr/>
        <w:t>cualquier</w:t>
      </w:r>
      <w:r>
        <w:rPr>
          <w:spacing w:val="-8"/>
        </w:rPr>
        <w:t> </w:t>
      </w:r>
      <w:r>
        <w:rPr/>
        <w:t>desviación estándar</w:t>
      </w:r>
      <w:r>
        <w:rPr>
          <w:spacing w:val="-6"/>
        </w:rPr>
        <w:t> </w:t>
      </w:r>
      <w:r>
        <w:rPr/>
        <w:t>dada.</w:t>
      </w:r>
    </w:p>
    <w:p>
      <w:pPr>
        <w:spacing w:after="0" w:line="360" w:lineRule="auto"/>
        <w:jc w:val="both"/>
        <w:sectPr>
          <w:pgSz w:w="12240" w:h="15840"/>
          <w:pgMar w:header="731" w:footer="737" w:top="1180" w:bottom="920" w:left="1560" w:right="1560"/>
        </w:sectPr>
      </w:pPr>
    </w:p>
    <w:p>
      <w:pPr>
        <w:pStyle w:val="BodyText"/>
        <w:rPr>
          <w:sz w:val="20"/>
        </w:rPr>
      </w:pPr>
    </w:p>
    <w:p>
      <w:pPr>
        <w:pStyle w:val="BodyText"/>
        <w:spacing w:before="8"/>
        <w:rPr>
          <w:sz w:val="15"/>
        </w:rPr>
      </w:pPr>
    </w:p>
    <w:p>
      <w:pPr>
        <w:spacing w:before="73"/>
        <w:ind w:left="3" w:right="0" w:firstLine="0"/>
        <w:jc w:val="center"/>
        <w:rPr>
          <w:sz w:val="22"/>
        </w:rPr>
      </w:pPr>
      <w:r>
        <w:rPr/>
        <w:pict>
          <v:group style="position:absolute;margin-left:106.544998pt;margin-top:20.172895pt;width:398.35pt;height:156.15pt;mso-position-horizontal-relative:page;mso-position-vertical-relative:paragraph;z-index:2896;mso-wrap-distance-left:0;mso-wrap-distance-right:0" coordorigin="2131,403" coordsize="7967,3123">
            <v:shape style="position:absolute;left:2146;top:418;width:7937;height:3094" type="#_x0000_t75" stroked="false">
              <v:imagedata r:id="rId40" o:title=""/>
            </v:shape>
            <v:rect style="position:absolute;left:2138;top:411;width:7951;height:3108" filled="false" stroked="true" strokeweight=".72pt" strokecolor="#000000"/>
            <w10:wrap type="topAndBottom"/>
          </v:group>
        </w:pict>
      </w:r>
      <w:r>
        <w:rPr/>
        <w:drawing>
          <wp:anchor distT="0" distB="0" distL="0" distR="0" allowOverlap="1" layoutInCell="1" locked="0" behindDoc="0" simplePos="0" relativeHeight="2920">
            <wp:simplePos x="0" y="0"/>
            <wp:positionH relativeFrom="page">
              <wp:posOffset>1362455</wp:posOffset>
            </wp:positionH>
            <wp:positionV relativeFrom="paragraph">
              <wp:posOffset>2421990</wp:posOffset>
            </wp:positionV>
            <wp:extent cx="5039868" cy="1892807"/>
            <wp:effectExtent l="0" t="0" r="0" b="0"/>
            <wp:wrapTopAndBottom/>
            <wp:docPr id="7" name="image23.png" descr=""/>
            <wp:cNvGraphicFramePr>
              <a:graphicFrameLocks noChangeAspect="1"/>
            </wp:cNvGraphicFramePr>
            <a:graphic>
              <a:graphicData uri="http://schemas.openxmlformats.org/drawingml/2006/picture">
                <pic:pic>
                  <pic:nvPicPr>
                    <pic:cNvPr id="8" name="image23.png"/>
                    <pic:cNvPicPr/>
                  </pic:nvPicPr>
                  <pic:blipFill>
                    <a:blip r:embed="rId41" cstate="print"/>
                    <a:stretch>
                      <a:fillRect/>
                    </a:stretch>
                  </pic:blipFill>
                  <pic:spPr>
                    <a:xfrm>
                      <a:off x="0" y="0"/>
                      <a:ext cx="5039868" cy="1892807"/>
                    </a:xfrm>
                    <a:prstGeom prst="rect">
                      <a:avLst/>
                    </a:prstGeom>
                  </pic:spPr>
                </pic:pic>
              </a:graphicData>
            </a:graphic>
          </wp:anchor>
        </w:drawing>
      </w:r>
      <w:bookmarkStart w:name="_bookmark22" w:id="37"/>
      <w:bookmarkEnd w:id="37"/>
      <w:r>
        <w:rPr/>
      </w:r>
      <w:r>
        <w:rPr>
          <w:sz w:val="22"/>
        </w:rPr>
        <w:t>Figura 07 Optimización de la cartera</w:t>
      </w:r>
    </w:p>
    <w:p>
      <w:pPr>
        <w:pStyle w:val="BodyText"/>
        <w:spacing w:before="1"/>
        <w:rPr>
          <w:sz w:val="19"/>
        </w:rPr>
      </w:pPr>
    </w:p>
    <w:p>
      <w:pPr>
        <w:spacing w:before="89"/>
        <w:ind w:left="479" w:right="481" w:firstLine="0"/>
        <w:jc w:val="center"/>
        <w:rPr>
          <w:sz w:val="20"/>
        </w:rPr>
      </w:pPr>
      <w:r>
        <w:rPr>
          <w:sz w:val="20"/>
        </w:rPr>
        <w:t>Fuente: Elaboración propia</w:t>
      </w:r>
    </w:p>
    <w:p>
      <w:pPr>
        <w:pStyle w:val="BodyText"/>
        <w:rPr>
          <w:sz w:val="20"/>
        </w:rPr>
      </w:pPr>
    </w:p>
    <w:p>
      <w:pPr>
        <w:pStyle w:val="BodyText"/>
        <w:spacing w:line="360" w:lineRule="auto" w:before="129"/>
        <w:ind w:left="142" w:right="136" w:firstLine="707"/>
        <w:jc w:val="both"/>
      </w:pPr>
      <w:r>
        <w:rPr/>
        <w:t>La</w:t>
      </w:r>
      <w:r>
        <w:rPr>
          <w:spacing w:val="-18"/>
        </w:rPr>
        <w:t> </w:t>
      </w:r>
      <w:r>
        <w:rPr/>
        <w:t>razón</w:t>
      </w:r>
      <w:r>
        <w:rPr>
          <w:spacing w:val="-18"/>
        </w:rPr>
        <w:t> </w:t>
      </w:r>
      <w:r>
        <w:rPr/>
        <w:t>por</w:t>
      </w:r>
      <w:r>
        <w:rPr>
          <w:spacing w:val="-19"/>
        </w:rPr>
        <w:t> </w:t>
      </w:r>
      <w:r>
        <w:rPr/>
        <w:t>la</w:t>
      </w:r>
      <w:r>
        <w:rPr>
          <w:spacing w:val="-18"/>
        </w:rPr>
        <w:t> </w:t>
      </w:r>
      <w:r>
        <w:rPr/>
        <w:t>que</w:t>
      </w:r>
      <w:r>
        <w:rPr>
          <w:spacing w:val="-18"/>
        </w:rPr>
        <w:t> </w:t>
      </w:r>
      <w:r>
        <w:rPr/>
        <w:t>los</w:t>
      </w:r>
      <w:r>
        <w:rPr>
          <w:spacing w:val="-21"/>
        </w:rPr>
        <w:t> </w:t>
      </w:r>
      <w:r>
        <w:rPr/>
        <w:t>activos</w:t>
      </w:r>
      <w:r>
        <w:rPr>
          <w:spacing w:val="-19"/>
        </w:rPr>
        <w:t> </w:t>
      </w:r>
      <w:r>
        <w:rPr/>
        <w:t>básicos</w:t>
      </w:r>
      <w:r>
        <w:rPr>
          <w:spacing w:val="-18"/>
        </w:rPr>
        <w:t> </w:t>
      </w:r>
      <w:r>
        <w:rPr/>
        <w:t>individuales</w:t>
      </w:r>
      <w:r>
        <w:rPr>
          <w:spacing w:val="-18"/>
        </w:rPr>
        <w:t> </w:t>
      </w:r>
      <w:r>
        <w:rPr/>
        <w:t>están</w:t>
      </w:r>
      <w:r>
        <w:rPr>
          <w:spacing w:val="-15"/>
        </w:rPr>
        <w:t> </w:t>
      </w:r>
      <w:r>
        <w:rPr>
          <w:i/>
        </w:rPr>
        <w:t>dentro</w:t>
      </w:r>
      <w:r>
        <w:rPr>
          <w:i/>
          <w:spacing w:val="-17"/>
        </w:rPr>
        <w:t> </w:t>
      </w:r>
      <w:r>
        <w:rPr/>
        <w:t>de</w:t>
      </w:r>
      <w:r>
        <w:rPr>
          <w:spacing w:val="-18"/>
        </w:rPr>
        <w:t> </w:t>
      </w:r>
      <w:r>
        <w:rPr/>
        <w:t>la</w:t>
      </w:r>
      <w:r>
        <w:rPr>
          <w:spacing w:val="-20"/>
        </w:rPr>
        <w:t> </w:t>
      </w:r>
      <w:r>
        <w:rPr/>
        <w:t>frontera eficiente es que generalmente hay una combinación de dos o más valores básicos que tienen una tasa de rendimiento esperada más alta que el valor básico para la misma desviación</w:t>
      </w:r>
      <w:r>
        <w:rPr>
          <w:spacing w:val="-6"/>
        </w:rPr>
        <w:t> </w:t>
      </w:r>
      <w:r>
        <w:rPr/>
        <w:t>estándar.</w:t>
      </w:r>
    </w:p>
    <w:p>
      <w:pPr>
        <w:pStyle w:val="BodyText"/>
        <w:spacing w:line="360" w:lineRule="auto" w:before="2"/>
        <w:ind w:left="142" w:right="136" w:firstLine="707"/>
        <w:jc w:val="both"/>
      </w:pPr>
      <w:r>
        <w:rPr/>
        <w:t>La combinación óptima de activos riesgosos se encuentra como el punto de tangencia</w:t>
      </w:r>
      <w:r>
        <w:rPr>
          <w:spacing w:val="-6"/>
        </w:rPr>
        <w:t> </w:t>
      </w:r>
      <w:r>
        <w:rPr/>
        <w:t>entre</w:t>
      </w:r>
      <w:r>
        <w:rPr>
          <w:spacing w:val="-5"/>
        </w:rPr>
        <w:t> </w:t>
      </w:r>
      <w:r>
        <w:rPr/>
        <w:t>la</w:t>
      </w:r>
      <w:r>
        <w:rPr>
          <w:spacing w:val="-5"/>
        </w:rPr>
        <w:t> </w:t>
      </w:r>
      <w:r>
        <w:rPr/>
        <w:t>línea</w:t>
      </w:r>
      <w:r>
        <w:rPr>
          <w:spacing w:val="-5"/>
        </w:rPr>
        <w:t> </w:t>
      </w:r>
      <w:r>
        <w:rPr/>
        <w:t>recta</w:t>
      </w:r>
      <w:r>
        <w:rPr>
          <w:spacing w:val="-6"/>
        </w:rPr>
        <w:t> </w:t>
      </w:r>
      <w:r>
        <w:rPr/>
        <w:t>desde</w:t>
      </w:r>
      <w:r>
        <w:rPr>
          <w:spacing w:val="-6"/>
        </w:rPr>
        <w:t> </w:t>
      </w:r>
      <w:r>
        <w:rPr/>
        <w:t>el</w:t>
      </w:r>
      <w:r>
        <w:rPr>
          <w:spacing w:val="-5"/>
        </w:rPr>
        <w:t> </w:t>
      </w:r>
      <w:r>
        <w:rPr/>
        <w:t>punto</w:t>
      </w:r>
      <w:r>
        <w:rPr>
          <w:spacing w:val="-8"/>
        </w:rPr>
        <w:t> </w:t>
      </w:r>
      <w:r>
        <w:rPr/>
        <w:t>que</w:t>
      </w:r>
      <w:r>
        <w:rPr>
          <w:spacing w:val="-5"/>
        </w:rPr>
        <w:t> </w:t>
      </w:r>
      <w:r>
        <w:rPr/>
        <w:t>representa</w:t>
      </w:r>
      <w:r>
        <w:rPr>
          <w:spacing w:val="-5"/>
        </w:rPr>
        <w:t> </w:t>
      </w:r>
      <w:r>
        <w:rPr/>
        <w:t>el</w:t>
      </w:r>
      <w:r>
        <w:rPr>
          <w:spacing w:val="-5"/>
        </w:rPr>
        <w:t> </w:t>
      </w:r>
      <w:r>
        <w:rPr/>
        <w:t>activo</w:t>
      </w:r>
      <w:r>
        <w:rPr>
          <w:spacing w:val="-5"/>
        </w:rPr>
        <w:t> </w:t>
      </w:r>
      <w:r>
        <w:rPr/>
        <w:t>sin</w:t>
      </w:r>
      <w:r>
        <w:rPr>
          <w:spacing w:val="-5"/>
        </w:rPr>
        <w:t> </w:t>
      </w:r>
      <w:r>
        <w:rPr/>
        <w:t>riesgo</w:t>
      </w:r>
      <w:r>
        <w:rPr>
          <w:spacing w:val="-5"/>
        </w:rPr>
        <w:t> </w:t>
      </w:r>
      <w:r>
        <w:rPr/>
        <w:t>(en el eje vertical) y la frontera eficiente de activos riesgosos. La línea recta que une el activo sin riesgo y el punto de tangencia que representa la </w:t>
      </w:r>
      <w:r>
        <w:rPr>
          <w:i/>
        </w:rPr>
        <w:t>combinación óptima de </w:t>
      </w:r>
      <w:r>
        <w:rPr>
          <w:i/>
        </w:rPr>
        <w:t>activos riesgosos</w:t>
      </w:r>
      <w:r>
        <w:rPr/>
        <w:t>, es la mejor línea de compensación riesgo-rendimiento alcanzable.</w:t>
      </w:r>
    </w:p>
    <w:p>
      <w:pPr>
        <w:spacing w:after="0" w:line="360" w:lineRule="auto"/>
        <w:jc w:val="both"/>
        <w:sectPr>
          <w:pgSz w:w="12240" w:h="15840"/>
          <w:pgMar w:header="731" w:footer="737" w:top="1180" w:bottom="920" w:left="1560" w:right="1560"/>
        </w:sectPr>
      </w:pPr>
    </w:p>
    <w:p>
      <w:pPr>
        <w:pStyle w:val="BodyText"/>
        <w:rPr>
          <w:sz w:val="20"/>
        </w:rPr>
      </w:pPr>
    </w:p>
    <w:p>
      <w:pPr>
        <w:pStyle w:val="BodyText"/>
        <w:spacing w:before="9"/>
        <w:rPr>
          <w:sz w:val="15"/>
        </w:rPr>
      </w:pPr>
    </w:p>
    <w:p>
      <w:pPr>
        <w:pStyle w:val="Heading3"/>
        <w:spacing w:before="70"/>
      </w:pPr>
      <w:r>
        <w:rPr/>
        <w:t>La prima de riesgo</w:t>
      </w:r>
    </w:p>
    <w:p>
      <w:pPr>
        <w:pStyle w:val="BodyText"/>
        <w:spacing w:line="360" w:lineRule="auto" w:before="62"/>
        <w:ind w:left="142" w:right="137" w:firstLine="707"/>
        <w:jc w:val="both"/>
        <w:rPr>
          <w:sz w:val="16"/>
        </w:rPr>
      </w:pPr>
      <w:r>
        <w:rPr/>
        <w:t>De acuerdo con el CAPM, la magnitud de la prima de riesgo de la cartera de mercado la determina la aversión al riesgo agregada de los inversionistas y la volatilidad del rendimiento de mercado. Para inducir a los inversionistas a que acepten el riesgo de la cartera de mercado, se les debe ofrecer una tasa esperada de rendimiento que exceda la tasa de interés libre de riesgo. Cuanto más alto sea el grado promedio de aversión de la población al riesgo, más alta será la prima de riesgo requerida.</w:t>
      </w:r>
      <w:r>
        <w:rPr>
          <w:position w:val="8"/>
          <w:sz w:val="16"/>
        </w:rPr>
        <w:t>35</w:t>
      </w:r>
    </w:p>
    <w:p>
      <w:pPr>
        <w:pStyle w:val="Heading3"/>
        <w:spacing w:before="119"/>
      </w:pPr>
      <w:r>
        <w:rPr/>
        <w:t>Beta y primas de riesgo de valores individuales</w:t>
      </w:r>
    </w:p>
    <w:p>
      <w:pPr>
        <w:pStyle w:val="BodyText"/>
        <w:spacing w:line="357" w:lineRule="auto" w:before="62"/>
        <w:ind w:left="142" w:right="142" w:firstLine="707"/>
        <w:jc w:val="both"/>
      </w:pPr>
      <w:r>
        <w:rPr/>
        <w:t>El riesgo de una cartera eficiente se mide por σ. Sin embargo, la desviación estándar del rendimiento no mide por lo general el riesgo de valores en el CAPM. En</w:t>
      </w:r>
      <w:r>
        <w:rPr>
          <w:spacing w:val="-8"/>
        </w:rPr>
        <w:t> </w:t>
      </w:r>
      <w:r>
        <w:rPr/>
        <w:t>lugar</w:t>
      </w:r>
      <w:r>
        <w:rPr>
          <w:spacing w:val="-12"/>
        </w:rPr>
        <w:t> </w:t>
      </w:r>
      <w:r>
        <w:rPr/>
        <w:t>de</w:t>
      </w:r>
      <w:r>
        <w:rPr>
          <w:spacing w:val="-11"/>
        </w:rPr>
        <w:t> </w:t>
      </w:r>
      <w:r>
        <w:rPr/>
        <w:t>eso,</w:t>
      </w:r>
      <w:r>
        <w:rPr>
          <w:spacing w:val="-11"/>
        </w:rPr>
        <w:t> </w:t>
      </w:r>
      <w:r>
        <w:rPr/>
        <w:t>la</w:t>
      </w:r>
      <w:r>
        <w:rPr>
          <w:spacing w:val="-11"/>
        </w:rPr>
        <w:t> </w:t>
      </w:r>
      <w:r>
        <w:rPr/>
        <w:t>medida</w:t>
      </w:r>
      <w:r>
        <w:rPr>
          <w:spacing w:val="-8"/>
        </w:rPr>
        <w:t> </w:t>
      </w:r>
      <w:r>
        <w:rPr/>
        <w:t>general</w:t>
      </w:r>
      <w:r>
        <w:rPr>
          <w:spacing w:val="-12"/>
        </w:rPr>
        <w:t> </w:t>
      </w:r>
      <w:r>
        <w:rPr/>
        <w:t>del</w:t>
      </w:r>
      <w:r>
        <w:rPr>
          <w:spacing w:val="-10"/>
        </w:rPr>
        <w:t> </w:t>
      </w:r>
      <w:r>
        <w:rPr/>
        <w:t>riesgo</w:t>
      </w:r>
      <w:r>
        <w:rPr>
          <w:spacing w:val="-11"/>
        </w:rPr>
        <w:t> </w:t>
      </w:r>
      <w:r>
        <w:rPr/>
        <w:t>de</w:t>
      </w:r>
      <w:r>
        <w:rPr>
          <w:spacing w:val="-11"/>
        </w:rPr>
        <w:t> </w:t>
      </w:r>
      <w:r>
        <w:rPr/>
        <w:t>un</w:t>
      </w:r>
      <w:r>
        <w:rPr>
          <w:spacing w:val="-11"/>
        </w:rPr>
        <w:t> </w:t>
      </w:r>
      <w:r>
        <w:rPr/>
        <w:t>valor</w:t>
      </w:r>
      <w:r>
        <w:rPr>
          <w:spacing w:val="-9"/>
        </w:rPr>
        <w:t> </w:t>
      </w:r>
      <w:r>
        <w:rPr/>
        <w:t>es</w:t>
      </w:r>
      <w:r>
        <w:rPr>
          <w:spacing w:val="-9"/>
        </w:rPr>
        <w:t> </w:t>
      </w:r>
      <w:r>
        <w:rPr/>
        <w:t>la</w:t>
      </w:r>
      <w:r>
        <w:rPr>
          <w:spacing w:val="-8"/>
        </w:rPr>
        <w:t> </w:t>
      </w:r>
      <w:r>
        <w:rPr/>
        <w:t>beta</w:t>
      </w:r>
      <w:r>
        <w:rPr>
          <w:position w:val="8"/>
          <w:sz w:val="16"/>
        </w:rPr>
        <w:t>36</w:t>
      </w:r>
      <w:r>
        <w:rPr>
          <w:spacing w:val="12"/>
          <w:position w:val="8"/>
          <w:sz w:val="16"/>
        </w:rPr>
        <w:t> </w:t>
      </w:r>
      <w:r>
        <w:rPr/>
        <w:t>(la</w:t>
      </w:r>
      <w:r>
        <w:rPr>
          <w:spacing w:val="-9"/>
        </w:rPr>
        <w:t> </w:t>
      </w:r>
      <w:r>
        <w:rPr/>
        <w:t>letra</w:t>
      </w:r>
      <w:r>
        <w:rPr>
          <w:spacing w:val="-11"/>
        </w:rPr>
        <w:t> </w:t>
      </w:r>
      <w:r>
        <w:rPr/>
        <w:t>griega β). Técnicamente, la beta describe la contribución marginal del rendimiento de ese valor a la desviación estándar del rendimiento de la cartera de</w:t>
      </w:r>
      <w:r>
        <w:rPr>
          <w:spacing w:val="-19"/>
        </w:rPr>
        <w:t> </w:t>
      </w:r>
      <w:r>
        <w:rPr/>
        <w:t>mercado.</w:t>
      </w:r>
    </w:p>
    <w:p>
      <w:pPr>
        <w:pStyle w:val="BodyText"/>
        <w:spacing w:line="360" w:lineRule="auto" w:before="8"/>
        <w:ind w:left="142" w:right="145" w:firstLine="707"/>
        <w:jc w:val="both"/>
      </w:pPr>
      <w:r>
        <w:rPr/>
        <w:t>La beta también proporciona una medida proporcional de la sensibilidad del rendimiento realizado de un valor respecto de la cartera de mercado.</w:t>
      </w:r>
    </w:p>
    <w:p>
      <w:pPr>
        <w:pStyle w:val="BodyText"/>
        <w:spacing w:line="360" w:lineRule="auto" w:before="5"/>
        <w:ind w:left="73" w:right="136" w:firstLine="707"/>
        <w:jc w:val="right"/>
      </w:pPr>
      <w:r>
        <w:rPr/>
        <w:t>Es una medida del riesgo sistemático asociado con un único tipo de acción o</w:t>
      </w:r>
      <w:r>
        <w:rPr>
          <w:w w:val="99"/>
        </w:rPr>
        <w:t> </w:t>
      </w:r>
      <w:r>
        <w:rPr/>
        <w:t>una cartera de acciones. El riesgo sistemático se mide con relación al mercado. En</w:t>
      </w:r>
      <w:r>
        <w:rPr>
          <w:w w:val="99"/>
        </w:rPr>
        <w:t> </w:t>
      </w:r>
      <w:r>
        <w:rPr/>
        <w:t>la mayoría de los casos, el mercado de referencia es el índice </w:t>
      </w:r>
      <w:r>
        <w:rPr>
          <w:spacing w:val="3"/>
        </w:rPr>
        <w:t>de </w:t>
      </w:r>
      <w:r>
        <w:rPr/>
        <w:t>valores S&amp;P 500.</w:t>
      </w:r>
      <w:r>
        <w:rPr>
          <w:w w:val="100"/>
        </w:rPr>
        <w:t> </w:t>
      </w:r>
      <w:r>
        <w:rPr/>
        <w:t>El coeficiente beta de un valor se calcula como la covarianza del</w:t>
      </w:r>
      <w:r>
        <w:rPr>
          <w:spacing w:val="59"/>
        </w:rPr>
        <w:t> </w:t>
      </w:r>
      <w:r>
        <w:rPr/>
        <w:t>exceso de</w:t>
      </w:r>
      <w:r>
        <w:rPr>
          <w:w w:val="99"/>
        </w:rPr>
        <w:t> </w:t>
      </w:r>
      <w:r>
        <w:rPr/>
        <w:t>rendimiento sobre el valor y el exceso de rendimiento sobre el mercado dividido por</w:t>
      </w:r>
      <w:r>
        <w:rPr>
          <w:w w:val="99"/>
        </w:rPr>
        <w:t> </w:t>
      </w:r>
      <w:r>
        <w:rPr/>
        <w:t>la varianza del exceso de rendimientos sobre el mercado. El exceso de rendimiento</w:t>
      </w:r>
      <w:r>
        <w:rPr>
          <w:w w:val="99"/>
        </w:rPr>
        <w:t> </w:t>
      </w:r>
      <w:r>
        <w:rPr/>
        <w:t>es la diferencia entre el rendimiento sobre la acción (o el mercado) y el rendimiento</w:t>
      </w:r>
    </w:p>
    <w:p>
      <w:pPr>
        <w:pStyle w:val="BodyText"/>
        <w:spacing w:before="2"/>
        <w:ind w:left="142" w:right="786"/>
      </w:pPr>
      <w:r>
        <w:rPr/>
        <w:t>sobre el tipo exento de riesgo.</w:t>
      </w:r>
    </w:p>
    <w:p>
      <w:pPr>
        <w:pStyle w:val="BodyText"/>
        <w:rPr>
          <w:sz w:val="20"/>
        </w:rPr>
      </w:pPr>
    </w:p>
    <w:p>
      <w:pPr>
        <w:pStyle w:val="BodyText"/>
        <w:rPr>
          <w:sz w:val="20"/>
        </w:rPr>
      </w:pPr>
    </w:p>
    <w:p>
      <w:pPr>
        <w:pStyle w:val="BodyText"/>
        <w:rPr>
          <w:sz w:val="20"/>
        </w:rPr>
      </w:pPr>
    </w:p>
    <w:p>
      <w:pPr>
        <w:pStyle w:val="BodyText"/>
        <w:spacing w:before="8"/>
        <w:rPr>
          <w:sz w:val="25"/>
        </w:rPr>
      </w:pPr>
      <w:r>
        <w:rPr/>
        <w:pict>
          <v:line style="position:absolute;mso-position-horizontal-relative:page;mso-position-vertical-relative:paragraph;z-index:2944;mso-wrap-distance-left:0;mso-wrap-distance-right:0" from="85.103996pt,17.049934pt" to="229.123996pt,17.049934pt" stroked="true" strokeweight=".60004pt" strokecolor="#000000">
            <w10:wrap type="topAndBottom"/>
          </v:line>
        </w:pict>
      </w:r>
    </w:p>
    <w:p>
      <w:pPr>
        <w:spacing w:before="78"/>
        <w:ind w:left="142" w:right="150" w:firstLine="0"/>
        <w:jc w:val="left"/>
        <w:rPr>
          <w:sz w:val="20"/>
        </w:rPr>
      </w:pPr>
      <w:r>
        <w:rPr>
          <w:position w:val="6"/>
          <w:sz w:val="13"/>
        </w:rPr>
        <w:t>35 </w:t>
      </w:r>
      <w:r>
        <w:rPr>
          <w:sz w:val="20"/>
        </w:rPr>
        <w:t>En el CAPM, la prima de riesgo de equilibrio de la cartera de mercado es igual a la varianza de la cartera de mercado multiplicada por un promedio ponderado del grado de aversión al riesgo de los tenedores de riqueza. Así, de acuerdo con el CAPM, la prima de riesgo de mercado puede cambiar con el tiempo, ya sea porque cambie la varianza del mercado o el grado de aversión al riesgo, o ambos.</w:t>
      </w:r>
    </w:p>
    <w:p>
      <w:pPr>
        <w:spacing w:before="0"/>
        <w:ind w:left="142" w:right="157" w:firstLine="0"/>
        <w:jc w:val="left"/>
        <w:rPr>
          <w:sz w:val="20"/>
        </w:rPr>
      </w:pPr>
      <w:r>
        <w:rPr>
          <w:position w:val="6"/>
          <w:sz w:val="13"/>
        </w:rPr>
        <w:t>36 </w:t>
      </w:r>
      <w:r>
        <w:rPr>
          <w:sz w:val="20"/>
        </w:rPr>
        <w:t>Beta corresponde a lo que en estadística se conoce como coeficiente de regresión, donde la regresión tiene el rendimiento del mercado como variable independiente y el rendimiento del valor como la dependiente.</w:t>
      </w:r>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36" w:firstLine="707"/>
        <w:jc w:val="both"/>
      </w:pPr>
      <w:r>
        <w:rPr/>
        <w:t>Según el modelo de mercado de W. F. Sharpe, coeficiente asociado a la variable independiente o explicativa de dicho modelo. También denominado coeficiente de volatilidad, mide el grado de vinculación o dependencia del rendimiento de ese activo con respecto al rendimiento del mercado.</w:t>
      </w:r>
    </w:p>
    <w:p>
      <w:pPr>
        <w:pStyle w:val="BodyText"/>
        <w:spacing w:line="360" w:lineRule="auto" w:before="3"/>
        <w:ind w:left="142" w:right="141" w:firstLine="707"/>
        <w:jc w:val="both"/>
      </w:pPr>
      <w:r>
        <w:rPr/>
        <w:t>El</w:t>
      </w:r>
      <w:r>
        <w:rPr>
          <w:spacing w:val="-18"/>
        </w:rPr>
        <w:t> </w:t>
      </w:r>
      <w:r>
        <w:rPr/>
        <w:t>coeficiente</w:t>
      </w:r>
      <w:r>
        <w:rPr>
          <w:spacing w:val="38"/>
        </w:rPr>
        <w:t> </w:t>
      </w:r>
      <w:r>
        <w:rPr>
          <w:rFonts w:ascii="Symbol" w:hAnsi="Symbol"/>
        </w:rPr>
        <w:t></w:t>
      </w:r>
      <w:r>
        <w:rPr/>
        <w:t>,</w:t>
      </w:r>
      <w:r>
        <w:rPr>
          <w:spacing w:val="-19"/>
        </w:rPr>
        <w:t> </w:t>
      </w:r>
      <w:r>
        <w:rPr/>
        <w:t>también</w:t>
      </w:r>
      <w:r>
        <w:rPr>
          <w:spacing w:val="-17"/>
        </w:rPr>
        <w:t> </w:t>
      </w:r>
      <w:r>
        <w:rPr/>
        <w:t>llamado</w:t>
      </w:r>
      <w:r>
        <w:rPr>
          <w:spacing w:val="-17"/>
        </w:rPr>
        <w:t> </w:t>
      </w:r>
      <w:r>
        <w:rPr/>
        <w:t>coeficiente</w:t>
      </w:r>
      <w:r>
        <w:rPr>
          <w:spacing w:val="-19"/>
        </w:rPr>
        <w:t> </w:t>
      </w:r>
      <w:r>
        <w:rPr/>
        <w:t>de</w:t>
      </w:r>
      <w:r>
        <w:rPr>
          <w:spacing w:val="-17"/>
        </w:rPr>
        <w:t> </w:t>
      </w:r>
      <w:r>
        <w:rPr/>
        <w:t>volatilidad,</w:t>
      </w:r>
      <w:r>
        <w:rPr>
          <w:spacing w:val="-17"/>
        </w:rPr>
        <w:t> </w:t>
      </w:r>
      <w:r>
        <w:rPr/>
        <w:t>es</w:t>
      </w:r>
      <w:r>
        <w:rPr>
          <w:spacing w:val="-20"/>
        </w:rPr>
        <w:t> </w:t>
      </w:r>
      <w:r>
        <w:rPr/>
        <w:t>parámetro</w:t>
      </w:r>
      <w:r>
        <w:rPr>
          <w:spacing w:val="-19"/>
        </w:rPr>
        <w:t> </w:t>
      </w:r>
      <w:r>
        <w:rPr/>
        <w:t>que indica el grado en el que las variaciones del rendimiento del mercado afectan al rendimiento de determinado</w:t>
      </w:r>
      <w:r>
        <w:rPr>
          <w:spacing w:val="-11"/>
        </w:rPr>
        <w:t> </w:t>
      </w:r>
      <w:r>
        <w:rPr/>
        <w:t>título.</w:t>
      </w:r>
    </w:p>
    <w:p>
      <w:pPr>
        <w:pStyle w:val="BodyText"/>
        <w:spacing w:line="360" w:lineRule="auto" w:before="5"/>
        <w:ind w:left="73" w:right="137" w:firstLine="707"/>
        <w:jc w:val="right"/>
      </w:pPr>
      <w:r>
        <w:rPr/>
        <w:t>Por otra parte, el Coeficiente Alfa parte del rendimiento de un título o activo</w:t>
      </w:r>
      <w:r>
        <w:rPr>
          <w:w w:val="99"/>
        </w:rPr>
        <w:t> </w:t>
      </w:r>
      <w:r>
        <w:rPr/>
        <w:t>financiero que es independiente de las fluctuaciones del mercado. Es un Parámetro</w:t>
      </w:r>
      <w:r>
        <w:rPr>
          <w:w w:val="99"/>
        </w:rPr>
        <w:t> </w:t>
      </w:r>
      <w:r>
        <w:rPr/>
        <w:t>que mide la parte de la rentabilidad de un título que es independiente del mercado.</w:t>
      </w:r>
    </w:p>
    <w:p>
      <w:pPr>
        <w:pStyle w:val="BodyText"/>
        <w:spacing w:line="360" w:lineRule="auto" w:before="2"/>
        <w:ind w:left="142" w:right="142" w:firstLine="707"/>
        <w:jc w:val="both"/>
      </w:pPr>
      <w:r>
        <w:rPr/>
        <w:t>Es una medida estadística de la volatilidad de una acción, en relación con la de</w:t>
      </w:r>
      <w:r>
        <w:rPr>
          <w:spacing w:val="-7"/>
        </w:rPr>
        <w:t> </w:t>
      </w:r>
      <w:r>
        <w:rPr/>
        <w:t>un</w:t>
      </w:r>
      <w:r>
        <w:rPr>
          <w:spacing w:val="-7"/>
        </w:rPr>
        <w:t> </w:t>
      </w:r>
      <w:r>
        <w:rPr/>
        <w:t>conjunto</w:t>
      </w:r>
      <w:r>
        <w:rPr>
          <w:spacing w:val="-7"/>
        </w:rPr>
        <w:t> </w:t>
      </w:r>
      <w:r>
        <w:rPr/>
        <w:t>representativo</w:t>
      </w:r>
      <w:r>
        <w:rPr>
          <w:spacing w:val="-7"/>
        </w:rPr>
        <w:t> </w:t>
      </w:r>
      <w:r>
        <w:rPr/>
        <w:t>de</w:t>
      </w:r>
      <w:r>
        <w:rPr>
          <w:spacing w:val="-7"/>
        </w:rPr>
        <w:t> </w:t>
      </w:r>
      <w:r>
        <w:rPr/>
        <w:t>valores</w:t>
      </w:r>
      <w:r>
        <w:rPr>
          <w:spacing w:val="-10"/>
        </w:rPr>
        <w:t> </w:t>
      </w:r>
      <w:r>
        <w:rPr/>
        <w:t>básicamente</w:t>
      </w:r>
      <w:r>
        <w:rPr>
          <w:spacing w:val="-9"/>
        </w:rPr>
        <w:t> </w:t>
      </w:r>
      <w:r>
        <w:rPr/>
        <w:t>considerados</w:t>
      </w:r>
      <w:r>
        <w:rPr>
          <w:spacing w:val="-10"/>
        </w:rPr>
        <w:t> </w:t>
      </w:r>
      <w:r>
        <w:rPr/>
        <w:t>como</w:t>
      </w:r>
      <w:r>
        <w:rPr>
          <w:spacing w:val="-7"/>
        </w:rPr>
        <w:t> </w:t>
      </w:r>
      <w:r>
        <w:rPr/>
        <w:t>libres</w:t>
      </w:r>
      <w:r>
        <w:rPr>
          <w:spacing w:val="-8"/>
        </w:rPr>
        <w:t> </w:t>
      </w:r>
      <w:r>
        <w:rPr/>
        <w:t>de riesgos. Mide la fluctuación del precio de la acción comparativamente con el mercado.</w:t>
      </w:r>
    </w:p>
    <w:p>
      <w:pPr>
        <w:pStyle w:val="BodyText"/>
        <w:spacing w:line="360" w:lineRule="auto" w:before="2"/>
        <w:ind w:left="142" w:right="136" w:firstLine="707"/>
        <w:jc w:val="both"/>
      </w:pPr>
      <w:r>
        <w:rPr/>
        <w:t>Para valores o acciones en concreto, su Coeficiente Beta (β) se calcula usando análisis de regresión contra un índice representativo del valor del</w:t>
      </w:r>
      <w:r>
        <w:rPr>
          <w:spacing w:val="-32"/>
        </w:rPr>
        <w:t> </w:t>
      </w:r>
      <w:r>
        <w:rPr/>
        <w:t>mercado, por ejemplo el IPC, en la Bolsa Mexicana de Valores. Siendo Beta una manera de estimar el riesgo del activo sobre la media de activos; los coeficientes Beta se utilizan para diversificar la composición de una cartera de activos, mezclando convenientemente activos con β</w:t>
      </w:r>
      <w:r>
        <w:rPr>
          <w:spacing w:val="-16"/>
        </w:rPr>
        <w:t> </w:t>
      </w:r>
      <w:r>
        <w:rPr/>
        <w:t>distintos.</w:t>
      </w:r>
    </w:p>
    <w:p>
      <w:pPr>
        <w:pStyle w:val="BodyText"/>
        <w:spacing w:line="360" w:lineRule="auto" w:before="2"/>
        <w:ind w:left="142" w:right="136" w:firstLine="707"/>
        <w:jc w:val="both"/>
      </w:pPr>
      <w:r>
        <w:rPr/>
        <w:t>En su interpretación, la Beta como indicador de riesgo (sistemático), permite anticipar la dirección que seguirá la emisora con respecto al IPC:</w:t>
      </w:r>
    </w:p>
    <w:p>
      <w:pPr>
        <w:pStyle w:val="ListParagraph"/>
        <w:numPr>
          <w:ilvl w:val="1"/>
          <w:numId w:val="12"/>
        </w:numPr>
        <w:tabs>
          <w:tab w:pos="1274" w:val="left" w:leader="none"/>
          <w:tab w:pos="1275" w:val="left" w:leader="none"/>
        </w:tabs>
        <w:spacing w:line="360" w:lineRule="auto" w:before="3" w:after="0"/>
        <w:ind w:left="1274" w:right="144" w:hanging="357"/>
        <w:jc w:val="left"/>
        <w:rPr>
          <w:sz w:val="24"/>
        </w:rPr>
      </w:pPr>
      <w:r>
        <w:rPr>
          <w:rFonts w:ascii="Symbol" w:hAnsi="Symbol"/>
          <w:sz w:val="24"/>
        </w:rPr>
        <w:t></w:t>
      </w:r>
      <w:r>
        <w:rPr>
          <w:sz w:val="24"/>
        </w:rPr>
        <w:t>, es reactiva ya que cambia en mayor proporción a los cambios del IPC.</w:t>
      </w:r>
    </w:p>
    <w:p>
      <w:pPr>
        <w:pStyle w:val="ListParagraph"/>
        <w:numPr>
          <w:ilvl w:val="1"/>
          <w:numId w:val="12"/>
        </w:numPr>
        <w:tabs>
          <w:tab w:pos="1274" w:val="left" w:leader="none"/>
          <w:tab w:pos="1275" w:val="left" w:leader="none"/>
        </w:tabs>
        <w:spacing w:line="360" w:lineRule="auto" w:before="4" w:after="0"/>
        <w:ind w:left="1274" w:right="146" w:hanging="357"/>
        <w:jc w:val="left"/>
        <w:rPr>
          <w:sz w:val="24"/>
        </w:rPr>
      </w:pPr>
      <w:r>
        <w:rPr>
          <w:rFonts w:ascii="Symbol" w:hAnsi="Symbol"/>
          <w:sz w:val="24"/>
        </w:rPr>
        <w:t></w:t>
      </w:r>
      <w:r>
        <w:rPr>
          <w:sz w:val="24"/>
        </w:rPr>
        <w:t>, el desplazamiento es casi igual al del mercado, cambiando en la misma proporción al</w:t>
      </w:r>
      <w:r>
        <w:rPr>
          <w:spacing w:val="-10"/>
          <w:sz w:val="24"/>
        </w:rPr>
        <w:t> </w:t>
      </w:r>
      <w:r>
        <w:rPr>
          <w:sz w:val="24"/>
        </w:rPr>
        <w:t>IPC.</w:t>
      </w:r>
    </w:p>
    <w:p>
      <w:pPr>
        <w:pStyle w:val="ListParagraph"/>
        <w:numPr>
          <w:ilvl w:val="1"/>
          <w:numId w:val="12"/>
        </w:numPr>
        <w:tabs>
          <w:tab w:pos="1274" w:val="left" w:leader="none"/>
          <w:tab w:pos="1275" w:val="left" w:leader="none"/>
        </w:tabs>
        <w:spacing w:line="357" w:lineRule="auto" w:before="5" w:after="0"/>
        <w:ind w:left="1274" w:right="136" w:hanging="357"/>
        <w:jc w:val="left"/>
        <w:rPr>
          <w:sz w:val="24"/>
        </w:rPr>
      </w:pPr>
      <w:r>
        <w:rPr>
          <w:rFonts w:ascii="Symbol" w:hAnsi="Symbol"/>
          <w:sz w:val="24"/>
        </w:rPr>
        <w:t></w:t>
      </w:r>
      <w:r>
        <w:rPr>
          <w:rFonts w:ascii="Times New Roman" w:hAnsi="Times New Roman"/>
          <w:sz w:val="24"/>
        </w:rPr>
        <w:t> </w:t>
      </w:r>
      <w:r>
        <w:rPr>
          <w:sz w:val="24"/>
        </w:rPr>
        <w:t>son menos reactivas, ganará menos en un mercado a la alza, pero perderá también menos si el mercado</w:t>
      </w:r>
      <w:r>
        <w:rPr>
          <w:spacing w:val="-16"/>
          <w:sz w:val="24"/>
        </w:rPr>
        <w:t> </w:t>
      </w:r>
      <w:r>
        <w:rPr>
          <w:sz w:val="24"/>
        </w:rPr>
        <w:t>baja.</w:t>
      </w:r>
    </w:p>
    <w:p>
      <w:pPr>
        <w:pStyle w:val="BodyText"/>
        <w:spacing w:line="360" w:lineRule="auto" w:before="8"/>
        <w:ind w:left="142" w:right="147" w:firstLine="707"/>
        <w:jc w:val="both"/>
      </w:pPr>
      <w:r>
        <w:rPr/>
        <w:t>Así, los valores con beta elevada (mayores que 1) se llaman "agresivos" porque sus rendimientos tienden a acentuar los de la cartera global de mercado,</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39"/>
        <w:jc w:val="both"/>
      </w:pPr>
      <w:r>
        <w:rPr/>
        <w:t>subiendo</w:t>
      </w:r>
      <w:r>
        <w:rPr>
          <w:spacing w:val="-19"/>
        </w:rPr>
        <w:t> </w:t>
      </w:r>
      <w:r>
        <w:rPr/>
        <w:t>más</w:t>
      </w:r>
      <w:r>
        <w:rPr>
          <w:spacing w:val="-20"/>
        </w:rPr>
        <w:t> </w:t>
      </w:r>
      <w:r>
        <w:rPr/>
        <w:t>en</w:t>
      </w:r>
      <w:r>
        <w:rPr>
          <w:spacing w:val="-19"/>
        </w:rPr>
        <w:t> </w:t>
      </w:r>
      <w:r>
        <w:rPr/>
        <w:t>mercados</w:t>
      </w:r>
      <w:r>
        <w:rPr>
          <w:spacing w:val="-20"/>
        </w:rPr>
        <w:t> </w:t>
      </w:r>
      <w:r>
        <w:rPr/>
        <w:t>al</w:t>
      </w:r>
      <w:r>
        <w:rPr>
          <w:spacing w:val="-18"/>
        </w:rPr>
        <w:t> </w:t>
      </w:r>
      <w:r>
        <w:rPr/>
        <w:t>alza</w:t>
      </w:r>
      <w:r>
        <w:rPr>
          <w:spacing w:val="-17"/>
        </w:rPr>
        <w:t> </w:t>
      </w:r>
      <w:r>
        <w:rPr/>
        <w:t>y</w:t>
      </w:r>
      <w:r>
        <w:rPr>
          <w:spacing w:val="-20"/>
        </w:rPr>
        <w:t> </w:t>
      </w:r>
      <w:r>
        <w:rPr/>
        <w:t>bajando</w:t>
      </w:r>
      <w:r>
        <w:rPr>
          <w:spacing w:val="-19"/>
        </w:rPr>
        <w:t> </w:t>
      </w:r>
      <w:r>
        <w:rPr/>
        <w:t>más</w:t>
      </w:r>
      <w:r>
        <w:rPr>
          <w:spacing w:val="-20"/>
        </w:rPr>
        <w:t> </w:t>
      </w:r>
      <w:r>
        <w:rPr/>
        <w:t>en</w:t>
      </w:r>
      <w:r>
        <w:rPr>
          <w:spacing w:val="-19"/>
        </w:rPr>
        <w:t> </w:t>
      </w:r>
      <w:r>
        <w:rPr/>
        <w:t>mercados</w:t>
      </w:r>
      <w:r>
        <w:rPr>
          <w:spacing w:val="-18"/>
        </w:rPr>
        <w:t> </w:t>
      </w:r>
      <w:r>
        <w:rPr/>
        <w:t>a</w:t>
      </w:r>
      <w:r>
        <w:rPr>
          <w:spacing w:val="-17"/>
        </w:rPr>
        <w:t> </w:t>
      </w:r>
      <w:r>
        <w:rPr/>
        <w:t>la</w:t>
      </w:r>
      <w:r>
        <w:rPr>
          <w:spacing w:val="-19"/>
        </w:rPr>
        <w:t> </w:t>
      </w:r>
      <w:r>
        <w:rPr/>
        <w:t>baja.</w:t>
      </w:r>
      <w:r>
        <w:rPr>
          <w:spacing w:val="-17"/>
        </w:rPr>
        <w:t> </w:t>
      </w:r>
      <w:r>
        <w:rPr/>
        <w:t>De</w:t>
      </w:r>
      <w:r>
        <w:rPr>
          <w:spacing w:val="-20"/>
        </w:rPr>
        <w:t> </w:t>
      </w:r>
      <w:r>
        <w:rPr/>
        <w:t>manera similar, los valores con betas bajas (menores que 1) se llaman "defensivos". Por definición, la cartera de mercado tiene una beta de 1 y se dice que los valores con una beta de 1 tienen un "riesgo</w:t>
      </w:r>
      <w:r>
        <w:rPr>
          <w:spacing w:val="-20"/>
        </w:rPr>
        <w:t> </w:t>
      </w:r>
      <w:r>
        <w:rPr/>
        <w:t>promedio".</w:t>
      </w:r>
    </w:p>
    <w:p>
      <w:pPr>
        <w:pStyle w:val="BodyText"/>
        <w:spacing w:before="5"/>
        <w:rPr>
          <w:sz w:val="31"/>
        </w:rPr>
      </w:pPr>
    </w:p>
    <w:p>
      <w:pPr>
        <w:spacing w:before="1"/>
        <w:ind w:left="2415" w:right="786" w:firstLine="0"/>
        <w:jc w:val="left"/>
        <w:rPr>
          <w:sz w:val="22"/>
        </w:rPr>
      </w:pPr>
      <w:bookmarkStart w:name="_bookmark23" w:id="38"/>
      <w:bookmarkEnd w:id="38"/>
      <w:r>
        <w:rPr/>
      </w:r>
      <w:r>
        <w:rPr>
          <w:sz w:val="22"/>
        </w:rPr>
        <w:t>Tabla 03. Betas del mercado del (BMV-IPC)</w:t>
      </w:r>
    </w:p>
    <w:p>
      <w:pPr>
        <w:pStyle w:val="BodyText"/>
        <w:spacing w:before="3"/>
        <w:rPr>
          <w:sz w:val="5"/>
        </w:rPr>
      </w:pPr>
    </w:p>
    <w:tbl>
      <w:tblPr>
        <w:tblW w:w="0" w:type="auto"/>
        <w:jc w:val="left"/>
        <w:tblInd w:w="1867"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603"/>
        <w:gridCol w:w="973"/>
        <w:gridCol w:w="209"/>
        <w:gridCol w:w="1618"/>
        <w:gridCol w:w="982"/>
      </w:tblGrid>
      <w:tr>
        <w:trPr>
          <w:trHeight w:val="290" w:hRule="exact"/>
        </w:trPr>
        <w:tc>
          <w:tcPr>
            <w:tcW w:w="1603" w:type="dxa"/>
            <w:tcBorders>
              <w:left w:val="nil"/>
              <w:bottom w:val="single" w:sz="4" w:space="0" w:color="000000"/>
              <w:right w:val="nil"/>
            </w:tcBorders>
          </w:tcPr>
          <w:p>
            <w:pPr>
              <w:pStyle w:val="TableParagraph"/>
              <w:ind w:left="502"/>
              <w:rPr>
                <w:sz w:val="22"/>
              </w:rPr>
            </w:pPr>
            <w:r>
              <w:rPr>
                <w:sz w:val="22"/>
              </w:rPr>
              <w:t>Emisora</w:t>
            </w:r>
          </w:p>
        </w:tc>
        <w:tc>
          <w:tcPr>
            <w:tcW w:w="973" w:type="dxa"/>
            <w:tcBorders>
              <w:left w:val="nil"/>
              <w:bottom w:val="single" w:sz="4" w:space="0" w:color="000000"/>
              <w:right w:val="nil"/>
            </w:tcBorders>
          </w:tcPr>
          <w:p>
            <w:pPr>
              <w:pStyle w:val="TableParagraph"/>
              <w:spacing w:before="2"/>
              <w:ind w:left="459"/>
              <w:rPr>
                <w:sz w:val="22"/>
              </w:rPr>
            </w:pPr>
            <w:r>
              <w:rPr>
                <w:sz w:val="22"/>
              </w:rPr>
              <w:t>(</w:t>
            </w:r>
            <w:r>
              <w:rPr>
                <w:rFonts w:ascii="Symbol" w:hAnsi="Symbol"/>
                <w:sz w:val="22"/>
              </w:rPr>
              <w:t></w:t>
            </w:r>
            <w:r>
              <w:rPr>
                <w:sz w:val="22"/>
              </w:rPr>
              <w:t>)</w:t>
            </w:r>
          </w:p>
        </w:tc>
        <w:tc>
          <w:tcPr>
            <w:tcW w:w="209" w:type="dxa"/>
            <w:tcBorders>
              <w:top w:val="nil"/>
              <w:left w:val="nil"/>
              <w:bottom w:val="nil"/>
              <w:right w:val="nil"/>
            </w:tcBorders>
          </w:tcPr>
          <w:p>
            <w:pPr/>
          </w:p>
        </w:tc>
        <w:tc>
          <w:tcPr>
            <w:tcW w:w="1618" w:type="dxa"/>
            <w:tcBorders>
              <w:left w:val="nil"/>
              <w:bottom w:val="single" w:sz="4" w:space="0" w:color="000000"/>
              <w:right w:val="nil"/>
            </w:tcBorders>
          </w:tcPr>
          <w:p>
            <w:pPr>
              <w:pStyle w:val="TableParagraph"/>
              <w:ind w:left="506" w:right="-274"/>
              <w:rPr>
                <w:sz w:val="22"/>
              </w:rPr>
            </w:pPr>
            <w:r>
              <w:rPr>
                <w:sz w:val="22"/>
              </w:rPr>
              <w:t>Emisora</w:t>
            </w:r>
          </w:p>
        </w:tc>
        <w:tc>
          <w:tcPr>
            <w:tcW w:w="982" w:type="dxa"/>
            <w:tcBorders>
              <w:left w:val="nil"/>
              <w:bottom w:val="single" w:sz="4" w:space="0" w:color="000000"/>
              <w:right w:val="nil"/>
            </w:tcBorders>
          </w:tcPr>
          <w:p>
            <w:pPr>
              <w:pStyle w:val="TableParagraph"/>
              <w:spacing w:before="2"/>
              <w:ind w:left="461"/>
              <w:rPr>
                <w:sz w:val="22"/>
              </w:rPr>
            </w:pPr>
            <w:r>
              <w:rPr>
                <w:sz w:val="22"/>
              </w:rPr>
              <w:t>(</w:t>
            </w:r>
            <w:r>
              <w:rPr>
                <w:rFonts w:ascii="Symbol" w:hAnsi="Symbol"/>
                <w:sz w:val="22"/>
              </w:rPr>
              <w:t></w:t>
            </w:r>
            <w:r>
              <w:rPr>
                <w:sz w:val="22"/>
              </w:rPr>
              <w:t>)</w:t>
            </w:r>
          </w:p>
        </w:tc>
      </w:tr>
      <w:tr>
        <w:trPr>
          <w:trHeight w:val="267" w:hRule="exact"/>
        </w:trPr>
        <w:tc>
          <w:tcPr>
            <w:tcW w:w="1603" w:type="dxa"/>
            <w:tcBorders>
              <w:top w:val="single" w:sz="4" w:space="0" w:color="000000"/>
              <w:left w:val="nil"/>
              <w:bottom w:val="nil"/>
              <w:right w:val="nil"/>
            </w:tcBorders>
          </w:tcPr>
          <w:p>
            <w:pPr>
              <w:pStyle w:val="TableParagraph"/>
              <w:spacing w:line="251" w:lineRule="exact"/>
              <w:rPr>
                <w:sz w:val="22"/>
              </w:rPr>
            </w:pPr>
            <w:r>
              <w:rPr>
                <w:sz w:val="22"/>
              </w:rPr>
              <w:t>Tlevisa Cpo</w:t>
            </w:r>
          </w:p>
        </w:tc>
        <w:tc>
          <w:tcPr>
            <w:tcW w:w="973" w:type="dxa"/>
            <w:tcBorders>
              <w:top w:val="single" w:sz="4" w:space="0" w:color="000000"/>
              <w:left w:val="nil"/>
              <w:bottom w:val="nil"/>
              <w:right w:val="nil"/>
            </w:tcBorders>
          </w:tcPr>
          <w:p>
            <w:pPr>
              <w:pStyle w:val="TableParagraph"/>
              <w:spacing w:line="251" w:lineRule="exact"/>
              <w:ind w:left="281"/>
              <w:rPr>
                <w:sz w:val="22"/>
              </w:rPr>
            </w:pPr>
            <w:r>
              <w:rPr>
                <w:sz w:val="22"/>
              </w:rPr>
              <w:t>1.42</w:t>
            </w:r>
          </w:p>
        </w:tc>
        <w:tc>
          <w:tcPr>
            <w:tcW w:w="209" w:type="dxa"/>
            <w:tcBorders>
              <w:top w:val="nil"/>
              <w:left w:val="nil"/>
              <w:bottom w:val="nil"/>
              <w:right w:val="nil"/>
            </w:tcBorders>
          </w:tcPr>
          <w:p>
            <w:pPr/>
          </w:p>
        </w:tc>
        <w:tc>
          <w:tcPr>
            <w:tcW w:w="1618" w:type="dxa"/>
            <w:tcBorders>
              <w:top w:val="single" w:sz="4" w:space="0" w:color="000000"/>
              <w:left w:val="nil"/>
              <w:bottom w:val="nil"/>
              <w:right w:val="nil"/>
            </w:tcBorders>
          </w:tcPr>
          <w:p>
            <w:pPr>
              <w:pStyle w:val="TableParagraph"/>
              <w:spacing w:line="251" w:lineRule="exact"/>
              <w:ind w:right="-274"/>
              <w:rPr>
                <w:sz w:val="22"/>
              </w:rPr>
            </w:pPr>
            <w:r>
              <w:rPr>
                <w:sz w:val="22"/>
              </w:rPr>
              <w:t>Geo B</w:t>
            </w:r>
          </w:p>
        </w:tc>
        <w:tc>
          <w:tcPr>
            <w:tcW w:w="982" w:type="dxa"/>
            <w:tcBorders>
              <w:top w:val="single" w:sz="4" w:space="0" w:color="000000"/>
              <w:left w:val="nil"/>
              <w:bottom w:val="nil"/>
              <w:right w:val="nil"/>
            </w:tcBorders>
          </w:tcPr>
          <w:p>
            <w:pPr>
              <w:pStyle w:val="TableParagraph"/>
              <w:spacing w:line="251" w:lineRule="exact"/>
              <w:ind w:left="273"/>
              <w:rPr>
                <w:sz w:val="22"/>
              </w:rPr>
            </w:pPr>
            <w:r>
              <w:rPr>
                <w:sz w:val="22"/>
              </w:rPr>
              <w:t>0.94</w:t>
            </w:r>
          </w:p>
        </w:tc>
      </w:tr>
      <w:tr>
        <w:trPr>
          <w:trHeight w:val="253" w:hRule="exact"/>
        </w:trPr>
        <w:tc>
          <w:tcPr>
            <w:tcW w:w="1603" w:type="dxa"/>
            <w:tcBorders>
              <w:top w:val="nil"/>
              <w:left w:val="nil"/>
              <w:bottom w:val="nil"/>
              <w:right w:val="nil"/>
            </w:tcBorders>
          </w:tcPr>
          <w:p>
            <w:pPr>
              <w:pStyle w:val="TableParagraph"/>
              <w:spacing w:line="242" w:lineRule="exact"/>
              <w:rPr>
                <w:sz w:val="22"/>
              </w:rPr>
            </w:pPr>
            <w:r>
              <w:rPr>
                <w:sz w:val="22"/>
              </w:rPr>
              <w:t>Cie B</w:t>
            </w:r>
          </w:p>
        </w:tc>
        <w:tc>
          <w:tcPr>
            <w:tcW w:w="973" w:type="dxa"/>
            <w:tcBorders>
              <w:top w:val="nil"/>
              <w:left w:val="nil"/>
              <w:bottom w:val="nil"/>
              <w:right w:val="nil"/>
            </w:tcBorders>
          </w:tcPr>
          <w:p>
            <w:pPr>
              <w:pStyle w:val="TableParagraph"/>
              <w:spacing w:line="242" w:lineRule="exact"/>
              <w:ind w:left="281"/>
              <w:rPr>
                <w:sz w:val="22"/>
              </w:rPr>
            </w:pPr>
            <w:r>
              <w:rPr>
                <w:sz w:val="22"/>
              </w:rPr>
              <w:t>1.31</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42" w:lineRule="exact"/>
              <w:ind w:right="-274"/>
              <w:rPr>
                <w:sz w:val="22"/>
              </w:rPr>
            </w:pPr>
            <w:r>
              <w:rPr>
                <w:sz w:val="22"/>
              </w:rPr>
              <w:t>Telmex L</w:t>
            </w:r>
          </w:p>
        </w:tc>
        <w:tc>
          <w:tcPr>
            <w:tcW w:w="982" w:type="dxa"/>
            <w:tcBorders>
              <w:top w:val="nil"/>
              <w:left w:val="nil"/>
              <w:bottom w:val="nil"/>
              <w:right w:val="nil"/>
            </w:tcBorders>
          </w:tcPr>
          <w:p>
            <w:pPr>
              <w:pStyle w:val="TableParagraph"/>
              <w:spacing w:line="242" w:lineRule="exact"/>
              <w:ind w:left="273"/>
              <w:rPr>
                <w:sz w:val="22"/>
              </w:rPr>
            </w:pPr>
            <w:r>
              <w:rPr>
                <w:sz w:val="22"/>
              </w:rPr>
              <w:t>0.91</w:t>
            </w:r>
          </w:p>
        </w:tc>
      </w:tr>
      <w:tr>
        <w:trPr>
          <w:trHeight w:val="271" w:hRule="exact"/>
        </w:trPr>
        <w:tc>
          <w:tcPr>
            <w:tcW w:w="1603" w:type="dxa"/>
            <w:tcBorders>
              <w:top w:val="nil"/>
              <w:left w:val="nil"/>
              <w:bottom w:val="nil"/>
              <w:right w:val="nil"/>
            </w:tcBorders>
          </w:tcPr>
          <w:p>
            <w:pPr>
              <w:pStyle w:val="TableParagraph"/>
              <w:spacing w:line="260" w:lineRule="exact"/>
              <w:rPr>
                <w:rFonts w:ascii="Symbol" w:hAnsi="Symbol"/>
                <w:sz w:val="22"/>
              </w:rPr>
            </w:pPr>
            <w:r>
              <w:rPr>
                <w:sz w:val="22"/>
              </w:rPr>
              <w:t>Ica </w:t>
            </w:r>
            <w:r>
              <w:rPr>
                <w:rFonts w:ascii="Symbol" w:hAnsi="Symbol"/>
                <w:sz w:val="22"/>
              </w:rPr>
              <w:t></w:t>
            </w:r>
          </w:p>
        </w:tc>
        <w:tc>
          <w:tcPr>
            <w:tcW w:w="973" w:type="dxa"/>
            <w:tcBorders>
              <w:top w:val="nil"/>
              <w:left w:val="nil"/>
              <w:bottom w:val="nil"/>
              <w:right w:val="nil"/>
            </w:tcBorders>
          </w:tcPr>
          <w:p>
            <w:pPr>
              <w:pStyle w:val="TableParagraph"/>
              <w:spacing w:line="241" w:lineRule="exact"/>
              <w:ind w:left="281"/>
              <w:rPr>
                <w:sz w:val="22"/>
              </w:rPr>
            </w:pPr>
            <w:r>
              <w:rPr>
                <w:sz w:val="22"/>
              </w:rPr>
              <w:t>1.21</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41" w:lineRule="exact"/>
              <w:ind w:right="-274"/>
              <w:rPr>
                <w:sz w:val="22"/>
              </w:rPr>
            </w:pPr>
            <w:r>
              <w:rPr>
                <w:sz w:val="22"/>
              </w:rPr>
              <w:t>Gfnorte O</w:t>
            </w:r>
          </w:p>
        </w:tc>
        <w:tc>
          <w:tcPr>
            <w:tcW w:w="982" w:type="dxa"/>
            <w:tcBorders>
              <w:top w:val="nil"/>
              <w:left w:val="nil"/>
              <w:bottom w:val="nil"/>
              <w:right w:val="nil"/>
            </w:tcBorders>
          </w:tcPr>
          <w:p>
            <w:pPr>
              <w:pStyle w:val="TableParagraph"/>
              <w:spacing w:line="241" w:lineRule="exact"/>
              <w:ind w:left="273"/>
              <w:rPr>
                <w:sz w:val="22"/>
              </w:rPr>
            </w:pPr>
            <w:r>
              <w:rPr>
                <w:sz w:val="22"/>
              </w:rPr>
              <w:t>0.82</w:t>
            </w:r>
          </w:p>
        </w:tc>
      </w:tr>
      <w:tr>
        <w:trPr>
          <w:trHeight w:val="270" w:hRule="exact"/>
        </w:trPr>
        <w:tc>
          <w:tcPr>
            <w:tcW w:w="1603" w:type="dxa"/>
            <w:tcBorders>
              <w:top w:val="nil"/>
              <w:left w:val="nil"/>
              <w:bottom w:val="nil"/>
              <w:right w:val="nil"/>
            </w:tcBorders>
          </w:tcPr>
          <w:p>
            <w:pPr>
              <w:pStyle w:val="TableParagraph"/>
              <w:spacing w:line="242" w:lineRule="exact"/>
              <w:rPr>
                <w:sz w:val="22"/>
              </w:rPr>
            </w:pPr>
            <w:r>
              <w:rPr>
                <w:sz w:val="22"/>
              </w:rPr>
              <w:t>Tvaztca Cpo</w:t>
            </w:r>
          </w:p>
        </w:tc>
        <w:tc>
          <w:tcPr>
            <w:tcW w:w="973" w:type="dxa"/>
            <w:tcBorders>
              <w:top w:val="nil"/>
              <w:left w:val="nil"/>
              <w:bottom w:val="nil"/>
              <w:right w:val="nil"/>
            </w:tcBorders>
          </w:tcPr>
          <w:p>
            <w:pPr>
              <w:pStyle w:val="TableParagraph"/>
              <w:spacing w:line="242" w:lineRule="exact"/>
              <w:ind w:left="281"/>
              <w:rPr>
                <w:sz w:val="22"/>
              </w:rPr>
            </w:pPr>
            <w:r>
              <w:rPr>
                <w:sz w:val="22"/>
              </w:rPr>
              <w:t>1.18</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61" w:lineRule="exact"/>
              <w:ind w:right="-274"/>
              <w:rPr>
                <w:rFonts w:ascii="Symbol" w:hAnsi="Symbol"/>
                <w:sz w:val="22"/>
              </w:rPr>
            </w:pPr>
            <w:r>
              <w:rPr>
                <w:sz w:val="22"/>
              </w:rPr>
              <w:t>Contal </w:t>
            </w:r>
            <w:r>
              <w:rPr>
                <w:rFonts w:ascii="Symbol" w:hAnsi="Symbol"/>
                <w:sz w:val="22"/>
              </w:rPr>
              <w:t></w:t>
            </w:r>
          </w:p>
        </w:tc>
        <w:tc>
          <w:tcPr>
            <w:tcW w:w="982" w:type="dxa"/>
            <w:tcBorders>
              <w:top w:val="nil"/>
              <w:left w:val="nil"/>
              <w:bottom w:val="nil"/>
              <w:right w:val="nil"/>
            </w:tcBorders>
          </w:tcPr>
          <w:p>
            <w:pPr>
              <w:pStyle w:val="TableParagraph"/>
              <w:spacing w:line="242" w:lineRule="exact"/>
              <w:ind w:left="273"/>
              <w:rPr>
                <w:sz w:val="22"/>
              </w:rPr>
            </w:pPr>
            <w:r>
              <w:rPr>
                <w:sz w:val="22"/>
              </w:rPr>
              <w:t>0.81</w:t>
            </w:r>
          </w:p>
        </w:tc>
      </w:tr>
      <w:tr>
        <w:trPr>
          <w:trHeight w:val="252" w:hRule="exact"/>
        </w:trPr>
        <w:tc>
          <w:tcPr>
            <w:tcW w:w="1603" w:type="dxa"/>
            <w:tcBorders>
              <w:top w:val="nil"/>
              <w:left w:val="nil"/>
              <w:bottom w:val="nil"/>
              <w:right w:val="nil"/>
            </w:tcBorders>
          </w:tcPr>
          <w:p>
            <w:pPr>
              <w:pStyle w:val="TableParagraph"/>
              <w:spacing w:line="241" w:lineRule="exact"/>
              <w:rPr>
                <w:sz w:val="22"/>
              </w:rPr>
            </w:pPr>
            <w:r>
              <w:rPr>
                <w:sz w:val="22"/>
              </w:rPr>
              <w:t>Amx L</w:t>
            </w:r>
          </w:p>
        </w:tc>
        <w:tc>
          <w:tcPr>
            <w:tcW w:w="973" w:type="dxa"/>
            <w:tcBorders>
              <w:top w:val="nil"/>
              <w:left w:val="nil"/>
              <w:bottom w:val="nil"/>
              <w:right w:val="nil"/>
            </w:tcBorders>
          </w:tcPr>
          <w:p>
            <w:pPr>
              <w:pStyle w:val="TableParagraph"/>
              <w:spacing w:line="241" w:lineRule="exact"/>
              <w:ind w:left="281"/>
              <w:rPr>
                <w:sz w:val="22"/>
              </w:rPr>
            </w:pPr>
            <w:r>
              <w:rPr>
                <w:sz w:val="22"/>
              </w:rPr>
              <w:t>1.16</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41" w:lineRule="exact"/>
              <w:ind w:right="-274"/>
              <w:rPr>
                <w:sz w:val="22"/>
              </w:rPr>
            </w:pPr>
            <w:r>
              <w:rPr>
                <w:sz w:val="22"/>
              </w:rPr>
              <w:t>Kimber A</w:t>
            </w:r>
          </w:p>
        </w:tc>
        <w:tc>
          <w:tcPr>
            <w:tcW w:w="982" w:type="dxa"/>
            <w:tcBorders>
              <w:top w:val="nil"/>
              <w:left w:val="nil"/>
              <w:bottom w:val="nil"/>
              <w:right w:val="nil"/>
            </w:tcBorders>
          </w:tcPr>
          <w:p>
            <w:pPr>
              <w:pStyle w:val="TableParagraph"/>
              <w:spacing w:line="241" w:lineRule="exact"/>
              <w:ind w:left="273"/>
              <w:rPr>
                <w:sz w:val="22"/>
              </w:rPr>
            </w:pPr>
            <w:r>
              <w:rPr>
                <w:sz w:val="22"/>
              </w:rPr>
              <w:t>0.80</w:t>
            </w:r>
          </w:p>
        </w:tc>
      </w:tr>
      <w:tr>
        <w:trPr>
          <w:trHeight w:val="253" w:hRule="exact"/>
        </w:trPr>
        <w:tc>
          <w:tcPr>
            <w:tcW w:w="1603" w:type="dxa"/>
            <w:tcBorders>
              <w:top w:val="nil"/>
              <w:left w:val="nil"/>
              <w:bottom w:val="nil"/>
              <w:right w:val="nil"/>
            </w:tcBorders>
          </w:tcPr>
          <w:p>
            <w:pPr>
              <w:pStyle w:val="TableParagraph"/>
              <w:spacing w:line="241" w:lineRule="exact"/>
              <w:rPr>
                <w:sz w:val="22"/>
              </w:rPr>
            </w:pPr>
            <w:r>
              <w:rPr>
                <w:sz w:val="22"/>
              </w:rPr>
              <w:t>Soriana B</w:t>
            </w:r>
          </w:p>
        </w:tc>
        <w:tc>
          <w:tcPr>
            <w:tcW w:w="973" w:type="dxa"/>
            <w:tcBorders>
              <w:top w:val="nil"/>
              <w:left w:val="nil"/>
              <w:bottom w:val="nil"/>
              <w:right w:val="nil"/>
            </w:tcBorders>
          </w:tcPr>
          <w:p>
            <w:pPr>
              <w:pStyle w:val="TableParagraph"/>
              <w:spacing w:line="241" w:lineRule="exact"/>
              <w:ind w:left="281"/>
              <w:rPr>
                <w:sz w:val="22"/>
              </w:rPr>
            </w:pPr>
            <w:r>
              <w:rPr>
                <w:sz w:val="22"/>
              </w:rPr>
              <w:t>1.15</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41" w:lineRule="exact"/>
              <w:ind w:right="-274"/>
              <w:rPr>
                <w:sz w:val="22"/>
              </w:rPr>
            </w:pPr>
            <w:r>
              <w:rPr>
                <w:sz w:val="22"/>
              </w:rPr>
              <w:t>Gmexico B</w:t>
            </w:r>
          </w:p>
        </w:tc>
        <w:tc>
          <w:tcPr>
            <w:tcW w:w="982" w:type="dxa"/>
            <w:tcBorders>
              <w:top w:val="nil"/>
              <w:left w:val="nil"/>
              <w:bottom w:val="nil"/>
              <w:right w:val="nil"/>
            </w:tcBorders>
          </w:tcPr>
          <w:p>
            <w:pPr>
              <w:pStyle w:val="TableParagraph"/>
              <w:spacing w:line="241" w:lineRule="exact"/>
              <w:ind w:left="273"/>
              <w:rPr>
                <w:sz w:val="22"/>
              </w:rPr>
            </w:pPr>
            <w:r>
              <w:rPr>
                <w:sz w:val="22"/>
              </w:rPr>
              <w:t>0.79</w:t>
            </w:r>
          </w:p>
        </w:tc>
      </w:tr>
      <w:tr>
        <w:trPr>
          <w:trHeight w:val="253" w:hRule="exact"/>
        </w:trPr>
        <w:tc>
          <w:tcPr>
            <w:tcW w:w="1603" w:type="dxa"/>
            <w:tcBorders>
              <w:top w:val="nil"/>
              <w:left w:val="nil"/>
              <w:bottom w:val="nil"/>
              <w:right w:val="nil"/>
            </w:tcBorders>
          </w:tcPr>
          <w:p>
            <w:pPr>
              <w:pStyle w:val="TableParagraph"/>
              <w:spacing w:line="242" w:lineRule="exact"/>
              <w:rPr>
                <w:sz w:val="22"/>
              </w:rPr>
            </w:pPr>
            <w:r>
              <w:rPr>
                <w:sz w:val="22"/>
              </w:rPr>
              <w:t>Alfa A</w:t>
            </w:r>
          </w:p>
        </w:tc>
        <w:tc>
          <w:tcPr>
            <w:tcW w:w="973" w:type="dxa"/>
            <w:tcBorders>
              <w:top w:val="nil"/>
              <w:left w:val="nil"/>
              <w:bottom w:val="nil"/>
              <w:right w:val="nil"/>
            </w:tcBorders>
          </w:tcPr>
          <w:p>
            <w:pPr>
              <w:pStyle w:val="TableParagraph"/>
              <w:spacing w:line="242" w:lineRule="exact"/>
              <w:ind w:left="281"/>
              <w:rPr>
                <w:sz w:val="22"/>
              </w:rPr>
            </w:pPr>
            <w:r>
              <w:rPr>
                <w:sz w:val="22"/>
              </w:rPr>
              <w:t>1.07</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42" w:lineRule="exact"/>
              <w:ind w:right="-274"/>
              <w:rPr>
                <w:sz w:val="22"/>
              </w:rPr>
            </w:pPr>
            <w:r>
              <w:rPr>
                <w:sz w:val="22"/>
              </w:rPr>
              <w:t>Bimbo A</w:t>
            </w:r>
          </w:p>
        </w:tc>
        <w:tc>
          <w:tcPr>
            <w:tcW w:w="982" w:type="dxa"/>
            <w:tcBorders>
              <w:top w:val="nil"/>
              <w:left w:val="nil"/>
              <w:bottom w:val="nil"/>
              <w:right w:val="nil"/>
            </w:tcBorders>
          </w:tcPr>
          <w:p>
            <w:pPr>
              <w:pStyle w:val="TableParagraph"/>
              <w:spacing w:line="242" w:lineRule="exact"/>
              <w:ind w:left="273"/>
              <w:rPr>
                <w:sz w:val="22"/>
              </w:rPr>
            </w:pPr>
            <w:r>
              <w:rPr>
                <w:sz w:val="22"/>
              </w:rPr>
              <w:t>0.77</w:t>
            </w:r>
          </w:p>
        </w:tc>
      </w:tr>
      <w:tr>
        <w:trPr>
          <w:trHeight w:val="253" w:hRule="exact"/>
        </w:trPr>
        <w:tc>
          <w:tcPr>
            <w:tcW w:w="1603" w:type="dxa"/>
            <w:tcBorders>
              <w:top w:val="nil"/>
              <w:left w:val="nil"/>
              <w:bottom w:val="nil"/>
              <w:right w:val="nil"/>
            </w:tcBorders>
          </w:tcPr>
          <w:p>
            <w:pPr>
              <w:pStyle w:val="TableParagraph"/>
              <w:spacing w:line="241" w:lineRule="exact"/>
              <w:rPr>
                <w:sz w:val="22"/>
              </w:rPr>
            </w:pPr>
            <w:r>
              <w:rPr>
                <w:sz w:val="22"/>
              </w:rPr>
              <w:t>Femsa Ubd</w:t>
            </w:r>
          </w:p>
        </w:tc>
        <w:tc>
          <w:tcPr>
            <w:tcW w:w="973" w:type="dxa"/>
            <w:tcBorders>
              <w:top w:val="nil"/>
              <w:left w:val="nil"/>
              <w:bottom w:val="nil"/>
              <w:right w:val="nil"/>
            </w:tcBorders>
          </w:tcPr>
          <w:p>
            <w:pPr>
              <w:pStyle w:val="TableParagraph"/>
              <w:spacing w:line="241" w:lineRule="exact"/>
              <w:ind w:left="281"/>
              <w:rPr>
                <w:sz w:val="22"/>
              </w:rPr>
            </w:pPr>
            <w:r>
              <w:rPr>
                <w:sz w:val="22"/>
              </w:rPr>
              <w:t>1.06</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41" w:lineRule="exact"/>
              <w:ind w:right="-274"/>
              <w:rPr>
                <w:sz w:val="22"/>
              </w:rPr>
            </w:pPr>
            <w:r>
              <w:rPr>
                <w:sz w:val="22"/>
              </w:rPr>
              <w:t>Gmodelo C</w:t>
            </w:r>
          </w:p>
        </w:tc>
        <w:tc>
          <w:tcPr>
            <w:tcW w:w="982" w:type="dxa"/>
            <w:tcBorders>
              <w:top w:val="nil"/>
              <w:left w:val="nil"/>
              <w:bottom w:val="nil"/>
              <w:right w:val="nil"/>
            </w:tcBorders>
          </w:tcPr>
          <w:p>
            <w:pPr>
              <w:pStyle w:val="TableParagraph"/>
              <w:spacing w:line="241" w:lineRule="exact"/>
              <w:ind w:left="273"/>
              <w:rPr>
                <w:sz w:val="22"/>
              </w:rPr>
            </w:pPr>
            <w:r>
              <w:rPr>
                <w:sz w:val="22"/>
              </w:rPr>
              <w:t>0.77</w:t>
            </w:r>
          </w:p>
        </w:tc>
      </w:tr>
      <w:tr>
        <w:trPr>
          <w:trHeight w:val="270" w:hRule="exact"/>
        </w:trPr>
        <w:tc>
          <w:tcPr>
            <w:tcW w:w="1603" w:type="dxa"/>
            <w:tcBorders>
              <w:top w:val="nil"/>
              <w:left w:val="nil"/>
              <w:bottom w:val="nil"/>
              <w:right w:val="nil"/>
            </w:tcBorders>
          </w:tcPr>
          <w:p>
            <w:pPr>
              <w:pStyle w:val="TableParagraph"/>
              <w:spacing w:line="242" w:lineRule="exact"/>
              <w:rPr>
                <w:sz w:val="22"/>
              </w:rPr>
            </w:pPr>
            <w:r>
              <w:rPr>
                <w:sz w:val="22"/>
              </w:rPr>
              <w:t>Walmex V</w:t>
            </w:r>
          </w:p>
        </w:tc>
        <w:tc>
          <w:tcPr>
            <w:tcW w:w="973" w:type="dxa"/>
            <w:tcBorders>
              <w:top w:val="nil"/>
              <w:left w:val="nil"/>
              <w:bottom w:val="nil"/>
              <w:right w:val="nil"/>
            </w:tcBorders>
          </w:tcPr>
          <w:p>
            <w:pPr>
              <w:pStyle w:val="TableParagraph"/>
              <w:spacing w:line="242" w:lineRule="exact"/>
              <w:ind w:left="281"/>
              <w:rPr>
                <w:sz w:val="22"/>
              </w:rPr>
            </w:pPr>
            <w:r>
              <w:rPr>
                <w:sz w:val="22"/>
              </w:rPr>
              <w:t>1.04</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61" w:lineRule="exact"/>
              <w:ind w:right="-274"/>
              <w:rPr>
                <w:rFonts w:ascii="Symbol" w:hAnsi="Symbol"/>
                <w:sz w:val="22"/>
              </w:rPr>
            </w:pPr>
            <w:r>
              <w:rPr>
                <w:sz w:val="22"/>
              </w:rPr>
              <w:t>Ara </w:t>
            </w:r>
            <w:r>
              <w:rPr>
                <w:rFonts w:ascii="Symbol" w:hAnsi="Symbol"/>
                <w:sz w:val="22"/>
              </w:rPr>
              <w:t></w:t>
            </w:r>
          </w:p>
        </w:tc>
        <w:tc>
          <w:tcPr>
            <w:tcW w:w="982" w:type="dxa"/>
            <w:tcBorders>
              <w:top w:val="nil"/>
              <w:left w:val="nil"/>
              <w:bottom w:val="nil"/>
              <w:right w:val="nil"/>
            </w:tcBorders>
          </w:tcPr>
          <w:p>
            <w:pPr>
              <w:pStyle w:val="TableParagraph"/>
              <w:spacing w:line="242" w:lineRule="exact"/>
              <w:ind w:left="273"/>
              <w:rPr>
                <w:sz w:val="22"/>
              </w:rPr>
            </w:pPr>
            <w:r>
              <w:rPr>
                <w:sz w:val="22"/>
              </w:rPr>
              <w:t>0.76</w:t>
            </w:r>
          </w:p>
        </w:tc>
      </w:tr>
      <w:tr>
        <w:trPr>
          <w:trHeight w:val="252" w:hRule="exact"/>
        </w:trPr>
        <w:tc>
          <w:tcPr>
            <w:tcW w:w="1603" w:type="dxa"/>
            <w:tcBorders>
              <w:top w:val="nil"/>
              <w:left w:val="nil"/>
              <w:bottom w:val="nil"/>
              <w:right w:val="nil"/>
            </w:tcBorders>
          </w:tcPr>
          <w:p>
            <w:pPr>
              <w:pStyle w:val="TableParagraph"/>
              <w:spacing w:line="241" w:lineRule="exact"/>
              <w:rPr>
                <w:sz w:val="22"/>
              </w:rPr>
            </w:pPr>
            <w:r>
              <w:rPr>
                <w:sz w:val="22"/>
              </w:rPr>
              <w:t>Telecom A-1</w:t>
            </w:r>
          </w:p>
        </w:tc>
        <w:tc>
          <w:tcPr>
            <w:tcW w:w="973" w:type="dxa"/>
            <w:tcBorders>
              <w:top w:val="nil"/>
              <w:left w:val="nil"/>
              <w:bottom w:val="nil"/>
              <w:right w:val="nil"/>
            </w:tcBorders>
          </w:tcPr>
          <w:p>
            <w:pPr>
              <w:pStyle w:val="TableParagraph"/>
              <w:spacing w:line="241" w:lineRule="exact"/>
              <w:ind w:left="281"/>
              <w:rPr>
                <w:sz w:val="22"/>
              </w:rPr>
            </w:pPr>
            <w:r>
              <w:rPr>
                <w:sz w:val="22"/>
              </w:rPr>
              <w:t>1.03</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41" w:lineRule="exact"/>
              <w:ind w:right="-274"/>
              <w:rPr>
                <w:sz w:val="22"/>
              </w:rPr>
            </w:pPr>
            <w:r>
              <w:rPr>
                <w:sz w:val="22"/>
              </w:rPr>
              <w:t>Desc B</w:t>
            </w:r>
          </w:p>
        </w:tc>
        <w:tc>
          <w:tcPr>
            <w:tcW w:w="982" w:type="dxa"/>
            <w:tcBorders>
              <w:top w:val="nil"/>
              <w:left w:val="nil"/>
              <w:bottom w:val="nil"/>
              <w:right w:val="nil"/>
            </w:tcBorders>
          </w:tcPr>
          <w:p>
            <w:pPr>
              <w:pStyle w:val="TableParagraph"/>
              <w:spacing w:line="241" w:lineRule="exact"/>
              <w:ind w:left="273"/>
              <w:rPr>
                <w:sz w:val="22"/>
              </w:rPr>
            </w:pPr>
            <w:r>
              <w:rPr>
                <w:sz w:val="22"/>
              </w:rPr>
              <w:t>0.72</w:t>
            </w:r>
          </w:p>
        </w:tc>
      </w:tr>
      <w:tr>
        <w:trPr>
          <w:trHeight w:val="270" w:hRule="exact"/>
        </w:trPr>
        <w:tc>
          <w:tcPr>
            <w:tcW w:w="1603" w:type="dxa"/>
            <w:tcBorders>
              <w:top w:val="nil"/>
              <w:left w:val="nil"/>
              <w:bottom w:val="nil"/>
              <w:right w:val="nil"/>
            </w:tcBorders>
          </w:tcPr>
          <w:p>
            <w:pPr>
              <w:pStyle w:val="TableParagraph"/>
              <w:spacing w:line="260" w:lineRule="exact"/>
              <w:rPr>
                <w:rFonts w:ascii="Symbol" w:hAnsi="Symbol"/>
                <w:sz w:val="22"/>
              </w:rPr>
            </w:pPr>
            <w:r>
              <w:rPr>
                <w:sz w:val="22"/>
              </w:rPr>
              <w:t>Electra </w:t>
            </w:r>
            <w:r>
              <w:rPr>
                <w:rFonts w:ascii="Symbol" w:hAnsi="Symbol"/>
                <w:sz w:val="22"/>
              </w:rPr>
              <w:t></w:t>
            </w:r>
          </w:p>
        </w:tc>
        <w:tc>
          <w:tcPr>
            <w:tcW w:w="973" w:type="dxa"/>
            <w:tcBorders>
              <w:top w:val="nil"/>
              <w:left w:val="nil"/>
              <w:bottom w:val="nil"/>
              <w:right w:val="nil"/>
            </w:tcBorders>
          </w:tcPr>
          <w:p>
            <w:pPr>
              <w:pStyle w:val="TableParagraph"/>
              <w:spacing w:line="241" w:lineRule="exact"/>
              <w:ind w:left="281"/>
              <w:rPr>
                <w:sz w:val="22"/>
              </w:rPr>
            </w:pPr>
            <w:r>
              <w:rPr>
                <w:sz w:val="22"/>
              </w:rPr>
              <w:t>1.03</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41" w:lineRule="exact"/>
              <w:ind w:right="-274"/>
              <w:rPr>
                <w:sz w:val="22"/>
              </w:rPr>
            </w:pPr>
            <w:r>
              <w:rPr>
                <w:sz w:val="22"/>
              </w:rPr>
              <w:t>Vitro A</w:t>
            </w:r>
          </w:p>
        </w:tc>
        <w:tc>
          <w:tcPr>
            <w:tcW w:w="982" w:type="dxa"/>
            <w:tcBorders>
              <w:top w:val="nil"/>
              <w:left w:val="nil"/>
              <w:bottom w:val="nil"/>
              <w:right w:val="nil"/>
            </w:tcBorders>
          </w:tcPr>
          <w:p>
            <w:pPr>
              <w:pStyle w:val="TableParagraph"/>
              <w:spacing w:line="241" w:lineRule="exact"/>
              <w:ind w:left="273"/>
              <w:rPr>
                <w:sz w:val="22"/>
              </w:rPr>
            </w:pPr>
            <w:r>
              <w:rPr>
                <w:sz w:val="22"/>
              </w:rPr>
              <w:t>0.67</w:t>
            </w:r>
          </w:p>
        </w:tc>
      </w:tr>
      <w:tr>
        <w:trPr>
          <w:trHeight w:val="270" w:hRule="exact"/>
        </w:trPr>
        <w:tc>
          <w:tcPr>
            <w:tcW w:w="1603" w:type="dxa"/>
            <w:tcBorders>
              <w:top w:val="nil"/>
              <w:left w:val="nil"/>
              <w:bottom w:val="nil"/>
              <w:right w:val="nil"/>
            </w:tcBorders>
          </w:tcPr>
          <w:p>
            <w:pPr>
              <w:pStyle w:val="TableParagraph"/>
              <w:spacing w:line="242" w:lineRule="exact"/>
              <w:rPr>
                <w:sz w:val="22"/>
              </w:rPr>
            </w:pPr>
            <w:r>
              <w:rPr>
                <w:sz w:val="22"/>
              </w:rPr>
              <w:t>Gfinbur O</w:t>
            </w:r>
          </w:p>
        </w:tc>
        <w:tc>
          <w:tcPr>
            <w:tcW w:w="973" w:type="dxa"/>
            <w:tcBorders>
              <w:top w:val="nil"/>
              <w:left w:val="nil"/>
              <w:bottom w:val="nil"/>
              <w:right w:val="nil"/>
            </w:tcBorders>
          </w:tcPr>
          <w:p>
            <w:pPr>
              <w:pStyle w:val="TableParagraph"/>
              <w:spacing w:line="242" w:lineRule="exact"/>
              <w:ind w:left="281"/>
              <w:rPr>
                <w:sz w:val="22"/>
              </w:rPr>
            </w:pPr>
            <w:r>
              <w:rPr>
                <w:sz w:val="22"/>
              </w:rPr>
              <w:t>1.02</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61" w:lineRule="exact"/>
              <w:ind w:right="-274"/>
              <w:rPr>
                <w:rFonts w:ascii="Symbol" w:hAnsi="Symbol"/>
                <w:sz w:val="22"/>
              </w:rPr>
            </w:pPr>
            <w:r>
              <w:rPr>
                <w:sz w:val="22"/>
              </w:rPr>
              <w:t>Gissa </w:t>
            </w:r>
            <w:r>
              <w:rPr>
                <w:rFonts w:ascii="Symbol" w:hAnsi="Symbol"/>
                <w:sz w:val="22"/>
              </w:rPr>
              <w:t></w:t>
            </w:r>
          </w:p>
        </w:tc>
        <w:tc>
          <w:tcPr>
            <w:tcW w:w="982" w:type="dxa"/>
            <w:tcBorders>
              <w:top w:val="nil"/>
              <w:left w:val="nil"/>
              <w:bottom w:val="nil"/>
              <w:right w:val="nil"/>
            </w:tcBorders>
          </w:tcPr>
          <w:p>
            <w:pPr>
              <w:pStyle w:val="TableParagraph"/>
              <w:spacing w:line="242" w:lineRule="exact"/>
              <w:ind w:left="273"/>
              <w:rPr>
                <w:sz w:val="22"/>
              </w:rPr>
            </w:pPr>
            <w:r>
              <w:rPr>
                <w:sz w:val="22"/>
              </w:rPr>
              <w:t>0.61</w:t>
            </w:r>
          </w:p>
        </w:tc>
      </w:tr>
      <w:tr>
        <w:trPr>
          <w:trHeight w:val="269" w:hRule="exact"/>
        </w:trPr>
        <w:tc>
          <w:tcPr>
            <w:tcW w:w="1603" w:type="dxa"/>
            <w:tcBorders>
              <w:top w:val="nil"/>
              <w:left w:val="nil"/>
              <w:bottom w:val="nil"/>
              <w:right w:val="nil"/>
            </w:tcBorders>
          </w:tcPr>
          <w:p>
            <w:pPr>
              <w:pStyle w:val="TableParagraph"/>
              <w:spacing w:line="241" w:lineRule="exact"/>
              <w:rPr>
                <w:sz w:val="22"/>
              </w:rPr>
            </w:pPr>
            <w:r>
              <w:rPr>
                <w:sz w:val="22"/>
              </w:rPr>
              <w:t>Gcarso A1</w:t>
            </w:r>
          </w:p>
        </w:tc>
        <w:tc>
          <w:tcPr>
            <w:tcW w:w="973" w:type="dxa"/>
            <w:tcBorders>
              <w:top w:val="nil"/>
              <w:left w:val="nil"/>
              <w:bottom w:val="nil"/>
              <w:right w:val="nil"/>
            </w:tcBorders>
          </w:tcPr>
          <w:p>
            <w:pPr>
              <w:pStyle w:val="TableParagraph"/>
              <w:spacing w:line="241" w:lineRule="exact"/>
              <w:ind w:left="281"/>
              <w:rPr>
                <w:sz w:val="22"/>
              </w:rPr>
            </w:pPr>
            <w:r>
              <w:rPr>
                <w:sz w:val="22"/>
              </w:rPr>
              <w:t>1.02</w:t>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spacing w:line="260" w:lineRule="exact"/>
              <w:ind w:right="-274"/>
              <w:rPr>
                <w:rFonts w:ascii="Symbol" w:hAnsi="Symbol"/>
                <w:sz w:val="22"/>
              </w:rPr>
            </w:pPr>
            <w:r>
              <w:rPr>
                <w:sz w:val="22"/>
              </w:rPr>
              <w:t>Peñoles </w:t>
            </w:r>
            <w:r>
              <w:rPr>
                <w:rFonts w:ascii="Symbol" w:hAnsi="Symbol"/>
                <w:sz w:val="22"/>
              </w:rPr>
              <w:t></w:t>
            </w:r>
          </w:p>
        </w:tc>
        <w:tc>
          <w:tcPr>
            <w:tcW w:w="982" w:type="dxa"/>
            <w:tcBorders>
              <w:top w:val="nil"/>
              <w:left w:val="nil"/>
              <w:bottom w:val="nil"/>
              <w:right w:val="nil"/>
            </w:tcBorders>
          </w:tcPr>
          <w:p>
            <w:pPr>
              <w:pStyle w:val="TableParagraph"/>
              <w:spacing w:line="241" w:lineRule="exact"/>
              <w:ind w:left="273"/>
              <w:rPr>
                <w:sz w:val="22"/>
              </w:rPr>
            </w:pPr>
            <w:r>
              <w:rPr>
                <w:sz w:val="22"/>
              </w:rPr>
              <w:t>0.49</w:t>
            </w:r>
          </w:p>
        </w:tc>
      </w:tr>
      <w:tr>
        <w:trPr>
          <w:trHeight w:val="236" w:hRule="exact"/>
        </w:trPr>
        <w:tc>
          <w:tcPr>
            <w:tcW w:w="1603" w:type="dxa"/>
            <w:tcBorders>
              <w:top w:val="nil"/>
              <w:left w:val="nil"/>
              <w:bottom w:val="nil"/>
              <w:right w:val="nil"/>
            </w:tcBorders>
          </w:tcPr>
          <w:p>
            <w:pPr>
              <w:pStyle w:val="TableParagraph"/>
              <w:tabs>
                <w:tab w:pos="1884" w:val="left" w:leader="none"/>
              </w:tabs>
              <w:spacing w:line="241" w:lineRule="exact"/>
              <w:ind w:left="-15" w:right="-282"/>
              <w:rPr>
                <w:sz w:val="22"/>
              </w:rPr>
            </w:pPr>
            <w:r>
              <w:rPr>
                <w:w w:val="100"/>
                <w:sz w:val="22"/>
                <w:u w:val="single"/>
              </w:rPr>
              <w:t> </w:t>
            </w:r>
            <w:r>
              <w:rPr>
                <w:spacing w:val="-39"/>
                <w:sz w:val="22"/>
                <w:u w:val="single"/>
              </w:rPr>
              <w:t> </w:t>
            </w:r>
            <w:r>
              <w:rPr>
                <w:sz w:val="22"/>
                <w:u w:val="single"/>
              </w:rPr>
              <w:t>Cemex</w:t>
            </w:r>
            <w:r>
              <w:rPr>
                <w:spacing w:val="-3"/>
                <w:sz w:val="22"/>
                <w:u w:val="single"/>
              </w:rPr>
              <w:t> </w:t>
            </w:r>
            <w:r>
              <w:rPr>
                <w:sz w:val="22"/>
                <w:u w:val="single"/>
              </w:rPr>
              <w:t>Cpo</w:t>
              <w:tab/>
            </w:r>
          </w:p>
        </w:tc>
        <w:tc>
          <w:tcPr>
            <w:tcW w:w="973" w:type="dxa"/>
            <w:tcBorders>
              <w:top w:val="nil"/>
              <w:left w:val="nil"/>
              <w:bottom w:val="nil"/>
              <w:right w:val="nil"/>
            </w:tcBorders>
          </w:tcPr>
          <w:p>
            <w:pPr>
              <w:pStyle w:val="TableParagraph"/>
              <w:tabs>
                <w:tab w:pos="972" w:val="left" w:leader="none"/>
              </w:tabs>
              <w:spacing w:line="241" w:lineRule="exact"/>
              <w:ind w:left="281"/>
              <w:rPr>
                <w:sz w:val="22"/>
              </w:rPr>
            </w:pPr>
            <w:r>
              <w:rPr>
                <w:sz w:val="22"/>
                <w:u w:val="single"/>
              </w:rPr>
              <w:t>0.97</w:t>
              <w:tab/>
            </w:r>
          </w:p>
        </w:tc>
        <w:tc>
          <w:tcPr>
            <w:tcW w:w="209" w:type="dxa"/>
            <w:tcBorders>
              <w:top w:val="nil"/>
              <w:left w:val="nil"/>
              <w:bottom w:val="nil"/>
              <w:right w:val="nil"/>
            </w:tcBorders>
          </w:tcPr>
          <w:p>
            <w:pPr/>
          </w:p>
        </w:tc>
        <w:tc>
          <w:tcPr>
            <w:tcW w:w="1618" w:type="dxa"/>
            <w:tcBorders>
              <w:top w:val="nil"/>
              <w:left w:val="nil"/>
              <w:bottom w:val="nil"/>
              <w:right w:val="nil"/>
            </w:tcBorders>
          </w:tcPr>
          <w:p>
            <w:pPr>
              <w:pStyle w:val="TableParagraph"/>
              <w:tabs>
                <w:tab w:pos="1891" w:val="left" w:leader="none"/>
              </w:tabs>
              <w:spacing w:line="241" w:lineRule="exact"/>
              <w:ind w:left="-15" w:right="-274"/>
              <w:rPr>
                <w:sz w:val="22"/>
              </w:rPr>
            </w:pPr>
            <w:r>
              <w:rPr>
                <w:w w:val="100"/>
                <w:sz w:val="22"/>
                <w:u w:val="single"/>
              </w:rPr>
              <w:t> </w:t>
            </w:r>
            <w:r>
              <w:rPr>
                <w:spacing w:val="-39"/>
                <w:sz w:val="22"/>
                <w:u w:val="single"/>
              </w:rPr>
              <w:t> </w:t>
            </w:r>
            <w:r>
              <w:rPr>
                <w:sz w:val="22"/>
                <w:u w:val="single"/>
              </w:rPr>
              <w:t>Comerci Ubc</w:t>
              <w:tab/>
            </w:r>
          </w:p>
        </w:tc>
        <w:tc>
          <w:tcPr>
            <w:tcW w:w="982" w:type="dxa"/>
            <w:tcBorders>
              <w:top w:val="nil"/>
              <w:left w:val="nil"/>
              <w:bottom w:val="nil"/>
              <w:right w:val="nil"/>
            </w:tcBorders>
          </w:tcPr>
          <w:p>
            <w:pPr>
              <w:pStyle w:val="TableParagraph"/>
              <w:tabs>
                <w:tab w:pos="981" w:val="left" w:leader="none"/>
              </w:tabs>
              <w:spacing w:line="241" w:lineRule="exact"/>
              <w:ind w:left="273"/>
              <w:rPr>
                <w:sz w:val="22"/>
              </w:rPr>
            </w:pPr>
            <w:r>
              <w:rPr>
                <w:sz w:val="22"/>
                <w:u w:val="single"/>
              </w:rPr>
              <w:t>-1.28</w:t>
              <w:tab/>
            </w:r>
          </w:p>
        </w:tc>
      </w:tr>
    </w:tbl>
    <w:p>
      <w:pPr>
        <w:pStyle w:val="BodyText"/>
        <w:spacing w:before="8"/>
        <w:rPr>
          <w:sz w:val="29"/>
        </w:rPr>
      </w:pPr>
    </w:p>
    <w:p>
      <w:pPr>
        <w:spacing w:after="0"/>
        <w:rPr>
          <w:sz w:val="29"/>
        </w:rPr>
        <w:sectPr>
          <w:pgSz w:w="12240" w:h="15840"/>
          <w:pgMar w:header="731" w:footer="737" w:top="1180" w:bottom="920" w:left="1560" w:right="1560"/>
        </w:sectPr>
      </w:pPr>
    </w:p>
    <w:p>
      <w:pPr>
        <w:pStyle w:val="Heading3"/>
        <w:spacing w:before="69"/>
        <w:ind w:right="-18"/>
      </w:pPr>
      <w:r>
        <w:rPr/>
        <w:t>Ecuación de la recta</w:t>
      </w:r>
    </w:p>
    <w:p>
      <w:pPr>
        <w:pStyle w:val="BodyText"/>
        <w:rPr>
          <w:b/>
        </w:rPr>
      </w:pPr>
    </w:p>
    <w:p>
      <w:pPr>
        <w:spacing w:before="193"/>
        <w:ind w:left="142" w:right="-18" w:firstLine="0"/>
        <w:jc w:val="left"/>
        <w:rPr>
          <w:sz w:val="20"/>
        </w:rPr>
      </w:pPr>
      <w:r>
        <w:rPr>
          <w:sz w:val="20"/>
        </w:rPr>
        <w:t>Donde:</w:t>
      </w:r>
    </w:p>
    <w:p>
      <w:pPr>
        <w:pStyle w:val="BodyText"/>
        <w:spacing w:before="3"/>
        <w:rPr>
          <w:sz w:val="35"/>
        </w:rPr>
      </w:pPr>
      <w:r>
        <w:rPr/>
        <w:br w:type="column"/>
      </w:r>
      <w:r>
        <w:rPr>
          <w:sz w:val="35"/>
        </w:rPr>
      </w:r>
    </w:p>
    <w:p>
      <w:pPr>
        <w:spacing w:before="0"/>
        <w:ind w:left="142" w:right="0" w:firstLine="0"/>
        <w:jc w:val="left"/>
        <w:rPr>
          <w:rFonts w:ascii="Symbol" w:hAnsi="Symbol"/>
          <w:i/>
          <w:sz w:val="25"/>
        </w:rPr>
      </w:pPr>
      <w:r>
        <w:rPr>
          <w:rFonts w:ascii="Times New Roman" w:hAnsi="Times New Roman"/>
          <w:i/>
          <w:sz w:val="24"/>
        </w:rPr>
        <w:t>Y</w:t>
      </w:r>
      <w:r>
        <w:rPr>
          <w:rFonts w:ascii="Times New Roman" w:hAnsi="Times New Roman"/>
          <w:position w:val="6"/>
          <w:sz w:val="24"/>
        </w:rPr>
        <w:t>ˆ   </w:t>
      </w:r>
      <w:r>
        <w:rPr>
          <w:rFonts w:ascii="Symbol" w:hAnsi="Symbol"/>
          <w:sz w:val="24"/>
        </w:rPr>
        <w:t></w:t>
      </w:r>
      <w:r>
        <w:rPr>
          <w:rFonts w:ascii="Times New Roman" w:hAnsi="Times New Roman"/>
          <w:sz w:val="24"/>
        </w:rPr>
        <w:t> </w:t>
      </w:r>
      <w:r>
        <w:rPr>
          <w:rFonts w:ascii="Symbol" w:hAnsi="Symbol"/>
          <w:i/>
          <w:sz w:val="25"/>
        </w:rPr>
        <w:t></w:t>
      </w:r>
      <w:r>
        <w:rPr>
          <w:rFonts w:ascii="Times New Roman" w:hAnsi="Times New Roman"/>
          <w:i/>
          <w:sz w:val="25"/>
        </w:rPr>
        <w:t>   </w:t>
      </w:r>
      <w:r>
        <w:rPr>
          <w:rFonts w:ascii="Symbol" w:hAnsi="Symbol"/>
          <w:sz w:val="24"/>
        </w:rPr>
        <w:t></w:t>
      </w:r>
      <w:r>
        <w:rPr>
          <w:rFonts w:ascii="Times New Roman" w:hAnsi="Times New Roman"/>
          <w:sz w:val="24"/>
        </w:rPr>
        <w:t> </w:t>
      </w:r>
      <w:r>
        <w:rPr>
          <w:rFonts w:ascii="Symbol" w:hAnsi="Symbol"/>
          <w:i/>
          <w:sz w:val="25"/>
        </w:rPr>
        <w:t></w:t>
      </w:r>
      <w:r>
        <w:rPr>
          <w:rFonts w:ascii="Times New Roman" w:hAnsi="Times New Roman"/>
          <w:i/>
          <w:sz w:val="25"/>
        </w:rPr>
        <w:t>  </w:t>
      </w:r>
      <w:r>
        <w:rPr>
          <w:rFonts w:ascii="Times New Roman" w:hAnsi="Times New Roman"/>
          <w:i/>
          <w:sz w:val="24"/>
        </w:rPr>
        <w:t>X </w:t>
      </w:r>
      <w:r>
        <w:rPr>
          <w:rFonts w:ascii="Symbol" w:hAnsi="Symbol"/>
          <w:sz w:val="24"/>
        </w:rPr>
        <w:t></w:t>
      </w:r>
      <w:r>
        <w:rPr>
          <w:rFonts w:ascii="Times New Roman" w:hAnsi="Times New Roman"/>
          <w:sz w:val="24"/>
        </w:rPr>
        <w:t> </w:t>
      </w:r>
      <w:r>
        <w:rPr>
          <w:rFonts w:ascii="Symbol" w:hAnsi="Symbol"/>
          <w:i/>
          <w:sz w:val="25"/>
        </w:rPr>
        <w:t></w:t>
      </w:r>
    </w:p>
    <w:p>
      <w:pPr>
        <w:spacing w:after="0"/>
        <w:jc w:val="left"/>
        <w:rPr>
          <w:rFonts w:ascii="Symbol" w:hAnsi="Symbol"/>
          <w:sz w:val="25"/>
        </w:rPr>
        <w:sectPr>
          <w:type w:val="continuous"/>
          <w:pgSz w:w="12240" w:h="15840"/>
          <w:pgMar w:top="720" w:bottom="280" w:left="1560" w:right="1560"/>
          <w:cols w:num="2" w:equalWidth="0">
            <w:col w:w="2822" w:space="734"/>
            <w:col w:w="5564"/>
          </w:cols>
        </w:sectPr>
      </w:pPr>
    </w:p>
    <w:p>
      <w:pPr>
        <w:pStyle w:val="ListParagraph"/>
        <w:numPr>
          <w:ilvl w:val="0"/>
          <w:numId w:val="13"/>
        </w:numPr>
        <w:tabs>
          <w:tab w:pos="861" w:val="left" w:leader="none"/>
          <w:tab w:pos="862" w:val="left" w:leader="none"/>
        </w:tabs>
        <w:spacing w:line="243" w:lineRule="exact" w:before="0" w:after="0"/>
        <w:ind w:left="862" w:right="0" w:hanging="360"/>
        <w:jc w:val="left"/>
        <w:rPr>
          <w:sz w:val="20"/>
        </w:rPr>
      </w:pPr>
      <w:r>
        <w:rPr/>
        <w:pict>
          <v:shape style="position:absolute;margin-left:292.101898pt;margin-top:-20.41272pt;width:27.35pt;height:7.05pt;mso-position-horizontal-relative:page;mso-position-vertical-relative:paragraph;z-index:-96952" type="#_x0000_t202" filled="false" stroked="false">
            <v:textbox inset="0,0,0,0">
              <w:txbxContent>
                <w:p>
                  <w:pPr>
                    <w:tabs>
                      <w:tab w:pos="477" w:val="left" w:leader="none"/>
                    </w:tabs>
                    <w:spacing w:line="141" w:lineRule="exact" w:before="0"/>
                    <w:ind w:left="0" w:right="0" w:firstLine="0"/>
                    <w:jc w:val="left"/>
                    <w:rPr>
                      <w:rFonts w:ascii="Times New Roman"/>
                      <w:sz w:val="14"/>
                    </w:rPr>
                  </w:pPr>
                  <w:r>
                    <w:rPr>
                      <w:rFonts w:ascii="Times New Roman"/>
                      <w:sz w:val="14"/>
                    </w:rPr>
                    <w:t>0</w:t>
                    <w:tab/>
                  </w:r>
                  <w:r>
                    <w:rPr>
                      <w:rFonts w:ascii="Times New Roman"/>
                      <w:w w:val="95"/>
                      <w:sz w:val="14"/>
                    </w:rPr>
                    <w:t>1</w:t>
                  </w:r>
                </w:p>
              </w:txbxContent>
            </v:textbox>
            <w10:wrap type="none"/>
          </v:shape>
        </w:pict>
      </w:r>
      <w:r>
        <w:rPr>
          <w:i/>
          <w:sz w:val="20"/>
        </w:rPr>
        <w:t>Y </w:t>
      </w:r>
      <w:r>
        <w:rPr>
          <w:sz w:val="20"/>
        </w:rPr>
        <w:t>es la variable dependiente (son los rendimientos de la emisora que se desea</w:t>
      </w:r>
      <w:r>
        <w:rPr>
          <w:spacing w:val="-27"/>
          <w:sz w:val="20"/>
        </w:rPr>
        <w:t> </w:t>
      </w:r>
      <w:r>
        <w:rPr>
          <w:sz w:val="20"/>
        </w:rPr>
        <w:t>medir)</w:t>
      </w:r>
    </w:p>
    <w:p>
      <w:pPr>
        <w:pStyle w:val="ListParagraph"/>
        <w:numPr>
          <w:ilvl w:val="0"/>
          <w:numId w:val="13"/>
        </w:numPr>
        <w:tabs>
          <w:tab w:pos="861" w:val="left" w:leader="none"/>
          <w:tab w:pos="862" w:val="left" w:leader="none"/>
        </w:tabs>
        <w:spacing w:line="238" w:lineRule="exact" w:before="0" w:after="0"/>
        <w:ind w:left="862" w:right="0" w:hanging="360"/>
        <w:jc w:val="left"/>
        <w:rPr>
          <w:sz w:val="20"/>
        </w:rPr>
      </w:pPr>
      <w:r>
        <w:rPr>
          <w:i/>
          <w:sz w:val="20"/>
        </w:rPr>
        <w:t>X </w:t>
      </w:r>
      <w:r>
        <w:rPr>
          <w:sz w:val="20"/>
        </w:rPr>
        <w:t>es la variable independiente (son los rendimientos del</w:t>
      </w:r>
      <w:r>
        <w:rPr>
          <w:spacing w:val="-19"/>
          <w:sz w:val="20"/>
        </w:rPr>
        <w:t> </w:t>
      </w:r>
      <w:r>
        <w:rPr>
          <w:sz w:val="20"/>
        </w:rPr>
        <w:t>IPC)</w:t>
      </w:r>
    </w:p>
    <w:p>
      <w:pPr>
        <w:pStyle w:val="ListParagraph"/>
        <w:numPr>
          <w:ilvl w:val="0"/>
          <w:numId w:val="13"/>
        </w:numPr>
        <w:tabs>
          <w:tab w:pos="861" w:val="left" w:leader="none"/>
          <w:tab w:pos="862" w:val="left" w:leader="none"/>
        </w:tabs>
        <w:spacing w:line="246" w:lineRule="exact" w:before="0" w:after="0"/>
        <w:ind w:left="862" w:right="0" w:hanging="360"/>
        <w:jc w:val="left"/>
        <w:rPr>
          <w:sz w:val="20"/>
        </w:rPr>
      </w:pPr>
      <w:r>
        <w:rPr>
          <w:rFonts w:ascii="Symbol" w:hAnsi="Symbol"/>
          <w:i/>
          <w:position w:val="2"/>
          <w:sz w:val="21"/>
        </w:rPr>
        <w:t></w:t>
      </w:r>
      <w:r>
        <w:rPr>
          <w:i/>
          <w:sz w:val="13"/>
        </w:rPr>
        <w:t>0 </w:t>
      </w:r>
      <w:r>
        <w:rPr>
          <w:position w:val="2"/>
          <w:sz w:val="20"/>
        </w:rPr>
        <w:t>es el</w:t>
      </w:r>
      <w:r>
        <w:rPr>
          <w:spacing w:val="6"/>
          <w:position w:val="2"/>
          <w:sz w:val="20"/>
        </w:rPr>
        <w:t> </w:t>
      </w:r>
      <w:r>
        <w:rPr>
          <w:position w:val="2"/>
          <w:sz w:val="20"/>
        </w:rPr>
        <w:t>intercepto</w:t>
      </w:r>
    </w:p>
    <w:p>
      <w:pPr>
        <w:pStyle w:val="ListParagraph"/>
        <w:numPr>
          <w:ilvl w:val="0"/>
          <w:numId w:val="13"/>
        </w:numPr>
        <w:tabs>
          <w:tab w:pos="861" w:val="left" w:leader="none"/>
          <w:tab w:pos="862" w:val="left" w:leader="none"/>
        </w:tabs>
        <w:spacing w:line="214" w:lineRule="exact" w:before="53" w:after="0"/>
        <w:ind w:left="862" w:right="141" w:hanging="360"/>
        <w:jc w:val="left"/>
        <w:rPr>
          <w:sz w:val="20"/>
        </w:rPr>
      </w:pPr>
      <w:r>
        <w:rPr>
          <w:rFonts w:ascii="Symbol" w:hAnsi="Symbol"/>
          <w:i/>
          <w:position w:val="2"/>
          <w:sz w:val="21"/>
        </w:rPr>
        <w:t></w:t>
      </w:r>
      <w:r>
        <w:rPr>
          <w:i/>
          <w:sz w:val="13"/>
        </w:rPr>
        <w:t>1 </w:t>
      </w:r>
      <w:r>
        <w:rPr>
          <w:position w:val="2"/>
          <w:sz w:val="20"/>
        </w:rPr>
        <w:t>es la pendiente de la recta. Es el </w:t>
      </w:r>
      <w:r>
        <w:rPr>
          <w:i/>
          <w:position w:val="2"/>
          <w:sz w:val="20"/>
        </w:rPr>
        <w:t>coeficiente Beta (β) </w:t>
      </w:r>
      <w:r>
        <w:rPr>
          <w:position w:val="2"/>
          <w:sz w:val="20"/>
        </w:rPr>
        <w:t>como medida de la volatilidad de </w:t>
      </w:r>
      <w:r>
        <w:rPr>
          <w:sz w:val="20"/>
        </w:rPr>
        <w:t>una acción relativa a la variabilidad del</w:t>
      </w:r>
      <w:r>
        <w:rPr>
          <w:spacing w:val="-17"/>
          <w:sz w:val="20"/>
        </w:rPr>
        <w:t> </w:t>
      </w:r>
      <w:r>
        <w:rPr>
          <w:sz w:val="20"/>
        </w:rPr>
        <w:t>IPC.</w:t>
      </w:r>
    </w:p>
    <w:p>
      <w:pPr>
        <w:pStyle w:val="BodyText"/>
        <w:spacing w:before="1"/>
      </w:pPr>
    </w:p>
    <w:p>
      <w:pPr>
        <w:spacing w:after="0"/>
        <w:sectPr>
          <w:type w:val="continuous"/>
          <w:pgSz w:w="12240" w:h="15840"/>
          <w:pgMar w:top="720" w:bottom="280" w:left="1560" w:right="1560"/>
        </w:sectPr>
      </w:pPr>
    </w:p>
    <w:p>
      <w:pPr>
        <w:pStyle w:val="Heading3"/>
        <w:spacing w:before="69"/>
        <w:ind w:right="-20"/>
      </w:pPr>
      <w:r>
        <w:rPr/>
        <w:t>Cálculo de la Beta</w:t>
      </w:r>
    </w:p>
    <w:p>
      <w:pPr>
        <w:pStyle w:val="BodyText"/>
        <w:rPr>
          <w:b/>
          <w:sz w:val="26"/>
        </w:rPr>
      </w:pPr>
      <w:r>
        <w:rPr/>
        <w:br w:type="column"/>
      </w:r>
      <w:r>
        <w:rPr>
          <w:b/>
          <w:sz w:val="26"/>
        </w:rPr>
      </w:r>
    </w:p>
    <w:p>
      <w:pPr>
        <w:pStyle w:val="BodyText"/>
        <w:spacing w:before="1"/>
        <w:rPr>
          <w:b/>
          <w:sz w:val="32"/>
        </w:rPr>
      </w:pPr>
    </w:p>
    <w:p>
      <w:pPr>
        <w:spacing w:line="153" w:lineRule="auto" w:before="0"/>
        <w:ind w:left="1141" w:right="3008" w:hanging="750"/>
        <w:jc w:val="left"/>
        <w:rPr>
          <w:rFonts w:ascii="Times New Roman" w:hAnsi="Times New Roman"/>
          <w:sz w:val="14"/>
        </w:rPr>
      </w:pPr>
      <w:r>
        <w:rPr/>
        <w:pict>
          <v:line style="position:absolute;mso-position-horizontal-relative:page;mso-position-vertical-relative:paragraph;z-index:-96976" from="249.594543pt,12.286507pt" to="383.973432pt,12.286507pt" stroked="true" strokeweight=".138201pt" strokecolor="#000000">
            <w10:wrap type="none"/>
          </v:line>
        </w:pict>
      </w:r>
      <w:r>
        <w:rPr>
          <w:rFonts w:ascii="Symbol" w:hAnsi="Symbol"/>
          <w:i/>
          <w:position w:val="-14"/>
          <w:sz w:val="25"/>
        </w:rPr>
        <w:t></w:t>
      </w:r>
      <w:r>
        <w:rPr>
          <w:rFonts w:ascii="Times New Roman" w:hAnsi="Times New Roman"/>
          <w:i/>
          <w:position w:val="-14"/>
          <w:sz w:val="25"/>
        </w:rPr>
        <w:t> </w:t>
      </w:r>
      <w:r>
        <w:rPr>
          <w:rFonts w:ascii="Symbol" w:hAnsi="Symbol"/>
          <w:position w:val="-14"/>
          <w:sz w:val="24"/>
        </w:rPr>
        <w:t></w:t>
      </w:r>
      <w:r>
        <w:rPr>
          <w:rFonts w:ascii="Times New Roman" w:hAnsi="Times New Roman"/>
          <w:position w:val="-14"/>
          <w:sz w:val="24"/>
        </w:rPr>
        <w:t> </w:t>
      </w:r>
      <w:r>
        <w:rPr>
          <w:rFonts w:ascii="Times New Roman" w:hAnsi="Times New Roman"/>
          <w:sz w:val="24"/>
        </w:rPr>
        <w:t>(</w:t>
      </w:r>
      <w:r>
        <w:rPr>
          <w:rFonts w:ascii="Times New Roman" w:hAnsi="Times New Roman"/>
          <w:i/>
          <w:sz w:val="24"/>
        </w:rPr>
        <w:t>n </w:t>
      </w:r>
      <w:r>
        <w:rPr>
          <w:rFonts w:ascii="Symbol" w:hAnsi="Symbol"/>
          <w:sz w:val="24"/>
        </w:rPr>
        <w:t></w:t>
      </w:r>
      <w:r>
        <w:rPr>
          <w:rFonts w:ascii="Times New Roman" w:hAnsi="Times New Roman"/>
          <w:i/>
          <w:sz w:val="24"/>
        </w:rPr>
        <w:t>Rm </w:t>
      </w:r>
      <w:r>
        <w:rPr>
          <w:rFonts w:ascii="Symbol" w:hAnsi="Symbol"/>
          <w:sz w:val="24"/>
        </w:rPr>
        <w:t></w:t>
      </w:r>
      <w:r>
        <w:rPr>
          <w:rFonts w:ascii="Times New Roman" w:hAnsi="Times New Roman"/>
          <w:sz w:val="24"/>
        </w:rPr>
        <w:t> </w:t>
      </w:r>
      <w:r>
        <w:rPr>
          <w:rFonts w:ascii="Times New Roman" w:hAnsi="Times New Roman"/>
          <w:i/>
          <w:sz w:val="24"/>
        </w:rPr>
        <w:t>Rj</w:t>
      </w:r>
      <w:r>
        <w:rPr>
          <w:rFonts w:ascii="Times New Roman" w:hAnsi="Times New Roman"/>
          <w:sz w:val="24"/>
        </w:rPr>
        <w:t>) </w:t>
      </w:r>
      <w:r>
        <w:rPr>
          <w:rFonts w:ascii="Symbol" w:hAnsi="Symbol"/>
          <w:sz w:val="24"/>
        </w:rPr>
        <w:t></w:t>
      </w:r>
      <w:r>
        <w:rPr>
          <w:rFonts w:ascii="Times New Roman" w:hAnsi="Times New Roman"/>
          <w:sz w:val="24"/>
        </w:rPr>
        <w:t> (</w:t>
      </w:r>
      <w:r>
        <w:rPr>
          <w:rFonts w:ascii="Symbol" w:hAnsi="Symbol"/>
          <w:sz w:val="24"/>
        </w:rPr>
        <w:t></w:t>
      </w:r>
      <w:r>
        <w:rPr>
          <w:rFonts w:ascii="Times New Roman" w:hAnsi="Times New Roman"/>
          <w:i/>
          <w:sz w:val="24"/>
        </w:rPr>
        <w:t>Rm </w:t>
      </w:r>
      <w:r>
        <w:rPr>
          <w:rFonts w:ascii="Symbol" w:hAnsi="Symbol"/>
          <w:sz w:val="24"/>
        </w:rPr>
        <w:t></w:t>
      </w:r>
      <w:r>
        <w:rPr>
          <w:rFonts w:ascii="Times New Roman" w:hAnsi="Times New Roman"/>
          <w:sz w:val="24"/>
        </w:rPr>
        <w:t> </w:t>
      </w:r>
      <w:r>
        <w:rPr>
          <w:rFonts w:ascii="Times New Roman" w:hAnsi="Times New Roman"/>
          <w:i/>
          <w:sz w:val="24"/>
        </w:rPr>
        <w:t>Rj</w:t>
      </w:r>
      <w:r>
        <w:rPr>
          <w:rFonts w:ascii="Times New Roman" w:hAnsi="Times New Roman"/>
          <w:sz w:val="24"/>
        </w:rPr>
        <w:t>) (</w:t>
      </w:r>
      <w:r>
        <w:rPr>
          <w:rFonts w:ascii="Times New Roman" w:hAnsi="Times New Roman"/>
          <w:i/>
          <w:sz w:val="24"/>
        </w:rPr>
        <w:t>n </w:t>
      </w:r>
      <w:r>
        <w:rPr>
          <w:rFonts w:ascii="Symbol" w:hAnsi="Symbol"/>
          <w:sz w:val="24"/>
        </w:rPr>
        <w:t></w:t>
      </w:r>
      <w:r>
        <w:rPr>
          <w:rFonts w:ascii="Times New Roman" w:hAnsi="Times New Roman"/>
          <w:i/>
          <w:sz w:val="24"/>
        </w:rPr>
        <w:t>Rm</w:t>
      </w:r>
      <w:r>
        <w:rPr>
          <w:rFonts w:ascii="Times New Roman" w:hAnsi="Times New Roman"/>
          <w:position w:val="11"/>
          <w:sz w:val="14"/>
        </w:rPr>
        <w:t>2 </w:t>
      </w:r>
      <w:r>
        <w:rPr>
          <w:rFonts w:ascii="Times New Roman" w:hAnsi="Times New Roman"/>
          <w:sz w:val="24"/>
        </w:rPr>
        <w:t>) </w:t>
      </w:r>
      <w:r>
        <w:rPr>
          <w:rFonts w:ascii="Symbol" w:hAnsi="Symbol"/>
          <w:sz w:val="24"/>
        </w:rPr>
        <w:t></w:t>
      </w:r>
      <w:r>
        <w:rPr>
          <w:rFonts w:ascii="Times New Roman" w:hAnsi="Times New Roman"/>
          <w:sz w:val="24"/>
        </w:rPr>
        <w:t> (</w:t>
      </w:r>
      <w:r>
        <w:rPr>
          <w:rFonts w:ascii="Symbol" w:hAnsi="Symbol"/>
          <w:sz w:val="24"/>
        </w:rPr>
        <w:t></w:t>
      </w:r>
      <w:r>
        <w:rPr>
          <w:rFonts w:ascii="Times New Roman" w:hAnsi="Times New Roman"/>
          <w:i/>
          <w:sz w:val="24"/>
        </w:rPr>
        <w:t>Rm</w:t>
      </w:r>
      <w:r>
        <w:rPr>
          <w:rFonts w:ascii="Times New Roman" w:hAnsi="Times New Roman"/>
          <w:sz w:val="24"/>
        </w:rPr>
        <w:t>)</w:t>
      </w:r>
      <w:r>
        <w:rPr>
          <w:rFonts w:ascii="Times New Roman" w:hAnsi="Times New Roman"/>
          <w:position w:val="11"/>
          <w:sz w:val="14"/>
        </w:rPr>
        <w:t>2</w:t>
      </w:r>
    </w:p>
    <w:p>
      <w:pPr>
        <w:spacing w:after="0" w:line="153" w:lineRule="auto"/>
        <w:jc w:val="left"/>
        <w:rPr>
          <w:rFonts w:ascii="Times New Roman" w:hAnsi="Times New Roman"/>
          <w:sz w:val="14"/>
        </w:rPr>
        <w:sectPr>
          <w:type w:val="continuous"/>
          <w:pgSz w:w="12240" w:h="15840"/>
          <w:pgMar w:top="720" w:bottom="280" w:left="1560" w:right="1560"/>
          <w:cols w:num="2" w:equalWidth="0">
            <w:col w:w="2567" w:space="40"/>
            <w:col w:w="6513"/>
          </w:cols>
        </w:sectPr>
      </w:pPr>
    </w:p>
    <w:p>
      <w:pPr>
        <w:pStyle w:val="BodyText"/>
        <w:rPr>
          <w:rFonts w:ascii="Times New Roman"/>
          <w:sz w:val="20"/>
        </w:rPr>
      </w:pPr>
    </w:p>
    <w:p>
      <w:pPr>
        <w:pStyle w:val="Heading3"/>
        <w:spacing w:before="188"/>
      </w:pPr>
      <w:r>
        <w:rPr/>
        <w:t>Uso del CAPM en la selección de una cartera</w:t>
      </w:r>
    </w:p>
    <w:p>
      <w:pPr>
        <w:pStyle w:val="BodyText"/>
        <w:spacing w:line="360" w:lineRule="auto" w:before="62"/>
        <w:ind w:left="142" w:right="157" w:firstLine="707"/>
      </w:pPr>
      <w:r>
        <w:rPr/>
        <w:t>El CAPM proporciona una base lógica para una estrategia pasiva simple de cartera:</w:t>
      </w:r>
    </w:p>
    <w:p>
      <w:pPr>
        <w:pStyle w:val="ListParagraph"/>
        <w:numPr>
          <w:ilvl w:val="1"/>
          <w:numId w:val="13"/>
        </w:numPr>
        <w:tabs>
          <w:tab w:pos="1274" w:val="left" w:leader="none"/>
          <w:tab w:pos="1275" w:val="left" w:leader="none"/>
        </w:tabs>
        <w:spacing w:line="350" w:lineRule="auto" w:before="3" w:after="0"/>
        <w:ind w:left="1274" w:right="143" w:hanging="357"/>
        <w:jc w:val="left"/>
        <w:rPr>
          <w:sz w:val="24"/>
        </w:rPr>
      </w:pPr>
      <w:r>
        <w:rPr>
          <w:sz w:val="24"/>
        </w:rPr>
        <w:t>Diversificar sus tenencias de activos riesgosos en las proporciones de</w:t>
      </w:r>
      <w:r>
        <w:rPr>
          <w:spacing w:val="-33"/>
          <w:sz w:val="24"/>
        </w:rPr>
        <w:t> </w:t>
      </w:r>
      <w:r>
        <w:rPr>
          <w:sz w:val="24"/>
        </w:rPr>
        <w:t>la cartera de</w:t>
      </w:r>
      <w:r>
        <w:rPr>
          <w:spacing w:val="-5"/>
          <w:sz w:val="24"/>
        </w:rPr>
        <w:t> </w:t>
      </w:r>
      <w:r>
        <w:rPr>
          <w:sz w:val="24"/>
        </w:rPr>
        <w:t>mercado.</w:t>
      </w:r>
    </w:p>
    <w:p>
      <w:pPr>
        <w:spacing w:after="0" w:line="350" w:lineRule="auto"/>
        <w:jc w:val="left"/>
        <w:rPr>
          <w:sz w:val="24"/>
        </w:rPr>
        <w:sectPr>
          <w:type w:val="continuous"/>
          <w:pgSz w:w="12240" w:h="15840"/>
          <w:pgMar w:top="720" w:bottom="280" w:left="1560" w:right="1560"/>
        </w:sectPr>
      </w:pPr>
    </w:p>
    <w:p>
      <w:pPr>
        <w:pStyle w:val="BodyText"/>
        <w:rPr>
          <w:sz w:val="20"/>
        </w:rPr>
      </w:pPr>
    </w:p>
    <w:p>
      <w:pPr>
        <w:pStyle w:val="BodyText"/>
        <w:spacing w:before="3"/>
        <w:rPr>
          <w:sz w:val="17"/>
        </w:rPr>
      </w:pPr>
    </w:p>
    <w:p>
      <w:pPr>
        <w:pStyle w:val="ListParagraph"/>
        <w:numPr>
          <w:ilvl w:val="1"/>
          <w:numId w:val="13"/>
        </w:numPr>
        <w:tabs>
          <w:tab w:pos="1274" w:val="left" w:leader="none"/>
          <w:tab w:pos="1275" w:val="left" w:leader="none"/>
        </w:tabs>
        <w:spacing w:line="350" w:lineRule="auto" w:before="56" w:after="0"/>
        <w:ind w:left="1274" w:right="142" w:hanging="357"/>
        <w:jc w:val="left"/>
        <w:rPr>
          <w:sz w:val="24"/>
        </w:rPr>
      </w:pPr>
      <w:r>
        <w:rPr>
          <w:sz w:val="24"/>
        </w:rPr>
        <w:t>Combinar</w:t>
      </w:r>
      <w:r>
        <w:rPr>
          <w:spacing w:val="-7"/>
          <w:sz w:val="24"/>
        </w:rPr>
        <w:t> </w:t>
      </w:r>
      <w:r>
        <w:rPr>
          <w:sz w:val="24"/>
        </w:rPr>
        <w:t>esta</w:t>
      </w:r>
      <w:r>
        <w:rPr>
          <w:spacing w:val="-6"/>
          <w:sz w:val="24"/>
        </w:rPr>
        <w:t> </w:t>
      </w:r>
      <w:r>
        <w:rPr>
          <w:sz w:val="24"/>
        </w:rPr>
        <w:t>cartera</w:t>
      </w:r>
      <w:r>
        <w:rPr>
          <w:spacing w:val="-11"/>
          <w:sz w:val="24"/>
        </w:rPr>
        <w:t> </w:t>
      </w:r>
      <w:r>
        <w:rPr>
          <w:sz w:val="24"/>
        </w:rPr>
        <w:t>con</w:t>
      </w:r>
      <w:r>
        <w:rPr>
          <w:spacing w:val="-8"/>
          <w:sz w:val="24"/>
        </w:rPr>
        <w:t> </w:t>
      </w:r>
      <w:r>
        <w:rPr>
          <w:sz w:val="24"/>
        </w:rPr>
        <w:t>el</w:t>
      </w:r>
      <w:r>
        <w:rPr>
          <w:spacing w:val="-7"/>
          <w:sz w:val="24"/>
        </w:rPr>
        <w:t> </w:t>
      </w:r>
      <w:r>
        <w:rPr>
          <w:sz w:val="24"/>
        </w:rPr>
        <w:t>activo</w:t>
      </w:r>
      <w:r>
        <w:rPr>
          <w:spacing w:val="-6"/>
          <w:sz w:val="24"/>
        </w:rPr>
        <w:t> </w:t>
      </w:r>
      <w:r>
        <w:rPr>
          <w:sz w:val="24"/>
        </w:rPr>
        <w:t>sin</w:t>
      </w:r>
      <w:r>
        <w:rPr>
          <w:spacing w:val="-9"/>
          <w:sz w:val="24"/>
        </w:rPr>
        <w:t> </w:t>
      </w:r>
      <w:r>
        <w:rPr>
          <w:sz w:val="24"/>
        </w:rPr>
        <w:t>riesgo</w:t>
      </w:r>
      <w:r>
        <w:rPr>
          <w:spacing w:val="-6"/>
          <w:sz w:val="24"/>
        </w:rPr>
        <w:t> </w:t>
      </w:r>
      <w:r>
        <w:rPr>
          <w:sz w:val="24"/>
        </w:rPr>
        <w:t>para</w:t>
      </w:r>
      <w:r>
        <w:rPr>
          <w:spacing w:val="-9"/>
          <w:sz w:val="24"/>
        </w:rPr>
        <w:t> </w:t>
      </w:r>
      <w:r>
        <w:rPr>
          <w:sz w:val="24"/>
        </w:rPr>
        <w:t>lograr</w:t>
      </w:r>
      <w:r>
        <w:rPr>
          <w:spacing w:val="-7"/>
          <w:sz w:val="24"/>
        </w:rPr>
        <w:t> </w:t>
      </w:r>
      <w:r>
        <w:rPr>
          <w:sz w:val="24"/>
        </w:rPr>
        <w:t>la</w:t>
      </w:r>
      <w:r>
        <w:rPr>
          <w:spacing w:val="-6"/>
          <w:sz w:val="24"/>
        </w:rPr>
        <w:t> </w:t>
      </w:r>
      <w:r>
        <w:rPr>
          <w:sz w:val="24"/>
        </w:rPr>
        <w:t>combinación deseada de</w:t>
      </w:r>
      <w:r>
        <w:rPr>
          <w:spacing w:val="-8"/>
          <w:sz w:val="24"/>
        </w:rPr>
        <w:t> </w:t>
      </w:r>
      <w:r>
        <w:rPr>
          <w:sz w:val="24"/>
        </w:rPr>
        <w:t>riesgo-rendimiento.</w:t>
      </w:r>
    </w:p>
    <w:p>
      <w:pPr>
        <w:pStyle w:val="BodyText"/>
        <w:spacing w:line="360" w:lineRule="auto" w:before="16"/>
        <w:ind w:left="142" w:right="139" w:firstLine="707"/>
        <w:jc w:val="both"/>
      </w:pPr>
      <w:r>
        <w:rPr/>
        <w:t>La</w:t>
      </w:r>
      <w:r>
        <w:rPr>
          <w:spacing w:val="-13"/>
        </w:rPr>
        <w:t> </w:t>
      </w:r>
      <w:r>
        <w:rPr/>
        <w:t>diferencia</w:t>
      </w:r>
      <w:r>
        <w:rPr>
          <w:spacing w:val="-13"/>
        </w:rPr>
        <w:t> </w:t>
      </w:r>
      <w:r>
        <w:rPr/>
        <w:t>entre</w:t>
      </w:r>
      <w:r>
        <w:rPr>
          <w:spacing w:val="-13"/>
        </w:rPr>
        <w:t> </w:t>
      </w:r>
      <w:r>
        <w:rPr/>
        <w:t>la</w:t>
      </w:r>
      <w:r>
        <w:rPr>
          <w:spacing w:val="-13"/>
        </w:rPr>
        <w:t> </w:t>
      </w:r>
      <w:r>
        <w:rPr/>
        <w:t>tasa</w:t>
      </w:r>
      <w:r>
        <w:rPr>
          <w:spacing w:val="-13"/>
        </w:rPr>
        <w:t> </w:t>
      </w:r>
      <w:r>
        <w:rPr/>
        <w:t>promedio</w:t>
      </w:r>
      <w:r>
        <w:rPr>
          <w:spacing w:val="-13"/>
        </w:rPr>
        <w:t> </w:t>
      </w:r>
      <w:r>
        <w:rPr/>
        <w:t>del</w:t>
      </w:r>
      <w:r>
        <w:rPr>
          <w:spacing w:val="-14"/>
        </w:rPr>
        <w:t> </w:t>
      </w:r>
      <w:r>
        <w:rPr/>
        <w:t>rendimiento</w:t>
      </w:r>
      <w:r>
        <w:rPr>
          <w:spacing w:val="-13"/>
        </w:rPr>
        <w:t> </w:t>
      </w:r>
      <w:r>
        <w:rPr/>
        <w:t>de</w:t>
      </w:r>
      <w:r>
        <w:rPr>
          <w:spacing w:val="-16"/>
        </w:rPr>
        <w:t> </w:t>
      </w:r>
      <w:r>
        <w:rPr/>
        <w:t>un</w:t>
      </w:r>
      <w:r>
        <w:rPr>
          <w:spacing w:val="-13"/>
        </w:rPr>
        <w:t> </w:t>
      </w:r>
      <w:r>
        <w:rPr/>
        <w:t>valor</w:t>
      </w:r>
      <w:r>
        <w:rPr>
          <w:spacing w:val="-14"/>
        </w:rPr>
        <w:t> </w:t>
      </w:r>
      <w:r>
        <w:rPr/>
        <w:t>o</w:t>
      </w:r>
      <w:r>
        <w:rPr>
          <w:spacing w:val="-13"/>
        </w:rPr>
        <w:t> </w:t>
      </w:r>
      <w:r>
        <w:rPr/>
        <w:t>una</w:t>
      </w:r>
      <w:r>
        <w:rPr>
          <w:spacing w:val="-13"/>
        </w:rPr>
        <w:t> </w:t>
      </w:r>
      <w:r>
        <w:rPr/>
        <w:t>cartera de valores se conoce como alfa (la letra griega</w:t>
      </w:r>
      <w:r>
        <w:rPr>
          <w:spacing w:val="-16"/>
        </w:rPr>
        <w:t> </w:t>
      </w:r>
      <w:r>
        <w:rPr/>
        <w:t>α).</w:t>
      </w:r>
    </w:p>
    <w:p>
      <w:pPr>
        <w:pStyle w:val="Heading3"/>
        <w:spacing w:before="122"/>
      </w:pPr>
      <w:r>
        <w:rPr/>
        <w:t>Valuación y regulación de las tasas de rendimiento</w:t>
      </w:r>
    </w:p>
    <w:p>
      <w:pPr>
        <w:pStyle w:val="BodyText"/>
        <w:spacing w:line="360" w:lineRule="auto" w:before="62"/>
        <w:ind w:left="142" w:right="143" w:firstLine="707"/>
        <w:jc w:val="both"/>
      </w:pPr>
      <w:r>
        <w:rPr/>
        <w:t>Además</w:t>
      </w:r>
      <w:r>
        <w:rPr>
          <w:spacing w:val="-7"/>
        </w:rPr>
        <w:t> </w:t>
      </w:r>
      <w:r>
        <w:rPr/>
        <w:t>de</w:t>
      </w:r>
      <w:r>
        <w:rPr>
          <w:spacing w:val="-6"/>
        </w:rPr>
        <w:t> </w:t>
      </w:r>
      <w:r>
        <w:rPr/>
        <w:t>su</w:t>
      </w:r>
      <w:r>
        <w:rPr>
          <w:spacing w:val="-6"/>
        </w:rPr>
        <w:t> </w:t>
      </w:r>
      <w:r>
        <w:rPr/>
        <w:t>uso</w:t>
      </w:r>
      <w:r>
        <w:rPr>
          <w:spacing w:val="-8"/>
        </w:rPr>
        <w:t> </w:t>
      </w:r>
      <w:r>
        <w:rPr/>
        <w:t>en</w:t>
      </w:r>
      <w:r>
        <w:rPr>
          <w:spacing w:val="-6"/>
        </w:rPr>
        <w:t> </w:t>
      </w:r>
      <w:r>
        <w:rPr/>
        <w:t>la</w:t>
      </w:r>
      <w:r>
        <w:rPr>
          <w:spacing w:val="-6"/>
        </w:rPr>
        <w:t> </w:t>
      </w:r>
      <w:r>
        <w:rPr/>
        <w:t>selección</w:t>
      </w:r>
      <w:r>
        <w:rPr>
          <w:spacing w:val="-6"/>
        </w:rPr>
        <w:t> </w:t>
      </w:r>
      <w:r>
        <w:rPr/>
        <w:t>de</w:t>
      </w:r>
      <w:r>
        <w:rPr>
          <w:spacing w:val="-6"/>
        </w:rPr>
        <w:t> </w:t>
      </w:r>
      <w:r>
        <w:rPr/>
        <w:t>cartera,</w:t>
      </w:r>
      <w:r>
        <w:rPr>
          <w:spacing w:val="-9"/>
        </w:rPr>
        <w:t> </w:t>
      </w:r>
      <w:r>
        <w:rPr/>
        <w:t>las</w:t>
      </w:r>
      <w:r>
        <w:rPr>
          <w:spacing w:val="-6"/>
        </w:rPr>
        <w:t> </w:t>
      </w:r>
      <w:r>
        <w:rPr/>
        <w:t>primas</w:t>
      </w:r>
      <w:r>
        <w:rPr>
          <w:spacing w:val="-7"/>
        </w:rPr>
        <w:t> </w:t>
      </w:r>
      <w:r>
        <w:rPr/>
        <w:t>de</w:t>
      </w:r>
      <w:r>
        <w:rPr>
          <w:spacing w:val="-6"/>
        </w:rPr>
        <w:t> </w:t>
      </w:r>
      <w:r>
        <w:rPr/>
        <w:t>riesgo</w:t>
      </w:r>
      <w:r>
        <w:rPr>
          <w:spacing w:val="-6"/>
        </w:rPr>
        <w:t> </w:t>
      </w:r>
      <w:r>
        <w:rPr/>
        <w:t>derivadas del</w:t>
      </w:r>
      <w:r>
        <w:rPr>
          <w:spacing w:val="-7"/>
        </w:rPr>
        <w:t> </w:t>
      </w:r>
      <w:r>
        <w:rPr/>
        <w:t>CAPM</w:t>
      </w:r>
      <w:r>
        <w:rPr>
          <w:spacing w:val="-7"/>
        </w:rPr>
        <w:t> </w:t>
      </w:r>
      <w:r>
        <w:rPr/>
        <w:t>se</w:t>
      </w:r>
      <w:r>
        <w:rPr>
          <w:spacing w:val="-8"/>
        </w:rPr>
        <w:t> </w:t>
      </w:r>
      <w:r>
        <w:rPr/>
        <w:t>emplean</w:t>
      </w:r>
      <w:r>
        <w:rPr>
          <w:spacing w:val="-11"/>
        </w:rPr>
        <w:t> </w:t>
      </w:r>
      <w:r>
        <w:rPr/>
        <w:t>en</w:t>
      </w:r>
      <w:r>
        <w:rPr>
          <w:spacing w:val="-6"/>
        </w:rPr>
        <w:t> </w:t>
      </w:r>
      <w:r>
        <w:rPr/>
        <w:t>los</w:t>
      </w:r>
      <w:r>
        <w:rPr>
          <w:spacing w:val="-9"/>
        </w:rPr>
        <w:t> </w:t>
      </w:r>
      <w:r>
        <w:rPr/>
        <w:t>modelos</w:t>
      </w:r>
      <w:r>
        <w:rPr>
          <w:spacing w:val="-9"/>
        </w:rPr>
        <w:t> </w:t>
      </w:r>
      <w:r>
        <w:rPr/>
        <w:t>de</w:t>
      </w:r>
      <w:r>
        <w:rPr>
          <w:spacing w:val="-8"/>
        </w:rPr>
        <w:t> </w:t>
      </w:r>
      <w:r>
        <w:rPr/>
        <w:t>valuación</w:t>
      </w:r>
      <w:r>
        <w:rPr>
          <w:spacing w:val="-8"/>
        </w:rPr>
        <w:t> </w:t>
      </w:r>
      <w:r>
        <w:rPr/>
        <w:t>del</w:t>
      </w:r>
      <w:r>
        <w:rPr>
          <w:spacing w:val="-12"/>
        </w:rPr>
        <w:t> </w:t>
      </w:r>
      <w:r>
        <w:rPr/>
        <w:t>flujo</w:t>
      </w:r>
      <w:r>
        <w:rPr>
          <w:spacing w:val="-8"/>
        </w:rPr>
        <w:t> </w:t>
      </w:r>
      <w:r>
        <w:rPr/>
        <w:t>de</w:t>
      </w:r>
      <w:r>
        <w:rPr>
          <w:spacing w:val="-8"/>
        </w:rPr>
        <w:t> </w:t>
      </w:r>
      <w:r>
        <w:rPr/>
        <w:t>efectivo</w:t>
      </w:r>
      <w:r>
        <w:rPr>
          <w:spacing w:val="-6"/>
        </w:rPr>
        <w:t> </w:t>
      </w:r>
      <w:r>
        <w:rPr/>
        <w:t>descontado y en las decisiones de presupuestación de capital de</w:t>
      </w:r>
      <w:r>
        <w:rPr>
          <w:spacing w:val="-20"/>
        </w:rPr>
        <w:t> </w:t>
      </w:r>
      <w:r>
        <w:rPr/>
        <w:t>empresas.</w:t>
      </w:r>
    </w:p>
    <w:p>
      <w:pPr>
        <w:pStyle w:val="ListParagraph"/>
        <w:numPr>
          <w:ilvl w:val="1"/>
          <w:numId w:val="13"/>
        </w:numPr>
        <w:tabs>
          <w:tab w:pos="1274" w:val="left" w:leader="none"/>
          <w:tab w:pos="1275" w:val="left" w:leader="none"/>
        </w:tabs>
        <w:spacing w:line="240" w:lineRule="auto" w:before="4" w:after="0"/>
        <w:ind w:left="1274" w:right="0" w:hanging="357"/>
        <w:jc w:val="left"/>
        <w:rPr>
          <w:sz w:val="24"/>
        </w:rPr>
      </w:pPr>
      <w:r>
        <w:rPr>
          <w:sz w:val="24"/>
        </w:rPr>
        <w:t>Modelos de valuación del flujo de efectivo</w:t>
      </w:r>
      <w:r>
        <w:rPr>
          <w:spacing w:val="-22"/>
          <w:sz w:val="24"/>
        </w:rPr>
        <w:t> </w:t>
      </w:r>
      <w:r>
        <w:rPr>
          <w:sz w:val="24"/>
        </w:rPr>
        <w:t>descontado</w:t>
      </w:r>
    </w:p>
    <w:p>
      <w:pPr>
        <w:pStyle w:val="BodyText"/>
        <w:spacing w:line="360" w:lineRule="auto" w:before="135"/>
        <w:ind w:left="142" w:right="136" w:firstLine="707"/>
        <w:jc w:val="both"/>
      </w:pPr>
      <w:r>
        <w:rPr/>
        <w:t>En la valuación de acciones, se ve al precio de ésta como el valor presente de todos los dividendos futuros esperados descontados a la tasa de capitalización bursátil.</w:t>
      </w:r>
    </w:p>
    <w:p>
      <w:pPr>
        <w:spacing w:after="0" w:line="360" w:lineRule="auto"/>
        <w:jc w:val="both"/>
        <w:sectPr>
          <w:pgSz w:w="12240" w:h="15840"/>
          <w:pgMar w:header="731" w:footer="737" w:top="1180" w:bottom="920" w:left="1560" w:right="1560"/>
        </w:sectPr>
      </w:pPr>
    </w:p>
    <w:p>
      <w:pPr>
        <w:tabs>
          <w:tab w:pos="444" w:val="left" w:leader="none"/>
          <w:tab w:pos="934" w:val="left" w:leader="none"/>
        </w:tabs>
        <w:spacing w:line="321" w:lineRule="exact" w:before="35"/>
        <w:ind w:left="0" w:right="0" w:firstLine="0"/>
        <w:jc w:val="right"/>
        <w:rPr>
          <w:rFonts w:ascii="Symbol" w:hAnsi="Symbol"/>
          <w:sz w:val="24"/>
        </w:rPr>
      </w:pPr>
      <w:r>
        <w:rPr/>
        <w:pict>
          <v:line style="position:absolute;mso-position-horizontal-relative:page;mso-position-vertical-relative:paragraph;z-index:-96928" from="229.234589pt,17.714218pt" to="260.769321pt,17.714218pt" stroked="true" strokeweight=".138679pt" strokecolor="#000000">
            <w10:wrap type="none"/>
          </v:line>
        </w:pict>
      </w:r>
      <w:r>
        <w:rPr>
          <w:rFonts w:ascii="Times New Roman" w:hAnsi="Times New Roman"/>
          <w:i/>
          <w:sz w:val="24"/>
        </w:rPr>
        <w:t>P</w:t>
        <w:tab/>
      </w:r>
      <w:r>
        <w:rPr>
          <w:rFonts w:ascii="Times New Roman" w:hAnsi="Times New Roman"/>
          <w:i/>
          <w:spacing w:val="-8"/>
          <w:position w:val="15"/>
          <w:sz w:val="24"/>
        </w:rPr>
        <w:t>D</w:t>
      </w:r>
      <w:r>
        <w:rPr>
          <w:rFonts w:ascii="Times New Roman" w:hAnsi="Times New Roman"/>
          <w:spacing w:val="-8"/>
          <w:position w:val="9"/>
          <w:sz w:val="14"/>
        </w:rPr>
        <w:t>1</w:t>
        <w:tab/>
      </w:r>
      <w:r>
        <w:rPr>
          <w:rFonts w:ascii="Symbol" w:hAnsi="Symbol"/>
          <w:spacing w:val="-1"/>
          <w:sz w:val="24"/>
        </w:rPr>
        <w:t></w:t>
      </w:r>
    </w:p>
    <w:p>
      <w:pPr>
        <w:tabs>
          <w:tab w:pos="1519" w:val="left" w:leader="none"/>
          <w:tab w:pos="1976" w:val="left" w:leader="none"/>
        </w:tabs>
        <w:spacing w:line="221" w:lineRule="exact" w:before="18"/>
        <w:ind w:left="255" w:right="0" w:firstLine="0"/>
        <w:jc w:val="left"/>
        <w:rPr>
          <w:rFonts w:ascii="Times New Roman" w:hAnsi="Times New Roman"/>
          <w:i/>
          <w:sz w:val="24"/>
        </w:rPr>
      </w:pPr>
      <w:r>
        <w:rPr/>
        <w:br w:type="column"/>
      </w:r>
      <w:r>
        <w:rPr>
          <w:rFonts w:ascii="Times New Roman" w:hAnsi="Times New Roman"/>
          <w:i/>
          <w:sz w:val="24"/>
        </w:rPr>
        <w:t>D</w:t>
        <w:tab/>
      </w:r>
      <w:r>
        <w:rPr>
          <w:rFonts w:ascii="Symbol" w:hAnsi="Symbol"/>
          <w:position w:val="10"/>
          <w:sz w:val="14"/>
        </w:rPr>
        <w:t></w:t>
      </w:r>
      <w:r>
        <w:rPr>
          <w:rFonts w:ascii="Times New Roman" w:hAnsi="Times New Roman"/>
          <w:position w:val="10"/>
          <w:sz w:val="14"/>
        </w:rPr>
        <w:tab/>
      </w:r>
      <w:r>
        <w:rPr>
          <w:rFonts w:ascii="Times New Roman" w:hAnsi="Times New Roman"/>
          <w:i/>
          <w:sz w:val="24"/>
        </w:rPr>
        <w:t>D</w:t>
      </w:r>
    </w:p>
    <w:p>
      <w:pPr>
        <w:tabs>
          <w:tab w:pos="811" w:val="left" w:leader="none"/>
          <w:tab w:pos="2146" w:val="left" w:leader="none"/>
        </w:tabs>
        <w:spacing w:line="117" w:lineRule="exact" w:before="0"/>
        <w:ind w:left="427" w:right="0" w:firstLine="0"/>
        <w:jc w:val="left"/>
        <w:rPr>
          <w:rFonts w:ascii="Times New Roman" w:hAnsi="Times New Roman"/>
          <w:i/>
          <w:sz w:val="14"/>
        </w:rPr>
      </w:pPr>
      <w:r>
        <w:rPr/>
        <w:pict>
          <v:line style="position:absolute;mso-position-horizontal-relative:page;mso-position-vertical-relative:paragraph;z-index:-96904" from="273.061096pt,5.746247pt" to="310.034227pt,5.746247pt" stroked="true" strokeweight=".138679pt" strokecolor="#000000">
            <w10:wrap type="none"/>
          </v:line>
        </w:pict>
      </w:r>
      <w:r>
        <w:rPr/>
        <w:pict>
          <v:line style="position:absolute;mso-position-horizontal-relative:page;mso-position-vertical-relative:paragraph;z-index:-96880" from="359.121521pt,5.746247pt" to="394.785445pt,5.746247pt" stroked="true" strokeweight=".138679pt" strokecolor="#000000">
            <w10:wrap type="none"/>
          </v:line>
        </w:pict>
      </w:r>
      <w:r>
        <w:rPr/>
        <w:pict>
          <v:shape style="position:absolute;margin-left:304.372314pt;margin-top:-3.598836pt;width:53pt;height:18.1pt;mso-position-horizontal-relative:page;mso-position-vertical-relative:paragraph;z-index:-96856" type="#_x0000_t202" filled="false" stroked="false">
            <v:textbox inset="0,0,0,0">
              <w:txbxContent>
                <w:p>
                  <w:pPr>
                    <w:tabs>
                      <w:tab w:pos="799" w:val="left" w:leader="none"/>
                    </w:tabs>
                    <w:spacing w:line="362" w:lineRule="exact" w:before="0"/>
                    <w:ind w:left="0" w:right="0" w:firstLine="0"/>
                    <w:jc w:val="left"/>
                    <w:rPr>
                      <w:rFonts w:ascii="Symbol" w:hAnsi="Symbol"/>
                      <w:sz w:val="36"/>
                    </w:rPr>
                  </w:pPr>
                  <w:r>
                    <w:rPr>
                      <w:rFonts w:ascii="Times New Roman" w:hAnsi="Times New Roman"/>
                      <w:position w:val="-1"/>
                      <w:sz w:val="14"/>
                    </w:rPr>
                    <w:t>2</w:t>
                    <w:tab/>
                  </w:r>
                  <w:r>
                    <w:rPr>
                      <w:rFonts w:ascii="Symbol" w:hAnsi="Symbol"/>
                      <w:sz w:val="36"/>
                    </w:rPr>
                    <w:t></w:t>
                  </w:r>
                </w:p>
              </w:txbxContent>
            </v:textbox>
            <w10:wrap type="none"/>
          </v:shape>
        </w:pict>
      </w:r>
      <w:r>
        <w:rPr/>
        <w:pict>
          <v:shape style="position:absolute;margin-left:390.364868pt;margin-top:6.805572pt;width:2pt;height:7.05pt;mso-position-horizontal-relative:page;mso-position-vertical-relative:paragraph;z-index:3112" type="#_x0000_t202" filled="false" stroked="false">
            <v:textbox inset="0,0,0,0">
              <w:txbxContent>
                <w:p>
                  <w:pPr>
                    <w:spacing w:line="140" w:lineRule="exact" w:before="0"/>
                    <w:ind w:left="0" w:right="0" w:firstLine="0"/>
                    <w:jc w:val="left"/>
                    <w:rPr>
                      <w:rFonts w:ascii="Times New Roman"/>
                      <w:i/>
                      <w:sz w:val="14"/>
                    </w:rPr>
                  </w:pPr>
                  <w:r>
                    <w:rPr>
                      <w:rFonts w:ascii="Times New Roman"/>
                      <w:i/>
                      <w:w w:val="101"/>
                      <w:sz w:val="14"/>
                    </w:rPr>
                    <w:t>t</w:t>
                  </w:r>
                </w:p>
              </w:txbxContent>
            </v:textbox>
            <w10:wrap type="none"/>
          </v:shape>
        </w:pict>
      </w:r>
      <w:r>
        <w:rPr>
          <w:rFonts w:ascii="Times New Roman" w:hAnsi="Times New Roman"/>
          <w:position w:val="9"/>
          <w:sz w:val="14"/>
        </w:rPr>
        <w:t>2</w:t>
        <w:tab/>
      </w:r>
      <w:r>
        <w:rPr>
          <w:rFonts w:ascii="Symbol" w:hAnsi="Symbol"/>
          <w:spacing w:val="14"/>
          <w:sz w:val="24"/>
        </w:rPr>
        <w:t></w:t>
      </w:r>
      <w:r>
        <w:rPr>
          <w:spacing w:val="14"/>
          <w:sz w:val="24"/>
        </w:rPr>
        <w:t></w:t>
      </w:r>
      <w:r>
        <w:rPr>
          <w:spacing w:val="-28"/>
          <w:sz w:val="24"/>
        </w:rPr>
        <w:t> </w:t>
      </w:r>
      <w:r>
        <w:rPr>
          <w:rFonts w:ascii="Symbol" w:hAnsi="Symbol"/>
          <w:sz w:val="24"/>
        </w:rPr>
        <w:t></w:t>
      </w:r>
      <w:r>
        <w:rPr>
          <w:rFonts w:ascii="Times New Roman" w:hAnsi="Times New Roman"/>
          <w:sz w:val="24"/>
        </w:rPr>
        <w:tab/>
      </w:r>
      <w:r>
        <w:rPr>
          <w:rFonts w:ascii="Times New Roman" w:hAnsi="Times New Roman"/>
          <w:i/>
          <w:position w:val="9"/>
          <w:sz w:val="14"/>
        </w:rPr>
        <w:t>t</w:t>
      </w:r>
    </w:p>
    <w:p>
      <w:pPr>
        <w:spacing w:after="0" w:line="117" w:lineRule="exact"/>
        <w:jc w:val="left"/>
        <w:rPr>
          <w:rFonts w:ascii="Times New Roman" w:hAnsi="Times New Roman"/>
          <w:sz w:val="14"/>
        </w:rPr>
        <w:sectPr>
          <w:type w:val="continuous"/>
          <w:pgSz w:w="12240" w:h="15840"/>
          <w:pgMar w:top="720" w:bottom="280" w:left="1560" w:right="1560"/>
          <w:cols w:num="2" w:equalWidth="0">
            <w:col w:w="3841" w:space="40"/>
            <w:col w:w="5239"/>
          </w:cols>
        </w:sectPr>
      </w:pPr>
    </w:p>
    <w:p>
      <w:pPr>
        <w:spacing w:line="293" w:lineRule="exact" w:before="0"/>
        <w:ind w:left="0" w:right="0" w:firstLine="0"/>
        <w:jc w:val="right"/>
        <w:rPr>
          <w:rFonts w:ascii="Times New Roman" w:hAnsi="Times New Roman"/>
          <w:sz w:val="24"/>
        </w:rPr>
      </w:pPr>
      <w:r>
        <w:rPr>
          <w:rFonts w:ascii="Times New Roman" w:hAnsi="Times New Roman"/>
          <w:position w:val="13"/>
          <w:sz w:val="14"/>
        </w:rPr>
        <w:t>0  </w:t>
      </w:r>
      <w:r>
        <w:rPr>
          <w:rFonts w:ascii="Times New Roman" w:hAnsi="Times New Roman"/>
          <w:sz w:val="24"/>
        </w:rPr>
        <w:t>(1 </w:t>
      </w:r>
      <w:r>
        <w:rPr>
          <w:rFonts w:ascii="Symbol" w:hAnsi="Symbol"/>
          <w:sz w:val="24"/>
        </w:rPr>
        <w:t></w:t>
      </w:r>
      <w:r>
        <w:rPr>
          <w:rFonts w:ascii="Times New Roman" w:hAnsi="Times New Roman"/>
          <w:sz w:val="24"/>
        </w:rPr>
        <w:t> </w:t>
      </w:r>
      <w:r>
        <w:rPr>
          <w:rFonts w:ascii="Times New Roman" w:hAnsi="Times New Roman"/>
          <w:i/>
          <w:sz w:val="24"/>
        </w:rPr>
        <w:t>k </w:t>
      </w:r>
      <w:r>
        <w:rPr>
          <w:rFonts w:ascii="Times New Roman" w:hAnsi="Times New Roman"/>
          <w:sz w:val="24"/>
        </w:rPr>
        <w:t>)</w:t>
      </w:r>
    </w:p>
    <w:p>
      <w:pPr>
        <w:spacing w:line="293" w:lineRule="exact" w:before="0"/>
        <w:ind w:left="226" w:right="-16" w:firstLine="0"/>
        <w:jc w:val="left"/>
        <w:rPr>
          <w:rFonts w:ascii="Times New Roman" w:hAnsi="Times New Roman"/>
          <w:sz w:val="24"/>
        </w:rPr>
      </w:pPr>
      <w:r>
        <w:rPr/>
        <w:br w:type="column"/>
      </w:r>
      <w:r>
        <w:rPr>
          <w:rFonts w:ascii="Times New Roman" w:hAnsi="Times New Roman"/>
          <w:spacing w:val="-7"/>
          <w:sz w:val="24"/>
        </w:rPr>
        <w:t>(1</w:t>
      </w:r>
      <w:r>
        <w:rPr>
          <w:rFonts w:ascii="Times New Roman" w:hAnsi="Times New Roman"/>
          <w:spacing w:val="-31"/>
          <w:sz w:val="24"/>
        </w:rPr>
        <w:t> </w:t>
      </w:r>
      <w:r>
        <w:rPr>
          <w:rFonts w:ascii="Symbol" w:hAnsi="Symbol"/>
          <w:sz w:val="24"/>
        </w:rPr>
        <w:t></w:t>
      </w:r>
      <w:r>
        <w:rPr>
          <w:rFonts w:ascii="Times New Roman" w:hAnsi="Times New Roman"/>
          <w:spacing w:val="-9"/>
          <w:sz w:val="24"/>
        </w:rPr>
        <w:t> </w:t>
      </w:r>
      <w:r>
        <w:rPr>
          <w:rFonts w:ascii="Times New Roman" w:hAnsi="Times New Roman"/>
          <w:i/>
          <w:sz w:val="24"/>
        </w:rPr>
        <w:t>k</w:t>
      </w:r>
      <w:r>
        <w:rPr>
          <w:rFonts w:ascii="Times New Roman" w:hAnsi="Times New Roman"/>
          <w:i/>
          <w:spacing w:val="-38"/>
          <w:sz w:val="24"/>
        </w:rPr>
        <w:t> </w:t>
      </w:r>
      <w:r>
        <w:rPr>
          <w:rFonts w:ascii="Times New Roman" w:hAnsi="Times New Roman"/>
          <w:sz w:val="24"/>
        </w:rPr>
        <w:t>)</w:t>
      </w:r>
    </w:p>
    <w:p>
      <w:pPr>
        <w:spacing w:line="311" w:lineRule="exact" w:before="0"/>
        <w:ind w:left="804" w:right="0" w:firstLine="0"/>
        <w:jc w:val="left"/>
        <w:rPr>
          <w:rFonts w:ascii="Times New Roman" w:hAnsi="Times New Roman"/>
          <w:sz w:val="24"/>
        </w:rPr>
      </w:pPr>
      <w:r>
        <w:rPr/>
        <w:br w:type="column"/>
      </w:r>
      <w:r>
        <w:rPr>
          <w:rFonts w:ascii="Times New Roman" w:hAnsi="Times New Roman"/>
          <w:i/>
          <w:position w:val="-3"/>
          <w:sz w:val="14"/>
        </w:rPr>
        <w:t>t</w:t>
      </w:r>
      <w:r>
        <w:rPr>
          <w:rFonts w:ascii="Symbol" w:hAnsi="Symbol"/>
          <w:position w:val="-3"/>
          <w:sz w:val="14"/>
        </w:rPr>
        <w:t></w:t>
      </w:r>
      <w:r>
        <w:rPr>
          <w:rFonts w:ascii="Times New Roman" w:hAnsi="Times New Roman"/>
          <w:position w:val="-3"/>
          <w:sz w:val="14"/>
        </w:rPr>
        <w:t>1  </w:t>
      </w:r>
      <w:r>
        <w:rPr>
          <w:rFonts w:ascii="Times New Roman" w:hAnsi="Times New Roman"/>
          <w:sz w:val="24"/>
        </w:rPr>
        <w:t>(1 </w:t>
      </w:r>
      <w:r>
        <w:rPr>
          <w:rFonts w:ascii="Symbol" w:hAnsi="Symbol"/>
          <w:sz w:val="24"/>
        </w:rPr>
        <w:t></w:t>
      </w:r>
      <w:r>
        <w:rPr>
          <w:rFonts w:ascii="Times New Roman" w:hAnsi="Times New Roman"/>
          <w:sz w:val="24"/>
        </w:rPr>
        <w:t> </w:t>
      </w:r>
      <w:r>
        <w:rPr>
          <w:rFonts w:ascii="Times New Roman" w:hAnsi="Times New Roman"/>
          <w:i/>
          <w:sz w:val="24"/>
        </w:rPr>
        <w:t>k </w:t>
      </w:r>
      <w:r>
        <w:rPr>
          <w:rFonts w:ascii="Times New Roman" w:hAnsi="Times New Roman"/>
          <w:sz w:val="24"/>
        </w:rPr>
        <w:t>)</w:t>
      </w:r>
    </w:p>
    <w:p>
      <w:pPr>
        <w:spacing w:after="0" w:line="311" w:lineRule="exact"/>
        <w:jc w:val="left"/>
        <w:rPr>
          <w:rFonts w:ascii="Times New Roman" w:hAnsi="Times New Roman"/>
          <w:sz w:val="24"/>
        </w:rPr>
        <w:sectPr>
          <w:type w:val="continuous"/>
          <w:pgSz w:w="12240" w:h="15840"/>
          <w:pgMar w:top="720" w:bottom="280" w:left="1560" w:right="1560"/>
          <w:cols w:num="3" w:equalWidth="0">
            <w:col w:w="3640" w:space="40"/>
            <w:col w:w="837" w:space="40"/>
            <w:col w:w="4563"/>
          </w:cols>
        </w:sectPr>
      </w:pPr>
    </w:p>
    <w:p>
      <w:pPr>
        <w:pStyle w:val="BodyText"/>
        <w:spacing w:before="4"/>
        <w:rPr>
          <w:rFonts w:ascii="Times New Roman"/>
          <w:sz w:val="16"/>
        </w:rPr>
      </w:pPr>
    </w:p>
    <w:p>
      <w:pPr>
        <w:spacing w:line="360" w:lineRule="auto" w:before="72"/>
        <w:ind w:left="850" w:right="134" w:firstLine="0"/>
        <w:jc w:val="both"/>
        <w:rPr>
          <w:sz w:val="22"/>
        </w:rPr>
      </w:pPr>
      <w:r>
        <w:rPr>
          <w:position w:val="2"/>
          <w:sz w:val="22"/>
        </w:rPr>
        <w:t>donde D</w:t>
      </w:r>
      <w:r>
        <w:rPr>
          <w:sz w:val="14"/>
        </w:rPr>
        <w:t>t </w:t>
      </w:r>
      <w:r>
        <w:rPr>
          <w:position w:val="2"/>
          <w:sz w:val="22"/>
        </w:rPr>
        <w:t>es el dividendo esperado por acción en el periodo t, y k es la tasa de </w:t>
      </w:r>
      <w:r>
        <w:rPr>
          <w:sz w:val="22"/>
        </w:rPr>
        <w:t>descuento ajustada al riesgo, que es la tasa esperada de rendimiento que los inversionistas requieren para invertir en la acción. Al aplicar esta fórmula, se emplean el CAPM para calcular k.</w:t>
      </w:r>
    </w:p>
    <w:p>
      <w:pPr>
        <w:pStyle w:val="BodyText"/>
        <w:spacing w:line="360" w:lineRule="auto" w:before="123"/>
        <w:ind w:left="142" w:right="134" w:firstLine="707"/>
        <w:jc w:val="both"/>
      </w:pPr>
      <w:r>
        <w:rPr/>
        <w:t>Para tal efecto, es necesario conocer el costo de capital para tomar decisiones de inversión. Dicho costo es un promedio ponderado del costo de su capital accionario y de su deuda. Se puede utilizar un método basado en el CAPM, similar al utilizado para estimar el costo del capital accionario.</w:t>
      </w:r>
    </w:p>
    <w:p>
      <w:pPr>
        <w:pStyle w:val="Heading3"/>
      </w:pPr>
      <w:r>
        <w:rPr/>
        <w:t>Modificaciones y Alternativas del CAPM</w:t>
      </w:r>
    </w:p>
    <w:p>
      <w:pPr>
        <w:pStyle w:val="BodyText"/>
        <w:spacing w:line="360" w:lineRule="auto" w:before="62"/>
        <w:ind w:left="142" w:right="137" w:firstLine="707"/>
        <w:jc w:val="both"/>
      </w:pPr>
      <w:r>
        <w:rPr/>
        <w:t>Una línea de investigación ha sido el desarrollo de teorías alternativas. La más</w:t>
      </w:r>
      <w:r>
        <w:rPr>
          <w:spacing w:val="-16"/>
        </w:rPr>
        <w:t> </w:t>
      </w:r>
      <w:r>
        <w:rPr/>
        <w:t>destacada</w:t>
      </w:r>
      <w:r>
        <w:rPr>
          <w:spacing w:val="-16"/>
        </w:rPr>
        <w:t> </w:t>
      </w:r>
      <w:r>
        <w:rPr/>
        <w:t>es</w:t>
      </w:r>
      <w:r>
        <w:rPr>
          <w:spacing w:val="-16"/>
        </w:rPr>
        <w:t> </w:t>
      </w:r>
      <w:r>
        <w:rPr/>
        <w:t>la</w:t>
      </w:r>
      <w:r>
        <w:rPr>
          <w:spacing w:val="-16"/>
        </w:rPr>
        <w:t> </w:t>
      </w:r>
      <w:r>
        <w:rPr/>
        <w:t>teoría</w:t>
      </w:r>
      <w:r>
        <w:rPr>
          <w:spacing w:val="-16"/>
        </w:rPr>
        <w:t> </w:t>
      </w:r>
      <w:r>
        <w:rPr/>
        <w:t>de</w:t>
      </w:r>
      <w:r>
        <w:rPr>
          <w:spacing w:val="-16"/>
        </w:rPr>
        <w:t> </w:t>
      </w:r>
      <w:r>
        <w:rPr/>
        <w:t>valuación</w:t>
      </w:r>
      <w:r>
        <w:rPr>
          <w:spacing w:val="-15"/>
        </w:rPr>
        <w:t> </w:t>
      </w:r>
      <w:r>
        <w:rPr/>
        <w:t>por</w:t>
      </w:r>
      <w:r>
        <w:rPr>
          <w:spacing w:val="-17"/>
        </w:rPr>
        <w:t> </w:t>
      </w:r>
      <w:r>
        <w:rPr/>
        <w:t>arbitraje</w:t>
      </w:r>
      <w:r>
        <w:rPr>
          <w:spacing w:val="-16"/>
        </w:rPr>
        <w:t> </w:t>
      </w:r>
      <w:r>
        <w:rPr/>
        <w:t>(APT,</w:t>
      </w:r>
      <w:r>
        <w:rPr>
          <w:spacing w:val="-16"/>
        </w:rPr>
        <w:t> </w:t>
      </w:r>
      <w:r>
        <w:rPr/>
        <w:t>por</w:t>
      </w:r>
      <w:r>
        <w:rPr>
          <w:spacing w:val="-17"/>
        </w:rPr>
        <w:t> </w:t>
      </w:r>
      <w:r>
        <w:rPr/>
        <w:t>sus</w:t>
      </w:r>
      <w:r>
        <w:rPr>
          <w:spacing w:val="-16"/>
        </w:rPr>
        <w:t> </w:t>
      </w:r>
      <w:r>
        <w:rPr/>
        <w:t>siglas</w:t>
      </w:r>
      <w:r>
        <w:rPr>
          <w:spacing w:val="-16"/>
        </w:rPr>
        <w:t> </w:t>
      </w:r>
      <w:r>
        <w:rPr/>
        <w:t>en</w:t>
      </w:r>
      <w:r>
        <w:rPr>
          <w:spacing w:val="-16"/>
        </w:rPr>
        <w:t> </w:t>
      </w:r>
      <w:r>
        <w:rPr/>
        <w:t>inglés). De</w:t>
      </w:r>
      <w:r>
        <w:rPr>
          <w:spacing w:val="-4"/>
        </w:rPr>
        <w:t> </w:t>
      </w:r>
      <w:r>
        <w:rPr/>
        <w:t>acuerdo</w:t>
      </w:r>
      <w:r>
        <w:rPr>
          <w:spacing w:val="-4"/>
        </w:rPr>
        <w:t> </w:t>
      </w:r>
      <w:r>
        <w:rPr/>
        <w:t>con</w:t>
      </w:r>
      <w:r>
        <w:rPr>
          <w:spacing w:val="-4"/>
        </w:rPr>
        <w:t> </w:t>
      </w:r>
      <w:r>
        <w:rPr/>
        <w:t>la</w:t>
      </w:r>
      <w:r>
        <w:rPr>
          <w:spacing w:val="-6"/>
        </w:rPr>
        <w:t> </w:t>
      </w:r>
      <w:r>
        <w:rPr/>
        <w:t>APT,</w:t>
      </w:r>
      <w:r>
        <w:rPr>
          <w:spacing w:val="-6"/>
        </w:rPr>
        <w:t> </w:t>
      </w:r>
      <w:r>
        <w:rPr/>
        <w:t>puede</w:t>
      </w:r>
      <w:r>
        <w:rPr>
          <w:spacing w:val="-6"/>
        </w:rPr>
        <w:t> </w:t>
      </w:r>
      <w:r>
        <w:rPr/>
        <w:t>existir</w:t>
      </w:r>
      <w:r>
        <w:rPr>
          <w:spacing w:val="-6"/>
        </w:rPr>
        <w:t> </w:t>
      </w:r>
      <w:r>
        <w:rPr/>
        <w:t>una</w:t>
      </w:r>
      <w:r>
        <w:rPr>
          <w:spacing w:val="-4"/>
        </w:rPr>
        <w:t> </w:t>
      </w:r>
      <w:r>
        <w:rPr/>
        <w:t>relación</w:t>
      </w:r>
      <w:r>
        <w:rPr>
          <w:spacing w:val="-3"/>
        </w:rPr>
        <w:t> </w:t>
      </w:r>
      <w:r>
        <w:rPr/>
        <w:t>similar</w:t>
      </w:r>
      <w:r>
        <w:rPr>
          <w:spacing w:val="-5"/>
        </w:rPr>
        <w:t> </w:t>
      </w:r>
      <w:r>
        <w:rPr/>
        <w:t>a</w:t>
      </w:r>
      <w:r>
        <w:rPr>
          <w:spacing w:val="-4"/>
        </w:rPr>
        <w:t> </w:t>
      </w:r>
      <w:r>
        <w:rPr/>
        <w:t>la</w:t>
      </w:r>
      <w:r>
        <w:rPr>
          <w:spacing w:val="-4"/>
        </w:rPr>
        <w:t> </w:t>
      </w:r>
      <w:r>
        <w:rPr/>
        <w:t>línea</w:t>
      </w:r>
      <w:r>
        <w:rPr>
          <w:spacing w:val="-6"/>
        </w:rPr>
        <w:t> </w:t>
      </w:r>
      <w:r>
        <w:rPr/>
        <w:t>del</w:t>
      </w:r>
      <w:r>
        <w:rPr>
          <w:spacing w:val="-5"/>
        </w:rPr>
        <w:t> </w:t>
      </w:r>
      <w:r>
        <w:rPr/>
        <w:t>mercado</w:t>
      </w:r>
      <w:r>
        <w:rPr>
          <w:spacing w:val="-6"/>
        </w:rPr>
        <w:t> </w:t>
      </w:r>
      <w:r>
        <w:rPr/>
        <w:t>de valores</w:t>
      </w:r>
      <w:r>
        <w:rPr>
          <w:spacing w:val="-5"/>
        </w:rPr>
        <w:t> </w:t>
      </w:r>
      <w:r>
        <w:rPr/>
        <w:t>aunque</w:t>
      </w:r>
      <w:r>
        <w:rPr>
          <w:spacing w:val="-5"/>
        </w:rPr>
        <w:t> </w:t>
      </w:r>
      <w:r>
        <w:rPr/>
        <w:t>los</w:t>
      </w:r>
      <w:r>
        <w:rPr>
          <w:spacing w:val="-5"/>
        </w:rPr>
        <w:t> </w:t>
      </w:r>
      <w:r>
        <w:rPr/>
        <w:t>inversionistas</w:t>
      </w:r>
      <w:r>
        <w:rPr>
          <w:spacing w:val="-5"/>
        </w:rPr>
        <w:t> </w:t>
      </w:r>
      <w:r>
        <w:rPr/>
        <w:t>no</w:t>
      </w:r>
      <w:r>
        <w:rPr>
          <w:spacing w:val="-5"/>
        </w:rPr>
        <w:t> </w:t>
      </w:r>
      <w:r>
        <w:rPr/>
        <w:t>sean</w:t>
      </w:r>
      <w:r>
        <w:rPr>
          <w:spacing w:val="-5"/>
        </w:rPr>
        <w:t> </w:t>
      </w:r>
      <w:r>
        <w:rPr/>
        <w:t>optimizadores</w:t>
      </w:r>
      <w:r>
        <w:rPr>
          <w:spacing w:val="-5"/>
        </w:rPr>
        <w:t> </w:t>
      </w:r>
      <w:r>
        <w:rPr/>
        <w:t>de</w:t>
      </w:r>
      <w:r>
        <w:rPr>
          <w:spacing w:val="-7"/>
        </w:rPr>
        <w:t> </w:t>
      </w:r>
      <w:r>
        <w:rPr/>
        <w:t>media-varianza.</w:t>
      </w:r>
      <w:r>
        <w:rPr>
          <w:spacing w:val="-5"/>
        </w:rPr>
        <w:t> </w:t>
      </w:r>
      <w:r>
        <w:rPr/>
        <w:t>Si</w:t>
      </w:r>
      <w:r>
        <w:rPr>
          <w:spacing w:val="-6"/>
        </w:rPr>
        <w:t> </w:t>
      </w:r>
      <w:r>
        <w:rPr/>
        <w:t>hay suficientes valores diferentes para "diversificar" todos excepto los riesgos de mercado, la APT muestra que existirá una relación entre el rendimiento esperado y la beta, como consecuencia de que no haya oportunidades de arbitraje. Aunque</w:t>
      </w:r>
      <w:r>
        <w:rPr>
          <w:spacing w:val="30"/>
        </w:rPr>
        <w:t> </w:t>
      </w:r>
      <w:r>
        <w:rPr/>
        <w:t>la</w:t>
      </w:r>
    </w:p>
    <w:p>
      <w:pPr>
        <w:spacing w:after="0" w:line="360" w:lineRule="auto"/>
        <w:jc w:val="both"/>
        <w:sectPr>
          <w:type w:val="continuous"/>
          <w:pgSz w:w="12240" w:h="15840"/>
          <w:pgMar w:top="720" w:bottom="280" w:left="1560" w:right="1560"/>
        </w:sectPr>
      </w:pPr>
    </w:p>
    <w:p>
      <w:pPr>
        <w:pStyle w:val="BodyText"/>
        <w:rPr>
          <w:sz w:val="20"/>
        </w:rPr>
      </w:pPr>
    </w:p>
    <w:p>
      <w:pPr>
        <w:pStyle w:val="BodyText"/>
        <w:rPr>
          <w:sz w:val="16"/>
        </w:rPr>
      </w:pPr>
    </w:p>
    <w:p>
      <w:pPr>
        <w:pStyle w:val="BodyText"/>
        <w:spacing w:line="360" w:lineRule="auto" w:before="70"/>
        <w:ind w:left="142" w:right="135"/>
        <w:jc w:val="both"/>
      </w:pPr>
      <w:r>
        <w:rPr/>
        <w:t>estructura</w:t>
      </w:r>
      <w:r>
        <w:rPr>
          <w:spacing w:val="-20"/>
        </w:rPr>
        <w:t> </w:t>
      </w:r>
      <w:r>
        <w:rPr/>
        <w:t>específica</w:t>
      </w:r>
      <w:r>
        <w:rPr>
          <w:spacing w:val="-17"/>
        </w:rPr>
        <w:t> </w:t>
      </w:r>
      <w:r>
        <w:rPr/>
        <w:t>de</w:t>
      </w:r>
      <w:r>
        <w:rPr>
          <w:spacing w:val="-17"/>
        </w:rPr>
        <w:t> </w:t>
      </w:r>
      <w:r>
        <w:rPr/>
        <w:t>riesgos</w:t>
      </w:r>
      <w:r>
        <w:rPr>
          <w:spacing w:val="-17"/>
        </w:rPr>
        <w:t> </w:t>
      </w:r>
      <w:r>
        <w:rPr/>
        <w:t>de</w:t>
      </w:r>
      <w:r>
        <w:rPr>
          <w:spacing w:val="-19"/>
        </w:rPr>
        <w:t> </w:t>
      </w:r>
      <w:r>
        <w:rPr/>
        <w:t>activos</w:t>
      </w:r>
      <w:r>
        <w:rPr>
          <w:spacing w:val="-17"/>
        </w:rPr>
        <w:t> </w:t>
      </w:r>
      <w:r>
        <w:rPr/>
        <w:t>en</w:t>
      </w:r>
      <w:r>
        <w:rPr>
          <w:spacing w:val="-21"/>
        </w:rPr>
        <w:t> </w:t>
      </w:r>
      <w:r>
        <w:rPr/>
        <w:t>estos</w:t>
      </w:r>
      <w:r>
        <w:rPr>
          <w:spacing w:val="-20"/>
        </w:rPr>
        <w:t> </w:t>
      </w:r>
      <w:r>
        <w:rPr/>
        <w:t>modelos</w:t>
      </w:r>
      <w:r>
        <w:rPr>
          <w:spacing w:val="-19"/>
        </w:rPr>
        <w:t> </w:t>
      </w:r>
      <w:r>
        <w:rPr>
          <w:spacing w:val="3"/>
        </w:rPr>
        <w:t>es</w:t>
      </w:r>
      <w:r>
        <w:rPr>
          <w:spacing w:val="-20"/>
        </w:rPr>
        <w:t> </w:t>
      </w:r>
      <w:r>
        <w:rPr/>
        <w:t>diferente</w:t>
      </w:r>
      <w:r>
        <w:rPr>
          <w:spacing w:val="-18"/>
        </w:rPr>
        <w:t> </w:t>
      </w:r>
      <w:r>
        <w:rPr/>
        <w:t>del</w:t>
      </w:r>
      <w:r>
        <w:rPr>
          <w:spacing w:val="-18"/>
        </w:rPr>
        <w:t> </w:t>
      </w:r>
      <w:r>
        <w:rPr/>
        <w:t>CAPM, se mantienen las ideas básicas de éste: las primas de riesgo están relacionadas con amplios factores de riesgo sistemático y son importantes para grandes segmentos de la población. El CAPM requiere que los inversionistas sean optimizadores de cartera de media-varianza. La APT y el CAPM no son incompatibles; más bien, se complementan</w:t>
      </w:r>
      <w:r>
        <w:rPr>
          <w:spacing w:val="-15"/>
        </w:rPr>
        <w:t> </w:t>
      </w:r>
      <w:r>
        <w:rPr/>
        <w:t>mutuamente.</w:t>
      </w:r>
    </w:p>
    <w:p>
      <w:pPr>
        <w:pStyle w:val="BodyText"/>
      </w:pPr>
    </w:p>
    <w:p>
      <w:pPr>
        <w:pStyle w:val="ListParagraph"/>
        <w:numPr>
          <w:ilvl w:val="1"/>
          <w:numId w:val="8"/>
        </w:numPr>
        <w:tabs>
          <w:tab w:pos="598" w:val="left" w:leader="none"/>
        </w:tabs>
        <w:spacing w:line="240" w:lineRule="auto" w:before="199" w:after="0"/>
        <w:ind w:left="598" w:right="0" w:hanging="456"/>
        <w:jc w:val="both"/>
        <w:rPr>
          <w:b/>
          <w:sz w:val="18"/>
        </w:rPr>
      </w:pPr>
      <w:bookmarkStart w:name="_bookmark24" w:id="39"/>
      <w:bookmarkEnd w:id="39"/>
      <w:r>
        <w:rPr/>
      </w:r>
      <w:bookmarkStart w:name="_bookmark24" w:id="40"/>
      <w:bookmarkEnd w:id="40"/>
      <w:r>
        <w:rPr>
          <w:b/>
          <w:sz w:val="28"/>
        </w:rPr>
        <w:t>A</w:t>
      </w:r>
      <w:r>
        <w:rPr>
          <w:b/>
          <w:sz w:val="22"/>
        </w:rPr>
        <w:t>PLICACIONES DEL</w:t>
      </w:r>
      <w:r>
        <w:rPr>
          <w:b/>
          <w:spacing w:val="-13"/>
          <w:sz w:val="22"/>
        </w:rPr>
        <w:t> </w:t>
      </w:r>
      <w:r>
        <w:rPr>
          <w:b/>
          <w:sz w:val="28"/>
        </w:rPr>
        <w:t>V</w:t>
      </w:r>
      <w:r>
        <w:rPr>
          <w:b/>
          <w:sz w:val="22"/>
        </w:rPr>
        <w:t>A</w:t>
      </w:r>
      <w:r>
        <w:rPr>
          <w:b/>
          <w:sz w:val="28"/>
        </w:rPr>
        <w:t>R</w:t>
      </w:r>
      <w:r>
        <w:rPr>
          <w:b/>
          <w:position w:val="10"/>
          <w:sz w:val="18"/>
        </w:rPr>
        <w:t>37</w:t>
      </w:r>
    </w:p>
    <w:p>
      <w:pPr>
        <w:pStyle w:val="Heading3"/>
        <w:spacing w:before="239"/>
      </w:pPr>
      <w:r>
        <w:rPr/>
        <w:t>VaR para una posición en dólares</w:t>
      </w:r>
    </w:p>
    <w:p>
      <w:pPr>
        <w:pStyle w:val="BodyText"/>
        <w:spacing w:line="360" w:lineRule="auto" w:before="62"/>
        <w:ind w:left="142" w:right="139" w:firstLine="707"/>
      </w:pPr>
      <w:r>
        <w:rPr/>
        <w:t>El Var es la máxima pérdida potenciual eb una posición, en un periodo dado (1 día) con un cierto nivel de confianza (entre el 95% y el 99%).</w:t>
      </w:r>
    </w:p>
    <w:p>
      <w:pPr>
        <w:pStyle w:val="BodyText"/>
        <w:spacing w:before="2"/>
        <w:ind w:left="850" w:right="786"/>
      </w:pPr>
      <w:r>
        <w:rPr/>
        <w:t>El VaR depende fundamentalmente de:</w:t>
      </w:r>
    </w:p>
    <w:p>
      <w:pPr>
        <w:pStyle w:val="ListParagraph"/>
        <w:numPr>
          <w:ilvl w:val="2"/>
          <w:numId w:val="8"/>
        </w:numPr>
        <w:tabs>
          <w:tab w:pos="1274" w:val="left" w:leader="none"/>
          <w:tab w:pos="1275" w:val="left" w:leader="none"/>
        </w:tabs>
        <w:spacing w:line="240" w:lineRule="auto" w:before="140" w:after="0"/>
        <w:ind w:left="1274" w:right="0" w:hanging="357"/>
        <w:jc w:val="left"/>
        <w:rPr>
          <w:sz w:val="24"/>
        </w:rPr>
      </w:pPr>
      <w:r>
        <w:rPr>
          <w:sz w:val="24"/>
        </w:rPr>
        <w:t>La volatilidad (en función del</w:t>
      </w:r>
      <w:r>
        <w:rPr>
          <w:spacing w:val="-14"/>
          <w:sz w:val="24"/>
        </w:rPr>
        <w:t> </w:t>
      </w:r>
      <w:r>
        <w:rPr>
          <w:sz w:val="24"/>
        </w:rPr>
        <w:t>mercado).</w:t>
      </w:r>
    </w:p>
    <w:p>
      <w:pPr>
        <w:pStyle w:val="ListParagraph"/>
        <w:numPr>
          <w:ilvl w:val="2"/>
          <w:numId w:val="8"/>
        </w:numPr>
        <w:tabs>
          <w:tab w:pos="1274" w:val="left" w:leader="none"/>
          <w:tab w:pos="1275" w:val="left" w:leader="none"/>
        </w:tabs>
        <w:spacing w:line="240" w:lineRule="auto" w:before="135" w:after="0"/>
        <w:ind w:left="1274" w:right="0" w:hanging="357"/>
        <w:jc w:val="left"/>
        <w:rPr>
          <w:sz w:val="24"/>
        </w:rPr>
      </w:pPr>
      <w:r>
        <w:rPr>
          <w:position w:val="1"/>
          <w:sz w:val="24"/>
        </w:rPr>
        <w:t>Del tamaño de la posición</w:t>
      </w:r>
      <w:r>
        <w:rPr>
          <w:spacing w:val="-7"/>
          <w:position w:val="1"/>
          <w:sz w:val="24"/>
        </w:rPr>
        <w:t> </w:t>
      </w:r>
      <w:r>
        <w:rPr>
          <w:position w:val="1"/>
          <w:sz w:val="24"/>
        </w:rPr>
        <w:t>(µ</w:t>
      </w:r>
      <w:r>
        <w:rPr>
          <w:sz w:val="16"/>
        </w:rPr>
        <w:t>d</w:t>
      </w:r>
      <w:r>
        <w:rPr>
          <w:position w:val="1"/>
          <w:sz w:val="24"/>
        </w:rPr>
        <w:t>)</w:t>
      </w:r>
    </w:p>
    <w:p>
      <w:pPr>
        <w:pStyle w:val="ListParagraph"/>
        <w:numPr>
          <w:ilvl w:val="2"/>
          <w:numId w:val="8"/>
        </w:numPr>
        <w:tabs>
          <w:tab w:pos="1274" w:val="left" w:leader="none"/>
          <w:tab w:pos="1275" w:val="left" w:leader="none"/>
        </w:tabs>
        <w:spacing w:line="350" w:lineRule="auto" w:before="136" w:after="0"/>
        <w:ind w:left="1274" w:right="144" w:hanging="357"/>
        <w:jc w:val="left"/>
        <w:rPr>
          <w:sz w:val="24"/>
        </w:rPr>
      </w:pPr>
      <w:r>
        <w:rPr>
          <w:sz w:val="24"/>
        </w:rPr>
        <w:t>Del horizonte de tiempo (el cual depende del grado de liquidez del tamaño de la posición,</w:t>
      </w:r>
      <w:r>
        <w:rPr>
          <w:spacing w:val="-6"/>
          <w:sz w:val="24"/>
        </w:rPr>
        <w:t> </w:t>
      </w:r>
      <w:r>
        <w:rPr>
          <w:sz w:val="24"/>
        </w:rPr>
        <w:t>Md)</w:t>
      </w:r>
    </w:p>
    <w:p>
      <w:pPr>
        <w:pStyle w:val="ListParagraph"/>
        <w:numPr>
          <w:ilvl w:val="2"/>
          <w:numId w:val="8"/>
        </w:numPr>
        <w:tabs>
          <w:tab w:pos="1274" w:val="left" w:leader="none"/>
          <w:tab w:pos="1275" w:val="left" w:leader="none"/>
        </w:tabs>
        <w:spacing w:line="240" w:lineRule="auto" w:before="17" w:after="0"/>
        <w:ind w:left="1274" w:right="0" w:hanging="357"/>
        <w:jc w:val="left"/>
        <w:rPr>
          <w:sz w:val="24"/>
        </w:rPr>
      </w:pPr>
      <w:r>
        <w:rPr>
          <w:sz w:val="24"/>
        </w:rPr>
        <w:t>Del nivel de confianza (normalmente entre 95% y</w:t>
      </w:r>
      <w:r>
        <w:rPr>
          <w:spacing w:val="-20"/>
          <w:sz w:val="24"/>
        </w:rPr>
        <w:t> </w:t>
      </w:r>
      <w:r>
        <w:rPr>
          <w:sz w:val="24"/>
        </w:rPr>
        <w:t>99%)</w:t>
      </w:r>
    </w:p>
    <w:p>
      <w:pPr>
        <w:pStyle w:val="BodyText"/>
        <w:spacing w:before="10"/>
        <w:rPr>
          <w:sz w:val="11"/>
        </w:rPr>
      </w:pPr>
    </w:p>
    <w:tbl>
      <w:tblPr>
        <w:tblW w:w="0" w:type="auto"/>
        <w:jc w:val="left"/>
        <w:tblInd w:w="37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8"/>
        <w:gridCol w:w="221"/>
        <w:gridCol w:w="840"/>
      </w:tblGrid>
      <w:tr>
        <w:trPr>
          <w:trHeight w:val="274" w:hRule="exact"/>
        </w:trPr>
        <w:tc>
          <w:tcPr>
            <w:tcW w:w="658" w:type="dxa"/>
            <w:tcBorders>
              <w:left w:val="nil"/>
              <w:bottom w:val="double" w:sz="4" w:space="0" w:color="000000"/>
              <w:right w:val="nil"/>
            </w:tcBorders>
          </w:tcPr>
          <w:p>
            <w:pPr>
              <w:pStyle w:val="TableParagraph"/>
              <w:spacing w:line="251" w:lineRule="exact"/>
              <w:ind w:left="0"/>
              <w:jc w:val="center"/>
              <w:rPr>
                <w:sz w:val="22"/>
              </w:rPr>
            </w:pPr>
            <w:r>
              <w:rPr>
                <w:sz w:val="22"/>
              </w:rPr>
              <w:t>NC</w:t>
            </w:r>
          </w:p>
        </w:tc>
        <w:tc>
          <w:tcPr>
            <w:tcW w:w="221" w:type="dxa"/>
            <w:tcBorders>
              <w:top w:val="nil"/>
              <w:left w:val="nil"/>
              <w:bottom w:val="nil"/>
              <w:right w:val="nil"/>
            </w:tcBorders>
          </w:tcPr>
          <w:p>
            <w:pPr/>
          </w:p>
        </w:tc>
        <w:tc>
          <w:tcPr>
            <w:tcW w:w="840" w:type="dxa"/>
            <w:tcBorders>
              <w:left w:val="nil"/>
              <w:bottom w:val="double" w:sz="4" w:space="0" w:color="000000"/>
              <w:right w:val="nil"/>
            </w:tcBorders>
          </w:tcPr>
          <w:p>
            <w:pPr>
              <w:pStyle w:val="TableParagraph"/>
              <w:spacing w:line="251" w:lineRule="exact"/>
              <w:ind w:left="0"/>
              <w:jc w:val="center"/>
              <w:rPr>
                <w:sz w:val="22"/>
              </w:rPr>
            </w:pPr>
            <w:r>
              <w:rPr>
                <w:w w:val="100"/>
                <w:sz w:val="22"/>
              </w:rPr>
              <w:t>α</w:t>
            </w:r>
          </w:p>
        </w:tc>
      </w:tr>
      <w:tr>
        <w:trPr>
          <w:trHeight w:val="277" w:hRule="exact"/>
        </w:trPr>
        <w:tc>
          <w:tcPr>
            <w:tcW w:w="658" w:type="dxa"/>
            <w:tcBorders>
              <w:top w:val="double" w:sz="4" w:space="0" w:color="000000"/>
              <w:left w:val="nil"/>
              <w:bottom w:val="nil"/>
              <w:right w:val="nil"/>
            </w:tcBorders>
          </w:tcPr>
          <w:p>
            <w:pPr>
              <w:pStyle w:val="TableParagraph"/>
              <w:spacing w:line="251" w:lineRule="exact"/>
              <w:ind w:left="0"/>
              <w:jc w:val="center"/>
              <w:rPr>
                <w:sz w:val="22"/>
              </w:rPr>
            </w:pPr>
            <w:r>
              <w:rPr>
                <w:sz w:val="22"/>
              </w:rPr>
              <w:t>95%</w:t>
            </w:r>
          </w:p>
        </w:tc>
        <w:tc>
          <w:tcPr>
            <w:tcW w:w="221" w:type="dxa"/>
            <w:tcBorders>
              <w:top w:val="nil"/>
              <w:left w:val="nil"/>
              <w:bottom w:val="nil"/>
              <w:right w:val="nil"/>
            </w:tcBorders>
          </w:tcPr>
          <w:p>
            <w:pPr/>
          </w:p>
        </w:tc>
        <w:tc>
          <w:tcPr>
            <w:tcW w:w="840" w:type="dxa"/>
            <w:tcBorders>
              <w:top w:val="double" w:sz="4" w:space="0" w:color="000000"/>
              <w:left w:val="nil"/>
              <w:bottom w:val="nil"/>
              <w:right w:val="nil"/>
            </w:tcBorders>
          </w:tcPr>
          <w:p>
            <w:pPr>
              <w:pStyle w:val="TableParagraph"/>
              <w:spacing w:line="251" w:lineRule="exact"/>
              <w:ind w:left="1"/>
              <w:jc w:val="center"/>
              <w:rPr>
                <w:sz w:val="22"/>
              </w:rPr>
            </w:pPr>
            <w:r>
              <w:rPr>
                <w:sz w:val="22"/>
              </w:rPr>
              <w:t>1.65%</w:t>
            </w:r>
          </w:p>
        </w:tc>
      </w:tr>
      <w:tr>
        <w:trPr>
          <w:trHeight w:val="238" w:hRule="exact"/>
        </w:trPr>
        <w:tc>
          <w:tcPr>
            <w:tcW w:w="658" w:type="dxa"/>
            <w:tcBorders>
              <w:top w:val="nil"/>
              <w:left w:val="nil"/>
              <w:bottom w:val="nil"/>
              <w:right w:val="nil"/>
            </w:tcBorders>
          </w:tcPr>
          <w:p>
            <w:pPr>
              <w:pStyle w:val="TableParagraph"/>
              <w:spacing w:line="242" w:lineRule="exact"/>
              <w:ind w:left="-15"/>
              <w:jc w:val="center"/>
              <w:rPr>
                <w:sz w:val="22"/>
              </w:rPr>
            </w:pPr>
            <w:r>
              <w:rPr>
                <w:w w:val="100"/>
                <w:sz w:val="22"/>
                <w:u w:val="single"/>
              </w:rPr>
              <w:t> </w:t>
            </w:r>
            <w:r>
              <w:rPr>
                <w:spacing w:val="-1"/>
                <w:sz w:val="22"/>
                <w:u w:val="single"/>
              </w:rPr>
              <w:t> </w:t>
            </w:r>
            <w:r>
              <w:rPr>
                <w:sz w:val="22"/>
                <w:u w:val="single"/>
              </w:rPr>
              <w:t>99%</w:t>
            </w:r>
            <w:r>
              <w:rPr>
                <w:spacing w:val="-14"/>
                <w:sz w:val="22"/>
                <w:u w:val="single"/>
              </w:rPr>
              <w:t> </w:t>
            </w:r>
          </w:p>
        </w:tc>
        <w:tc>
          <w:tcPr>
            <w:tcW w:w="221" w:type="dxa"/>
            <w:tcBorders>
              <w:top w:val="nil"/>
              <w:left w:val="nil"/>
              <w:bottom w:val="nil"/>
              <w:right w:val="nil"/>
            </w:tcBorders>
          </w:tcPr>
          <w:p>
            <w:pPr/>
          </w:p>
        </w:tc>
        <w:tc>
          <w:tcPr>
            <w:tcW w:w="840" w:type="dxa"/>
            <w:tcBorders>
              <w:top w:val="nil"/>
              <w:left w:val="nil"/>
              <w:bottom w:val="nil"/>
              <w:right w:val="nil"/>
            </w:tcBorders>
          </w:tcPr>
          <w:p>
            <w:pPr>
              <w:pStyle w:val="TableParagraph"/>
              <w:spacing w:line="242" w:lineRule="exact"/>
              <w:ind w:left="-15"/>
              <w:jc w:val="center"/>
              <w:rPr>
                <w:sz w:val="22"/>
              </w:rPr>
            </w:pPr>
            <w:r>
              <w:rPr>
                <w:w w:val="100"/>
                <w:sz w:val="22"/>
                <w:u w:val="single"/>
              </w:rPr>
              <w:t> </w:t>
            </w:r>
            <w:r>
              <w:rPr>
                <w:spacing w:val="-1"/>
                <w:sz w:val="22"/>
                <w:u w:val="single"/>
              </w:rPr>
              <w:t> </w:t>
            </w:r>
            <w:r>
              <w:rPr>
                <w:sz w:val="22"/>
                <w:u w:val="single"/>
              </w:rPr>
              <w:t>2.33%</w:t>
            </w:r>
            <w:r>
              <w:rPr>
                <w:spacing w:val="-16"/>
                <w:sz w:val="22"/>
                <w:u w:val="single"/>
              </w:rPr>
              <w:t> </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r>
        <w:rPr/>
        <w:pict>
          <v:line style="position:absolute;mso-position-horizontal-relative:page;mso-position-vertical-relative:paragraph;z-index:3136;mso-wrap-distance-left:0;mso-wrap-distance-right:0" from="85.103996pt,11.428455pt" to="229.123996pt,11.428455pt" stroked="true" strokeweight=".60004pt" strokecolor="#000000">
            <w10:wrap type="topAndBottom"/>
          </v:line>
        </w:pict>
      </w:r>
    </w:p>
    <w:p>
      <w:pPr>
        <w:spacing w:before="78"/>
        <w:ind w:left="142" w:right="1495" w:firstLine="0"/>
        <w:jc w:val="left"/>
        <w:rPr>
          <w:sz w:val="20"/>
        </w:rPr>
      </w:pPr>
      <w:r>
        <w:rPr>
          <w:position w:val="6"/>
          <w:sz w:val="13"/>
        </w:rPr>
        <w:t>37 </w:t>
      </w:r>
      <w:r>
        <w:rPr>
          <w:sz w:val="20"/>
        </w:rPr>
        <w:t>Fuente: Administración de riesgos, BMV-Educación. Ver Apéndice 5. Aplicaciones complementarias del VaR.</w:t>
      </w:r>
    </w:p>
    <w:p>
      <w:pPr>
        <w:spacing w:after="0"/>
        <w:jc w:val="left"/>
        <w:rPr>
          <w:sz w:val="20"/>
        </w:rPr>
        <w:sectPr>
          <w:pgSz w:w="12240" w:h="15840"/>
          <w:pgMar w:header="731" w:footer="737" w:top="1180" w:bottom="920" w:left="1560" w:right="1560"/>
        </w:sectPr>
      </w:pPr>
    </w:p>
    <w:p>
      <w:pPr>
        <w:pStyle w:val="BodyText"/>
        <w:rPr>
          <w:sz w:val="20"/>
        </w:rPr>
      </w:pPr>
    </w:p>
    <w:p>
      <w:pPr>
        <w:pStyle w:val="BodyText"/>
        <w:spacing w:before="2"/>
        <w:rPr>
          <w:sz w:val="22"/>
        </w:rPr>
      </w:pPr>
    </w:p>
    <w:p>
      <w:pPr>
        <w:pStyle w:val="BodyText"/>
        <w:ind w:left="2332"/>
        <w:rPr>
          <w:sz w:val="20"/>
        </w:rPr>
      </w:pPr>
      <w:r>
        <w:rPr>
          <w:sz w:val="20"/>
        </w:rPr>
        <w:pict>
          <v:group style="width:211.45pt;height:190.95pt;mso-position-horizontal-relative:char;mso-position-vertical-relative:line" coordorigin="0,0" coordsize="4229,3819">
            <v:shape style="position:absolute;left:0;top:0;width:4229;height:3187" type="#_x0000_t75" stroked="false">
              <v:imagedata r:id="rId42" o:title=""/>
            </v:shape>
            <v:shape style="position:absolute;left:1405;top:3115;width:120;height:454" coordorigin="1405,3115" coordsize="120,454" path="m1455,3449l1405,3449,1465,3569,1515,3469,1455,3469,1455,3449xm1475,3449l1455,3449,1455,3469,1475,3469,1475,3449xm1525,3449l1475,3449,1475,3469,1515,3469,1525,3449xm1474,3115l1454,3115,1455,3449,1475,3449,1474,3115xe" filled="true" fillcolor="#000000" stroked="false">
              <v:path arrowok="t"/>
              <v:fill type="solid"/>
            </v:shape>
            <v:shape style="position:absolute;left:2775;top:3115;width:120;height:454" coordorigin="2775,3115" coordsize="120,454" path="m2825,3449l2775,3449,2835,3569,2885,3469,2825,3469,2825,3449xm2845,3449l2825,3449,2825,3469,2845,3469,2845,3449xm2895,3449l2845,3449,2845,3469,2885,3469,2895,3449xm2844,3115l2824,3115,2825,3449,2845,3449,2844,3115xe" filled="true" fillcolor="#000000" stroked="false">
              <v:path arrowok="t"/>
              <v:fill type="solid"/>
            </v:shape>
            <v:shape style="position:absolute;left:1951;top:2988;width:391;height:319" type="#_x0000_t75" stroked="false">
              <v:imagedata r:id="rId43" o:title=""/>
            </v:shape>
            <v:shape style="position:absolute;left:2290;top:3578;width:1078;height:240" type="#_x0000_t75" stroked="false">
              <v:imagedata r:id="rId44" o:title=""/>
            </v:shape>
            <v:shape style="position:absolute;left:917;top:3576;width:1078;height:240" type="#_x0000_t75" stroked="false">
              <v:imagedata r:id="rId44" o:title=""/>
            </v:shape>
            <v:shape style="position:absolute;left:2101;top:3075;width:93;height:161" type="#_x0000_t202" filled="false" stroked="false">
              <v:textbox inset="0,0,0,0">
                <w:txbxContent>
                  <w:p>
                    <w:pPr>
                      <w:spacing w:line="161" w:lineRule="exact" w:before="0"/>
                      <w:ind w:left="0" w:right="0" w:firstLine="0"/>
                      <w:jc w:val="left"/>
                      <w:rPr>
                        <w:rFonts w:ascii="Times New Roman" w:hAnsi="Times New Roman"/>
                        <w:sz w:val="16"/>
                      </w:rPr>
                    </w:pPr>
                    <w:r>
                      <w:rPr>
                        <w:rFonts w:ascii="Times New Roman" w:hAnsi="Times New Roman"/>
                        <w:w w:val="100"/>
                        <w:sz w:val="16"/>
                      </w:rPr>
                      <w:t>µ</w:t>
                    </w:r>
                  </w:p>
                </w:txbxContent>
              </v:textbox>
              <w10:wrap type="none"/>
            </v:shape>
            <v:shape style="position:absolute;left:1115;top:3610;width:684;height:203" type="#_x0000_t202" filled="false" stroked="false">
              <v:textbox inset="0,0,0,0">
                <w:txbxContent>
                  <w:p>
                    <w:pPr>
                      <w:spacing w:line="202" w:lineRule="exact" w:before="0"/>
                      <w:ind w:left="0" w:right="0" w:firstLine="0"/>
                      <w:jc w:val="left"/>
                      <w:rPr>
                        <w:rFonts w:ascii="Times New Roman" w:hAnsi="Times New Roman"/>
                        <w:sz w:val="20"/>
                      </w:rPr>
                    </w:pPr>
                    <w:r>
                      <w:rPr>
                        <w:rFonts w:ascii="Times New Roman" w:hAnsi="Times New Roman"/>
                        <w:w w:val="95"/>
                        <w:sz w:val="20"/>
                      </w:rPr>
                      <w:t>µ</w:t>
                    </w:r>
                    <w:r>
                      <w:rPr>
                        <w:rFonts w:ascii="Symbol" w:hAnsi="Symbol"/>
                        <w:w w:val="95"/>
                        <w:sz w:val="20"/>
                      </w:rPr>
                      <w:t></w:t>
                    </w:r>
                    <w:r>
                      <w:rPr>
                        <w:rFonts w:ascii="Times New Roman" w:hAnsi="Times New Roman"/>
                        <w:w w:val="95"/>
                        <w:sz w:val="20"/>
                      </w:rPr>
                      <w:t>(α</w:t>
                    </w:r>
                    <w:r>
                      <w:rPr>
                        <w:rFonts w:ascii="Symbol" w:hAnsi="Symbol"/>
                        <w:w w:val="95"/>
                        <w:sz w:val="20"/>
                      </w:rPr>
                      <w:t></w:t>
                    </w:r>
                    <w:r>
                      <w:rPr>
                        <w:rFonts w:ascii="Times New Roman" w:hAnsi="Times New Roman"/>
                        <w:w w:val="95"/>
                        <w:sz w:val="20"/>
                      </w:rPr>
                      <w:t>)</w:t>
                    </w:r>
                  </w:p>
                </w:txbxContent>
              </v:textbox>
              <w10:wrap type="none"/>
            </v:shape>
            <v:shape style="position:absolute;left:2487;top:3613;width:684;height:203" type="#_x0000_t202" filled="false" stroked="false">
              <v:textbox inset="0,0,0,0">
                <w:txbxContent>
                  <w:p>
                    <w:pPr>
                      <w:spacing w:line="202" w:lineRule="exact" w:before="0"/>
                      <w:ind w:left="0" w:right="0" w:firstLine="0"/>
                      <w:jc w:val="left"/>
                      <w:rPr>
                        <w:rFonts w:ascii="Times New Roman" w:hAnsi="Times New Roman"/>
                        <w:sz w:val="20"/>
                      </w:rPr>
                    </w:pPr>
                    <w:r>
                      <w:rPr>
                        <w:rFonts w:ascii="Times New Roman" w:hAnsi="Times New Roman"/>
                        <w:w w:val="95"/>
                        <w:sz w:val="20"/>
                      </w:rPr>
                      <w:t>µ</w:t>
                    </w:r>
                    <w:r>
                      <w:rPr>
                        <w:rFonts w:ascii="Symbol" w:hAnsi="Symbol"/>
                        <w:w w:val="95"/>
                        <w:sz w:val="20"/>
                      </w:rPr>
                      <w:t></w:t>
                    </w:r>
                    <w:r>
                      <w:rPr>
                        <w:rFonts w:ascii="Times New Roman" w:hAnsi="Times New Roman"/>
                        <w:w w:val="95"/>
                        <w:sz w:val="20"/>
                      </w:rPr>
                      <w:t>(α</w:t>
                    </w:r>
                    <w:r>
                      <w:rPr>
                        <w:rFonts w:ascii="Symbol" w:hAnsi="Symbol"/>
                        <w:w w:val="95"/>
                        <w:sz w:val="20"/>
                      </w:rPr>
                      <w:t></w:t>
                    </w:r>
                    <w:r>
                      <w:rPr>
                        <w:rFonts w:ascii="Times New Roman" w:hAnsi="Times New Roman"/>
                        <w:w w:val="95"/>
                        <w:sz w:val="20"/>
                      </w:rPr>
                      <w:t>)</w:t>
                    </w:r>
                  </w:p>
                </w:txbxContent>
              </v:textbox>
              <w10:wrap type="none"/>
            </v:shape>
          </v:group>
        </w:pict>
      </w:r>
      <w:r>
        <w:rPr>
          <w:sz w:val="20"/>
        </w:rPr>
      </w:r>
    </w:p>
    <w:p>
      <w:pPr>
        <w:pStyle w:val="BodyText"/>
        <w:rPr>
          <w:sz w:val="20"/>
        </w:rPr>
      </w:pPr>
    </w:p>
    <w:p>
      <w:pPr>
        <w:pStyle w:val="BodyText"/>
        <w:spacing w:before="9"/>
        <w:rPr>
          <w:sz w:val="21"/>
        </w:rPr>
      </w:pPr>
    </w:p>
    <w:p>
      <w:pPr>
        <w:pStyle w:val="BodyText"/>
        <w:spacing w:before="70"/>
        <w:ind w:left="142" w:right="786"/>
      </w:pPr>
      <w:r>
        <w:rPr/>
        <w:t>¿Cuál es el intervalo del VaR dado un nivel de confianza?</w:t>
      </w:r>
    </w:p>
    <w:p>
      <w:pPr>
        <w:spacing w:before="62"/>
        <w:ind w:left="2797" w:right="786" w:firstLine="0"/>
        <w:jc w:val="left"/>
        <w:rPr>
          <w:rFonts w:ascii="Times New Roman" w:hAnsi="Times New Roman"/>
          <w:sz w:val="23"/>
        </w:rPr>
      </w:pPr>
      <w:r>
        <w:rPr>
          <w:rFonts w:ascii="Times New Roman" w:hAnsi="Times New Roman"/>
          <w:w w:val="105"/>
          <w:sz w:val="23"/>
        </w:rPr>
        <w:t>Pr</w:t>
      </w:r>
      <w:r>
        <w:rPr>
          <w:rFonts w:ascii="Symbol" w:hAnsi="Symbol"/>
          <w:w w:val="105"/>
          <w:sz w:val="31"/>
        </w:rPr>
        <w:t></w:t>
      </w:r>
      <w:r>
        <w:rPr>
          <w:rFonts w:ascii="Symbol" w:hAnsi="Symbol"/>
          <w:i/>
          <w:w w:val="105"/>
          <w:sz w:val="25"/>
        </w:rPr>
        <w:t></w:t>
      </w:r>
      <w:r>
        <w:rPr>
          <w:rFonts w:ascii="Times New Roman" w:hAnsi="Times New Roman"/>
          <w:i/>
          <w:w w:val="105"/>
          <w:sz w:val="25"/>
        </w:rPr>
        <w:t> </w:t>
      </w:r>
      <w:r>
        <w:rPr>
          <w:rFonts w:ascii="Symbol" w:hAnsi="Symbol"/>
          <w:w w:val="105"/>
          <w:sz w:val="23"/>
        </w:rPr>
        <w:t></w:t>
      </w:r>
      <w:r>
        <w:rPr>
          <w:rFonts w:ascii="Times New Roman" w:hAnsi="Times New Roman"/>
          <w:w w:val="105"/>
          <w:sz w:val="23"/>
        </w:rPr>
        <w:t> </w:t>
      </w:r>
      <w:r>
        <w:rPr>
          <w:rFonts w:ascii="Symbol" w:hAnsi="Symbol"/>
          <w:i/>
          <w:w w:val="105"/>
          <w:sz w:val="25"/>
        </w:rPr>
        <w:t></w:t>
      </w:r>
      <w:r>
        <w:rPr>
          <w:rFonts w:ascii="Times New Roman" w:hAnsi="Times New Roman"/>
          <w:i/>
          <w:w w:val="105"/>
          <w:sz w:val="25"/>
        </w:rPr>
        <w:t> </w:t>
      </w:r>
      <w:r>
        <w:rPr>
          <w:rFonts w:ascii="Symbol" w:hAnsi="Symbol"/>
          <w:w w:val="105"/>
          <w:sz w:val="23"/>
        </w:rPr>
        <w:t></w:t>
      </w:r>
      <w:r>
        <w:rPr>
          <w:rFonts w:ascii="Times New Roman" w:hAnsi="Times New Roman"/>
          <w:w w:val="105"/>
          <w:sz w:val="23"/>
        </w:rPr>
        <w:t> </w:t>
      </w:r>
      <w:r>
        <w:rPr>
          <w:rFonts w:ascii="Times New Roman" w:hAnsi="Times New Roman"/>
          <w:i/>
          <w:w w:val="105"/>
          <w:sz w:val="23"/>
        </w:rPr>
        <w:t>Var</w:t>
      </w:r>
      <w:r>
        <w:rPr>
          <w:rFonts w:ascii="Times New Roman" w:hAnsi="Times New Roman"/>
          <w:w w:val="105"/>
          <w:sz w:val="23"/>
        </w:rPr>
        <w:t>% </w:t>
      </w:r>
      <w:r>
        <w:rPr>
          <w:rFonts w:ascii="Symbol" w:hAnsi="Symbol"/>
          <w:w w:val="105"/>
          <w:sz w:val="23"/>
        </w:rPr>
        <w:t></w:t>
      </w:r>
      <w:r>
        <w:rPr>
          <w:rFonts w:ascii="Times New Roman" w:hAnsi="Times New Roman"/>
          <w:w w:val="105"/>
          <w:sz w:val="23"/>
        </w:rPr>
        <w:t> </w:t>
      </w:r>
      <w:r>
        <w:rPr>
          <w:rFonts w:ascii="Symbol" w:hAnsi="Symbol"/>
          <w:i/>
          <w:w w:val="105"/>
          <w:sz w:val="25"/>
        </w:rPr>
        <w:t></w:t>
      </w:r>
      <w:r>
        <w:rPr>
          <w:rFonts w:ascii="Times New Roman" w:hAnsi="Times New Roman"/>
          <w:i/>
          <w:w w:val="105"/>
          <w:sz w:val="25"/>
        </w:rPr>
        <w:t> </w:t>
      </w:r>
      <w:r>
        <w:rPr>
          <w:rFonts w:ascii="Symbol" w:hAnsi="Symbol"/>
          <w:w w:val="105"/>
          <w:sz w:val="23"/>
        </w:rPr>
        <w:t></w:t>
      </w:r>
      <w:r>
        <w:rPr>
          <w:rFonts w:ascii="Times New Roman" w:hAnsi="Times New Roman"/>
          <w:w w:val="105"/>
          <w:sz w:val="23"/>
        </w:rPr>
        <w:t> </w:t>
      </w:r>
      <w:r>
        <w:rPr>
          <w:rFonts w:ascii="Symbol" w:hAnsi="Symbol"/>
          <w:i/>
          <w:w w:val="105"/>
          <w:sz w:val="25"/>
        </w:rPr>
        <w:t></w:t>
      </w:r>
      <w:r>
        <w:rPr>
          <w:rFonts w:ascii="Times New Roman" w:hAnsi="Times New Roman"/>
          <w:i/>
          <w:w w:val="105"/>
          <w:sz w:val="25"/>
        </w:rPr>
        <w:t> </w:t>
      </w:r>
      <w:r>
        <w:rPr>
          <w:rFonts w:ascii="Symbol" w:hAnsi="Symbol"/>
          <w:w w:val="105"/>
          <w:sz w:val="31"/>
        </w:rPr>
        <w:t></w:t>
      </w:r>
      <w:r>
        <w:rPr>
          <w:rFonts w:ascii="Times New Roman" w:hAnsi="Times New Roman"/>
          <w:w w:val="105"/>
          <w:sz w:val="31"/>
        </w:rPr>
        <w:t> </w:t>
      </w:r>
      <w:r>
        <w:rPr>
          <w:rFonts w:ascii="Symbol" w:hAnsi="Symbol"/>
          <w:w w:val="105"/>
          <w:sz w:val="23"/>
        </w:rPr>
        <w:t></w:t>
      </w:r>
      <w:r>
        <w:rPr>
          <w:rFonts w:ascii="Times New Roman" w:hAnsi="Times New Roman"/>
          <w:w w:val="105"/>
          <w:sz w:val="23"/>
        </w:rPr>
        <w:t> 95%</w:t>
      </w:r>
    </w:p>
    <w:p>
      <w:pPr>
        <w:spacing w:after="0"/>
        <w:jc w:val="left"/>
        <w:rPr>
          <w:rFonts w:ascii="Times New Roman" w:hAnsi="Times New Roman"/>
          <w:sz w:val="23"/>
        </w:rPr>
        <w:sectPr>
          <w:pgSz w:w="12240" w:h="15840"/>
          <w:pgMar w:header="731" w:footer="737" w:top="1180" w:bottom="920" w:left="1560" w:right="1560"/>
        </w:sectPr>
      </w:pPr>
    </w:p>
    <w:p>
      <w:pPr>
        <w:pStyle w:val="BodyText"/>
        <w:spacing w:before="150"/>
        <w:ind w:left="142" w:right="-20"/>
      </w:pPr>
      <w:r>
        <w:rPr/>
        <w:t>Con</w:t>
      </w:r>
    </w:p>
    <w:p>
      <w:pPr>
        <w:spacing w:before="136"/>
        <w:ind w:left="67" w:right="0" w:firstLine="0"/>
        <w:jc w:val="left"/>
        <w:rPr>
          <w:sz w:val="24"/>
        </w:rPr>
      </w:pPr>
      <w:r>
        <w:rPr/>
        <w:br w:type="column"/>
      </w:r>
      <w:r>
        <w:rPr>
          <w:rFonts w:ascii="Symbol" w:hAnsi="Symbol"/>
          <w:i/>
          <w:sz w:val="24"/>
        </w:rPr>
        <w:t></w:t>
      </w:r>
      <w:r>
        <w:rPr>
          <w:rFonts w:ascii="Times New Roman" w:hAnsi="Times New Roman"/>
          <w:i/>
          <w:sz w:val="24"/>
        </w:rPr>
        <w:t> </w:t>
      </w:r>
      <w:r>
        <w:rPr>
          <w:rFonts w:ascii="Symbol" w:hAnsi="Symbol"/>
          <w:sz w:val="23"/>
        </w:rPr>
        <w:t></w:t>
      </w:r>
      <w:r>
        <w:rPr>
          <w:rFonts w:ascii="Times New Roman" w:hAnsi="Times New Roman"/>
          <w:sz w:val="23"/>
        </w:rPr>
        <w:t> 0 </w:t>
      </w:r>
      <w:r>
        <w:rPr>
          <w:sz w:val="24"/>
        </w:rPr>
        <w:t>, VaR diario:</w:t>
      </w:r>
    </w:p>
    <w:p>
      <w:pPr>
        <w:pStyle w:val="BodyText"/>
        <w:rPr>
          <w:sz w:val="28"/>
        </w:rPr>
      </w:pPr>
      <w:r>
        <w:rPr/>
        <w:br w:type="column"/>
      </w:r>
      <w:r>
        <w:rPr>
          <w:sz w:val="28"/>
        </w:rPr>
      </w:r>
    </w:p>
    <w:p>
      <w:pPr>
        <w:pStyle w:val="BodyText"/>
        <w:rPr>
          <w:sz w:val="27"/>
        </w:rPr>
      </w:pPr>
    </w:p>
    <w:p>
      <w:pPr>
        <w:spacing w:before="0"/>
        <w:ind w:left="142" w:right="-14" w:firstLine="0"/>
        <w:jc w:val="left"/>
        <w:rPr>
          <w:rFonts w:ascii="Times New Roman"/>
          <w:i/>
          <w:sz w:val="14"/>
        </w:rPr>
      </w:pPr>
      <w:r>
        <w:rPr>
          <w:rFonts w:ascii="Times New Roman"/>
          <w:i/>
          <w:sz w:val="24"/>
        </w:rPr>
        <w:t>VaR</w:t>
      </w:r>
      <w:r>
        <w:rPr>
          <w:rFonts w:ascii="Times New Roman"/>
          <w:i/>
          <w:position w:val="-5"/>
          <w:sz w:val="14"/>
        </w:rPr>
        <w:t>d</w:t>
      </w:r>
    </w:p>
    <w:p>
      <w:pPr>
        <w:pStyle w:val="BodyText"/>
        <w:spacing w:before="6"/>
        <w:rPr>
          <w:rFonts w:ascii="Times New Roman"/>
          <w:i/>
          <w:sz w:val="46"/>
        </w:rPr>
      </w:pPr>
      <w:r>
        <w:rPr/>
        <w:br w:type="column"/>
      </w:r>
      <w:r>
        <w:rPr>
          <w:rFonts w:ascii="Times New Roman"/>
          <w:i/>
          <w:sz w:val="46"/>
        </w:rPr>
      </w:r>
    </w:p>
    <w:p>
      <w:pPr>
        <w:spacing w:before="0"/>
        <w:ind w:left="67" w:right="0" w:firstLine="0"/>
        <w:jc w:val="left"/>
        <w:rPr>
          <w:rFonts w:ascii="Times New Roman" w:hAnsi="Times New Roman"/>
          <w:i/>
          <w:sz w:val="24"/>
        </w:rPr>
      </w:pPr>
      <w:r>
        <w:rPr>
          <w:rFonts w:ascii="Symbol" w:hAnsi="Symbol"/>
          <w:w w:val="103"/>
          <w:sz w:val="24"/>
        </w:rPr>
        <w:t></w:t>
      </w:r>
      <w:r>
        <w:rPr>
          <w:rFonts w:ascii="Times New Roman" w:hAnsi="Times New Roman"/>
          <w:spacing w:val="-7"/>
          <w:sz w:val="24"/>
        </w:rPr>
        <w:t> </w:t>
      </w:r>
      <w:r>
        <w:rPr>
          <w:rFonts w:ascii="Symbol" w:hAnsi="Symbol"/>
          <w:spacing w:val="-3"/>
          <w:w w:val="76"/>
          <w:sz w:val="32"/>
        </w:rPr>
        <w:t></w:t>
      </w:r>
      <w:r>
        <w:rPr>
          <w:rFonts w:ascii="Symbol" w:hAnsi="Symbol"/>
          <w:i/>
          <w:spacing w:val="15"/>
          <w:w w:val="99"/>
          <w:sz w:val="25"/>
        </w:rPr>
        <w:t></w:t>
      </w:r>
      <w:r>
        <w:rPr>
          <w:rFonts w:ascii="Times New Roman" w:hAnsi="Times New Roman"/>
          <w:i/>
          <w:w w:val="103"/>
          <w:position w:val="-5"/>
          <w:sz w:val="14"/>
        </w:rPr>
        <w:t>s</w:t>
      </w:r>
      <w:r>
        <w:rPr>
          <w:rFonts w:ascii="Times New Roman" w:hAnsi="Times New Roman"/>
          <w:i/>
          <w:position w:val="-5"/>
          <w:sz w:val="14"/>
        </w:rPr>
        <w:t> </w:t>
      </w:r>
      <w:r>
        <w:rPr>
          <w:rFonts w:ascii="Times New Roman" w:hAnsi="Times New Roman"/>
          <w:i/>
          <w:spacing w:val="12"/>
          <w:position w:val="-5"/>
          <w:sz w:val="14"/>
        </w:rPr>
        <w:t> </w:t>
      </w:r>
      <w:r>
        <w:rPr>
          <w:rFonts w:ascii="Symbol" w:hAnsi="Symbol"/>
          <w:w w:val="103"/>
          <w:sz w:val="24"/>
        </w:rPr>
        <w:t></w:t>
      </w:r>
      <w:r>
        <w:rPr>
          <w:rFonts w:ascii="Times New Roman" w:hAnsi="Times New Roman"/>
          <w:spacing w:val="-32"/>
          <w:sz w:val="24"/>
        </w:rPr>
        <w:t> </w:t>
      </w:r>
      <w:r>
        <w:rPr>
          <w:rFonts w:ascii="Symbol" w:hAnsi="Symbol"/>
          <w:i/>
          <w:spacing w:val="-5"/>
          <w:w w:val="104"/>
          <w:sz w:val="25"/>
        </w:rPr>
        <w:t></w:t>
      </w:r>
      <w:r>
        <w:rPr>
          <w:rFonts w:ascii="Symbol" w:hAnsi="Symbol"/>
          <w:i/>
          <w:w w:val="104"/>
          <w:sz w:val="25"/>
        </w:rPr>
        <w:t></w:t>
      </w:r>
      <w:r>
        <w:rPr>
          <w:rFonts w:ascii="Times New Roman" w:hAnsi="Times New Roman"/>
          <w:spacing w:val="-28"/>
          <w:sz w:val="25"/>
        </w:rPr>
        <w:t> </w:t>
      </w:r>
      <w:r>
        <w:rPr>
          <w:rFonts w:ascii="Times New Roman" w:hAnsi="Times New Roman"/>
          <w:i/>
          <w:w w:val="103"/>
          <w:position w:val="-5"/>
          <w:sz w:val="14"/>
        </w:rPr>
        <w:t>s</w:t>
      </w:r>
      <w:r>
        <w:rPr>
          <w:rFonts w:ascii="Times New Roman" w:hAnsi="Times New Roman"/>
          <w:i/>
          <w:spacing w:val="10"/>
          <w:position w:val="-5"/>
          <w:sz w:val="14"/>
        </w:rPr>
        <w:t> </w:t>
      </w:r>
      <w:r>
        <w:rPr>
          <w:rFonts w:ascii="Symbol" w:hAnsi="Symbol"/>
          <w:spacing w:val="14"/>
          <w:w w:val="76"/>
          <w:sz w:val="32"/>
        </w:rPr>
        <w:t></w:t>
      </w:r>
      <w:r>
        <w:rPr>
          <w:rFonts w:ascii="Symbol" w:hAnsi="Symbol"/>
          <w:w w:val="103"/>
          <w:sz w:val="24"/>
        </w:rPr>
        <w:t></w:t>
      </w:r>
      <w:r>
        <w:rPr>
          <w:rFonts w:ascii="Times New Roman" w:hAnsi="Times New Roman"/>
          <w:spacing w:val="-23"/>
          <w:sz w:val="24"/>
        </w:rPr>
        <w:t> </w:t>
      </w:r>
      <w:r>
        <w:rPr>
          <w:rFonts w:ascii="Times New Roman" w:hAnsi="Times New Roman"/>
          <w:i/>
          <w:spacing w:val="11"/>
          <w:w w:val="103"/>
          <w:sz w:val="24"/>
        </w:rPr>
        <w:t>S</w:t>
      </w:r>
      <w:r>
        <w:rPr>
          <w:rFonts w:ascii="Times New Roman" w:hAnsi="Times New Roman"/>
          <w:w w:val="103"/>
          <w:position w:val="-5"/>
          <w:sz w:val="14"/>
        </w:rPr>
        <w:t>0</w:t>
      </w:r>
      <w:r>
        <w:rPr>
          <w:rFonts w:ascii="Times New Roman" w:hAnsi="Times New Roman"/>
          <w:position w:val="-5"/>
          <w:sz w:val="14"/>
        </w:rPr>
        <w:t> </w:t>
      </w:r>
      <w:r>
        <w:rPr>
          <w:rFonts w:ascii="Times New Roman" w:hAnsi="Times New Roman"/>
          <w:spacing w:val="-5"/>
          <w:position w:val="-5"/>
          <w:sz w:val="14"/>
        </w:rPr>
        <w:t> </w:t>
      </w:r>
      <w:r>
        <w:rPr>
          <w:rFonts w:ascii="Symbol" w:hAnsi="Symbol"/>
          <w:w w:val="103"/>
          <w:sz w:val="24"/>
        </w:rPr>
        <w:t></w:t>
      </w:r>
      <w:r>
        <w:rPr>
          <w:rFonts w:ascii="Times New Roman" w:hAnsi="Times New Roman"/>
          <w:spacing w:val="-23"/>
          <w:sz w:val="24"/>
        </w:rPr>
        <w:t> </w:t>
      </w:r>
      <w:r>
        <w:rPr>
          <w:rFonts w:ascii="Times New Roman" w:hAnsi="Times New Roman"/>
          <w:i/>
          <w:spacing w:val="-10"/>
          <w:w w:val="103"/>
          <w:sz w:val="24"/>
        </w:rPr>
        <w:t>Md</w:t>
      </w:r>
    </w:p>
    <w:p>
      <w:pPr>
        <w:spacing w:after="0"/>
        <w:jc w:val="left"/>
        <w:rPr>
          <w:rFonts w:ascii="Times New Roman" w:hAnsi="Times New Roman"/>
          <w:sz w:val="24"/>
        </w:rPr>
        <w:sectPr>
          <w:type w:val="continuous"/>
          <w:pgSz w:w="12240" w:h="15840"/>
          <w:pgMar w:top="720" w:bottom="280" w:left="1560" w:right="1560"/>
          <w:cols w:num="4" w:equalWidth="0">
            <w:col w:w="583" w:space="40"/>
            <w:col w:w="1974" w:space="402"/>
            <w:col w:w="632" w:space="40"/>
            <w:col w:w="5449"/>
          </w:cols>
        </w:sectPr>
      </w:pPr>
    </w:p>
    <w:p>
      <w:pPr>
        <w:pStyle w:val="BodyText"/>
        <w:spacing w:before="8"/>
        <w:rPr>
          <w:rFonts w:ascii="Times New Roman"/>
          <w:i/>
          <w:sz w:val="16"/>
        </w:rPr>
      </w:pPr>
    </w:p>
    <w:p>
      <w:pPr>
        <w:spacing w:after="0"/>
        <w:rPr>
          <w:rFonts w:ascii="Times New Roman"/>
          <w:sz w:val="16"/>
        </w:rPr>
        <w:sectPr>
          <w:type w:val="continuous"/>
          <w:pgSz w:w="12240" w:h="15840"/>
          <w:pgMar w:top="720" w:bottom="280" w:left="1560" w:right="1560"/>
        </w:sectPr>
      </w:pPr>
    </w:p>
    <w:p>
      <w:pPr>
        <w:spacing w:before="74"/>
        <w:ind w:left="142" w:right="0" w:firstLine="0"/>
        <w:jc w:val="left"/>
        <w:rPr>
          <w:sz w:val="20"/>
        </w:rPr>
      </w:pPr>
      <w:r>
        <w:rPr>
          <w:w w:val="95"/>
          <w:sz w:val="20"/>
        </w:rPr>
        <w:t>Donde:</w:t>
      </w:r>
    </w:p>
    <w:p>
      <w:pPr>
        <w:pStyle w:val="BodyText"/>
        <w:spacing w:before="5"/>
        <w:rPr>
          <w:sz w:val="26"/>
        </w:rPr>
      </w:pPr>
      <w:r>
        <w:rPr/>
        <w:br w:type="column"/>
      </w:r>
      <w:r>
        <w:rPr>
          <w:sz w:val="26"/>
        </w:rPr>
      </w:r>
    </w:p>
    <w:p>
      <w:pPr>
        <w:spacing w:before="0"/>
        <w:ind w:left="24" w:right="0" w:firstLine="0"/>
        <w:jc w:val="left"/>
        <w:rPr>
          <w:sz w:val="20"/>
        </w:rPr>
      </w:pPr>
      <w:r>
        <w:rPr>
          <w:position w:val="1"/>
          <w:sz w:val="20"/>
        </w:rPr>
        <w:t>VaR</w:t>
      </w:r>
      <w:r>
        <w:rPr>
          <w:sz w:val="13"/>
        </w:rPr>
        <w:t>d</w:t>
      </w:r>
      <w:r>
        <w:rPr>
          <w:position w:val="1"/>
          <w:sz w:val="20"/>
        </w:rPr>
        <w:t>: Valor en riego diario</w:t>
      </w:r>
    </w:p>
    <w:p>
      <w:pPr>
        <w:spacing w:before="1"/>
        <w:ind w:left="24" w:right="2692" w:firstLine="0"/>
        <w:jc w:val="left"/>
        <w:rPr>
          <w:sz w:val="20"/>
        </w:rPr>
      </w:pPr>
      <w:r>
        <w:rPr>
          <w:sz w:val="20"/>
        </w:rPr>
        <w:t>±: Signo negativo para la posición larga y positivo para la corta </w:t>
      </w:r>
      <w:r>
        <w:rPr>
          <w:position w:val="1"/>
          <w:sz w:val="20"/>
        </w:rPr>
        <w:t>S</w:t>
      </w:r>
      <w:r>
        <w:rPr>
          <w:sz w:val="13"/>
        </w:rPr>
        <w:t>0</w:t>
      </w:r>
      <w:r>
        <w:rPr>
          <w:position w:val="1"/>
          <w:sz w:val="20"/>
        </w:rPr>
        <w:t>: Tipo de cambio</w:t>
      </w:r>
    </w:p>
    <w:p>
      <w:pPr>
        <w:spacing w:before="1"/>
        <w:ind w:left="24" w:right="0" w:firstLine="0"/>
        <w:jc w:val="left"/>
        <w:rPr>
          <w:sz w:val="20"/>
        </w:rPr>
      </w:pPr>
      <w:r>
        <w:rPr>
          <w:sz w:val="20"/>
        </w:rPr>
        <w:t>Md: Tamaño de la posición</w:t>
      </w:r>
    </w:p>
    <w:p>
      <w:pPr>
        <w:spacing w:after="0"/>
        <w:jc w:val="left"/>
        <w:rPr>
          <w:sz w:val="20"/>
        </w:rPr>
        <w:sectPr>
          <w:type w:val="continuous"/>
          <w:pgSz w:w="12240" w:h="15840"/>
          <w:pgMar w:top="720" w:bottom="280" w:left="1560" w:right="1560"/>
          <w:cols w:num="2" w:equalWidth="0">
            <w:col w:w="786" w:space="40"/>
            <w:col w:w="8294"/>
          </w:cols>
        </w:sectPr>
      </w:pPr>
    </w:p>
    <w:p>
      <w:pPr>
        <w:pStyle w:val="BodyText"/>
        <w:spacing w:before="116"/>
        <w:ind w:left="142" w:right="-19"/>
      </w:pPr>
      <w:r>
        <w:rPr/>
        <w:t>VaR a </w:t>
      </w:r>
      <w:r>
        <w:rPr>
          <w:i/>
        </w:rPr>
        <w:t>n </w:t>
      </w:r>
      <w:r>
        <w:rPr/>
        <w:t>días:</w:t>
      </w:r>
    </w:p>
    <w:p>
      <w:pPr>
        <w:pStyle w:val="BodyText"/>
        <w:spacing w:before="11"/>
        <w:rPr>
          <w:sz w:val="35"/>
        </w:rPr>
      </w:pPr>
      <w:r>
        <w:rPr/>
        <w:br w:type="column"/>
      </w:r>
      <w:r>
        <w:rPr>
          <w:sz w:val="35"/>
        </w:rPr>
      </w:r>
    </w:p>
    <w:p>
      <w:pPr>
        <w:spacing w:before="0"/>
        <w:ind w:left="142" w:right="76" w:firstLine="0"/>
        <w:jc w:val="left"/>
        <w:rPr>
          <w:rFonts w:ascii="Symbol" w:hAnsi="Symbol"/>
          <w:sz w:val="24"/>
        </w:rPr>
      </w:pPr>
      <w:r>
        <w:rPr>
          <w:rFonts w:ascii="Times New Roman" w:hAnsi="Times New Roman"/>
          <w:i/>
          <w:spacing w:val="-4"/>
          <w:w w:val="99"/>
          <w:sz w:val="24"/>
        </w:rPr>
        <w:t>V</w:t>
      </w:r>
      <w:r>
        <w:rPr>
          <w:rFonts w:ascii="Times New Roman" w:hAnsi="Times New Roman"/>
          <w:i/>
          <w:w w:val="99"/>
          <w:sz w:val="24"/>
        </w:rPr>
        <w:t>a</w:t>
      </w:r>
      <w:r>
        <w:rPr>
          <w:rFonts w:ascii="Times New Roman" w:hAnsi="Times New Roman"/>
          <w:i/>
          <w:spacing w:val="6"/>
          <w:w w:val="99"/>
          <w:sz w:val="24"/>
        </w:rPr>
        <w:t>R</w:t>
      </w:r>
      <w:r>
        <w:rPr>
          <w:rFonts w:ascii="Times New Roman" w:hAnsi="Times New Roman"/>
          <w:i/>
          <w:w w:val="99"/>
          <w:position w:val="-5"/>
          <w:sz w:val="14"/>
        </w:rPr>
        <w:t>n</w:t>
      </w:r>
      <w:r>
        <w:rPr>
          <w:rFonts w:ascii="Times New Roman" w:hAnsi="Times New Roman"/>
          <w:i/>
          <w:position w:val="-5"/>
          <w:sz w:val="14"/>
        </w:rPr>
        <w:t>  </w:t>
      </w:r>
      <w:r>
        <w:rPr>
          <w:rFonts w:ascii="Times New Roman" w:hAnsi="Times New Roman"/>
          <w:i/>
          <w:spacing w:val="-8"/>
          <w:position w:val="-5"/>
          <w:sz w:val="14"/>
        </w:rPr>
        <w:t> </w:t>
      </w:r>
      <w:r>
        <w:rPr>
          <w:rFonts w:ascii="Symbol" w:hAnsi="Symbol"/>
          <w:w w:val="99"/>
          <w:sz w:val="24"/>
        </w:rPr>
        <w:t></w:t>
      </w:r>
      <w:r>
        <w:rPr>
          <w:rFonts w:ascii="Times New Roman" w:hAnsi="Times New Roman"/>
          <w:sz w:val="24"/>
        </w:rPr>
        <w:t> </w:t>
      </w:r>
      <w:r>
        <w:rPr>
          <w:rFonts w:ascii="Symbol" w:hAnsi="Symbol"/>
          <w:spacing w:val="-14"/>
          <w:w w:val="58"/>
          <w:sz w:val="40"/>
        </w:rPr>
        <w:t></w:t>
      </w:r>
      <w:r>
        <w:rPr>
          <w:rFonts w:ascii="Symbol" w:hAnsi="Symbol"/>
          <w:i/>
          <w:spacing w:val="20"/>
          <w:w w:val="95"/>
          <w:sz w:val="25"/>
        </w:rPr>
        <w:t></w:t>
      </w:r>
      <w:r>
        <w:rPr>
          <w:rFonts w:ascii="Times New Roman" w:hAnsi="Times New Roman"/>
          <w:i/>
          <w:w w:val="99"/>
          <w:position w:val="-5"/>
          <w:sz w:val="14"/>
        </w:rPr>
        <w:t>s</w:t>
      </w:r>
      <w:r>
        <w:rPr>
          <w:rFonts w:ascii="Times New Roman" w:hAnsi="Times New Roman"/>
          <w:i/>
          <w:position w:val="-5"/>
          <w:sz w:val="14"/>
        </w:rPr>
        <w:t> </w:t>
      </w:r>
      <w:r>
        <w:rPr>
          <w:rFonts w:ascii="Times New Roman" w:hAnsi="Times New Roman"/>
          <w:i/>
          <w:spacing w:val="3"/>
          <w:position w:val="-5"/>
          <w:sz w:val="14"/>
        </w:rPr>
        <w:t> </w:t>
      </w:r>
      <w:r>
        <w:rPr>
          <w:rFonts w:ascii="Symbol" w:hAnsi="Symbol"/>
          <w:w w:val="99"/>
          <w:sz w:val="24"/>
        </w:rPr>
        <w:t></w:t>
      </w:r>
      <w:r>
        <w:rPr>
          <w:rFonts w:ascii="Times New Roman" w:hAnsi="Times New Roman"/>
          <w:spacing w:val="-23"/>
          <w:sz w:val="24"/>
        </w:rPr>
        <w:t> </w:t>
      </w:r>
      <w:r>
        <w:rPr>
          <w:rFonts w:ascii="Times New Roman" w:hAnsi="Times New Roman"/>
          <w:i/>
          <w:w w:val="99"/>
          <w:sz w:val="24"/>
        </w:rPr>
        <w:t>n</w:t>
      </w:r>
      <w:r>
        <w:rPr>
          <w:rFonts w:ascii="Times New Roman" w:hAnsi="Times New Roman"/>
          <w:i/>
          <w:spacing w:val="-12"/>
          <w:sz w:val="24"/>
        </w:rPr>
        <w:t> </w:t>
      </w:r>
      <w:r>
        <w:rPr>
          <w:rFonts w:ascii="Symbol" w:hAnsi="Symbol"/>
          <w:w w:val="99"/>
          <w:sz w:val="24"/>
        </w:rPr>
        <w:t></w:t>
      </w:r>
      <w:r>
        <w:rPr>
          <w:rFonts w:ascii="Times New Roman" w:hAnsi="Times New Roman"/>
          <w:spacing w:val="-27"/>
          <w:sz w:val="24"/>
        </w:rPr>
        <w:t> </w:t>
      </w:r>
      <w:r>
        <w:rPr>
          <w:rFonts w:ascii="Symbol" w:hAnsi="Symbol"/>
          <w:i/>
          <w:spacing w:val="1"/>
          <w:w w:val="100"/>
          <w:sz w:val="25"/>
        </w:rPr>
        <w:t></w:t>
      </w:r>
      <w:r>
        <w:rPr>
          <w:rFonts w:ascii="Symbol" w:hAnsi="Symbol"/>
          <w:i/>
          <w:w w:val="100"/>
          <w:sz w:val="25"/>
        </w:rPr>
        <w:t></w:t>
      </w:r>
      <w:r>
        <w:rPr>
          <w:rFonts w:ascii="Times New Roman" w:hAnsi="Times New Roman"/>
          <w:spacing w:val="-24"/>
          <w:sz w:val="25"/>
        </w:rPr>
        <w:t> </w:t>
      </w:r>
      <w:r>
        <w:rPr>
          <w:rFonts w:ascii="Times New Roman" w:hAnsi="Times New Roman"/>
          <w:i/>
          <w:w w:val="99"/>
          <w:position w:val="-5"/>
          <w:sz w:val="14"/>
        </w:rPr>
        <w:t>d</w:t>
      </w:r>
      <w:r>
        <w:rPr>
          <w:rFonts w:ascii="Times New Roman" w:hAnsi="Times New Roman"/>
          <w:i/>
          <w:position w:val="-5"/>
          <w:sz w:val="14"/>
        </w:rPr>
        <w:t> </w:t>
      </w:r>
      <w:r>
        <w:rPr>
          <w:rFonts w:ascii="Times New Roman" w:hAnsi="Times New Roman"/>
          <w:i/>
          <w:spacing w:val="13"/>
          <w:position w:val="-5"/>
          <w:sz w:val="14"/>
        </w:rPr>
        <w:t> </w:t>
      </w:r>
      <w:r>
        <w:rPr>
          <w:rFonts w:ascii="Symbol" w:hAnsi="Symbol"/>
          <w:sz w:val="24"/>
        </w:rPr>
        <w:t></w:t>
      </w:r>
    </w:p>
    <w:p>
      <w:pPr>
        <w:pStyle w:val="BodyText"/>
        <w:spacing w:before="9"/>
        <w:rPr>
          <w:rFonts w:ascii="Symbol" w:hAnsi="Symbol"/>
          <w:sz w:val="33"/>
        </w:rPr>
      </w:pPr>
      <w:r>
        <w:rPr/>
        <w:br w:type="column"/>
      </w:r>
      <w:r>
        <w:rPr>
          <w:rFonts w:ascii="Symbol" w:hAnsi="Symbol"/>
          <w:sz w:val="33"/>
        </w:rPr>
      </w:r>
    </w:p>
    <w:p>
      <w:pPr>
        <w:spacing w:before="0"/>
        <w:ind w:left="142" w:right="0" w:firstLine="0"/>
        <w:jc w:val="left"/>
        <w:rPr>
          <w:rFonts w:ascii="Times New Roman" w:hAnsi="Times New Roman"/>
          <w:i/>
          <w:sz w:val="24"/>
        </w:rPr>
      </w:pPr>
      <w:r>
        <w:rPr/>
        <w:pict>
          <v:group style="position:absolute;margin-left:328.751160pt;margin-top:9.030775pt;width:14.7pt;height:13.45pt;mso-position-horizontal-relative:page;mso-position-vertical-relative:paragraph;z-index:3280" coordorigin="6575,181" coordsize="294,269">
            <v:line style="position:absolute" from="6577,351" to="6612,333" stroked="true" strokeweight=".140616pt" strokecolor="#000000"/>
            <v:line style="position:absolute" from="6607,328" to="6661,425" stroked="true" strokeweight=".139972pt" strokecolor="#000000"/>
            <v:shape style="position:absolute;left:2381;top:5921;width:202;height:248" coordorigin="2381,5921" coordsize="202,248" path="m6666,431l6720,183m6720,182l6867,182e" filled="false" stroked="true" strokeweight=".140274pt" strokecolor="#000000">
              <v:path arrowok="t"/>
            </v:shape>
            <v:shape style="position:absolute;left:6575;top:181;width:294;height:269" type="#_x0000_t202" filled="false" stroked="false">
              <v:textbox inset="0,0,0,0">
                <w:txbxContent>
                  <w:p>
                    <w:pPr>
                      <w:spacing w:line="269" w:lineRule="exact" w:before="0"/>
                      <w:ind w:left="154" w:right="0" w:firstLine="0"/>
                      <w:jc w:val="left"/>
                      <w:rPr>
                        <w:rFonts w:ascii="Times New Roman"/>
                        <w:i/>
                        <w:sz w:val="24"/>
                      </w:rPr>
                    </w:pPr>
                    <w:r>
                      <w:rPr>
                        <w:rFonts w:ascii="Times New Roman"/>
                        <w:i/>
                        <w:w w:val="99"/>
                        <w:sz w:val="24"/>
                      </w:rPr>
                      <w:t>n</w:t>
                    </w:r>
                  </w:p>
                </w:txbxContent>
              </v:textbox>
              <w10:wrap type="none"/>
            </v:shape>
            <w10:wrap type="none"/>
          </v:group>
        </w:pict>
      </w:r>
      <w:r>
        <w:rPr/>
        <w:pict>
          <v:shape style="position:absolute;margin-left:363.142944pt;margin-top:17.454145pt;width:3.5pt;height:7.05pt;mso-position-horizontal-relative:page;mso-position-vertical-relative:paragraph;z-index:-96640" type="#_x0000_t202" filled="false" stroked="false">
            <v:textbox inset="0,0,0,0">
              <w:txbxContent>
                <w:p>
                  <w:pPr>
                    <w:spacing w:line="141" w:lineRule="exact" w:before="0"/>
                    <w:ind w:left="0" w:right="0" w:firstLine="0"/>
                    <w:jc w:val="left"/>
                    <w:rPr>
                      <w:rFonts w:ascii="Times New Roman"/>
                      <w:sz w:val="14"/>
                    </w:rPr>
                  </w:pPr>
                  <w:r>
                    <w:rPr>
                      <w:rFonts w:ascii="Times New Roman"/>
                      <w:w w:val="99"/>
                      <w:sz w:val="14"/>
                    </w:rPr>
                    <w:t>0</w:t>
                  </w:r>
                </w:p>
              </w:txbxContent>
            </v:textbox>
            <w10:wrap type="none"/>
          </v:shape>
        </w:pict>
      </w:r>
      <w:r>
        <w:rPr>
          <w:rFonts w:ascii="Symbol" w:hAnsi="Symbol"/>
          <w:sz w:val="40"/>
        </w:rPr>
        <w:t></w:t>
      </w:r>
      <w:r>
        <w:rPr>
          <w:rFonts w:ascii="Symbol" w:hAnsi="Symbol"/>
          <w:sz w:val="24"/>
        </w:rPr>
        <w:t></w:t>
      </w:r>
      <w:r>
        <w:rPr>
          <w:rFonts w:ascii="Times New Roman" w:hAnsi="Times New Roman"/>
          <w:sz w:val="24"/>
        </w:rPr>
        <w:t> </w:t>
      </w:r>
      <w:r>
        <w:rPr>
          <w:rFonts w:ascii="Times New Roman" w:hAnsi="Times New Roman"/>
          <w:i/>
          <w:sz w:val="24"/>
        </w:rPr>
        <w:t>S </w:t>
      </w:r>
      <w:r>
        <w:rPr>
          <w:rFonts w:ascii="Symbol" w:hAnsi="Symbol"/>
          <w:sz w:val="24"/>
        </w:rPr>
        <w:t></w:t>
      </w:r>
      <w:r>
        <w:rPr>
          <w:rFonts w:ascii="Times New Roman" w:hAnsi="Times New Roman"/>
          <w:sz w:val="24"/>
        </w:rPr>
        <w:t> </w:t>
      </w:r>
      <w:r>
        <w:rPr>
          <w:rFonts w:ascii="Times New Roman" w:hAnsi="Times New Roman"/>
          <w:i/>
          <w:sz w:val="24"/>
        </w:rPr>
        <w:t>Md</w:t>
      </w:r>
    </w:p>
    <w:p>
      <w:pPr>
        <w:spacing w:after="0"/>
        <w:jc w:val="left"/>
        <w:rPr>
          <w:rFonts w:ascii="Times New Roman" w:hAnsi="Times New Roman"/>
          <w:sz w:val="24"/>
        </w:rPr>
        <w:sectPr>
          <w:type w:val="continuous"/>
          <w:pgSz w:w="12240" w:h="15840"/>
          <w:pgMar w:top="720" w:bottom="280" w:left="1560" w:right="1560"/>
          <w:cols w:num="3" w:equalWidth="0">
            <w:col w:w="1598" w:space="1004"/>
            <w:col w:w="2368" w:space="209"/>
            <w:col w:w="3941"/>
          </w:cols>
        </w:sectPr>
      </w:pPr>
    </w:p>
    <w:p>
      <w:pPr>
        <w:pStyle w:val="BodyText"/>
        <w:spacing w:before="10"/>
        <w:rPr>
          <w:rFonts w:ascii="Times New Roman"/>
          <w:i/>
          <w:sz w:val="17"/>
        </w:rPr>
      </w:pPr>
    </w:p>
    <w:p>
      <w:pPr>
        <w:pStyle w:val="BodyText"/>
        <w:spacing w:line="360" w:lineRule="auto" w:before="70"/>
        <w:ind w:left="850" w:right="2355" w:hanging="708"/>
      </w:pPr>
      <w:r>
        <w:rPr/>
        <w:t>¿Cuál VaR tiene mayor riesgo? Para </w:t>
      </w:r>
      <w:r>
        <w:rPr>
          <w:u w:val="single"/>
        </w:rPr>
        <w:t>comparar </w:t>
      </w:r>
      <w:r>
        <w:rPr/>
        <w:t>(riesgos) VaR: </w:t>
      </w:r>
      <w:r>
        <w:rPr>
          <w:position w:val="1"/>
        </w:rPr>
        <w:t>VaR</w:t>
      </w:r>
      <w:r>
        <w:rPr>
          <w:sz w:val="16"/>
        </w:rPr>
        <w:t>99%  </w:t>
      </w:r>
      <w:r>
        <w:rPr>
          <w:position w:val="1"/>
        </w:rPr>
        <w:t>= $</w:t>
      </w:r>
      <w:r>
        <w:rPr>
          <w:sz w:val="16"/>
        </w:rPr>
        <w:t>1 </w:t>
      </w:r>
      <w:r>
        <w:rPr>
          <w:position w:val="1"/>
        </w:rPr>
        <w:t>con α 2.33% </w:t>
      </w:r>
      <w:r>
        <w:rPr>
          <w:rFonts w:ascii="Symbol" w:hAnsi="Symbol"/>
          <w:position w:val="1"/>
        </w:rPr>
        <w:t></w:t>
      </w:r>
      <w:r>
        <w:rPr>
          <w:rFonts w:ascii="Times New Roman" w:hAnsi="Times New Roman"/>
          <w:position w:val="1"/>
        </w:rPr>
        <w:t> </w:t>
      </w:r>
      <w:r>
        <w:rPr>
          <w:position w:val="1"/>
        </w:rPr>
        <w:t>$</w:t>
      </w:r>
      <w:r>
        <w:rPr>
          <w:sz w:val="16"/>
        </w:rPr>
        <w:t>1 </w:t>
      </w:r>
      <w:r>
        <w:rPr>
          <w:rFonts w:ascii="Symbol" w:hAnsi="Symbol"/>
          <w:position w:val="1"/>
        </w:rPr>
        <w:t></w:t>
      </w:r>
      <w:r>
        <w:rPr>
          <w:rFonts w:ascii="Times New Roman" w:hAnsi="Times New Roman"/>
          <w:position w:val="1"/>
        </w:rPr>
        <w:t> </w:t>
      </w:r>
      <w:r>
        <w:rPr>
          <w:position w:val="1"/>
        </w:rPr>
        <w:t>(1.65 </w:t>
      </w:r>
      <w:r>
        <w:rPr>
          <w:rFonts w:ascii="Symbol" w:hAnsi="Symbol"/>
          <w:position w:val="1"/>
        </w:rPr>
        <w:t></w:t>
      </w:r>
      <w:r>
        <w:rPr>
          <w:rFonts w:ascii="Times New Roman" w:hAnsi="Times New Roman"/>
          <w:position w:val="1"/>
        </w:rPr>
        <w:t> </w:t>
      </w:r>
      <w:r>
        <w:rPr>
          <w:position w:val="1"/>
        </w:rPr>
        <w:t>2.33)</w:t>
      </w:r>
    </w:p>
    <w:p>
      <w:pPr>
        <w:pStyle w:val="BodyText"/>
        <w:ind w:left="850" w:right="786"/>
      </w:pPr>
      <w:r>
        <w:rPr>
          <w:position w:val="1"/>
        </w:rPr>
        <w:t>VaR</w:t>
      </w:r>
      <w:r>
        <w:rPr>
          <w:sz w:val="16"/>
        </w:rPr>
        <w:t>95%  </w:t>
      </w:r>
      <w:r>
        <w:rPr>
          <w:position w:val="1"/>
        </w:rPr>
        <w:t>= $</w:t>
      </w:r>
      <w:r>
        <w:rPr>
          <w:sz w:val="16"/>
        </w:rPr>
        <w:t>2 </w:t>
      </w:r>
      <w:r>
        <w:rPr>
          <w:position w:val="1"/>
        </w:rPr>
        <w:t>con α 1. 65% </w:t>
      </w:r>
      <w:r>
        <w:rPr>
          <w:rFonts w:ascii="Symbol" w:hAnsi="Symbol"/>
          <w:position w:val="1"/>
        </w:rPr>
        <w:t></w:t>
      </w:r>
      <w:r>
        <w:rPr>
          <w:rFonts w:ascii="Times New Roman" w:hAnsi="Times New Roman"/>
          <w:position w:val="1"/>
        </w:rPr>
        <w:t> </w:t>
      </w:r>
      <w:r>
        <w:rPr>
          <w:position w:val="1"/>
        </w:rPr>
        <w:t>$</w:t>
      </w:r>
      <w:r>
        <w:rPr>
          <w:sz w:val="16"/>
        </w:rPr>
        <w:t>2 </w:t>
      </w:r>
      <w:r>
        <w:rPr>
          <w:rFonts w:ascii="Symbol" w:hAnsi="Symbol"/>
          <w:position w:val="1"/>
        </w:rPr>
        <w:t></w:t>
      </w:r>
      <w:r>
        <w:rPr>
          <w:rFonts w:ascii="Times New Roman" w:hAnsi="Times New Roman"/>
          <w:position w:val="1"/>
        </w:rPr>
        <w:t> </w:t>
      </w:r>
      <w:r>
        <w:rPr>
          <w:position w:val="1"/>
        </w:rPr>
        <w:t>(2.33 </w:t>
      </w:r>
      <w:r>
        <w:rPr>
          <w:rFonts w:ascii="Symbol" w:hAnsi="Symbol"/>
          <w:position w:val="1"/>
        </w:rPr>
        <w:t></w:t>
      </w:r>
      <w:r>
        <w:rPr>
          <w:rFonts w:ascii="Times New Roman" w:hAnsi="Times New Roman"/>
          <w:position w:val="1"/>
        </w:rPr>
        <w:t> </w:t>
      </w:r>
      <w:r>
        <w:rPr>
          <w:position w:val="1"/>
        </w:rPr>
        <w:t>1.65)</w:t>
      </w:r>
    </w:p>
    <w:p>
      <w:pPr>
        <w:pStyle w:val="BodyText"/>
        <w:tabs>
          <w:tab w:pos="1274" w:val="left" w:leader="none"/>
        </w:tabs>
        <w:spacing w:before="148"/>
        <w:ind w:left="917" w:right="786"/>
      </w:pPr>
      <w:r>
        <w:rPr>
          <w:rFonts w:ascii="Symbol" w:hAnsi="Symbol"/>
        </w:rPr>
        <w:t></w:t>
      </w:r>
      <w:r>
        <w:rPr>
          <w:rFonts w:ascii="Times New Roman" w:hAnsi="Times New Roman"/>
        </w:rPr>
        <w:tab/>
      </w:r>
      <w:r>
        <w:rPr/>
        <w:t>A) VaR(7d, 95%) =</w:t>
      </w:r>
      <w:r>
        <w:rPr>
          <w:spacing w:val="-8"/>
        </w:rPr>
        <w:t> </w:t>
      </w:r>
      <w:r>
        <w:rPr/>
        <w:t>$200,000</w:t>
      </w:r>
    </w:p>
    <w:p>
      <w:pPr>
        <w:pStyle w:val="BodyText"/>
        <w:tabs>
          <w:tab w:pos="1274" w:val="left" w:leader="none"/>
        </w:tabs>
        <w:spacing w:before="135"/>
        <w:ind w:left="917" w:right="786"/>
      </w:pPr>
      <w:r>
        <w:rPr>
          <w:rFonts w:ascii="Symbol" w:hAnsi="Symbol"/>
        </w:rPr>
        <w:t></w:t>
      </w:r>
      <w:r>
        <w:rPr>
          <w:rFonts w:ascii="Times New Roman" w:hAnsi="Times New Roman"/>
        </w:rPr>
        <w:tab/>
      </w:r>
      <w:r>
        <w:rPr/>
        <w:t>B) VaR(5d, 99%) =</w:t>
      </w:r>
      <w:r>
        <w:rPr>
          <w:spacing w:val="-8"/>
        </w:rPr>
        <w:t> </w:t>
      </w:r>
      <w:r>
        <w:rPr/>
        <w:t>$280,000</w:t>
      </w:r>
    </w:p>
    <w:p>
      <w:pPr>
        <w:spacing w:after="0"/>
        <w:sectPr>
          <w:type w:val="continuous"/>
          <w:pgSz w:w="12240" w:h="15840"/>
          <w:pgMar w:top="720" w:bottom="280" w:left="1560" w:right="1560"/>
        </w:sectPr>
      </w:pPr>
    </w:p>
    <w:p>
      <w:pPr>
        <w:pStyle w:val="BodyText"/>
        <w:rPr>
          <w:sz w:val="20"/>
        </w:rPr>
      </w:pPr>
    </w:p>
    <w:p>
      <w:pPr>
        <w:pStyle w:val="BodyText"/>
        <w:spacing w:before="3"/>
        <w:rPr>
          <w:sz w:val="17"/>
        </w:rPr>
      </w:pPr>
    </w:p>
    <w:p>
      <w:pPr>
        <w:spacing w:after="0"/>
        <w:rPr>
          <w:sz w:val="17"/>
        </w:rPr>
        <w:sectPr>
          <w:pgSz w:w="12240" w:h="15840"/>
          <w:pgMar w:header="731" w:footer="737" w:top="1180" w:bottom="920" w:left="1560" w:right="1560"/>
        </w:sectPr>
      </w:pPr>
    </w:p>
    <w:p>
      <w:pPr>
        <w:pStyle w:val="BodyText"/>
        <w:spacing w:before="56"/>
        <w:ind w:left="142" w:right="-11"/>
      </w:pPr>
      <w:r>
        <w:rPr/>
        <w:t>Entonces A </w:t>
      </w:r>
      <w:r>
        <w:rPr>
          <w:rFonts w:ascii="Symbol" w:hAnsi="Symbol"/>
        </w:rPr>
        <w:t></w:t>
      </w:r>
      <w:r>
        <w:rPr>
          <w:rFonts w:ascii="Times New Roman" w:hAnsi="Times New Roman"/>
        </w:rPr>
        <w:t> </w:t>
      </w:r>
      <w:r>
        <w:rPr/>
        <w:t>B:</w:t>
      </w:r>
    </w:p>
    <w:p>
      <w:pPr>
        <w:pStyle w:val="BodyText"/>
        <w:rPr>
          <w:sz w:val="28"/>
        </w:rPr>
      </w:pPr>
      <w:r>
        <w:rPr/>
        <w:br w:type="column"/>
      </w:r>
      <w:r>
        <w:rPr>
          <w:sz w:val="28"/>
        </w:rPr>
      </w:r>
    </w:p>
    <w:p>
      <w:pPr>
        <w:pStyle w:val="BodyText"/>
        <w:spacing w:before="3"/>
        <w:rPr>
          <w:sz w:val="31"/>
        </w:rPr>
      </w:pPr>
    </w:p>
    <w:p>
      <w:pPr>
        <w:spacing w:before="0"/>
        <w:ind w:left="142" w:right="0" w:firstLine="0"/>
        <w:jc w:val="left"/>
        <w:rPr>
          <w:rFonts w:ascii="Symbol" w:hAnsi="Symbol"/>
          <w:sz w:val="24"/>
        </w:rPr>
      </w:pPr>
      <w:r>
        <w:rPr>
          <w:rFonts w:ascii="Times New Roman" w:hAnsi="Times New Roman"/>
          <w:sz w:val="24"/>
        </w:rPr>
        <w:t>$</w:t>
      </w:r>
      <w:r>
        <w:rPr>
          <w:rFonts w:ascii="Times New Roman" w:hAnsi="Times New Roman"/>
          <w:i/>
          <w:position w:val="-5"/>
          <w:sz w:val="14"/>
        </w:rPr>
        <w:t>A </w:t>
      </w:r>
      <w:r>
        <w:rPr>
          <w:rFonts w:ascii="Symbol" w:hAnsi="Symbol"/>
          <w:sz w:val="24"/>
        </w:rPr>
        <w:t></w:t>
      </w:r>
    </w:p>
    <w:p>
      <w:pPr>
        <w:pStyle w:val="BodyText"/>
        <w:spacing w:before="5"/>
        <w:rPr>
          <w:rFonts w:ascii="Symbol" w:hAnsi="Symbol"/>
          <w:sz w:val="42"/>
        </w:rPr>
      </w:pPr>
      <w:r>
        <w:rPr/>
        <w:br w:type="column"/>
      </w:r>
      <w:r>
        <w:rPr>
          <w:rFonts w:ascii="Symbol" w:hAnsi="Symbol"/>
          <w:sz w:val="42"/>
        </w:rPr>
      </w:r>
    </w:p>
    <w:p>
      <w:pPr>
        <w:pStyle w:val="ListParagraph"/>
        <w:numPr>
          <w:ilvl w:val="0"/>
          <w:numId w:val="14"/>
        </w:numPr>
        <w:tabs>
          <w:tab w:pos="294" w:val="left" w:leader="none"/>
        </w:tabs>
        <w:spacing w:line="397" w:lineRule="exact" w:before="0" w:after="0"/>
        <w:ind w:left="293" w:right="3776" w:hanging="151"/>
        <w:jc w:val="center"/>
        <w:rPr>
          <w:rFonts w:ascii="Times New Roman" w:hAnsi="Times New Roman"/>
          <w:i/>
          <w:sz w:val="14"/>
        </w:rPr>
      </w:pPr>
      <w:r>
        <w:rPr>
          <w:rFonts w:ascii="Symbol" w:hAnsi="Symbol"/>
          <w:i/>
          <w:sz w:val="25"/>
        </w:rPr>
        <w:t></w:t>
      </w:r>
      <w:r>
        <w:rPr>
          <w:rFonts w:ascii="Times New Roman" w:hAnsi="Times New Roman"/>
          <w:i/>
          <w:spacing w:val="-45"/>
          <w:sz w:val="25"/>
        </w:rPr>
        <w:t> </w:t>
      </w:r>
      <w:r>
        <w:rPr>
          <w:rFonts w:ascii="Times New Roman" w:hAnsi="Times New Roman"/>
          <w:i/>
          <w:position w:val="-5"/>
          <w:sz w:val="14"/>
        </w:rPr>
        <w:t>A</w:t>
      </w:r>
    </w:p>
    <w:p>
      <w:pPr>
        <w:pStyle w:val="Heading2"/>
        <w:ind w:right="3737"/>
      </w:pPr>
      <w:r>
        <w:rPr/>
        <w:pict>
          <v:group style="position:absolute;margin-left:293.270294pt;margin-top:-18.355022pt;width:22.35pt;height:32.5pt;mso-position-horizontal-relative:page;mso-position-vertical-relative:paragraph;z-index:3352" coordorigin="5865,-367" coordsize="447,650">
            <v:shape style="position:absolute;left:470;top:12928;width:432;height:94" coordorigin="470,12928" coordsize="432,94" path="m6028,-49l6291,-49m5867,44l5902,26e" filled="false" stroked="true" strokeweight=".138519pt" strokecolor="#000000">
              <v:path arrowok="t"/>
            </v:shape>
            <v:line style="position:absolute" from="5897,21" to="5950,276" stroked="true" strokeweight=".137393pt" strokecolor="#000000"/>
            <v:shape style="position:absolute;left:560;top:12611;width:362;height:649" coordorigin="560,12611" coordsize="362,649" path="m5956,281l6010,-365m6010,-366l6311,-366e" filled="false" stroked="true" strokeweight=".138519pt" strokecolor="#000000">
              <v:path arrowok="t"/>
            </v:shape>
            <v:shape style="position:absolute;left:5866;top:-367;width:447;height:650" type="#_x0000_t202" filled="false" stroked="false">
              <v:textbox inset="0,0,0,0">
                <w:txbxContent>
                  <w:p>
                    <w:pPr>
                      <w:spacing w:line="312" w:lineRule="exact" w:before="0"/>
                      <w:ind w:left="175" w:right="-19" w:firstLine="0"/>
                      <w:jc w:val="left"/>
                      <w:rPr>
                        <w:rFonts w:ascii="Times New Roman"/>
                        <w:i/>
                        <w:sz w:val="14"/>
                      </w:rPr>
                    </w:pPr>
                    <w:r>
                      <w:rPr>
                        <w:rFonts w:ascii="Times New Roman"/>
                        <w:i/>
                        <w:sz w:val="24"/>
                      </w:rPr>
                      <w:t>d</w:t>
                    </w:r>
                    <w:r>
                      <w:rPr>
                        <w:rFonts w:ascii="Times New Roman"/>
                        <w:i/>
                        <w:position w:val="-5"/>
                        <w:sz w:val="14"/>
                      </w:rPr>
                      <w:t>b</w:t>
                    </w:r>
                  </w:p>
                  <w:p>
                    <w:pPr>
                      <w:spacing w:line="313" w:lineRule="exact" w:before="25"/>
                      <w:ind w:left="172" w:right="-19" w:firstLine="0"/>
                      <w:jc w:val="left"/>
                      <w:rPr>
                        <w:rFonts w:ascii="Times New Roman"/>
                        <w:i/>
                        <w:sz w:val="14"/>
                      </w:rPr>
                    </w:pPr>
                    <w:r>
                      <w:rPr>
                        <w:rFonts w:ascii="Times New Roman"/>
                        <w:i/>
                        <w:sz w:val="24"/>
                      </w:rPr>
                      <w:t>d</w:t>
                    </w:r>
                    <w:r>
                      <w:rPr>
                        <w:rFonts w:ascii="Times New Roman"/>
                        <w:i/>
                        <w:position w:val="-5"/>
                        <w:sz w:val="14"/>
                      </w:rPr>
                      <w:t>a</w:t>
                    </w:r>
                  </w:p>
                </w:txbxContent>
              </v:textbox>
              <w10:wrap type="none"/>
            </v:shape>
            <w10:wrap type="none"/>
          </v:group>
        </w:pict>
      </w:r>
      <w:r>
        <w:rPr/>
        <w:pict>
          <v:line style="position:absolute;mso-position-horizontal-relative:page;mso-position-vertical-relative:paragraph;z-index:-96568" from="325.166168pt,-2.465439pt" to="339.855214pt,-2.465439pt" stroked="true" strokeweight=".139749pt" strokecolor="#000000">
            <w10:wrap type="none"/>
          </v:line>
        </w:pict>
      </w:r>
      <w:r>
        <w:rPr>
          <w:w w:val="95"/>
        </w:rPr>
        <w:t></w:t>
      </w:r>
    </w:p>
    <w:p>
      <w:pPr>
        <w:spacing w:after="0"/>
        <w:sectPr>
          <w:type w:val="continuous"/>
          <w:pgSz w:w="12240" w:h="15840"/>
          <w:pgMar w:top="720" w:bottom="280" w:left="1560" w:right="1560"/>
          <w:cols w:num="3" w:equalWidth="0">
            <w:col w:w="1969" w:space="1763"/>
            <w:col w:w="538" w:space="374"/>
            <w:col w:w="4476"/>
          </w:cols>
        </w:sectPr>
      </w:pPr>
    </w:p>
    <w:p>
      <w:pPr>
        <w:spacing w:line="144" w:lineRule="exact" w:before="0"/>
        <w:ind w:left="1177" w:right="0" w:firstLine="0"/>
        <w:jc w:val="center"/>
        <w:rPr>
          <w:rFonts w:ascii="Times New Roman"/>
          <w:i/>
          <w:sz w:val="14"/>
        </w:rPr>
      </w:pPr>
      <w:r>
        <w:rPr>
          <w:rFonts w:ascii="Times New Roman"/>
          <w:i/>
          <w:w w:val="99"/>
          <w:sz w:val="14"/>
        </w:rPr>
        <w:t>B</w:t>
      </w:r>
    </w:p>
    <w:p>
      <w:pPr>
        <w:pStyle w:val="BodyText"/>
        <w:rPr>
          <w:rFonts w:ascii="Times New Roman"/>
          <w:i/>
          <w:sz w:val="20"/>
        </w:rPr>
      </w:pPr>
    </w:p>
    <w:p>
      <w:pPr>
        <w:pStyle w:val="BodyText"/>
        <w:rPr>
          <w:rFonts w:ascii="Times New Roman"/>
          <w:i/>
          <w:sz w:val="20"/>
        </w:rPr>
      </w:pPr>
    </w:p>
    <w:p>
      <w:pPr>
        <w:pStyle w:val="BodyText"/>
        <w:rPr>
          <w:rFonts w:ascii="Times New Roman"/>
          <w:i/>
          <w:sz w:val="23"/>
        </w:rPr>
      </w:pPr>
    </w:p>
    <w:p>
      <w:pPr>
        <w:spacing w:after="0"/>
        <w:rPr>
          <w:rFonts w:ascii="Times New Roman"/>
          <w:sz w:val="23"/>
        </w:rPr>
        <w:sectPr>
          <w:type w:val="continuous"/>
          <w:pgSz w:w="12240" w:h="15840"/>
          <w:pgMar w:top="720" w:bottom="280" w:left="1560" w:right="1560"/>
        </w:sectPr>
      </w:pPr>
    </w:p>
    <w:p>
      <w:pPr>
        <w:spacing w:before="208"/>
        <w:ind w:left="0" w:right="0" w:firstLine="0"/>
        <w:jc w:val="right"/>
        <w:rPr>
          <w:rFonts w:ascii="Symbol" w:hAnsi="Symbol"/>
          <w:sz w:val="23"/>
        </w:rPr>
      </w:pPr>
      <w:r>
        <w:rPr>
          <w:rFonts w:ascii="Times New Roman" w:hAnsi="Times New Roman"/>
          <w:w w:val="105"/>
          <w:sz w:val="23"/>
        </w:rPr>
        <w:t>200,000 </w:t>
      </w:r>
      <w:r>
        <w:rPr>
          <w:rFonts w:ascii="Symbol" w:hAnsi="Symbol"/>
          <w:w w:val="105"/>
          <w:sz w:val="23"/>
        </w:rPr>
        <w:t></w:t>
      </w:r>
    </w:p>
    <w:p>
      <w:pPr>
        <w:spacing w:line="375" w:lineRule="exact" w:before="75"/>
        <w:ind w:left="372" w:right="0" w:firstLine="0"/>
        <w:jc w:val="left"/>
        <w:rPr>
          <w:rFonts w:ascii="Times New Roman" w:hAnsi="Times New Roman"/>
          <w:sz w:val="23"/>
        </w:rPr>
      </w:pPr>
      <w:r>
        <w:rPr/>
        <w:br w:type="column"/>
      </w:r>
      <w:r>
        <w:rPr>
          <w:rFonts w:ascii="Symbol" w:hAnsi="Symbol"/>
          <w:w w:val="105"/>
          <w:sz w:val="23"/>
        </w:rPr>
        <w:t></w:t>
      </w:r>
      <w:r>
        <w:rPr>
          <w:rFonts w:ascii="Times New Roman" w:hAnsi="Times New Roman"/>
          <w:w w:val="105"/>
          <w:sz w:val="23"/>
        </w:rPr>
        <w:t> </w:t>
      </w:r>
      <w:r>
        <w:rPr>
          <w:rFonts w:ascii="Times New Roman" w:hAnsi="Times New Roman"/>
          <w:w w:val="105"/>
          <w:position w:val="15"/>
          <w:sz w:val="23"/>
        </w:rPr>
        <w:t>2.33 </w:t>
      </w:r>
      <w:r>
        <w:rPr>
          <w:rFonts w:ascii="Symbol" w:hAnsi="Symbol"/>
          <w:w w:val="105"/>
          <w:sz w:val="23"/>
        </w:rPr>
        <w:t></w:t>
      </w:r>
      <w:r>
        <w:rPr>
          <w:rFonts w:ascii="Times New Roman" w:hAnsi="Times New Roman"/>
          <w:w w:val="105"/>
          <w:sz w:val="23"/>
        </w:rPr>
        <w:t> 238,692.05</w:t>
      </w:r>
    </w:p>
    <w:p>
      <w:pPr>
        <w:spacing w:line="224" w:lineRule="exact" w:before="0"/>
        <w:ind w:left="535" w:right="0" w:firstLine="0"/>
        <w:jc w:val="left"/>
        <w:rPr>
          <w:rFonts w:ascii="Times New Roman"/>
          <w:sz w:val="23"/>
        </w:rPr>
      </w:pPr>
      <w:r>
        <w:rPr/>
        <w:pict>
          <v:group style="position:absolute;margin-left:272.66217pt;margin-top:-18.854988pt;width:16.55pt;height:29.95pt;mso-position-horizontal-relative:page;mso-position-vertical-relative:paragraph;z-index:3424" coordorigin="5453,-377" coordsize="331,599">
            <v:shape style="position:absolute;left:1017;top:11523;width:309;height:59" coordorigin="1017,11523" coordsize="309,59" path="m5617,-64l5762,-64m5455,-8l5489,-25e" filled="false" stroked="true" strokeweight=".137869pt" strokecolor="#000000">
              <v:path arrowok="t"/>
            </v:shape>
            <v:line style="position:absolute" from="5485,-30" to="5539,197" stroked="true" strokeweight=".139321pt" strokecolor="#000000"/>
            <v:shape style="position:absolute;left:1107;top:11203;width:240;height:595" coordorigin="1107,11203" coordsize="240,595" path="m5544,203l5599,-375m5599,-376l5783,-376e" filled="false" stroked="true" strokeweight=".137869pt" strokecolor="#000000">
              <v:path arrowok="t"/>
            </v:shape>
            <v:shape style="position:absolute;left:5453;top:-377;width:331;height:598" type="#_x0000_t202" filled="false" stroked="false">
              <v:textbox inset="0,0,0,0">
                <w:txbxContent>
                  <w:p>
                    <w:pPr>
                      <w:spacing w:before="2"/>
                      <w:ind w:left="172" w:right="0" w:firstLine="0"/>
                      <w:jc w:val="left"/>
                      <w:rPr>
                        <w:rFonts w:ascii="Times New Roman"/>
                        <w:sz w:val="23"/>
                      </w:rPr>
                    </w:pPr>
                    <w:r>
                      <w:rPr>
                        <w:rFonts w:ascii="Times New Roman"/>
                        <w:w w:val="105"/>
                        <w:sz w:val="23"/>
                      </w:rPr>
                      <w:t>5</w:t>
                    </w:r>
                  </w:p>
                  <w:p>
                    <w:pPr>
                      <w:spacing w:line="261" w:lineRule="exact" w:before="70"/>
                      <w:ind w:left="170" w:right="0" w:firstLine="0"/>
                      <w:jc w:val="left"/>
                      <w:rPr>
                        <w:rFonts w:ascii="Times New Roman"/>
                        <w:sz w:val="23"/>
                      </w:rPr>
                    </w:pPr>
                    <w:r>
                      <w:rPr>
                        <w:rFonts w:ascii="Times New Roman"/>
                        <w:w w:val="105"/>
                        <w:sz w:val="23"/>
                      </w:rPr>
                      <w:t>7</w:t>
                    </w:r>
                  </w:p>
                </w:txbxContent>
              </v:textbox>
              <w10:wrap type="none"/>
            </v:shape>
            <w10:wrap type="none"/>
          </v:group>
        </w:pict>
      </w:r>
      <w:r>
        <w:rPr/>
        <w:pict>
          <v:line style="position:absolute;mso-position-horizontal-relative:page;mso-position-vertical-relative:paragraph;z-index:-96496" from="299.439758pt,-3.216675pt" to="321.282089pt,-3.216675pt" stroked="true" strokeweight=".136247pt" strokecolor="#000000">
            <w10:wrap type="none"/>
          </v:line>
        </w:pict>
      </w:r>
      <w:r>
        <w:rPr>
          <w:rFonts w:ascii="Times New Roman"/>
          <w:w w:val="105"/>
          <w:sz w:val="23"/>
        </w:rPr>
        <w:t>1.65</w:t>
      </w:r>
    </w:p>
    <w:p>
      <w:pPr>
        <w:spacing w:after="0" w:line="224" w:lineRule="exact"/>
        <w:jc w:val="left"/>
        <w:rPr>
          <w:rFonts w:ascii="Times New Roman"/>
          <w:sz w:val="23"/>
        </w:rPr>
        <w:sectPr>
          <w:type w:val="continuous"/>
          <w:pgSz w:w="12240" w:h="15840"/>
          <w:pgMar w:top="720" w:bottom="280" w:left="1560" w:right="1560"/>
          <w:cols w:num="2" w:equalWidth="0">
            <w:col w:w="3849" w:space="40"/>
            <w:col w:w="5231"/>
          </w:cols>
        </w:sectPr>
      </w:pPr>
    </w:p>
    <w:p>
      <w:pPr>
        <w:pStyle w:val="BodyText"/>
        <w:spacing w:before="9"/>
        <w:rPr>
          <w:rFonts w:ascii="Times New Roman"/>
          <w:sz w:val="16"/>
        </w:rPr>
      </w:pPr>
    </w:p>
    <w:p>
      <w:pPr>
        <w:pStyle w:val="BodyText"/>
        <w:spacing w:before="56"/>
        <w:ind w:left="142" w:right="786"/>
      </w:pPr>
      <w:r>
        <w:rPr>
          <w:position w:val="2"/>
        </w:rPr>
        <w:t>Suponiendo la volatilidad anualizada (</w:t>
      </w:r>
      <w:r>
        <w:rPr>
          <w:rFonts w:ascii="Symbol" w:hAnsi="Symbol"/>
          <w:i/>
          <w:position w:val="2"/>
          <w:sz w:val="25"/>
        </w:rPr>
        <w:t></w:t>
      </w:r>
      <w:r>
        <w:rPr>
          <w:i/>
          <w:sz w:val="16"/>
        </w:rPr>
        <w:t>a</w:t>
      </w:r>
      <w:r>
        <w:rPr>
          <w:position w:val="2"/>
        </w:rPr>
        <w:t>):</w:t>
      </w:r>
    </w:p>
    <w:p>
      <w:pPr>
        <w:pStyle w:val="BodyText"/>
        <w:spacing w:before="1"/>
        <w:rPr>
          <w:sz w:val="17"/>
        </w:rPr>
      </w:pPr>
    </w:p>
    <w:p>
      <w:pPr>
        <w:spacing w:after="0"/>
        <w:rPr>
          <w:sz w:val="17"/>
        </w:rPr>
        <w:sectPr>
          <w:type w:val="continuous"/>
          <w:pgSz w:w="12240" w:h="15840"/>
          <w:pgMar w:top="720" w:bottom="280" w:left="1560" w:right="1560"/>
        </w:sectPr>
      </w:pPr>
    </w:p>
    <w:p>
      <w:pPr>
        <w:pStyle w:val="BodyText"/>
        <w:spacing w:before="69"/>
        <w:ind w:left="142" w:right="-13"/>
      </w:pPr>
      <w:r>
        <w:rPr/>
        <w:t>VaR (1%, 1d) =</w:t>
      </w:r>
      <w:r>
        <w:rPr>
          <w:spacing w:val="-9"/>
        </w:rPr>
        <w:t> </w:t>
      </w:r>
      <w:r>
        <w:rPr/>
        <w:t>$60,000</w:t>
      </w:r>
    </w:p>
    <w:p>
      <w:pPr>
        <w:pStyle w:val="BodyText"/>
        <w:spacing w:before="5"/>
        <w:rPr>
          <w:sz w:val="41"/>
        </w:rPr>
      </w:pPr>
      <w:r>
        <w:rPr/>
        <w:br w:type="column"/>
      </w:r>
      <w:r>
        <w:rPr>
          <w:sz w:val="41"/>
        </w:rPr>
      </w:r>
    </w:p>
    <w:p>
      <w:pPr>
        <w:spacing w:before="0"/>
        <w:ind w:left="142" w:right="0" w:firstLine="0"/>
        <w:jc w:val="left"/>
        <w:rPr>
          <w:rFonts w:ascii="Times New Roman" w:hAnsi="Times New Roman"/>
          <w:i/>
          <w:sz w:val="24"/>
        </w:rPr>
      </w:pPr>
      <w:r>
        <w:rPr>
          <w:rFonts w:ascii="Times New Roman" w:hAnsi="Times New Roman"/>
          <w:i/>
          <w:w w:val="105"/>
          <w:sz w:val="24"/>
        </w:rPr>
        <w:t>VaR </w:t>
      </w:r>
      <w:r>
        <w:rPr>
          <w:rFonts w:ascii="Symbol" w:hAnsi="Symbol"/>
          <w:w w:val="105"/>
          <w:sz w:val="24"/>
        </w:rPr>
        <w:t></w:t>
      </w:r>
      <w:r>
        <w:rPr>
          <w:rFonts w:ascii="Times New Roman" w:hAnsi="Times New Roman"/>
          <w:w w:val="105"/>
          <w:sz w:val="24"/>
        </w:rPr>
        <w:t> </w:t>
      </w:r>
      <w:r>
        <w:rPr>
          <w:rFonts w:ascii="Symbol" w:hAnsi="Symbol"/>
          <w:i/>
          <w:w w:val="105"/>
          <w:sz w:val="25"/>
        </w:rPr>
        <w:t></w:t>
      </w:r>
      <w:r>
        <w:rPr>
          <w:rFonts w:ascii="Times New Roman" w:hAnsi="Times New Roman"/>
          <w:i/>
          <w:w w:val="105"/>
          <w:position w:val="-5"/>
          <w:sz w:val="14"/>
        </w:rPr>
        <w:t>a </w:t>
      </w:r>
      <w:r>
        <w:rPr>
          <w:rFonts w:ascii="Symbol" w:hAnsi="Symbol"/>
          <w:w w:val="105"/>
          <w:sz w:val="24"/>
        </w:rPr>
        <w:t></w:t>
      </w:r>
      <w:r>
        <w:rPr>
          <w:rFonts w:ascii="Times New Roman" w:hAnsi="Times New Roman"/>
          <w:w w:val="105"/>
          <w:sz w:val="24"/>
        </w:rPr>
        <w:t> </w:t>
      </w:r>
      <w:r>
        <w:rPr>
          <w:rFonts w:ascii="Symbol" w:hAnsi="Symbol"/>
          <w:i/>
          <w:w w:val="105"/>
          <w:sz w:val="25"/>
        </w:rPr>
        <w:t></w:t>
      </w:r>
      <w:r>
        <w:rPr>
          <w:rFonts w:ascii="Times New Roman" w:hAnsi="Times New Roman"/>
          <w:i/>
          <w:w w:val="105"/>
          <w:sz w:val="25"/>
        </w:rPr>
        <w:t> </w:t>
      </w:r>
      <w:r>
        <w:rPr>
          <w:rFonts w:ascii="Times New Roman" w:hAnsi="Times New Roman"/>
          <w:i/>
          <w:w w:val="105"/>
          <w:position w:val="-5"/>
          <w:sz w:val="14"/>
        </w:rPr>
        <w:t>d  </w:t>
      </w:r>
      <w:r>
        <w:rPr>
          <w:rFonts w:ascii="Symbol" w:hAnsi="Symbol"/>
          <w:w w:val="105"/>
          <w:sz w:val="24"/>
        </w:rPr>
        <w:t></w:t>
      </w:r>
      <w:r>
        <w:rPr>
          <w:rFonts w:ascii="Times New Roman" w:hAnsi="Times New Roman"/>
          <w:w w:val="105"/>
          <w:sz w:val="24"/>
        </w:rPr>
        <w:t> </w:t>
      </w:r>
      <w:r>
        <w:rPr>
          <w:rFonts w:ascii="Times New Roman" w:hAnsi="Times New Roman"/>
          <w:i/>
          <w:w w:val="105"/>
          <w:sz w:val="24"/>
        </w:rPr>
        <w:t>S</w:t>
      </w:r>
      <w:r>
        <w:rPr>
          <w:rFonts w:ascii="Times New Roman" w:hAnsi="Times New Roman"/>
          <w:w w:val="105"/>
          <w:position w:val="-5"/>
          <w:sz w:val="14"/>
        </w:rPr>
        <w:t>0 </w:t>
      </w:r>
      <w:r>
        <w:rPr>
          <w:rFonts w:ascii="Symbol" w:hAnsi="Symbol"/>
          <w:w w:val="105"/>
          <w:sz w:val="24"/>
        </w:rPr>
        <w:t></w:t>
      </w:r>
      <w:r>
        <w:rPr>
          <w:rFonts w:ascii="Times New Roman" w:hAnsi="Times New Roman"/>
          <w:w w:val="105"/>
          <w:sz w:val="24"/>
        </w:rPr>
        <w:t> </w:t>
      </w:r>
      <w:r>
        <w:rPr>
          <w:rFonts w:ascii="Times New Roman" w:hAnsi="Times New Roman"/>
          <w:i/>
          <w:w w:val="105"/>
          <w:sz w:val="24"/>
        </w:rPr>
        <w:t>Md</w:t>
      </w:r>
    </w:p>
    <w:p>
      <w:pPr>
        <w:spacing w:after="0"/>
        <w:jc w:val="left"/>
        <w:rPr>
          <w:rFonts w:ascii="Times New Roman" w:hAnsi="Times New Roman"/>
          <w:sz w:val="24"/>
        </w:rPr>
        <w:sectPr>
          <w:type w:val="continuous"/>
          <w:pgSz w:w="12240" w:h="15840"/>
          <w:pgMar w:top="720" w:bottom="280" w:left="1560" w:right="1560"/>
          <w:cols w:num="2" w:equalWidth="0">
            <w:col w:w="2722" w:space="391"/>
            <w:col w:w="6007"/>
          </w:cols>
        </w:sectPr>
      </w:pPr>
    </w:p>
    <w:p>
      <w:pPr>
        <w:pStyle w:val="BodyText"/>
        <w:rPr>
          <w:rFonts w:ascii="Times New Roman"/>
          <w:i/>
          <w:sz w:val="19"/>
        </w:rPr>
      </w:pPr>
    </w:p>
    <w:p>
      <w:pPr>
        <w:spacing w:line="262" w:lineRule="exact" w:before="53"/>
        <w:ind w:left="1368" w:right="786" w:firstLine="0"/>
        <w:jc w:val="left"/>
        <w:rPr>
          <w:rFonts w:ascii="Symbol" w:hAnsi="Symbol"/>
          <w:sz w:val="24"/>
        </w:rPr>
      </w:pPr>
      <w:r>
        <w:rPr>
          <w:rFonts w:ascii="Symbol" w:hAnsi="Symbol"/>
          <w:w w:val="105"/>
          <w:sz w:val="24"/>
        </w:rPr>
        <w:t></w:t>
      </w:r>
      <w:r>
        <w:rPr>
          <w:rFonts w:ascii="Times New Roman" w:hAnsi="Times New Roman"/>
          <w:w w:val="105"/>
          <w:sz w:val="24"/>
        </w:rPr>
        <w:t> </w:t>
      </w:r>
      <w:r>
        <w:rPr>
          <w:rFonts w:ascii="Symbol" w:hAnsi="Symbol"/>
          <w:i/>
          <w:w w:val="105"/>
          <w:position w:val="2"/>
          <w:sz w:val="25"/>
        </w:rPr>
        <w:t></w:t>
      </w:r>
      <w:r>
        <w:rPr>
          <w:rFonts w:ascii="Times New Roman" w:hAnsi="Times New Roman"/>
          <w:i/>
          <w:w w:val="105"/>
          <w:position w:val="2"/>
          <w:sz w:val="25"/>
        </w:rPr>
        <w:t> </w:t>
      </w:r>
      <w:r>
        <w:rPr>
          <w:rFonts w:ascii="Times New Roman" w:hAnsi="Times New Roman"/>
          <w:i/>
          <w:w w:val="105"/>
          <w:position w:val="-3"/>
          <w:sz w:val="14"/>
        </w:rPr>
        <w:t>a </w:t>
      </w:r>
      <w:r>
        <w:rPr>
          <w:rFonts w:ascii="Symbol" w:hAnsi="Symbol"/>
          <w:w w:val="105"/>
          <w:sz w:val="24"/>
        </w:rPr>
        <w:t></w:t>
      </w:r>
    </w:p>
    <w:p>
      <w:pPr>
        <w:pStyle w:val="BodyText"/>
        <w:tabs>
          <w:tab w:pos="1881" w:val="left" w:leader="none"/>
        </w:tabs>
        <w:spacing w:line="145" w:lineRule="exact"/>
        <w:ind w:left="1368" w:right="786"/>
        <w:rPr>
          <w:rFonts w:ascii="Symbol" w:hAnsi="Symbol"/>
        </w:rPr>
      </w:pPr>
      <w:r>
        <w:rPr/>
        <w:pict>
          <v:line style="position:absolute;mso-position-horizontal-relative:page;mso-position-vertical-relative:paragraph;z-index:-96472" from="152.904663pt,4.776806pt" to="170.802689pt,4.776806pt" stroked="true" strokeweight=".137307pt" strokecolor="#000000">
            <w10:wrap type="none"/>
          </v:line>
        </w:pict>
      </w:r>
      <w:r>
        <w:rPr/>
        <w:pict>
          <v:shape style="position:absolute;margin-left:155.867004pt;margin-top:14.836341pt;width:52.95pt;height:13.85pt;mso-position-horizontal-relative:page;mso-position-vertical-relative:paragraph;z-index:-96040" type="#_x0000_t202" filled="false" stroked="false">
            <v:textbox inset="0,0,0,0">
              <w:txbxContent>
                <w:p>
                  <w:pPr>
                    <w:tabs>
                      <w:tab w:pos="438" w:val="left" w:leader="none"/>
                      <w:tab w:pos="989" w:val="left" w:leader="none"/>
                    </w:tabs>
                    <w:spacing w:line="156" w:lineRule="exact" w:before="121"/>
                    <w:ind w:left="0" w:right="0" w:firstLine="0"/>
                    <w:jc w:val="left"/>
                    <w:rPr>
                      <w:rFonts w:ascii="Times New Roman"/>
                      <w:i/>
                      <w:sz w:val="14"/>
                    </w:rPr>
                  </w:pPr>
                  <w:r>
                    <w:rPr>
                      <w:rFonts w:ascii="Times New Roman"/>
                      <w:w w:val="100"/>
                      <w:sz w:val="24"/>
                      <w:u w:val="single"/>
                    </w:rPr>
                    <w:t> </w:t>
                  </w:r>
                  <w:r>
                    <w:rPr>
                      <w:rFonts w:ascii="Times New Roman"/>
                      <w:sz w:val="24"/>
                      <w:u w:val="single"/>
                    </w:rPr>
                    <w:tab/>
                  </w:r>
                  <w:r>
                    <w:rPr>
                      <w:rFonts w:ascii="Times New Roman"/>
                      <w:sz w:val="24"/>
                    </w:rPr>
                    <w:tab/>
                  </w:r>
                  <w:r>
                    <w:rPr>
                      <w:rFonts w:ascii="Times New Roman"/>
                      <w:i/>
                      <w:w w:val="95"/>
                      <w:position w:val="-5"/>
                      <w:sz w:val="14"/>
                    </w:rPr>
                    <w:t>a</w:t>
                  </w:r>
                </w:p>
              </w:txbxContent>
            </v:textbox>
            <w10:wrap type="none"/>
          </v:shape>
        </w:pict>
      </w:r>
      <w:r>
        <w:rPr>
          <w:rFonts w:ascii="Symbol" w:hAnsi="Symbol"/>
        </w:rPr>
        <w:t></w:t>
      </w:r>
      <w:r>
        <w:rPr>
          <w:rFonts w:ascii="Times New Roman" w:hAnsi="Times New Roman"/>
        </w:rPr>
        <w:tab/>
      </w:r>
      <w:r>
        <w:rPr>
          <w:rFonts w:ascii="Symbol" w:hAnsi="Symbol"/>
        </w:rPr>
        <w:t></w:t>
      </w:r>
    </w:p>
    <w:p>
      <w:pPr>
        <w:spacing w:after="0" w:line="145" w:lineRule="exact"/>
        <w:rPr>
          <w:rFonts w:ascii="Symbol" w:hAnsi="Symbol"/>
        </w:rPr>
        <w:sectPr>
          <w:type w:val="continuous"/>
          <w:pgSz w:w="12240" w:h="15840"/>
          <w:pgMar w:top="720" w:bottom="280" w:left="1560" w:right="1560"/>
        </w:sectPr>
      </w:pPr>
    </w:p>
    <w:p>
      <w:pPr>
        <w:spacing w:before="92"/>
        <w:ind w:left="142" w:right="0" w:firstLine="0"/>
        <w:jc w:val="left"/>
        <w:rPr>
          <w:rFonts w:ascii="Times New Roman" w:hAnsi="Times New Roman"/>
          <w:i/>
          <w:sz w:val="14"/>
        </w:rPr>
      </w:pPr>
      <w:r>
        <w:rPr>
          <w:rFonts w:ascii="Times New Roman" w:hAnsi="Times New Roman"/>
          <w:sz w:val="20"/>
        </w:rPr>
        <w:t>Donde:  </w:t>
      </w:r>
      <w:r>
        <w:rPr>
          <w:rFonts w:ascii="Symbol" w:hAnsi="Symbol"/>
          <w:i/>
          <w:sz w:val="25"/>
        </w:rPr>
        <w:t></w:t>
      </w:r>
      <w:r>
        <w:rPr>
          <w:rFonts w:ascii="Times New Roman" w:hAnsi="Times New Roman"/>
          <w:i/>
          <w:sz w:val="25"/>
        </w:rPr>
        <w:t> </w:t>
      </w:r>
      <w:r>
        <w:rPr>
          <w:rFonts w:ascii="Times New Roman" w:hAnsi="Times New Roman"/>
          <w:i/>
          <w:position w:val="-5"/>
          <w:sz w:val="14"/>
        </w:rPr>
        <w:t>d</w:t>
      </w:r>
    </w:p>
    <w:p>
      <w:pPr>
        <w:tabs>
          <w:tab w:pos="1623" w:val="left" w:leader="none"/>
        </w:tabs>
        <w:spacing w:line="359" w:lineRule="exact" w:before="0"/>
        <w:ind w:left="69" w:right="0" w:firstLine="0"/>
        <w:jc w:val="left"/>
        <w:rPr>
          <w:rFonts w:ascii="Times New Roman" w:hAnsi="Times New Roman"/>
          <w:sz w:val="20"/>
        </w:rPr>
      </w:pPr>
      <w:r>
        <w:rPr/>
        <w:br w:type="column"/>
      </w:r>
      <w:r>
        <w:rPr>
          <w:rFonts w:ascii="Symbol" w:hAnsi="Symbol"/>
          <w:sz w:val="24"/>
        </w:rPr>
        <w:t></w:t>
      </w:r>
      <w:r>
        <w:rPr>
          <w:rFonts w:ascii="Times New Roman" w:hAnsi="Times New Roman"/>
          <w:sz w:val="24"/>
        </w:rPr>
        <w:t> </w:t>
      </w:r>
      <w:r>
        <w:rPr>
          <w:rFonts w:ascii="Symbol" w:hAnsi="Symbol"/>
          <w:spacing w:val="4"/>
          <w:position w:val="12"/>
          <w:sz w:val="24"/>
          <w:u w:val="single"/>
        </w:rPr>
        <w:t></w:t>
      </w:r>
      <w:r>
        <w:rPr>
          <w:rFonts w:ascii="Times New Roman" w:hAnsi="Times New Roman"/>
          <w:spacing w:val="4"/>
          <w:position w:val="15"/>
          <w:sz w:val="24"/>
          <w:u w:val="single"/>
        </w:rPr>
        <w:t>100 </w:t>
      </w:r>
      <w:r>
        <w:rPr>
          <w:rFonts w:ascii="Symbol" w:hAnsi="Symbol"/>
          <w:position w:val="12"/>
          <w:sz w:val="24"/>
          <w:u w:val="single"/>
        </w:rPr>
        <w:t></w:t>
      </w:r>
      <w:r>
        <w:rPr>
          <w:rFonts w:ascii="Times New Roman" w:hAnsi="Times New Roman"/>
          <w:spacing w:val="50"/>
          <w:position w:val="12"/>
          <w:sz w:val="24"/>
          <w:u w:val="single"/>
        </w:rPr>
        <w:t> </w:t>
      </w:r>
      <w:r>
        <w:rPr>
          <w:rFonts w:ascii="Times New Roman" w:hAnsi="Times New Roman"/>
          <w:sz w:val="20"/>
        </w:rPr>
        <w:t>(la</w:t>
      </w:r>
      <w:r>
        <w:rPr>
          <w:rFonts w:ascii="Times New Roman" w:hAnsi="Times New Roman"/>
          <w:spacing w:val="19"/>
          <w:sz w:val="20"/>
        </w:rPr>
        <w:t> </w:t>
      </w:r>
      <w:r>
        <w:rPr>
          <w:rFonts w:ascii="Symbol" w:hAnsi="Symbol"/>
          <w:i/>
          <w:sz w:val="25"/>
        </w:rPr>
        <w:t></w:t>
      </w:r>
      <w:r>
        <w:rPr>
          <w:rFonts w:ascii="Times New Roman" w:hAnsi="Times New Roman"/>
          <w:sz w:val="25"/>
        </w:rPr>
        <w:tab/>
      </w:r>
      <w:r>
        <w:rPr>
          <w:rFonts w:ascii="Times New Roman" w:hAnsi="Times New Roman"/>
          <w:sz w:val="20"/>
        </w:rPr>
        <w:t>es en</w:t>
      </w:r>
      <w:r>
        <w:rPr>
          <w:rFonts w:ascii="Times New Roman" w:hAnsi="Times New Roman"/>
          <w:spacing w:val="-10"/>
          <w:sz w:val="20"/>
        </w:rPr>
        <w:t> </w:t>
      </w:r>
      <w:r>
        <w:rPr>
          <w:rFonts w:ascii="Times New Roman" w:hAnsi="Times New Roman"/>
          <w:sz w:val="20"/>
        </w:rPr>
        <w:t>fracciones)</w:t>
      </w:r>
    </w:p>
    <w:p>
      <w:pPr>
        <w:pStyle w:val="BodyText"/>
        <w:spacing w:line="237" w:lineRule="exact"/>
        <w:ind w:left="475"/>
        <w:rPr>
          <w:rFonts w:ascii="Times New Roman"/>
        </w:rPr>
      </w:pPr>
      <w:r>
        <w:rPr/>
        <w:pict>
          <v:group style="position:absolute;margin-left:148.608383pt;margin-top:-1.661186pt;width:7.35pt;height:12.4pt;mso-position-horizontal-relative:page;mso-position-vertical-relative:paragraph;z-index:-96448" coordorigin="2972,-33" coordsize="147,248">
            <v:line style="position:absolute" from="2974,134" to="3009,117" stroked="true" strokeweight=".137625pt" strokecolor="#000000"/>
            <v:line style="position:absolute" from="3004,112" to="3058,208" stroked="true" strokeweight=".138511pt" strokecolor="#000000"/>
            <v:line style="position:absolute" from="3063,213" to="3117,-32" stroked="true" strokeweight=".138816pt" strokecolor="#000000"/>
            <w10:wrap type="none"/>
          </v:group>
        </w:pict>
      </w:r>
      <w:r>
        <w:rPr>
          <w:rFonts w:ascii="Times New Roman"/>
        </w:rPr>
        <w:t>252</w:t>
      </w:r>
    </w:p>
    <w:p>
      <w:pPr>
        <w:spacing w:after="0" w:line="237" w:lineRule="exact"/>
        <w:rPr>
          <w:rFonts w:ascii="Times New Roman"/>
        </w:rPr>
        <w:sectPr>
          <w:type w:val="continuous"/>
          <w:pgSz w:w="12240" w:h="15840"/>
          <w:pgMar w:top="720" w:bottom="280" w:left="1560" w:right="1560"/>
          <w:cols w:num="2" w:equalWidth="0">
            <w:col w:w="1052" w:space="40"/>
            <w:col w:w="8028"/>
          </w:cols>
        </w:sectPr>
      </w:pPr>
    </w:p>
    <w:p>
      <w:pPr>
        <w:pStyle w:val="BodyText"/>
        <w:spacing w:before="8"/>
        <w:rPr>
          <w:rFonts w:ascii="Times New Roman"/>
          <w:sz w:val="16"/>
        </w:rPr>
      </w:pPr>
    </w:p>
    <w:p>
      <w:pPr>
        <w:pStyle w:val="Heading3"/>
        <w:spacing w:before="70"/>
      </w:pPr>
      <w:r>
        <w:rPr/>
        <w:t>VaR de un portafolio</w:t>
      </w:r>
    </w:p>
    <w:p>
      <w:pPr>
        <w:spacing w:before="126"/>
        <w:ind w:left="2180" w:right="786" w:firstLine="0"/>
        <w:jc w:val="left"/>
        <w:rPr>
          <w:rFonts w:ascii="Symbol" w:hAnsi="Symbol"/>
          <w:i/>
          <w:sz w:val="25"/>
        </w:rPr>
      </w:pPr>
      <w:r>
        <w:rPr/>
        <w:pict>
          <v:group style="position:absolute;margin-left:235.547302pt;margin-top:5.741068pt;width:188.55pt;height:17.4pt;mso-position-horizontal-relative:page;mso-position-vertical-relative:paragraph;z-index:3640" coordorigin="4711,115" coordsize="3771,348">
            <v:line style="position:absolute" from="4712,342" to="4747,325" stroked="true" strokeweight=".135574pt" strokecolor="#000000"/>
            <v:line style="position:absolute" from="4742,320" to="4796,455" stroked="true" strokeweight=".139106pt" strokecolor="#000000"/>
            <v:shape style="position:absolute;left:1077;top:7840;width:3682;height:358" coordorigin="1077,7840" coordsize="3682,358" path="m4802,460l4857,117m4857,116l8480,116e" filled="false" stroked="true" strokeweight=".137212pt" strokecolor="#000000">
              <v:path arrowok="t"/>
            </v:shape>
            <v:shape style="position:absolute;left:4862;top:122;width:3571;height:341" type="#_x0000_t202" filled="false" stroked="false">
              <v:textbox inset="0,0,0,0">
                <w:txbxContent>
                  <w:p>
                    <w:pPr>
                      <w:spacing w:line="341" w:lineRule="exact" w:before="0"/>
                      <w:ind w:left="0" w:right="53" w:firstLine="0"/>
                      <w:jc w:val="left"/>
                      <w:rPr>
                        <w:rFonts w:ascii="Times New Roman" w:hAnsi="Times New Roman"/>
                        <w:sz w:val="13"/>
                      </w:rPr>
                    </w:pPr>
                    <w:r>
                      <w:rPr>
                        <w:rFonts w:ascii="Symbol" w:hAnsi="Symbol"/>
                        <w:sz w:val="31"/>
                      </w:rPr>
                      <w:t></w:t>
                    </w:r>
                    <w:r>
                      <w:rPr>
                        <w:rFonts w:ascii="Times New Roman" w:hAnsi="Times New Roman"/>
                        <w:i/>
                        <w:sz w:val="23"/>
                      </w:rPr>
                      <w:t>X </w:t>
                    </w:r>
                    <w:r>
                      <w:rPr>
                        <w:rFonts w:ascii="Symbol" w:hAnsi="Symbol"/>
                        <w:i/>
                        <w:sz w:val="25"/>
                      </w:rPr>
                      <w:t></w:t>
                    </w:r>
                    <w:r>
                      <w:rPr>
                        <w:rFonts w:ascii="Times New Roman" w:hAnsi="Times New Roman"/>
                        <w:i/>
                        <w:sz w:val="25"/>
                      </w:rPr>
                      <w:t>  </w:t>
                    </w:r>
                    <w:r>
                      <w:rPr>
                        <w:rFonts w:ascii="Symbol" w:hAnsi="Symbol"/>
                        <w:sz w:val="31"/>
                      </w:rPr>
                      <w:t></w:t>
                    </w:r>
                    <w:r>
                      <w:rPr>
                        <w:rFonts w:ascii="Times New Roman" w:hAnsi="Times New Roman"/>
                        <w:sz w:val="31"/>
                      </w:rPr>
                      <w:t>  </w:t>
                    </w:r>
                    <w:r>
                      <w:rPr>
                        <w:rFonts w:ascii="Symbol" w:hAnsi="Symbol"/>
                        <w:sz w:val="23"/>
                      </w:rPr>
                      <w:t></w:t>
                    </w:r>
                    <w:r>
                      <w:rPr>
                        <w:rFonts w:ascii="Times New Roman" w:hAnsi="Times New Roman"/>
                        <w:sz w:val="23"/>
                      </w:rPr>
                      <w:t> </w:t>
                    </w:r>
                    <w:r>
                      <w:rPr>
                        <w:rFonts w:ascii="Symbol" w:hAnsi="Symbol"/>
                        <w:sz w:val="31"/>
                      </w:rPr>
                      <w:t></w:t>
                    </w:r>
                    <w:r>
                      <w:rPr>
                        <w:rFonts w:ascii="Times New Roman" w:hAnsi="Times New Roman"/>
                        <w:i/>
                        <w:sz w:val="23"/>
                      </w:rPr>
                      <w:t>X </w:t>
                    </w:r>
                    <w:r>
                      <w:rPr>
                        <w:rFonts w:ascii="Symbol" w:hAnsi="Symbol"/>
                        <w:i/>
                        <w:sz w:val="25"/>
                      </w:rPr>
                      <w:t></w:t>
                    </w:r>
                    <w:r>
                      <w:rPr>
                        <w:rFonts w:ascii="Times New Roman" w:hAnsi="Times New Roman"/>
                        <w:i/>
                        <w:sz w:val="25"/>
                      </w:rPr>
                      <w:t>  </w:t>
                    </w:r>
                    <w:r>
                      <w:rPr>
                        <w:rFonts w:ascii="Symbol" w:hAnsi="Symbol"/>
                        <w:sz w:val="31"/>
                      </w:rPr>
                      <w:t></w:t>
                    </w:r>
                    <w:r>
                      <w:rPr>
                        <w:rFonts w:ascii="Times New Roman" w:hAnsi="Times New Roman"/>
                        <w:sz w:val="31"/>
                      </w:rPr>
                      <w:t>  </w:t>
                    </w:r>
                    <w:r>
                      <w:rPr>
                        <w:rFonts w:ascii="Symbol" w:hAnsi="Symbol"/>
                        <w:sz w:val="23"/>
                      </w:rPr>
                      <w:t></w:t>
                    </w:r>
                    <w:r>
                      <w:rPr>
                        <w:rFonts w:ascii="Times New Roman" w:hAnsi="Times New Roman"/>
                        <w:sz w:val="23"/>
                      </w:rPr>
                      <w:t> 2 </w:t>
                    </w:r>
                    <w:r>
                      <w:rPr>
                        <w:rFonts w:ascii="Times New Roman" w:hAnsi="Times New Roman"/>
                        <w:i/>
                        <w:sz w:val="23"/>
                      </w:rPr>
                      <w:t>X</w:t>
                    </w:r>
                    <w:r>
                      <w:rPr>
                        <w:rFonts w:ascii="Times New Roman" w:hAnsi="Times New Roman"/>
                        <w:position w:val="-5"/>
                        <w:sz w:val="13"/>
                      </w:rPr>
                      <w:t>1 </w:t>
                    </w:r>
                    <w:r>
                      <w:rPr>
                        <w:rFonts w:ascii="Times New Roman" w:hAnsi="Times New Roman"/>
                        <w:i/>
                        <w:sz w:val="23"/>
                      </w:rPr>
                      <w:t>X </w:t>
                    </w:r>
                    <w:r>
                      <w:rPr>
                        <w:rFonts w:ascii="Times New Roman" w:hAnsi="Times New Roman"/>
                        <w:position w:val="-5"/>
                        <w:sz w:val="13"/>
                      </w:rPr>
                      <w:t>2  </w:t>
                    </w:r>
                    <w:r>
                      <w:rPr>
                        <w:rFonts w:ascii="Symbol" w:hAnsi="Symbol"/>
                        <w:sz w:val="23"/>
                      </w:rPr>
                      <w:t></w:t>
                    </w:r>
                    <w:r>
                      <w:rPr>
                        <w:rFonts w:ascii="Times New Roman" w:hAnsi="Times New Roman"/>
                        <w:sz w:val="23"/>
                      </w:rPr>
                      <w:t> </w:t>
                    </w:r>
                    <w:r>
                      <w:rPr>
                        <w:rFonts w:ascii="Symbol" w:hAnsi="Symbol"/>
                        <w:i/>
                        <w:sz w:val="25"/>
                      </w:rPr>
                      <w:t></w:t>
                    </w:r>
                    <w:r>
                      <w:rPr>
                        <w:rFonts w:ascii="Times New Roman" w:hAnsi="Times New Roman"/>
                        <w:position w:val="-5"/>
                        <w:sz w:val="13"/>
                      </w:rPr>
                      <w:t>1</w:t>
                    </w:r>
                    <w:r>
                      <w:rPr>
                        <w:rFonts w:ascii="Symbol" w:hAnsi="Symbol"/>
                        <w:i/>
                        <w:sz w:val="25"/>
                      </w:rPr>
                      <w:t></w:t>
                    </w:r>
                    <w:r>
                      <w:rPr>
                        <w:rFonts w:ascii="Times New Roman" w:hAnsi="Times New Roman"/>
                        <w:i/>
                        <w:sz w:val="25"/>
                      </w:rPr>
                      <w:t> </w:t>
                    </w:r>
                    <w:r>
                      <w:rPr>
                        <w:rFonts w:ascii="Times New Roman" w:hAnsi="Times New Roman"/>
                        <w:position w:val="-5"/>
                        <w:sz w:val="13"/>
                      </w:rPr>
                      <w:t>2</w:t>
                    </w:r>
                  </w:p>
                </w:txbxContent>
              </v:textbox>
              <w10:wrap type="none"/>
            </v:shape>
            <v:shape style="position:absolute;left:5533;top:145;width:72;height:137" type="#_x0000_t202" filled="false" stroked="false">
              <v:textbox inset="0,0,0,0">
                <w:txbxContent>
                  <w:p>
                    <w:pPr>
                      <w:spacing w:line="137" w:lineRule="exact" w:before="0"/>
                      <w:ind w:left="0" w:right="0" w:firstLine="0"/>
                      <w:jc w:val="left"/>
                      <w:rPr>
                        <w:rFonts w:ascii="Times New Roman"/>
                        <w:sz w:val="13"/>
                      </w:rPr>
                    </w:pPr>
                    <w:r>
                      <w:rPr>
                        <w:rFonts w:ascii="Times New Roman"/>
                        <w:w w:val="109"/>
                        <w:sz w:val="13"/>
                      </w:rPr>
                      <w:t>2</w:t>
                    </w:r>
                  </w:p>
                </w:txbxContent>
              </v:textbox>
              <w10:wrap type="none"/>
            </v:shape>
            <v:shape style="position:absolute;left:6587;top:145;width:72;height:137" type="#_x0000_t202" filled="false" stroked="false">
              <v:textbox inset="0,0,0,0">
                <w:txbxContent>
                  <w:p>
                    <w:pPr>
                      <w:spacing w:line="137" w:lineRule="exact" w:before="0"/>
                      <w:ind w:left="0" w:right="0" w:firstLine="0"/>
                      <w:jc w:val="left"/>
                      <w:rPr>
                        <w:rFonts w:ascii="Times New Roman"/>
                        <w:sz w:val="13"/>
                      </w:rPr>
                    </w:pPr>
                    <w:r>
                      <w:rPr>
                        <w:rFonts w:ascii="Times New Roman"/>
                        <w:w w:val="109"/>
                        <w:sz w:val="13"/>
                      </w:rPr>
                      <w:t>2</w:t>
                    </w:r>
                  </w:p>
                </w:txbxContent>
              </v:textbox>
              <w10:wrap type="none"/>
            </v:shape>
            <v:shape style="position:absolute;left:5125;top:326;width:299;height:137" type="#_x0000_t202" filled="false" stroked="false">
              <v:textbox inset="0,0,0,0">
                <w:txbxContent>
                  <w:p>
                    <w:pPr>
                      <w:spacing w:line="137" w:lineRule="exact" w:before="0"/>
                      <w:ind w:left="0" w:right="-7" w:firstLine="0"/>
                      <w:jc w:val="left"/>
                      <w:rPr>
                        <w:rFonts w:ascii="Times New Roman"/>
                        <w:sz w:val="13"/>
                      </w:rPr>
                    </w:pPr>
                    <w:r>
                      <w:rPr>
                        <w:rFonts w:ascii="Times New Roman"/>
                        <w:w w:val="110"/>
                        <w:sz w:val="13"/>
                      </w:rPr>
                      <w:t>1    1</w:t>
                    </w:r>
                  </w:p>
                </w:txbxContent>
              </v:textbox>
              <w10:wrap type="none"/>
            </v:shape>
            <v:shape style="position:absolute;left:6141;top:326;width:326;height:137" type="#_x0000_t202" filled="false" stroked="false">
              <v:textbox inset="0,0,0,0">
                <w:txbxContent>
                  <w:p>
                    <w:pPr>
                      <w:spacing w:line="137" w:lineRule="exact" w:before="0"/>
                      <w:ind w:left="0" w:right="-16" w:firstLine="0"/>
                      <w:jc w:val="left"/>
                      <w:rPr>
                        <w:rFonts w:ascii="Times New Roman"/>
                        <w:sz w:val="13"/>
                      </w:rPr>
                    </w:pPr>
                    <w:r>
                      <w:rPr>
                        <w:rFonts w:ascii="Times New Roman"/>
                        <w:w w:val="110"/>
                        <w:sz w:val="13"/>
                      </w:rPr>
                      <w:t>2     2</w:t>
                    </w:r>
                  </w:p>
                </w:txbxContent>
              </v:textbox>
              <w10:wrap type="none"/>
            </v:shape>
            <w10:wrap type="none"/>
          </v:group>
        </w:pict>
      </w:r>
      <w:r>
        <w:rPr>
          <w:rFonts w:ascii="Times New Roman" w:hAnsi="Times New Roman"/>
          <w:i/>
          <w:w w:val="105"/>
          <w:sz w:val="23"/>
        </w:rPr>
        <w:t>VaRp </w:t>
      </w:r>
      <w:r>
        <w:rPr>
          <w:rFonts w:ascii="Symbol" w:hAnsi="Symbol"/>
          <w:w w:val="105"/>
          <w:sz w:val="23"/>
        </w:rPr>
        <w:t></w:t>
      </w:r>
      <w:r>
        <w:rPr>
          <w:rFonts w:ascii="Times New Roman" w:hAnsi="Times New Roman"/>
          <w:w w:val="105"/>
          <w:sz w:val="23"/>
        </w:rPr>
        <w:t> </w:t>
      </w:r>
      <w:r>
        <w:rPr>
          <w:rFonts w:ascii="Symbol" w:hAnsi="Symbol"/>
          <w:i/>
          <w:w w:val="105"/>
          <w:sz w:val="25"/>
        </w:rPr>
        <w:t></w:t>
      </w:r>
    </w:p>
    <w:p>
      <w:pPr>
        <w:pStyle w:val="BodyText"/>
        <w:rPr>
          <w:rFonts w:ascii="Symbol" w:hAnsi="Symbol"/>
          <w:i/>
          <w:sz w:val="19"/>
        </w:rPr>
      </w:pPr>
    </w:p>
    <w:p>
      <w:pPr>
        <w:pStyle w:val="BodyText"/>
        <w:spacing w:before="69"/>
        <w:ind w:left="142" w:right="786"/>
      </w:pPr>
      <w:r>
        <w:rPr/>
        <w:t>El valor del portafolio depende de las volatilidades y de la correlación.</w:t>
      </w:r>
    </w:p>
    <w:p>
      <w:pPr>
        <w:pStyle w:val="BodyText"/>
        <w:spacing w:before="3"/>
        <w:rPr>
          <w:sz w:val="22"/>
        </w:rPr>
      </w:pPr>
    </w:p>
    <w:p>
      <w:pPr>
        <w:pStyle w:val="BodyText"/>
        <w:spacing w:before="1"/>
        <w:ind w:left="142" w:right="786"/>
      </w:pPr>
      <w:r>
        <w:rPr/>
        <w:t>Cuando las posiciones son largas o cortas:</w:t>
      </w:r>
    </w:p>
    <w:p>
      <w:pPr>
        <w:pStyle w:val="ListParagraph"/>
        <w:numPr>
          <w:ilvl w:val="0"/>
          <w:numId w:val="15"/>
        </w:numPr>
        <w:tabs>
          <w:tab w:pos="1274" w:val="left" w:leader="none"/>
          <w:tab w:pos="1275" w:val="left" w:leader="none"/>
        </w:tabs>
        <w:spacing w:line="240" w:lineRule="auto" w:before="139" w:after="0"/>
        <w:ind w:left="1274" w:right="0" w:hanging="357"/>
        <w:jc w:val="left"/>
        <w:rPr>
          <w:sz w:val="16"/>
        </w:rPr>
      </w:pPr>
      <w:r>
        <w:rPr>
          <w:rFonts w:ascii="Symbol" w:hAnsi="Symbol"/>
          <w:position w:val="1"/>
          <w:sz w:val="24"/>
        </w:rPr>
        <w:t></w:t>
      </w:r>
      <w:r>
        <w:rPr>
          <w:rFonts w:ascii="Times New Roman" w:hAnsi="Times New Roman"/>
          <w:position w:val="1"/>
          <w:sz w:val="24"/>
        </w:rPr>
        <w:t> </w:t>
      </w:r>
      <w:r>
        <w:rPr>
          <w:position w:val="1"/>
          <w:sz w:val="24"/>
        </w:rPr>
        <w:t>= 1 </w:t>
      </w:r>
      <w:r>
        <w:rPr>
          <w:rFonts w:ascii="Symbol" w:hAnsi="Symbol"/>
          <w:position w:val="1"/>
          <w:sz w:val="24"/>
        </w:rPr>
        <w:t></w:t>
      </w:r>
      <w:r>
        <w:rPr>
          <w:rFonts w:ascii="Times New Roman" w:hAnsi="Times New Roman"/>
          <w:position w:val="1"/>
          <w:sz w:val="24"/>
        </w:rPr>
        <w:t> </w:t>
      </w:r>
      <w:r>
        <w:rPr>
          <w:position w:val="1"/>
          <w:sz w:val="24"/>
        </w:rPr>
        <w:t>VaRp = VaR</w:t>
      </w:r>
      <w:r>
        <w:rPr>
          <w:sz w:val="16"/>
        </w:rPr>
        <w:t>1 </w:t>
      </w:r>
      <w:r>
        <w:rPr>
          <w:position w:val="1"/>
          <w:sz w:val="24"/>
        </w:rPr>
        <w:t>+</w:t>
      </w:r>
      <w:r>
        <w:rPr>
          <w:spacing w:val="28"/>
          <w:position w:val="1"/>
          <w:sz w:val="24"/>
        </w:rPr>
        <w:t> </w:t>
      </w:r>
      <w:r>
        <w:rPr>
          <w:position w:val="1"/>
          <w:sz w:val="24"/>
        </w:rPr>
        <w:t>VaR</w:t>
      </w:r>
      <w:r>
        <w:rPr>
          <w:sz w:val="16"/>
        </w:rPr>
        <w:t>2</w:t>
      </w:r>
    </w:p>
    <w:p>
      <w:pPr>
        <w:pStyle w:val="ListParagraph"/>
        <w:numPr>
          <w:ilvl w:val="0"/>
          <w:numId w:val="15"/>
        </w:numPr>
        <w:tabs>
          <w:tab w:pos="1274" w:val="left" w:leader="none"/>
          <w:tab w:pos="1275" w:val="left" w:leader="none"/>
        </w:tabs>
        <w:spacing w:line="240" w:lineRule="auto" w:before="145" w:after="0"/>
        <w:ind w:left="1274" w:right="0" w:hanging="357"/>
        <w:jc w:val="left"/>
        <w:rPr>
          <w:sz w:val="16"/>
        </w:rPr>
      </w:pPr>
      <w:r>
        <w:rPr>
          <w:rFonts w:ascii="Symbol" w:hAnsi="Symbol"/>
          <w:position w:val="1"/>
          <w:sz w:val="24"/>
        </w:rPr>
        <w:t></w:t>
      </w:r>
      <w:r>
        <w:rPr>
          <w:rFonts w:ascii="Times New Roman" w:hAnsi="Times New Roman"/>
          <w:position w:val="1"/>
          <w:sz w:val="24"/>
        </w:rPr>
        <w:t> </w:t>
      </w:r>
      <w:r>
        <w:rPr>
          <w:position w:val="1"/>
          <w:sz w:val="24"/>
        </w:rPr>
        <w:t>= </w:t>
      </w:r>
      <w:r>
        <w:rPr>
          <w:rFonts w:ascii="Symbol" w:hAnsi="Symbol"/>
          <w:position w:val="1"/>
          <w:sz w:val="24"/>
        </w:rPr>
        <w:t></w:t>
      </w:r>
      <w:r>
        <w:rPr>
          <w:position w:val="1"/>
          <w:sz w:val="24"/>
        </w:rPr>
        <w:t>1 </w:t>
      </w:r>
      <w:r>
        <w:rPr>
          <w:rFonts w:ascii="Symbol" w:hAnsi="Symbol"/>
          <w:position w:val="1"/>
          <w:sz w:val="24"/>
        </w:rPr>
        <w:t></w:t>
      </w:r>
      <w:r>
        <w:rPr>
          <w:rFonts w:ascii="Times New Roman" w:hAnsi="Times New Roman"/>
          <w:position w:val="1"/>
          <w:sz w:val="24"/>
        </w:rPr>
        <w:t> </w:t>
      </w:r>
      <w:r>
        <w:rPr>
          <w:position w:val="1"/>
          <w:sz w:val="24"/>
        </w:rPr>
        <w:t>VaRp = VaR</w:t>
      </w:r>
      <w:r>
        <w:rPr>
          <w:sz w:val="16"/>
        </w:rPr>
        <w:t>1 </w:t>
      </w:r>
      <w:r>
        <w:rPr>
          <w:rFonts w:ascii="Symbol" w:hAnsi="Symbol"/>
          <w:position w:val="1"/>
          <w:sz w:val="24"/>
        </w:rPr>
        <w:t></w:t>
      </w:r>
      <w:r>
        <w:rPr>
          <w:rFonts w:ascii="Times New Roman" w:hAnsi="Times New Roman"/>
          <w:spacing w:val="36"/>
          <w:position w:val="1"/>
          <w:sz w:val="24"/>
        </w:rPr>
        <w:t> </w:t>
      </w:r>
      <w:r>
        <w:rPr>
          <w:position w:val="1"/>
          <w:sz w:val="24"/>
        </w:rPr>
        <w:t>VaR</w:t>
      </w:r>
      <w:r>
        <w:rPr>
          <w:sz w:val="16"/>
        </w:rPr>
        <w:t>2</w:t>
      </w:r>
    </w:p>
    <w:p>
      <w:pPr>
        <w:pStyle w:val="BodyText"/>
        <w:spacing w:before="9"/>
        <w:rPr>
          <w:sz w:val="13"/>
        </w:rPr>
      </w:pPr>
    </w:p>
    <w:p>
      <w:pPr>
        <w:pStyle w:val="BodyText"/>
        <w:tabs>
          <w:tab w:pos="1274" w:val="left" w:leader="none"/>
          <w:tab w:pos="3601" w:val="left" w:leader="none"/>
        </w:tabs>
        <w:spacing w:before="62"/>
        <w:ind w:left="917" w:right="786"/>
        <w:rPr>
          <w:rFonts w:ascii="Symbol" w:hAnsi="Symbol"/>
          <w:i/>
        </w:rPr>
      </w:pPr>
      <w:r>
        <w:rPr/>
        <w:pict>
          <v:group style="position:absolute;margin-left:267.649475pt;margin-top:2.038394pt;width:99.35pt;height:17.4pt;mso-position-horizontal-relative:page;mso-position-vertical-relative:paragraph;z-index:3760" coordorigin="5353,41" coordsize="1987,348">
            <v:line style="position:absolute" from="5354,268" to="5389,251" stroked="true" strokeweight=".135324pt" strokecolor="#000000"/>
            <v:line style="position:absolute" from="5385,246" to="5438,381" stroked="true" strokeweight=".138pt" strokecolor="#000000"/>
            <v:shape style="position:absolute;left:303;top:5265;width:1915;height:358" coordorigin="303,5265" coordsize="1915,358" path="m5444,386l5498,43m5498,42l7338,42e" filled="false" stroked="true" strokeweight=".136564pt" strokecolor="#000000">
              <v:path arrowok="t"/>
            </v:shape>
            <v:shape style="position:absolute;left:5503;top:48;width:1490;height:310" type="#_x0000_t202" filled="false" stroked="false">
              <v:textbox inset="0,0,0,0">
                <w:txbxContent>
                  <w:p>
                    <w:pPr>
                      <w:spacing w:line="310" w:lineRule="exact" w:before="0"/>
                      <w:ind w:left="0" w:right="96" w:firstLine="0"/>
                      <w:jc w:val="left"/>
                      <w:rPr>
                        <w:rFonts w:ascii="Symbol" w:hAnsi="Symbol"/>
                        <w:i/>
                        <w:sz w:val="24"/>
                      </w:rPr>
                    </w:pPr>
                    <w:r>
                      <w:rPr>
                        <w:rFonts w:ascii="Symbol" w:hAnsi="Symbol"/>
                        <w:spacing w:val="14"/>
                        <w:w w:val="76"/>
                        <w:sz w:val="31"/>
                      </w:rPr>
                      <w:t></w:t>
                    </w:r>
                    <w:r>
                      <w:rPr>
                        <w:rFonts w:ascii="Times New Roman" w:hAnsi="Times New Roman"/>
                        <w:i/>
                        <w:w w:val="104"/>
                        <w:sz w:val="23"/>
                      </w:rPr>
                      <w:t>X</w:t>
                    </w:r>
                    <w:r>
                      <w:rPr>
                        <w:rFonts w:ascii="Times New Roman" w:hAnsi="Times New Roman"/>
                        <w:i/>
                        <w:spacing w:val="22"/>
                        <w:sz w:val="23"/>
                      </w:rPr>
                      <w:t> </w:t>
                    </w:r>
                    <w:r>
                      <w:rPr>
                        <w:rFonts w:ascii="Symbol" w:hAnsi="Symbol"/>
                        <w:i/>
                        <w:w w:val="110"/>
                        <w:sz w:val="24"/>
                      </w:rPr>
                      <w:t></w:t>
                    </w:r>
                    <w:r>
                      <w:rPr>
                        <w:rFonts w:ascii="Times New Roman" w:hAnsi="Times New Roman"/>
                        <w:sz w:val="24"/>
                      </w:rPr>
                      <w:t> </w:t>
                    </w:r>
                    <w:r>
                      <w:rPr>
                        <w:rFonts w:ascii="Times New Roman" w:hAnsi="Times New Roman"/>
                        <w:spacing w:val="2"/>
                        <w:sz w:val="24"/>
                      </w:rPr>
                      <w:t> </w:t>
                    </w:r>
                    <w:r>
                      <w:rPr>
                        <w:rFonts w:ascii="Symbol" w:hAnsi="Symbol"/>
                        <w:w w:val="76"/>
                        <w:sz w:val="31"/>
                      </w:rPr>
                      <w:t></w:t>
                    </w:r>
                    <w:r>
                      <w:rPr>
                        <w:rFonts w:ascii="Times New Roman" w:hAnsi="Times New Roman"/>
                        <w:w w:val="108"/>
                        <w:position w:val="12"/>
                        <w:sz w:val="13"/>
                      </w:rPr>
                      <w:t>2</w:t>
                    </w:r>
                    <w:r>
                      <w:rPr>
                        <w:rFonts w:ascii="Times New Roman" w:hAnsi="Times New Roman"/>
                        <w:position w:val="12"/>
                        <w:sz w:val="13"/>
                      </w:rPr>
                      <w:t> </w:t>
                    </w:r>
                    <w:r>
                      <w:rPr>
                        <w:rFonts w:ascii="Times New Roman" w:hAnsi="Times New Roman"/>
                        <w:spacing w:val="13"/>
                        <w:position w:val="12"/>
                        <w:sz w:val="13"/>
                      </w:rPr>
                      <w:t> </w:t>
                    </w:r>
                    <w:r>
                      <w:rPr>
                        <w:rFonts w:ascii="Symbol" w:hAnsi="Symbol"/>
                        <w:w w:val="104"/>
                        <w:sz w:val="23"/>
                      </w:rPr>
                      <w:t></w:t>
                    </w:r>
                    <w:r>
                      <w:rPr>
                        <w:rFonts w:ascii="Times New Roman" w:hAnsi="Times New Roman"/>
                        <w:spacing w:val="-11"/>
                        <w:sz w:val="23"/>
                      </w:rPr>
                      <w:t> </w:t>
                    </w:r>
                    <w:r>
                      <w:rPr>
                        <w:rFonts w:ascii="Symbol" w:hAnsi="Symbol"/>
                        <w:spacing w:val="14"/>
                        <w:w w:val="76"/>
                        <w:sz w:val="31"/>
                      </w:rPr>
                      <w:t></w:t>
                    </w:r>
                    <w:r>
                      <w:rPr>
                        <w:rFonts w:ascii="Times New Roman" w:hAnsi="Times New Roman"/>
                        <w:i/>
                        <w:w w:val="104"/>
                        <w:sz w:val="23"/>
                      </w:rPr>
                      <w:t>X</w:t>
                    </w:r>
                    <w:r>
                      <w:rPr>
                        <w:rFonts w:ascii="Times New Roman" w:hAnsi="Times New Roman"/>
                        <w:i/>
                        <w:sz w:val="23"/>
                      </w:rPr>
                      <w:t> </w:t>
                    </w:r>
                    <w:r>
                      <w:rPr>
                        <w:rFonts w:ascii="Times New Roman" w:hAnsi="Times New Roman"/>
                        <w:i/>
                        <w:spacing w:val="-9"/>
                        <w:sz w:val="23"/>
                      </w:rPr>
                      <w:t> </w:t>
                    </w:r>
                    <w:r>
                      <w:rPr>
                        <w:rFonts w:ascii="Symbol" w:hAnsi="Symbol"/>
                        <w:i/>
                        <w:sz w:val="24"/>
                      </w:rPr>
                      <w:t></w:t>
                    </w:r>
                  </w:p>
                </w:txbxContent>
              </v:textbox>
              <w10:wrap type="none"/>
            </v:shape>
            <v:shape style="position:absolute;left:5764;top:252;width:297;height:137" type="#_x0000_t202" filled="false" stroked="false">
              <v:textbox inset="0,0,0,0">
                <w:txbxContent>
                  <w:p>
                    <w:pPr>
                      <w:spacing w:line="137" w:lineRule="exact" w:before="0"/>
                      <w:ind w:left="0" w:right="-9" w:firstLine="0"/>
                      <w:jc w:val="left"/>
                      <w:rPr>
                        <w:rFonts w:ascii="Times New Roman"/>
                        <w:sz w:val="13"/>
                      </w:rPr>
                    </w:pPr>
                    <w:r>
                      <w:rPr>
                        <w:rFonts w:ascii="Times New Roman"/>
                        <w:w w:val="110"/>
                        <w:sz w:val="13"/>
                      </w:rPr>
                      <w:t>1    1</w:t>
                    </w:r>
                  </w:p>
                </w:txbxContent>
              </v:textbox>
              <w10:wrap type="none"/>
            </v:shape>
            <v:shape style="position:absolute;left:6777;top:252;width:324;height:137" type="#_x0000_t202" filled="false" stroked="false">
              <v:textbox inset="0,0,0,0">
                <w:txbxContent>
                  <w:p>
                    <w:pPr>
                      <w:spacing w:line="137" w:lineRule="exact" w:before="0"/>
                      <w:ind w:left="0" w:right="-18" w:firstLine="0"/>
                      <w:jc w:val="left"/>
                      <w:rPr>
                        <w:rFonts w:ascii="Times New Roman"/>
                        <w:sz w:val="13"/>
                      </w:rPr>
                    </w:pPr>
                    <w:r>
                      <w:rPr>
                        <w:rFonts w:ascii="Times New Roman"/>
                        <w:w w:val="110"/>
                        <w:sz w:val="13"/>
                      </w:rPr>
                      <w:t>2     2</w:t>
                    </w:r>
                  </w:p>
                </w:txbxContent>
              </v:textbox>
              <w10:wrap type="none"/>
            </v:shape>
            <v:shape style="position:absolute;left:7141;top:48;width:150;height:310" type="#_x0000_t202" filled="false" stroked="false">
              <v:textbox inset="0,0,0,0">
                <w:txbxContent>
                  <w:p>
                    <w:pPr>
                      <w:spacing w:line="310" w:lineRule="exact" w:before="0"/>
                      <w:ind w:left="0" w:right="-20" w:firstLine="0"/>
                      <w:jc w:val="left"/>
                      <w:rPr>
                        <w:rFonts w:ascii="Times New Roman" w:hAnsi="Times New Roman"/>
                        <w:sz w:val="13"/>
                      </w:rPr>
                    </w:pPr>
                    <w:r>
                      <w:rPr>
                        <w:rFonts w:ascii="Symbol" w:hAnsi="Symbol"/>
                        <w:w w:val="76"/>
                        <w:position w:val="-11"/>
                        <w:sz w:val="31"/>
                      </w:rPr>
                      <w:t></w:t>
                    </w:r>
                    <w:r>
                      <w:rPr>
                        <w:rFonts w:ascii="Times New Roman" w:hAnsi="Times New Roman"/>
                        <w:w w:val="108"/>
                        <w:sz w:val="13"/>
                      </w:rPr>
                      <w:t>2</w:t>
                    </w:r>
                  </w:p>
                </w:txbxContent>
              </v:textbox>
              <w10:wrap type="none"/>
            </v:shape>
            <w10:wrap type="none"/>
          </v:group>
        </w:pict>
      </w:r>
      <w:r>
        <w:rPr>
          <w:rFonts w:ascii="Symbol" w:hAnsi="Symbol"/>
        </w:rPr>
        <w:t></w:t>
      </w:r>
      <w:r>
        <w:rPr>
          <w:rFonts w:ascii="Times New Roman" w:hAnsi="Times New Roman"/>
        </w:rPr>
        <w:tab/>
      </w:r>
      <w:r>
        <w:rPr>
          <w:rFonts w:ascii="Symbol" w:hAnsi="Symbol"/>
        </w:rPr>
        <w:t></w:t>
      </w:r>
      <w:r>
        <w:rPr>
          <w:rFonts w:ascii="Times New Roman" w:hAnsi="Times New Roman"/>
        </w:rPr>
        <w:t> </w:t>
      </w:r>
      <w:r>
        <w:rPr/>
        <w:t>= 0 </w:t>
      </w:r>
      <w:r>
        <w:rPr>
          <w:rFonts w:ascii="Symbol" w:hAnsi="Symbol"/>
        </w:rPr>
        <w:t></w:t>
      </w:r>
      <w:r>
        <w:rPr>
          <w:rFonts w:ascii="Times New Roman" w:hAnsi="Times New Roman"/>
        </w:rPr>
        <w:t> </w:t>
      </w:r>
      <w:r>
        <w:rPr/>
        <w:t>VaRp</w:t>
      </w:r>
      <w:r>
        <w:rPr>
          <w:spacing w:val="11"/>
        </w:rPr>
        <w:t> </w:t>
      </w:r>
      <w:r>
        <w:rPr>
          <w:rFonts w:ascii="Symbol" w:hAnsi="Symbol"/>
        </w:rPr>
        <w:t></w:t>
      </w:r>
      <w:r>
        <w:rPr>
          <w:rFonts w:ascii="Times New Roman" w:hAnsi="Times New Roman"/>
          <w:spacing w:val="7"/>
        </w:rPr>
        <w:t> </w:t>
      </w:r>
      <w:r>
        <w:rPr/>
        <w:t>0</w:t>
        <w:tab/>
      </w:r>
      <w:r>
        <w:rPr>
          <w:rFonts w:ascii="Symbol" w:hAnsi="Symbol"/>
          <w:i/>
        </w:rPr>
        <w:t></w:t>
      </w:r>
    </w:p>
    <w:p>
      <w:pPr>
        <w:pStyle w:val="BodyText"/>
        <w:spacing w:before="3"/>
        <w:rPr>
          <w:rFonts w:ascii="Symbol" w:hAnsi="Symbol"/>
          <w:i/>
          <w:sz w:val="21"/>
        </w:rPr>
      </w:pPr>
    </w:p>
    <w:p>
      <w:pPr>
        <w:pStyle w:val="BodyText"/>
        <w:spacing w:before="70"/>
        <w:ind w:left="142" w:right="786"/>
      </w:pPr>
      <w:r>
        <w:rPr/>
        <w:t>Cuando las posiciones son encontradas (largas o cortas):</w:t>
      </w:r>
    </w:p>
    <w:p>
      <w:pPr>
        <w:pStyle w:val="ListParagraph"/>
        <w:numPr>
          <w:ilvl w:val="0"/>
          <w:numId w:val="15"/>
        </w:numPr>
        <w:tabs>
          <w:tab w:pos="1274" w:val="left" w:leader="none"/>
          <w:tab w:pos="1275" w:val="left" w:leader="none"/>
        </w:tabs>
        <w:spacing w:line="240" w:lineRule="auto" w:before="139" w:after="0"/>
        <w:ind w:left="1274" w:right="0" w:hanging="357"/>
        <w:jc w:val="left"/>
        <w:rPr>
          <w:sz w:val="16"/>
        </w:rPr>
      </w:pPr>
      <w:r>
        <w:rPr>
          <w:rFonts w:ascii="Symbol" w:hAnsi="Symbol"/>
          <w:position w:val="1"/>
          <w:sz w:val="24"/>
        </w:rPr>
        <w:t></w:t>
      </w:r>
      <w:r>
        <w:rPr>
          <w:rFonts w:ascii="Times New Roman" w:hAnsi="Times New Roman"/>
          <w:position w:val="1"/>
          <w:sz w:val="24"/>
        </w:rPr>
        <w:t> </w:t>
      </w:r>
      <w:r>
        <w:rPr>
          <w:position w:val="1"/>
          <w:sz w:val="24"/>
        </w:rPr>
        <w:t>= 1 </w:t>
      </w:r>
      <w:r>
        <w:rPr>
          <w:rFonts w:ascii="Symbol" w:hAnsi="Symbol"/>
          <w:position w:val="1"/>
          <w:sz w:val="24"/>
        </w:rPr>
        <w:t></w:t>
      </w:r>
      <w:r>
        <w:rPr>
          <w:rFonts w:ascii="Times New Roman" w:hAnsi="Times New Roman"/>
          <w:position w:val="1"/>
          <w:sz w:val="24"/>
        </w:rPr>
        <w:t> </w:t>
      </w:r>
      <w:r>
        <w:rPr>
          <w:position w:val="1"/>
          <w:sz w:val="24"/>
        </w:rPr>
        <w:t>VaRp = VaR</w:t>
      </w:r>
      <w:r>
        <w:rPr>
          <w:sz w:val="16"/>
        </w:rPr>
        <w:t>1 </w:t>
      </w:r>
      <w:r>
        <w:rPr>
          <w:rFonts w:ascii="Symbol" w:hAnsi="Symbol"/>
          <w:position w:val="1"/>
          <w:sz w:val="24"/>
        </w:rPr>
        <w:t></w:t>
      </w:r>
      <w:r>
        <w:rPr>
          <w:rFonts w:ascii="Times New Roman" w:hAnsi="Times New Roman"/>
          <w:spacing w:val="36"/>
          <w:position w:val="1"/>
          <w:sz w:val="24"/>
        </w:rPr>
        <w:t> </w:t>
      </w:r>
      <w:r>
        <w:rPr>
          <w:position w:val="1"/>
          <w:sz w:val="24"/>
        </w:rPr>
        <w:t>VaR</w:t>
      </w:r>
      <w:r>
        <w:rPr>
          <w:sz w:val="16"/>
        </w:rPr>
        <w:t>2</w:t>
      </w:r>
    </w:p>
    <w:p>
      <w:pPr>
        <w:pStyle w:val="ListParagraph"/>
        <w:numPr>
          <w:ilvl w:val="0"/>
          <w:numId w:val="15"/>
        </w:numPr>
        <w:tabs>
          <w:tab w:pos="1274" w:val="left" w:leader="none"/>
          <w:tab w:pos="1275" w:val="left" w:leader="none"/>
        </w:tabs>
        <w:spacing w:line="240" w:lineRule="auto" w:before="148" w:after="0"/>
        <w:ind w:left="1274" w:right="0" w:hanging="357"/>
        <w:jc w:val="left"/>
        <w:rPr>
          <w:sz w:val="16"/>
        </w:rPr>
      </w:pPr>
      <w:r>
        <w:rPr>
          <w:rFonts w:ascii="Symbol" w:hAnsi="Symbol"/>
          <w:position w:val="1"/>
          <w:sz w:val="24"/>
        </w:rPr>
        <w:t></w:t>
      </w:r>
      <w:r>
        <w:rPr>
          <w:rFonts w:ascii="Times New Roman" w:hAnsi="Times New Roman"/>
          <w:position w:val="1"/>
          <w:sz w:val="24"/>
        </w:rPr>
        <w:t> </w:t>
      </w:r>
      <w:r>
        <w:rPr>
          <w:position w:val="1"/>
          <w:sz w:val="24"/>
        </w:rPr>
        <w:t>= </w:t>
      </w:r>
      <w:r>
        <w:rPr>
          <w:rFonts w:ascii="Symbol" w:hAnsi="Symbol"/>
          <w:position w:val="1"/>
          <w:sz w:val="24"/>
        </w:rPr>
        <w:t></w:t>
      </w:r>
      <w:r>
        <w:rPr>
          <w:position w:val="1"/>
          <w:sz w:val="24"/>
        </w:rPr>
        <w:t>1 </w:t>
      </w:r>
      <w:r>
        <w:rPr>
          <w:rFonts w:ascii="Symbol" w:hAnsi="Symbol"/>
          <w:position w:val="1"/>
          <w:sz w:val="24"/>
        </w:rPr>
        <w:t></w:t>
      </w:r>
      <w:r>
        <w:rPr>
          <w:rFonts w:ascii="Times New Roman" w:hAnsi="Times New Roman"/>
          <w:position w:val="1"/>
          <w:sz w:val="24"/>
        </w:rPr>
        <w:t> </w:t>
      </w:r>
      <w:r>
        <w:rPr>
          <w:position w:val="1"/>
          <w:sz w:val="24"/>
        </w:rPr>
        <w:t>VaRp = VaR</w:t>
      </w:r>
      <w:r>
        <w:rPr>
          <w:sz w:val="16"/>
        </w:rPr>
        <w:t>1 </w:t>
      </w:r>
      <w:r>
        <w:rPr>
          <w:position w:val="1"/>
          <w:sz w:val="24"/>
        </w:rPr>
        <w:t>+</w:t>
      </w:r>
      <w:r>
        <w:rPr>
          <w:spacing w:val="28"/>
          <w:position w:val="1"/>
          <w:sz w:val="24"/>
        </w:rPr>
        <w:t> </w:t>
      </w:r>
      <w:r>
        <w:rPr>
          <w:position w:val="1"/>
          <w:sz w:val="24"/>
        </w:rPr>
        <w:t>VaR</w:t>
      </w:r>
      <w:r>
        <w:rPr>
          <w:sz w:val="16"/>
        </w:rPr>
        <w:t>2</w:t>
      </w:r>
    </w:p>
    <w:p>
      <w:pPr>
        <w:pStyle w:val="BodyText"/>
        <w:spacing w:before="6"/>
        <w:rPr>
          <w:sz w:val="13"/>
        </w:rPr>
      </w:pPr>
    </w:p>
    <w:p>
      <w:pPr>
        <w:pStyle w:val="BodyText"/>
        <w:tabs>
          <w:tab w:pos="1274" w:val="left" w:leader="none"/>
          <w:tab w:pos="3601" w:val="left" w:leader="none"/>
        </w:tabs>
        <w:spacing w:before="62"/>
        <w:ind w:left="917" w:right="786"/>
        <w:rPr>
          <w:rFonts w:ascii="Symbol" w:hAnsi="Symbol"/>
          <w:i/>
        </w:rPr>
      </w:pPr>
      <w:r>
        <w:rPr/>
        <w:pict>
          <v:group style="position:absolute;margin-left:267.649475pt;margin-top:2.038382pt;width:99.35pt;height:17.4pt;mso-position-horizontal-relative:page;mso-position-vertical-relative:paragraph;z-index:3880" coordorigin="5353,41" coordsize="1987,348">
            <v:line style="position:absolute" from="5354,268" to="5389,251" stroked="true" strokeweight=".135324pt" strokecolor="#000000"/>
            <v:line style="position:absolute" from="5385,246" to="5438,381" stroked="true" strokeweight=".138pt" strokecolor="#000000"/>
            <v:shape style="position:absolute;left:303;top:3271;width:1915;height:358" coordorigin="303,3271" coordsize="1915,358" path="m5444,386l5498,43m5498,42l7338,42e" filled="false" stroked="true" strokeweight=".136564pt" strokecolor="#000000">
              <v:path arrowok="t"/>
            </v:shape>
            <v:shape style="position:absolute;left:5503;top:48;width:1490;height:310" type="#_x0000_t202" filled="false" stroked="false">
              <v:textbox inset="0,0,0,0">
                <w:txbxContent>
                  <w:p>
                    <w:pPr>
                      <w:spacing w:line="310" w:lineRule="exact" w:before="0"/>
                      <w:ind w:left="0" w:right="96" w:firstLine="0"/>
                      <w:jc w:val="left"/>
                      <w:rPr>
                        <w:rFonts w:ascii="Symbol" w:hAnsi="Symbol"/>
                        <w:i/>
                        <w:sz w:val="24"/>
                      </w:rPr>
                    </w:pPr>
                    <w:r>
                      <w:rPr>
                        <w:rFonts w:ascii="Symbol" w:hAnsi="Symbol"/>
                        <w:spacing w:val="14"/>
                        <w:w w:val="76"/>
                        <w:sz w:val="31"/>
                      </w:rPr>
                      <w:t></w:t>
                    </w:r>
                    <w:r>
                      <w:rPr>
                        <w:rFonts w:ascii="Times New Roman" w:hAnsi="Times New Roman"/>
                        <w:i/>
                        <w:w w:val="104"/>
                        <w:sz w:val="23"/>
                      </w:rPr>
                      <w:t>X</w:t>
                    </w:r>
                    <w:r>
                      <w:rPr>
                        <w:rFonts w:ascii="Times New Roman" w:hAnsi="Times New Roman"/>
                        <w:i/>
                        <w:spacing w:val="22"/>
                        <w:sz w:val="23"/>
                      </w:rPr>
                      <w:t> </w:t>
                    </w:r>
                    <w:r>
                      <w:rPr>
                        <w:rFonts w:ascii="Symbol" w:hAnsi="Symbol"/>
                        <w:i/>
                        <w:w w:val="110"/>
                        <w:sz w:val="24"/>
                      </w:rPr>
                      <w:t></w:t>
                    </w:r>
                    <w:r>
                      <w:rPr>
                        <w:rFonts w:ascii="Times New Roman" w:hAnsi="Times New Roman"/>
                        <w:sz w:val="24"/>
                      </w:rPr>
                      <w:t> </w:t>
                    </w:r>
                    <w:r>
                      <w:rPr>
                        <w:rFonts w:ascii="Times New Roman" w:hAnsi="Times New Roman"/>
                        <w:spacing w:val="2"/>
                        <w:sz w:val="24"/>
                      </w:rPr>
                      <w:t> </w:t>
                    </w:r>
                    <w:r>
                      <w:rPr>
                        <w:rFonts w:ascii="Symbol" w:hAnsi="Symbol"/>
                        <w:w w:val="76"/>
                        <w:sz w:val="31"/>
                      </w:rPr>
                      <w:t></w:t>
                    </w:r>
                    <w:r>
                      <w:rPr>
                        <w:rFonts w:ascii="Times New Roman" w:hAnsi="Times New Roman"/>
                        <w:w w:val="108"/>
                        <w:position w:val="12"/>
                        <w:sz w:val="13"/>
                      </w:rPr>
                      <w:t>2</w:t>
                    </w:r>
                    <w:r>
                      <w:rPr>
                        <w:rFonts w:ascii="Times New Roman" w:hAnsi="Times New Roman"/>
                        <w:position w:val="12"/>
                        <w:sz w:val="13"/>
                      </w:rPr>
                      <w:t> </w:t>
                    </w:r>
                    <w:r>
                      <w:rPr>
                        <w:rFonts w:ascii="Times New Roman" w:hAnsi="Times New Roman"/>
                        <w:spacing w:val="13"/>
                        <w:position w:val="12"/>
                        <w:sz w:val="13"/>
                      </w:rPr>
                      <w:t> </w:t>
                    </w:r>
                    <w:r>
                      <w:rPr>
                        <w:rFonts w:ascii="Symbol" w:hAnsi="Symbol"/>
                        <w:w w:val="104"/>
                        <w:sz w:val="23"/>
                      </w:rPr>
                      <w:t></w:t>
                    </w:r>
                    <w:r>
                      <w:rPr>
                        <w:rFonts w:ascii="Times New Roman" w:hAnsi="Times New Roman"/>
                        <w:spacing w:val="-11"/>
                        <w:sz w:val="23"/>
                      </w:rPr>
                      <w:t> </w:t>
                    </w:r>
                    <w:r>
                      <w:rPr>
                        <w:rFonts w:ascii="Symbol" w:hAnsi="Symbol"/>
                        <w:spacing w:val="14"/>
                        <w:w w:val="76"/>
                        <w:sz w:val="31"/>
                      </w:rPr>
                      <w:t></w:t>
                    </w:r>
                    <w:r>
                      <w:rPr>
                        <w:rFonts w:ascii="Times New Roman" w:hAnsi="Times New Roman"/>
                        <w:i/>
                        <w:w w:val="104"/>
                        <w:sz w:val="23"/>
                      </w:rPr>
                      <w:t>X</w:t>
                    </w:r>
                    <w:r>
                      <w:rPr>
                        <w:rFonts w:ascii="Times New Roman" w:hAnsi="Times New Roman"/>
                        <w:i/>
                        <w:sz w:val="23"/>
                      </w:rPr>
                      <w:t> </w:t>
                    </w:r>
                    <w:r>
                      <w:rPr>
                        <w:rFonts w:ascii="Times New Roman" w:hAnsi="Times New Roman"/>
                        <w:i/>
                        <w:spacing w:val="-9"/>
                        <w:sz w:val="23"/>
                      </w:rPr>
                      <w:t> </w:t>
                    </w:r>
                    <w:r>
                      <w:rPr>
                        <w:rFonts w:ascii="Symbol" w:hAnsi="Symbol"/>
                        <w:i/>
                        <w:sz w:val="24"/>
                      </w:rPr>
                      <w:t></w:t>
                    </w:r>
                  </w:p>
                </w:txbxContent>
              </v:textbox>
              <w10:wrap type="none"/>
            </v:shape>
            <v:shape style="position:absolute;left:5764;top:252;width:297;height:137" type="#_x0000_t202" filled="false" stroked="false">
              <v:textbox inset="0,0,0,0">
                <w:txbxContent>
                  <w:p>
                    <w:pPr>
                      <w:spacing w:line="137" w:lineRule="exact" w:before="0"/>
                      <w:ind w:left="0" w:right="-9" w:firstLine="0"/>
                      <w:jc w:val="left"/>
                      <w:rPr>
                        <w:rFonts w:ascii="Times New Roman"/>
                        <w:sz w:val="13"/>
                      </w:rPr>
                    </w:pPr>
                    <w:r>
                      <w:rPr>
                        <w:rFonts w:ascii="Times New Roman"/>
                        <w:w w:val="110"/>
                        <w:sz w:val="13"/>
                      </w:rPr>
                      <w:t>1    1</w:t>
                    </w:r>
                  </w:p>
                </w:txbxContent>
              </v:textbox>
              <w10:wrap type="none"/>
            </v:shape>
            <v:shape style="position:absolute;left:6777;top:252;width:324;height:137" type="#_x0000_t202" filled="false" stroked="false">
              <v:textbox inset="0,0,0,0">
                <w:txbxContent>
                  <w:p>
                    <w:pPr>
                      <w:spacing w:line="137" w:lineRule="exact" w:before="0"/>
                      <w:ind w:left="0" w:right="-18" w:firstLine="0"/>
                      <w:jc w:val="left"/>
                      <w:rPr>
                        <w:rFonts w:ascii="Times New Roman"/>
                        <w:sz w:val="13"/>
                      </w:rPr>
                    </w:pPr>
                    <w:r>
                      <w:rPr>
                        <w:rFonts w:ascii="Times New Roman"/>
                        <w:w w:val="110"/>
                        <w:sz w:val="13"/>
                      </w:rPr>
                      <w:t>2     2</w:t>
                    </w:r>
                  </w:p>
                </w:txbxContent>
              </v:textbox>
              <w10:wrap type="none"/>
            </v:shape>
            <v:shape style="position:absolute;left:7141;top:48;width:150;height:310" type="#_x0000_t202" filled="false" stroked="false">
              <v:textbox inset="0,0,0,0">
                <w:txbxContent>
                  <w:p>
                    <w:pPr>
                      <w:spacing w:line="310" w:lineRule="exact" w:before="0"/>
                      <w:ind w:left="0" w:right="-20" w:firstLine="0"/>
                      <w:jc w:val="left"/>
                      <w:rPr>
                        <w:rFonts w:ascii="Times New Roman" w:hAnsi="Times New Roman"/>
                        <w:sz w:val="13"/>
                      </w:rPr>
                    </w:pPr>
                    <w:r>
                      <w:rPr>
                        <w:rFonts w:ascii="Symbol" w:hAnsi="Symbol"/>
                        <w:w w:val="76"/>
                        <w:position w:val="-11"/>
                        <w:sz w:val="31"/>
                      </w:rPr>
                      <w:t></w:t>
                    </w:r>
                    <w:r>
                      <w:rPr>
                        <w:rFonts w:ascii="Times New Roman" w:hAnsi="Times New Roman"/>
                        <w:w w:val="108"/>
                        <w:sz w:val="13"/>
                      </w:rPr>
                      <w:t>2</w:t>
                    </w:r>
                  </w:p>
                </w:txbxContent>
              </v:textbox>
              <w10:wrap type="none"/>
            </v:shape>
            <w10:wrap type="none"/>
          </v:group>
        </w:pict>
      </w:r>
      <w:r>
        <w:rPr>
          <w:rFonts w:ascii="Symbol" w:hAnsi="Symbol"/>
        </w:rPr>
        <w:t></w:t>
      </w:r>
      <w:r>
        <w:rPr>
          <w:rFonts w:ascii="Times New Roman" w:hAnsi="Times New Roman"/>
        </w:rPr>
        <w:tab/>
      </w:r>
      <w:r>
        <w:rPr>
          <w:rFonts w:ascii="Symbol" w:hAnsi="Symbol"/>
        </w:rPr>
        <w:t></w:t>
      </w:r>
      <w:r>
        <w:rPr>
          <w:rFonts w:ascii="Times New Roman" w:hAnsi="Times New Roman"/>
        </w:rPr>
        <w:t> </w:t>
      </w:r>
      <w:r>
        <w:rPr/>
        <w:t>= 0 </w:t>
      </w:r>
      <w:r>
        <w:rPr>
          <w:rFonts w:ascii="Symbol" w:hAnsi="Symbol"/>
        </w:rPr>
        <w:t></w:t>
      </w:r>
      <w:r>
        <w:rPr>
          <w:rFonts w:ascii="Times New Roman" w:hAnsi="Times New Roman"/>
        </w:rPr>
        <w:t> </w:t>
      </w:r>
      <w:r>
        <w:rPr/>
        <w:t>VaRp</w:t>
      </w:r>
      <w:r>
        <w:rPr>
          <w:spacing w:val="11"/>
        </w:rPr>
        <w:t> </w:t>
      </w:r>
      <w:r>
        <w:rPr>
          <w:rFonts w:ascii="Symbol" w:hAnsi="Symbol"/>
        </w:rPr>
        <w:t></w:t>
      </w:r>
      <w:r>
        <w:rPr>
          <w:rFonts w:ascii="Times New Roman" w:hAnsi="Times New Roman"/>
          <w:spacing w:val="7"/>
        </w:rPr>
        <w:t> </w:t>
      </w:r>
      <w:r>
        <w:rPr/>
        <w:t>0</w:t>
        <w:tab/>
      </w:r>
      <w:r>
        <w:rPr>
          <w:rFonts w:ascii="Symbol" w:hAnsi="Symbol"/>
          <w:i/>
        </w:rPr>
        <w:t></w:t>
      </w:r>
    </w:p>
    <w:p>
      <w:pPr>
        <w:pStyle w:val="BodyText"/>
        <w:spacing w:before="7"/>
        <w:rPr>
          <w:rFonts w:ascii="Symbol" w:hAnsi="Symbol"/>
          <w:i/>
          <w:sz w:val="21"/>
        </w:rPr>
      </w:pPr>
    </w:p>
    <w:p>
      <w:pPr>
        <w:pStyle w:val="BodyText"/>
        <w:spacing w:before="69"/>
        <w:ind w:left="142" w:right="786"/>
      </w:pPr>
      <w:r>
        <w:rPr/>
        <w:t>El valor del portafolio depende de:</w:t>
      </w:r>
    </w:p>
    <w:p>
      <w:pPr>
        <w:pStyle w:val="ListParagraph"/>
        <w:numPr>
          <w:ilvl w:val="0"/>
          <w:numId w:val="15"/>
        </w:numPr>
        <w:tabs>
          <w:tab w:pos="1274" w:val="left" w:leader="none"/>
          <w:tab w:pos="1275" w:val="left" w:leader="none"/>
        </w:tabs>
        <w:spacing w:line="240" w:lineRule="auto" w:before="137" w:after="0"/>
        <w:ind w:left="1274" w:right="0" w:hanging="357"/>
        <w:jc w:val="left"/>
        <w:rPr>
          <w:sz w:val="24"/>
        </w:rPr>
      </w:pPr>
      <w:r>
        <w:rPr>
          <w:sz w:val="24"/>
        </w:rPr>
        <w:t>La volatilidad de cada uno de los factores de riesgo del</w:t>
      </w:r>
      <w:r>
        <w:rPr>
          <w:spacing w:val="-24"/>
          <w:sz w:val="24"/>
        </w:rPr>
        <w:t> </w:t>
      </w:r>
      <w:r>
        <w:rPr>
          <w:sz w:val="24"/>
        </w:rPr>
        <w:t>portafolio</w:t>
      </w:r>
    </w:p>
    <w:p>
      <w:pPr>
        <w:pStyle w:val="ListParagraph"/>
        <w:numPr>
          <w:ilvl w:val="0"/>
          <w:numId w:val="15"/>
        </w:numPr>
        <w:tabs>
          <w:tab w:pos="1274" w:val="left" w:leader="none"/>
          <w:tab w:pos="1275" w:val="left" w:leader="none"/>
        </w:tabs>
        <w:spacing w:line="240" w:lineRule="auto" w:before="135" w:after="0"/>
        <w:ind w:left="1274" w:right="0" w:hanging="357"/>
        <w:jc w:val="left"/>
        <w:rPr>
          <w:sz w:val="24"/>
        </w:rPr>
      </w:pPr>
      <w:r>
        <w:rPr>
          <w:sz w:val="24"/>
        </w:rPr>
        <w:t>Correlación de los factores de</w:t>
      </w:r>
      <w:r>
        <w:rPr>
          <w:spacing w:val="-11"/>
          <w:sz w:val="24"/>
        </w:rPr>
        <w:t> </w:t>
      </w:r>
      <w:r>
        <w:rPr>
          <w:sz w:val="24"/>
        </w:rPr>
        <w:t>riesgo</w:t>
      </w:r>
    </w:p>
    <w:p>
      <w:pPr>
        <w:spacing w:after="0" w:line="240" w:lineRule="auto"/>
        <w:jc w:val="left"/>
        <w:rPr>
          <w:sz w:val="24"/>
        </w:rPr>
        <w:sectPr>
          <w:type w:val="continuous"/>
          <w:pgSz w:w="12240" w:h="15840"/>
          <w:pgMar w:top="720" w:bottom="280" w:left="1560" w:right="1560"/>
        </w:sectPr>
      </w:pPr>
    </w:p>
    <w:p>
      <w:pPr>
        <w:pStyle w:val="BodyText"/>
        <w:rPr>
          <w:sz w:val="20"/>
        </w:rPr>
      </w:pPr>
    </w:p>
    <w:p>
      <w:pPr>
        <w:pStyle w:val="BodyText"/>
        <w:spacing w:before="3"/>
        <w:rPr>
          <w:sz w:val="17"/>
        </w:rPr>
      </w:pPr>
    </w:p>
    <w:p>
      <w:pPr>
        <w:pStyle w:val="ListParagraph"/>
        <w:numPr>
          <w:ilvl w:val="0"/>
          <w:numId w:val="15"/>
        </w:numPr>
        <w:tabs>
          <w:tab w:pos="1274" w:val="left" w:leader="none"/>
          <w:tab w:pos="1275" w:val="left" w:leader="none"/>
        </w:tabs>
        <w:spacing w:line="240" w:lineRule="auto" w:before="56" w:after="0"/>
        <w:ind w:left="1274" w:right="0" w:hanging="357"/>
        <w:jc w:val="left"/>
        <w:rPr>
          <w:sz w:val="24"/>
        </w:rPr>
      </w:pPr>
      <w:r>
        <w:rPr>
          <w:sz w:val="24"/>
        </w:rPr>
        <w:t>Del</w:t>
      </w:r>
      <w:r>
        <w:rPr>
          <w:spacing w:val="-3"/>
          <w:sz w:val="24"/>
        </w:rPr>
        <w:t> </w:t>
      </w:r>
      <w:r>
        <w:rPr>
          <w:sz w:val="24"/>
        </w:rPr>
        <w:t>signo</w:t>
      </w:r>
    </w:p>
    <w:p>
      <w:pPr>
        <w:pStyle w:val="ListParagraph"/>
        <w:numPr>
          <w:ilvl w:val="0"/>
          <w:numId w:val="15"/>
        </w:numPr>
        <w:tabs>
          <w:tab w:pos="1274" w:val="left" w:leader="none"/>
          <w:tab w:pos="1275" w:val="left" w:leader="none"/>
        </w:tabs>
        <w:spacing w:line="240" w:lineRule="auto" w:before="135" w:after="0"/>
        <w:ind w:left="1274" w:right="0" w:hanging="357"/>
        <w:jc w:val="left"/>
        <w:rPr>
          <w:sz w:val="24"/>
        </w:rPr>
      </w:pPr>
      <w:r>
        <w:rPr>
          <w:sz w:val="24"/>
        </w:rPr>
        <w:t>Del tipo de posiciones que se traiga (corta o</w:t>
      </w:r>
      <w:r>
        <w:rPr>
          <w:spacing w:val="-18"/>
          <w:sz w:val="24"/>
        </w:rPr>
        <w:t> </w:t>
      </w:r>
      <w:r>
        <w:rPr>
          <w:sz w:val="24"/>
        </w:rPr>
        <w:t>larga)</w:t>
      </w:r>
    </w:p>
    <w:p>
      <w:pPr>
        <w:pStyle w:val="BodyText"/>
        <w:spacing w:before="4"/>
        <w:rPr>
          <w:sz w:val="22"/>
        </w:rPr>
      </w:pPr>
    </w:p>
    <w:p>
      <w:pPr>
        <w:pStyle w:val="BodyText"/>
        <w:ind w:left="142" w:right="786"/>
      </w:pPr>
      <w:r>
        <w:rPr/>
        <w:t>La matriz de correlaciones para el VaR:</w:t>
      </w:r>
    </w:p>
    <w:p>
      <w:pPr>
        <w:pStyle w:val="ListParagraph"/>
        <w:numPr>
          <w:ilvl w:val="0"/>
          <w:numId w:val="15"/>
        </w:numPr>
        <w:tabs>
          <w:tab w:pos="1274" w:val="left" w:leader="none"/>
          <w:tab w:pos="1275" w:val="left" w:leader="none"/>
        </w:tabs>
        <w:spacing w:line="240" w:lineRule="auto" w:before="137" w:after="0"/>
        <w:ind w:left="1274" w:right="0" w:hanging="357"/>
        <w:jc w:val="left"/>
        <w:rPr>
          <w:sz w:val="24"/>
        </w:rPr>
      </w:pPr>
      <w:r>
        <w:rPr>
          <w:sz w:val="24"/>
        </w:rPr>
        <w:t>Depende de los factores de</w:t>
      </w:r>
      <w:r>
        <w:rPr>
          <w:spacing w:val="-17"/>
          <w:sz w:val="24"/>
        </w:rPr>
        <w:t> </w:t>
      </w:r>
      <w:r>
        <w:rPr>
          <w:sz w:val="24"/>
        </w:rPr>
        <w:t>riesgo</w:t>
      </w:r>
    </w:p>
    <w:p>
      <w:pPr>
        <w:pStyle w:val="ListParagraph"/>
        <w:numPr>
          <w:ilvl w:val="0"/>
          <w:numId w:val="15"/>
        </w:numPr>
        <w:tabs>
          <w:tab w:pos="1274" w:val="left" w:leader="none"/>
          <w:tab w:pos="1275" w:val="left" w:leader="none"/>
        </w:tabs>
        <w:spacing w:line="240" w:lineRule="auto" w:before="135" w:after="0"/>
        <w:ind w:left="1274" w:right="0" w:hanging="357"/>
        <w:jc w:val="left"/>
        <w:rPr>
          <w:sz w:val="24"/>
        </w:rPr>
      </w:pPr>
      <w:r>
        <w:rPr>
          <w:sz w:val="24"/>
        </w:rPr>
        <w:t>Debe ser</w:t>
      </w:r>
      <w:r>
        <w:rPr>
          <w:spacing w:val="-3"/>
          <w:sz w:val="24"/>
        </w:rPr>
        <w:t> </w:t>
      </w:r>
      <w:r>
        <w:rPr>
          <w:sz w:val="24"/>
        </w:rPr>
        <w:t>simétrico</w:t>
      </w:r>
    </w:p>
    <w:p>
      <w:pPr>
        <w:pStyle w:val="ListParagraph"/>
        <w:numPr>
          <w:ilvl w:val="0"/>
          <w:numId w:val="15"/>
        </w:numPr>
        <w:tabs>
          <w:tab w:pos="1274" w:val="left" w:leader="none"/>
          <w:tab w:pos="1275" w:val="left" w:leader="none"/>
        </w:tabs>
        <w:spacing w:line="240" w:lineRule="auto" w:before="138" w:after="0"/>
        <w:ind w:left="1274" w:right="0" w:hanging="357"/>
        <w:jc w:val="left"/>
        <w:rPr>
          <w:sz w:val="24"/>
        </w:rPr>
      </w:pPr>
      <w:r>
        <w:rPr>
          <w:sz w:val="24"/>
        </w:rPr>
        <w:t>Debe ser cuadrada (número de filas = número de</w:t>
      </w:r>
      <w:r>
        <w:rPr>
          <w:spacing w:val="-18"/>
          <w:sz w:val="24"/>
        </w:rPr>
        <w:t> </w:t>
      </w:r>
      <w:r>
        <w:rPr>
          <w:sz w:val="24"/>
        </w:rPr>
        <w:t>columnas).</w:t>
      </w:r>
    </w:p>
    <w:p>
      <w:pPr>
        <w:spacing w:after="0" w:line="240" w:lineRule="auto"/>
        <w:jc w:val="left"/>
        <w:rPr>
          <w:sz w:val="24"/>
        </w:rPr>
        <w:sectPr>
          <w:pgSz w:w="12240" w:h="15840"/>
          <w:pgMar w:header="731" w:footer="737" w:top="1180" w:bottom="920" w:left="156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p>
    <w:p>
      <w:pPr>
        <w:pStyle w:val="Heading1"/>
        <w:numPr>
          <w:ilvl w:val="0"/>
          <w:numId w:val="6"/>
        </w:numPr>
        <w:tabs>
          <w:tab w:pos="570" w:val="left" w:leader="none"/>
        </w:tabs>
        <w:spacing w:line="240" w:lineRule="auto" w:before="58" w:after="0"/>
        <w:ind w:left="569" w:right="0" w:hanging="427"/>
        <w:jc w:val="left"/>
      </w:pPr>
      <w:bookmarkStart w:name="_bookmark25" w:id="41"/>
      <w:bookmarkEnd w:id="41"/>
      <w:r>
        <w:rPr>
          <w:b w:val="0"/>
        </w:rPr>
      </w:r>
      <w:bookmarkStart w:name="_bookmark25" w:id="42"/>
      <w:bookmarkEnd w:id="42"/>
      <w:r>
        <w:rPr>
          <w:sz w:val="32"/>
        </w:rPr>
        <w:t>M</w:t>
      </w:r>
      <w:r>
        <w:rPr/>
        <w:t>EX</w:t>
      </w:r>
      <w:r>
        <w:rPr>
          <w:sz w:val="32"/>
        </w:rPr>
        <w:t>D</w:t>
      </w:r>
      <w:r>
        <w:rPr/>
        <w:t>ER Y</w:t>
      </w:r>
      <w:r>
        <w:rPr>
          <w:spacing w:val="-3"/>
        </w:rPr>
        <w:t> </w:t>
      </w:r>
      <w:r>
        <w:rPr>
          <w:sz w:val="32"/>
        </w:rPr>
        <w:t>A</w:t>
      </w:r>
      <w:r>
        <w:rPr/>
        <w:t>SIGNA</w:t>
      </w:r>
    </w:p>
    <w:p>
      <w:pPr>
        <w:pStyle w:val="BodyText"/>
        <w:spacing w:before="5"/>
        <w:rPr>
          <w:b/>
          <w:sz w:val="41"/>
        </w:rPr>
      </w:pPr>
    </w:p>
    <w:p>
      <w:pPr>
        <w:pStyle w:val="ListParagraph"/>
        <w:numPr>
          <w:ilvl w:val="1"/>
          <w:numId w:val="16"/>
        </w:numPr>
        <w:tabs>
          <w:tab w:pos="594" w:val="left" w:leader="none"/>
        </w:tabs>
        <w:spacing w:line="240" w:lineRule="auto" w:before="0" w:after="0"/>
        <w:ind w:left="593" w:right="0" w:hanging="451"/>
        <w:jc w:val="left"/>
        <w:rPr>
          <w:b/>
          <w:sz w:val="18"/>
        </w:rPr>
      </w:pPr>
      <w:bookmarkStart w:name="_bookmark26" w:id="43"/>
      <w:bookmarkEnd w:id="43"/>
      <w:r>
        <w:rPr/>
      </w:r>
      <w:bookmarkStart w:name="_bookmark26" w:id="44"/>
      <w:bookmarkEnd w:id="44"/>
      <w:r>
        <w:rPr>
          <w:b/>
          <w:sz w:val="28"/>
        </w:rPr>
        <w:t>M</w:t>
      </w:r>
      <w:r>
        <w:rPr>
          <w:b/>
          <w:sz w:val="22"/>
        </w:rPr>
        <w:t>ERCADO DE</w:t>
      </w:r>
      <w:r>
        <w:rPr>
          <w:b/>
          <w:spacing w:val="-9"/>
          <w:sz w:val="22"/>
        </w:rPr>
        <w:t> </w:t>
      </w:r>
      <w:r>
        <w:rPr>
          <w:b/>
          <w:sz w:val="22"/>
        </w:rPr>
        <w:t>DERIVADOS</w:t>
      </w:r>
      <w:r>
        <w:rPr>
          <w:b/>
          <w:position w:val="10"/>
          <w:sz w:val="18"/>
        </w:rPr>
        <w:t>38</w:t>
      </w:r>
    </w:p>
    <w:p>
      <w:pPr>
        <w:pStyle w:val="BodyText"/>
        <w:spacing w:line="360" w:lineRule="auto" w:before="241"/>
        <w:ind w:left="142" w:right="143" w:firstLine="707"/>
        <w:jc w:val="both"/>
      </w:pPr>
      <w:r>
        <w:rPr/>
        <w:t>Los productos derivados son instrumentos financieros cuyo valor depende (deriva) del precio de otro bien llamado subyacente (divisas, títulos de capital, deuda, índices accionarios, tasas) y cuyo objetivo es transferir el riesgo de estos últimos.</w:t>
      </w:r>
    </w:p>
    <w:p>
      <w:pPr>
        <w:pStyle w:val="BodyText"/>
        <w:spacing w:line="360" w:lineRule="auto" w:before="5"/>
        <w:ind w:left="142" w:right="135" w:firstLine="707"/>
        <w:jc w:val="both"/>
      </w:pPr>
      <w:r>
        <w:rPr/>
        <w:t>Algunos</w:t>
      </w:r>
      <w:r>
        <w:rPr>
          <w:spacing w:val="-16"/>
        </w:rPr>
        <w:t> </w:t>
      </w:r>
      <w:r>
        <w:rPr/>
        <w:t>derivados</w:t>
      </w:r>
      <w:r>
        <w:rPr>
          <w:spacing w:val="-19"/>
        </w:rPr>
        <w:t> </w:t>
      </w:r>
      <w:r>
        <w:rPr/>
        <w:t>financieros</w:t>
      </w:r>
      <w:r>
        <w:rPr>
          <w:spacing w:val="-16"/>
        </w:rPr>
        <w:t> </w:t>
      </w:r>
      <w:r>
        <w:rPr/>
        <w:t>son</w:t>
      </w:r>
      <w:r>
        <w:rPr>
          <w:spacing w:val="-16"/>
        </w:rPr>
        <w:t> </w:t>
      </w:r>
      <w:r>
        <w:rPr/>
        <w:t>los</w:t>
      </w:r>
      <w:r>
        <w:rPr>
          <w:spacing w:val="-18"/>
        </w:rPr>
        <w:t> </w:t>
      </w:r>
      <w:r>
        <w:rPr/>
        <w:t>futuros39,</w:t>
      </w:r>
      <w:r>
        <w:rPr>
          <w:spacing w:val="-18"/>
        </w:rPr>
        <w:t> </w:t>
      </w:r>
      <w:r>
        <w:rPr/>
        <w:t>las</w:t>
      </w:r>
      <w:r>
        <w:rPr>
          <w:spacing w:val="-16"/>
        </w:rPr>
        <w:t> </w:t>
      </w:r>
      <w:r>
        <w:rPr/>
        <w:t>opciones40,</w:t>
      </w:r>
      <w:r>
        <w:rPr>
          <w:spacing w:val="-16"/>
        </w:rPr>
        <w:t> </w:t>
      </w:r>
      <w:r>
        <w:rPr/>
        <w:t>los</w:t>
      </w:r>
      <w:r>
        <w:rPr>
          <w:spacing w:val="-18"/>
        </w:rPr>
        <w:t> </w:t>
      </w:r>
      <w:r>
        <w:rPr/>
        <w:t>forwards y los</w:t>
      </w:r>
      <w:r>
        <w:rPr>
          <w:spacing w:val="-5"/>
        </w:rPr>
        <w:t> </w:t>
      </w:r>
      <w:r>
        <w:rPr/>
        <w:t>swaps41.</w:t>
      </w:r>
    </w:p>
    <w:p>
      <w:pPr>
        <w:pStyle w:val="Heading3"/>
        <w:spacing w:before="122"/>
      </w:pPr>
      <w:r>
        <w:rPr/>
        <w:t>Concepto</w:t>
      </w:r>
    </w:p>
    <w:p>
      <w:pPr>
        <w:pStyle w:val="BodyText"/>
        <w:spacing w:line="360" w:lineRule="auto" w:before="62"/>
        <w:ind w:left="142" w:right="144" w:firstLine="707"/>
        <w:jc w:val="both"/>
      </w:pPr>
      <w:r>
        <w:rPr/>
        <w:t>Mecanismo que permite las operaciones de compraventa de productos derivados a través de los contratos de futuros y de contratos de opción.</w:t>
      </w:r>
    </w:p>
    <w:p>
      <w:pPr>
        <w:pStyle w:val="Heading3"/>
        <w:spacing w:before="122"/>
      </w:pPr>
      <w:r>
        <w:rPr/>
        <w:t>Mercados extrabursátiles</w:t>
      </w:r>
    </w:p>
    <w:p>
      <w:pPr>
        <w:pStyle w:val="BodyText"/>
        <w:spacing w:line="360" w:lineRule="auto" w:before="62"/>
        <w:ind w:left="142" w:right="132" w:firstLine="707"/>
        <w:jc w:val="both"/>
      </w:pPr>
      <w:r>
        <w:rPr/>
        <w:t>Los mercados de productos derivados nacieron como mercados OTC</w:t>
      </w:r>
      <w:r>
        <w:rPr>
          <w:spacing w:val="-44"/>
        </w:rPr>
        <w:t> </w:t>
      </w:r>
      <w:r>
        <w:rPr/>
        <w:t>(Over- the-Counter) o extrabursátiles, en los que los contratos se negocian en forma bilateral y el riesgo de incumplimiento es asumido por ambas partes. (BMV- Educación,</w:t>
      </w:r>
      <w:r>
        <w:rPr>
          <w:spacing w:val="-10"/>
        </w:rPr>
        <w:t> </w:t>
      </w:r>
      <w:r>
        <w:rPr/>
        <w:t>2003:7)</w:t>
      </w:r>
    </w:p>
    <w:p>
      <w:pPr>
        <w:pStyle w:val="BodyText"/>
        <w:spacing w:line="360" w:lineRule="auto" w:before="5"/>
        <w:ind w:left="142" w:right="139" w:firstLine="707"/>
        <w:jc w:val="both"/>
      </w:pPr>
      <w:r>
        <w:rPr/>
        <w:t>El concepto OTC se utiliza para denominar a todas aquellas operaciones o productos</w:t>
      </w:r>
      <w:r>
        <w:rPr>
          <w:spacing w:val="-10"/>
        </w:rPr>
        <w:t> </w:t>
      </w:r>
      <w:r>
        <w:rPr/>
        <w:t>que</w:t>
      </w:r>
      <w:r>
        <w:rPr>
          <w:spacing w:val="-12"/>
        </w:rPr>
        <w:t> </w:t>
      </w:r>
      <w:r>
        <w:rPr/>
        <w:t>se</w:t>
      </w:r>
      <w:r>
        <w:rPr>
          <w:spacing w:val="-12"/>
        </w:rPr>
        <w:t> </w:t>
      </w:r>
      <w:r>
        <w:rPr/>
        <w:t>negocian</w:t>
      </w:r>
      <w:r>
        <w:rPr>
          <w:spacing w:val="-11"/>
        </w:rPr>
        <w:t> </w:t>
      </w:r>
      <w:r>
        <w:rPr/>
        <w:t>fuera</w:t>
      </w:r>
      <w:r>
        <w:rPr>
          <w:spacing w:val="-12"/>
        </w:rPr>
        <w:t> </w:t>
      </w:r>
      <w:r>
        <w:rPr/>
        <w:t>de</w:t>
      </w:r>
      <w:r>
        <w:rPr>
          <w:spacing w:val="-12"/>
        </w:rPr>
        <w:t> </w:t>
      </w:r>
      <w:r>
        <w:rPr/>
        <w:t>una</w:t>
      </w:r>
      <w:r>
        <w:rPr>
          <w:spacing w:val="-12"/>
        </w:rPr>
        <w:t> </w:t>
      </w:r>
      <w:r>
        <w:rPr/>
        <w:t>bolsa</w:t>
      </w:r>
      <w:r>
        <w:rPr>
          <w:spacing w:val="-9"/>
        </w:rPr>
        <w:t> </w:t>
      </w:r>
      <w:r>
        <w:rPr/>
        <w:t>organizada</w:t>
      </w:r>
      <w:r>
        <w:rPr>
          <w:spacing w:val="-12"/>
        </w:rPr>
        <w:t> </w:t>
      </w:r>
      <w:r>
        <w:rPr/>
        <w:t>de</w:t>
      </w:r>
      <w:r>
        <w:rPr>
          <w:spacing w:val="-12"/>
        </w:rPr>
        <w:t> </w:t>
      </w:r>
      <w:r>
        <w:rPr/>
        <w:t>valores.</w:t>
      </w:r>
      <w:r>
        <w:rPr>
          <w:spacing w:val="-10"/>
        </w:rPr>
        <w:t> </w:t>
      </w:r>
      <w:r>
        <w:rPr/>
        <w:t>En</w:t>
      </w:r>
      <w:r>
        <w:rPr>
          <w:spacing w:val="-12"/>
        </w:rPr>
        <w:t> </w:t>
      </w:r>
      <w:r>
        <w:rPr/>
        <w:t>México</w:t>
      </w:r>
      <w:r>
        <w:rPr>
          <w:spacing w:val="-10"/>
        </w:rPr>
        <w:t> </w:t>
      </w:r>
      <w:r>
        <w:rPr/>
        <w:t>se refiere</w:t>
      </w:r>
      <w:r>
        <w:rPr>
          <w:spacing w:val="-13"/>
        </w:rPr>
        <w:t> </w:t>
      </w:r>
      <w:r>
        <w:rPr/>
        <w:t>principalmente</w:t>
      </w:r>
      <w:r>
        <w:rPr>
          <w:spacing w:val="-15"/>
        </w:rPr>
        <w:t> </w:t>
      </w:r>
      <w:r>
        <w:rPr/>
        <w:t>a</w:t>
      </w:r>
      <w:r>
        <w:rPr>
          <w:spacing w:val="-11"/>
        </w:rPr>
        <w:t> </w:t>
      </w:r>
      <w:r>
        <w:rPr/>
        <w:t>la</w:t>
      </w:r>
      <w:r>
        <w:rPr>
          <w:spacing w:val="-13"/>
        </w:rPr>
        <w:t> </w:t>
      </w:r>
      <w:r>
        <w:rPr/>
        <w:t>compra-venta</w:t>
      </w:r>
      <w:r>
        <w:rPr>
          <w:spacing w:val="-13"/>
        </w:rPr>
        <w:t> </w:t>
      </w:r>
      <w:r>
        <w:rPr/>
        <w:t>a</w:t>
      </w:r>
      <w:r>
        <w:rPr>
          <w:spacing w:val="-12"/>
        </w:rPr>
        <w:t> </w:t>
      </w:r>
      <w:r>
        <w:rPr/>
        <w:t>futuro</w:t>
      </w:r>
      <w:r>
        <w:rPr>
          <w:spacing w:val="-14"/>
        </w:rPr>
        <w:t> </w:t>
      </w:r>
      <w:r>
        <w:rPr/>
        <w:t>de</w:t>
      </w:r>
      <w:r>
        <w:rPr>
          <w:spacing w:val="-13"/>
        </w:rPr>
        <w:t> </w:t>
      </w:r>
      <w:r>
        <w:rPr/>
        <w:t>dólares,</w:t>
      </w:r>
      <w:r>
        <w:rPr>
          <w:spacing w:val="-13"/>
        </w:rPr>
        <w:t> </w:t>
      </w:r>
      <w:r>
        <w:rPr/>
        <w:t>tasas</w:t>
      </w:r>
      <w:r>
        <w:rPr>
          <w:spacing w:val="-14"/>
        </w:rPr>
        <w:t> </w:t>
      </w:r>
      <w:r>
        <w:rPr/>
        <w:t>de</w:t>
      </w:r>
      <w:r>
        <w:rPr>
          <w:spacing w:val="-11"/>
        </w:rPr>
        <w:t> </w:t>
      </w:r>
      <w:r>
        <w:rPr/>
        <w:t>interés</w:t>
      </w:r>
      <w:r>
        <w:rPr>
          <w:spacing w:val="-14"/>
        </w:rPr>
        <w:t> </w:t>
      </w:r>
      <w:r>
        <w:rPr/>
        <w:t>y</w:t>
      </w:r>
      <w:r>
        <w:rPr>
          <w:spacing w:val="-14"/>
        </w:rPr>
        <w:t> </w:t>
      </w:r>
      <w:r>
        <w:rPr/>
        <w:t>otros instrumentos autorizados, que se realizan directamente entre participantes e intermediarios,</w:t>
      </w:r>
      <w:r>
        <w:rPr>
          <w:spacing w:val="-10"/>
        </w:rPr>
        <w:t> </w:t>
      </w:r>
      <w:r>
        <w:rPr/>
        <w:t>entendiéndose</w:t>
      </w:r>
      <w:r>
        <w:rPr>
          <w:spacing w:val="-9"/>
        </w:rPr>
        <w:t> </w:t>
      </w:r>
      <w:r>
        <w:rPr/>
        <w:t>como</w:t>
      </w:r>
      <w:r>
        <w:rPr>
          <w:spacing w:val="-9"/>
        </w:rPr>
        <w:t> </w:t>
      </w:r>
      <w:r>
        <w:rPr/>
        <w:t>participantes</w:t>
      </w:r>
      <w:r>
        <w:rPr>
          <w:spacing w:val="-10"/>
        </w:rPr>
        <w:t> </w:t>
      </w:r>
      <w:r>
        <w:rPr/>
        <w:t>a</w:t>
      </w:r>
      <w:r>
        <w:rPr>
          <w:spacing w:val="-9"/>
        </w:rPr>
        <w:t> </w:t>
      </w:r>
      <w:r>
        <w:rPr/>
        <w:t>las</w:t>
      </w:r>
      <w:r>
        <w:rPr>
          <w:spacing w:val="-10"/>
        </w:rPr>
        <w:t> </w:t>
      </w:r>
      <w:r>
        <w:rPr/>
        <w:t>personas</w:t>
      </w:r>
      <w:r>
        <w:rPr>
          <w:spacing w:val="-13"/>
        </w:rPr>
        <w:t> </w:t>
      </w:r>
      <w:r>
        <w:rPr/>
        <w:t>físicas</w:t>
      </w:r>
      <w:r>
        <w:rPr>
          <w:spacing w:val="-8"/>
        </w:rPr>
        <w:t> </w:t>
      </w:r>
      <w:r>
        <w:rPr/>
        <w:t>nacionales</w:t>
      </w:r>
    </w:p>
    <w:p>
      <w:pPr>
        <w:pStyle w:val="BodyText"/>
        <w:rPr>
          <w:sz w:val="20"/>
        </w:rPr>
      </w:pPr>
    </w:p>
    <w:p>
      <w:pPr>
        <w:pStyle w:val="BodyText"/>
        <w:spacing w:before="5"/>
        <w:rPr>
          <w:sz w:val="11"/>
        </w:rPr>
      </w:pPr>
      <w:r>
        <w:rPr/>
        <w:pict>
          <v:line style="position:absolute;mso-position-horizontal-relative:page;mso-position-vertical-relative:paragraph;z-index:3928;mso-wrap-distance-left:0;mso-wrap-distance-right:0" from="85.103996pt,8.864895pt" to="229.123996pt,8.864895pt" stroked="true" strokeweight=".599980pt" strokecolor="#000000">
            <w10:wrap type="topAndBottom"/>
          </v:line>
        </w:pict>
      </w:r>
    </w:p>
    <w:p>
      <w:pPr>
        <w:spacing w:before="78"/>
        <w:ind w:left="142" w:right="786" w:firstLine="0"/>
        <w:jc w:val="left"/>
        <w:rPr>
          <w:sz w:val="20"/>
        </w:rPr>
      </w:pPr>
      <w:r>
        <w:rPr>
          <w:position w:val="6"/>
          <w:sz w:val="13"/>
        </w:rPr>
        <w:t>38 </w:t>
      </w:r>
      <w:hyperlink r:id="rId45">
        <w:r>
          <w:rPr>
            <w:color w:val="0000FF"/>
            <w:sz w:val="20"/>
            <w:u w:val="single" w:color="0000FF"/>
          </w:rPr>
          <w:t>http://www.mexder.com.mx/MEX/anteceden.html</w:t>
        </w:r>
      </w:hyperlink>
    </w:p>
    <w:p>
      <w:pPr>
        <w:spacing w:before="0"/>
        <w:ind w:left="142" w:right="157" w:firstLine="0"/>
        <w:jc w:val="left"/>
        <w:rPr>
          <w:sz w:val="20"/>
        </w:rPr>
      </w:pPr>
      <w:r>
        <w:rPr>
          <w:position w:val="6"/>
          <w:sz w:val="13"/>
        </w:rPr>
        <w:t>39 </w:t>
      </w:r>
      <w:r>
        <w:rPr>
          <w:sz w:val="20"/>
        </w:rPr>
        <w:t>Futuros: Contrato que establece la compraventa de un activo en una fecha futura a un precio determinado en el momento de formalizar el contrato. A diferencia de las opciones, los futuros son de obligado cumplimiento</w:t>
      </w:r>
    </w:p>
    <w:p>
      <w:pPr>
        <w:spacing w:before="0"/>
        <w:ind w:left="142" w:right="227" w:firstLine="0"/>
        <w:jc w:val="left"/>
        <w:rPr>
          <w:sz w:val="20"/>
        </w:rPr>
      </w:pPr>
      <w:r>
        <w:rPr>
          <w:position w:val="6"/>
          <w:sz w:val="13"/>
        </w:rPr>
        <w:t>40 </w:t>
      </w:r>
      <w:r>
        <w:rPr>
          <w:sz w:val="20"/>
        </w:rPr>
        <w:t>Contrato por el que una de las partes, pagando una prima, tiene el derecho y no la obligación de vender o comprar el </w:t>
      </w:r>
      <w:hyperlink r:id="rId46">
        <w:r>
          <w:rPr>
            <w:color w:val="0000FF"/>
            <w:sz w:val="20"/>
            <w:u w:val="single" w:color="0000FF"/>
          </w:rPr>
          <w:t>activo subyacente </w:t>
        </w:r>
      </w:hyperlink>
      <w:r>
        <w:rPr>
          <w:sz w:val="20"/>
        </w:rPr>
        <w:t>a un precio pactado en una fecha o período determinado. Activo negociado en el </w:t>
      </w:r>
      <w:hyperlink r:id="rId47">
        <w:r>
          <w:rPr>
            <w:color w:val="0000FF"/>
            <w:sz w:val="20"/>
            <w:u w:val="single" w:color="0000FF"/>
          </w:rPr>
          <w:t>mercado de opciones</w:t>
        </w:r>
      </w:hyperlink>
    </w:p>
    <w:p>
      <w:pPr>
        <w:spacing w:before="0"/>
        <w:ind w:left="142" w:right="517" w:firstLine="0"/>
        <w:jc w:val="left"/>
        <w:rPr>
          <w:sz w:val="20"/>
        </w:rPr>
      </w:pPr>
      <w:r>
        <w:rPr>
          <w:position w:val="6"/>
          <w:sz w:val="13"/>
        </w:rPr>
        <w:t>41 </w:t>
      </w:r>
      <w:r>
        <w:rPr>
          <w:sz w:val="20"/>
        </w:rPr>
        <w:t>Swap: Permuta financiera en la que dos partes acuerdan intercambiar flujos monetarios en el tiempo.</w:t>
      </w:r>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39"/>
        <w:jc w:val="both"/>
      </w:pPr>
      <w:r>
        <w:rPr/>
        <w:t>y</w:t>
      </w:r>
      <w:r>
        <w:rPr>
          <w:spacing w:val="-12"/>
        </w:rPr>
        <w:t> </w:t>
      </w:r>
      <w:r>
        <w:rPr/>
        <w:t>extranjeras</w:t>
      </w:r>
      <w:r>
        <w:rPr>
          <w:spacing w:val="-9"/>
        </w:rPr>
        <w:t> </w:t>
      </w:r>
      <w:r>
        <w:rPr/>
        <w:t>y</w:t>
      </w:r>
      <w:r>
        <w:rPr>
          <w:spacing w:val="-9"/>
        </w:rPr>
        <w:t> </w:t>
      </w:r>
      <w:r>
        <w:rPr/>
        <w:t>los</w:t>
      </w:r>
      <w:r>
        <w:rPr>
          <w:spacing w:val="-9"/>
        </w:rPr>
        <w:t> </w:t>
      </w:r>
      <w:r>
        <w:rPr/>
        <w:t>intermediarios</w:t>
      </w:r>
      <w:r>
        <w:rPr>
          <w:spacing w:val="-9"/>
        </w:rPr>
        <w:t> </w:t>
      </w:r>
      <w:r>
        <w:rPr/>
        <w:t>a</w:t>
      </w:r>
      <w:r>
        <w:rPr>
          <w:spacing w:val="-8"/>
        </w:rPr>
        <w:t> </w:t>
      </w:r>
      <w:r>
        <w:rPr/>
        <w:t>las</w:t>
      </w:r>
      <w:r>
        <w:rPr>
          <w:spacing w:val="-9"/>
        </w:rPr>
        <w:t> </w:t>
      </w:r>
      <w:r>
        <w:rPr/>
        <w:t>instituciones</w:t>
      </w:r>
      <w:r>
        <w:rPr>
          <w:spacing w:val="-9"/>
        </w:rPr>
        <w:t> </w:t>
      </w:r>
      <w:r>
        <w:rPr/>
        <w:t>de</w:t>
      </w:r>
      <w:r>
        <w:rPr>
          <w:spacing w:val="-8"/>
        </w:rPr>
        <w:t> </w:t>
      </w:r>
      <w:r>
        <w:rPr/>
        <w:t>crédito</w:t>
      </w:r>
      <w:r>
        <w:rPr>
          <w:spacing w:val="-8"/>
        </w:rPr>
        <w:t> </w:t>
      </w:r>
      <w:r>
        <w:rPr/>
        <w:t>o</w:t>
      </w:r>
      <w:r>
        <w:rPr>
          <w:spacing w:val="-8"/>
        </w:rPr>
        <w:t> </w:t>
      </w:r>
      <w:r>
        <w:rPr/>
        <w:t>casas</w:t>
      </w:r>
      <w:r>
        <w:rPr>
          <w:spacing w:val="-9"/>
        </w:rPr>
        <w:t> </w:t>
      </w:r>
      <w:r>
        <w:rPr/>
        <w:t>de</w:t>
      </w:r>
      <w:r>
        <w:rPr>
          <w:spacing w:val="-8"/>
        </w:rPr>
        <w:t> </w:t>
      </w:r>
      <w:r>
        <w:rPr/>
        <w:t>bolsa</w:t>
      </w:r>
      <w:r>
        <w:rPr>
          <w:spacing w:val="-9"/>
        </w:rPr>
        <w:t> </w:t>
      </w:r>
      <w:r>
        <w:rPr/>
        <w:t>que obtienen</w:t>
      </w:r>
      <w:r>
        <w:rPr>
          <w:spacing w:val="-7"/>
        </w:rPr>
        <w:t> </w:t>
      </w:r>
      <w:r>
        <w:rPr/>
        <w:t>autorización</w:t>
      </w:r>
      <w:r>
        <w:rPr>
          <w:spacing w:val="-7"/>
        </w:rPr>
        <w:t> </w:t>
      </w:r>
      <w:r>
        <w:rPr/>
        <w:t>por</w:t>
      </w:r>
      <w:r>
        <w:rPr>
          <w:spacing w:val="-6"/>
        </w:rPr>
        <w:t> </w:t>
      </w:r>
      <w:r>
        <w:rPr/>
        <w:t>escrito</w:t>
      </w:r>
      <w:r>
        <w:rPr>
          <w:spacing w:val="-6"/>
        </w:rPr>
        <w:t> </w:t>
      </w:r>
      <w:r>
        <w:rPr/>
        <w:t>del</w:t>
      </w:r>
      <w:r>
        <w:rPr>
          <w:spacing w:val="-6"/>
        </w:rPr>
        <w:t> </w:t>
      </w:r>
      <w:r>
        <w:rPr/>
        <w:t>Banco</w:t>
      </w:r>
      <w:r>
        <w:rPr>
          <w:spacing w:val="-7"/>
        </w:rPr>
        <w:t> </w:t>
      </w:r>
      <w:r>
        <w:rPr/>
        <w:t>de</w:t>
      </w:r>
      <w:r>
        <w:rPr>
          <w:spacing w:val="-5"/>
        </w:rPr>
        <w:t> </w:t>
      </w:r>
      <w:r>
        <w:rPr/>
        <w:t>México</w:t>
      </w:r>
      <w:r>
        <w:rPr>
          <w:spacing w:val="-5"/>
        </w:rPr>
        <w:t> </w:t>
      </w:r>
      <w:r>
        <w:rPr/>
        <w:t>para</w:t>
      </w:r>
      <w:r>
        <w:rPr>
          <w:spacing w:val="-8"/>
        </w:rPr>
        <w:t> </w:t>
      </w:r>
      <w:r>
        <w:rPr/>
        <w:t>realizar</w:t>
      </w:r>
      <w:r>
        <w:rPr>
          <w:spacing w:val="-8"/>
        </w:rPr>
        <w:t> </w:t>
      </w:r>
      <w:r>
        <w:rPr/>
        <w:t>operaciones</w:t>
      </w:r>
      <w:r>
        <w:rPr>
          <w:spacing w:val="-8"/>
        </w:rPr>
        <w:t> </w:t>
      </w:r>
      <w:r>
        <w:rPr/>
        <w:t>de compra-venta. (Glosario MexDer,</w:t>
      </w:r>
      <w:r>
        <w:rPr>
          <w:spacing w:val="-14"/>
        </w:rPr>
        <w:t> </w:t>
      </w:r>
      <w:r>
        <w:rPr/>
        <w:t>2006)</w:t>
      </w:r>
    </w:p>
    <w:p>
      <w:pPr>
        <w:pStyle w:val="Heading3"/>
        <w:spacing w:before="122"/>
      </w:pPr>
      <w:r>
        <w:rPr/>
        <w:t>Mercados organizados</w:t>
      </w:r>
    </w:p>
    <w:p>
      <w:pPr>
        <w:pStyle w:val="BodyText"/>
        <w:spacing w:line="360" w:lineRule="auto" w:before="62"/>
        <w:ind w:left="142" w:right="136" w:firstLine="707"/>
        <w:jc w:val="both"/>
      </w:pPr>
      <w:r>
        <w:rPr/>
        <w:t>Los mercados organizados de productos derivados son aquellos en los que los contratos se negocian a través de un sistema implementado por una Bolsa específica y cuya estandarización contribuye a concentrar la negociación en un número específico de contratos, en el que las características se encuentran plenamente establecidas y determinadas, de tal manera que son prácticamente las mismas para aquellos contratos referidos a un mismo activo subyacente. Además de que son mercados que cuentan con la existencia de una cámara de compensación que se interpone entre ambas partes y que asume todos los</w:t>
      </w:r>
      <w:r>
        <w:rPr>
          <w:spacing w:val="-32"/>
        </w:rPr>
        <w:t> </w:t>
      </w:r>
      <w:r>
        <w:rPr/>
        <w:t>riesgos de incumplimiento. Algunos mercados organizados son los</w:t>
      </w:r>
      <w:r>
        <w:rPr>
          <w:spacing w:val="-25"/>
        </w:rPr>
        <w:t> </w:t>
      </w:r>
      <w:r>
        <w:rPr/>
        <w:t>siguientes:</w:t>
      </w:r>
    </w:p>
    <w:p>
      <w:pPr>
        <w:pStyle w:val="ListParagraph"/>
        <w:numPr>
          <w:ilvl w:val="2"/>
          <w:numId w:val="16"/>
        </w:numPr>
        <w:tabs>
          <w:tab w:pos="1274" w:val="left" w:leader="none"/>
          <w:tab w:pos="1275" w:val="left" w:leader="none"/>
        </w:tabs>
        <w:spacing w:line="240" w:lineRule="auto" w:before="5" w:after="0"/>
        <w:ind w:left="1274" w:right="0" w:hanging="357"/>
        <w:jc w:val="left"/>
        <w:rPr>
          <w:rFonts w:ascii="Symbol" w:hAnsi="Symbol"/>
          <w:sz w:val="24"/>
        </w:rPr>
      </w:pPr>
      <w:r>
        <w:rPr>
          <w:sz w:val="24"/>
        </w:rPr>
        <w:t>Mercado Mexicano de Derivados</w:t>
      </w:r>
      <w:r>
        <w:rPr>
          <w:position w:val="8"/>
          <w:sz w:val="16"/>
        </w:rPr>
        <w:t>42</w:t>
      </w:r>
      <w:r>
        <w:rPr>
          <w:spacing w:val="-13"/>
          <w:position w:val="8"/>
          <w:sz w:val="16"/>
        </w:rPr>
        <w:t> </w:t>
      </w:r>
      <w:r>
        <w:rPr>
          <w:rFonts w:ascii="Symbol" w:hAnsi="Symbol"/>
          <w:sz w:val="24"/>
        </w:rPr>
        <w:t></w:t>
      </w:r>
      <w:r>
        <w:rPr>
          <w:sz w:val="24"/>
        </w:rPr>
        <w:t>MexDer</w:t>
      </w:r>
      <w:r>
        <w:rPr>
          <w:rFonts w:ascii="Symbol" w:hAnsi="Symbol"/>
          <w:sz w:val="24"/>
        </w:rPr>
        <w:t></w:t>
      </w:r>
    </w:p>
    <w:p>
      <w:pPr>
        <w:pStyle w:val="ListParagraph"/>
        <w:numPr>
          <w:ilvl w:val="2"/>
          <w:numId w:val="16"/>
        </w:numPr>
        <w:tabs>
          <w:tab w:pos="1274" w:val="left" w:leader="none"/>
          <w:tab w:pos="1275" w:val="left" w:leader="none"/>
          <w:tab w:pos="2835" w:val="left" w:leader="none"/>
          <w:tab w:pos="4070" w:val="left" w:leader="none"/>
          <w:tab w:pos="5226" w:val="left" w:leader="none"/>
          <w:tab w:pos="6195" w:val="left" w:leader="none"/>
          <w:tab w:pos="6754" w:val="left" w:leader="none"/>
          <w:tab w:pos="7874" w:val="left" w:leader="none"/>
        </w:tabs>
        <w:spacing w:line="357" w:lineRule="auto" w:before="147" w:after="0"/>
        <w:ind w:left="1274" w:right="140" w:hanging="357"/>
        <w:jc w:val="left"/>
        <w:rPr>
          <w:rFonts w:ascii="Symbol" w:hAnsi="Symbol"/>
          <w:sz w:val="24"/>
        </w:rPr>
      </w:pPr>
      <w:r>
        <w:rPr>
          <w:sz w:val="24"/>
        </w:rPr>
        <w:t>International</w:t>
        <w:tab/>
        <w:t>Monetary</w:t>
        <w:tab/>
        <w:t>Market</w:t>
      </w:r>
      <w:r>
        <w:rPr>
          <w:position w:val="8"/>
          <w:sz w:val="16"/>
        </w:rPr>
        <w:t>43</w:t>
        <w:tab/>
      </w:r>
      <w:r>
        <w:rPr>
          <w:rFonts w:ascii="Symbol" w:hAnsi="Symbol"/>
          <w:sz w:val="24"/>
        </w:rPr>
        <w:t></w:t>
      </w:r>
      <w:r>
        <w:rPr>
          <w:sz w:val="24"/>
        </w:rPr>
        <w:t>IMM</w:t>
      </w:r>
      <w:r>
        <w:rPr>
          <w:rFonts w:ascii="Symbol" w:hAnsi="Symbol"/>
          <w:sz w:val="24"/>
        </w:rPr>
        <w:t></w:t>
      </w:r>
      <w:r>
        <w:rPr>
          <w:rFonts w:ascii="Times New Roman" w:hAnsi="Times New Roman"/>
          <w:sz w:val="24"/>
        </w:rPr>
        <w:tab/>
      </w:r>
      <w:r>
        <w:rPr>
          <w:sz w:val="24"/>
        </w:rPr>
        <w:t>del</w:t>
        <w:tab/>
        <w:t>Chicago</w:t>
        <w:tab/>
      </w:r>
      <w:r>
        <w:rPr>
          <w:spacing w:val="-1"/>
          <w:sz w:val="24"/>
        </w:rPr>
        <w:t>Mercantile </w:t>
      </w:r>
      <w:r>
        <w:rPr>
          <w:sz w:val="24"/>
        </w:rPr>
        <w:t>Exchange</w:t>
      </w:r>
      <w:r>
        <w:rPr>
          <w:position w:val="8"/>
          <w:sz w:val="16"/>
        </w:rPr>
        <w:t>44</w:t>
      </w:r>
      <w:r>
        <w:rPr>
          <w:spacing w:val="16"/>
          <w:position w:val="8"/>
          <w:sz w:val="16"/>
        </w:rPr>
        <w:t> </w:t>
      </w:r>
      <w:r>
        <w:rPr>
          <w:rFonts w:ascii="Symbol" w:hAnsi="Symbol"/>
          <w:sz w:val="24"/>
        </w:rPr>
        <w:t></w:t>
      </w:r>
      <w:r>
        <w:rPr>
          <w:sz w:val="24"/>
        </w:rPr>
        <w:t>CME</w:t>
      </w:r>
      <w:r>
        <w:rPr>
          <w:rFonts w:ascii="Symbol" w:hAnsi="Symbol"/>
          <w:sz w:val="24"/>
        </w:rPr>
        <w:t></w:t>
      </w:r>
    </w:p>
    <w:p>
      <w:pPr>
        <w:pStyle w:val="ListParagraph"/>
        <w:numPr>
          <w:ilvl w:val="2"/>
          <w:numId w:val="16"/>
        </w:numPr>
        <w:tabs>
          <w:tab w:pos="1274" w:val="left" w:leader="none"/>
          <w:tab w:pos="1275" w:val="left" w:leader="none"/>
        </w:tabs>
        <w:spacing w:line="240" w:lineRule="auto" w:before="4" w:after="0"/>
        <w:ind w:left="1274" w:right="0" w:hanging="357"/>
        <w:jc w:val="left"/>
        <w:rPr>
          <w:rFonts w:ascii="Symbol" w:hAnsi="Symbol"/>
          <w:sz w:val="24"/>
        </w:rPr>
      </w:pPr>
      <w:r>
        <w:rPr>
          <w:sz w:val="24"/>
        </w:rPr>
        <w:t>Chicago Board Option Exchange</w:t>
      </w:r>
      <w:r>
        <w:rPr>
          <w:position w:val="8"/>
          <w:sz w:val="16"/>
        </w:rPr>
        <w:t>45</w:t>
      </w:r>
      <w:r>
        <w:rPr>
          <w:spacing w:val="10"/>
          <w:position w:val="8"/>
          <w:sz w:val="16"/>
        </w:rPr>
        <w:t> </w:t>
      </w:r>
      <w:r>
        <w:rPr>
          <w:rFonts w:ascii="Symbol" w:hAnsi="Symbol"/>
          <w:sz w:val="24"/>
        </w:rPr>
        <w:t></w:t>
      </w:r>
      <w:r>
        <w:rPr>
          <w:sz w:val="24"/>
        </w:rPr>
        <w:t>CBOE</w:t>
      </w:r>
      <w:r>
        <w:rPr>
          <w:rFonts w:ascii="Symbol" w:hAnsi="Symbol"/>
          <w:sz w:val="24"/>
        </w:rPr>
        <w:t></w:t>
      </w:r>
    </w:p>
    <w:p>
      <w:pPr>
        <w:pStyle w:val="ListParagraph"/>
        <w:numPr>
          <w:ilvl w:val="2"/>
          <w:numId w:val="16"/>
        </w:numPr>
        <w:tabs>
          <w:tab w:pos="1274" w:val="left" w:leader="none"/>
          <w:tab w:pos="1275" w:val="left" w:leader="none"/>
        </w:tabs>
        <w:spacing w:line="240" w:lineRule="auto" w:before="147" w:after="0"/>
        <w:ind w:left="1274" w:right="0" w:hanging="357"/>
        <w:jc w:val="left"/>
        <w:rPr>
          <w:sz w:val="24"/>
        </w:rPr>
      </w:pPr>
      <w:r>
        <w:rPr>
          <w:sz w:val="24"/>
        </w:rPr>
        <w:t>Chicago Board of Trade</w:t>
      </w:r>
      <w:r>
        <w:rPr>
          <w:position w:val="8"/>
          <w:sz w:val="16"/>
        </w:rPr>
        <w:t>46</w:t>
      </w:r>
      <w:r>
        <w:rPr>
          <w:spacing w:val="13"/>
          <w:position w:val="8"/>
          <w:sz w:val="16"/>
        </w:rPr>
        <w:t> </w:t>
      </w:r>
      <w:r>
        <w:rPr>
          <w:rFonts w:ascii="Symbol" w:hAnsi="Symbol"/>
          <w:sz w:val="24"/>
        </w:rPr>
        <w:t></w:t>
      </w:r>
      <w:r>
        <w:rPr>
          <w:sz w:val="24"/>
        </w:rPr>
        <w:t>CBT</w:t>
      </w:r>
      <w:r>
        <w:rPr>
          <w:rFonts w:ascii="Symbol" w:hAnsi="Symbol"/>
          <w:sz w:val="24"/>
        </w:rPr>
        <w:t></w:t>
      </w:r>
      <w:r>
        <w:rPr>
          <w:sz w:val="24"/>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r>
        <w:rPr/>
        <w:pict>
          <v:line style="position:absolute;mso-position-horizontal-relative:page;mso-position-vertical-relative:paragraph;z-index:3952;mso-wrap-distance-left:0;mso-wrap-distance-right:0" from="85.103996pt,15.90888pt" to="229.123996pt,15.90888pt" stroked="true" strokeweight=".60004pt" strokecolor="#000000">
            <w10:wrap type="topAndBottom"/>
          </v:line>
        </w:pict>
      </w:r>
    </w:p>
    <w:p>
      <w:pPr>
        <w:spacing w:before="78"/>
        <w:ind w:left="142" w:right="786" w:firstLine="0"/>
        <w:jc w:val="left"/>
        <w:rPr>
          <w:sz w:val="20"/>
        </w:rPr>
      </w:pPr>
      <w:r>
        <w:rPr>
          <w:position w:val="6"/>
          <w:sz w:val="13"/>
        </w:rPr>
        <w:t>42 </w:t>
      </w:r>
      <w:hyperlink r:id="rId48">
        <w:r>
          <w:rPr>
            <w:color w:val="0000FF"/>
            <w:sz w:val="20"/>
            <w:u w:val="single" w:color="0000FF"/>
          </w:rPr>
          <w:t>http://www.mexder.com.mx/MEX/paginaprincipal.html</w:t>
        </w:r>
      </w:hyperlink>
    </w:p>
    <w:p>
      <w:pPr>
        <w:spacing w:before="0"/>
        <w:ind w:left="142" w:right="786" w:firstLine="0"/>
        <w:jc w:val="left"/>
        <w:rPr>
          <w:sz w:val="20"/>
        </w:rPr>
      </w:pPr>
      <w:r>
        <w:rPr>
          <w:position w:val="6"/>
          <w:sz w:val="13"/>
        </w:rPr>
        <w:t>43 </w:t>
      </w:r>
      <w:hyperlink r:id="rId49">
        <w:r>
          <w:rPr>
            <w:color w:val="0000FF"/>
            <w:sz w:val="20"/>
            <w:u w:val="single" w:color="0000FF"/>
          </w:rPr>
          <w:t>http://www.in-the-money.com/glossarynet/Internat.htm</w:t>
        </w:r>
      </w:hyperlink>
    </w:p>
    <w:p>
      <w:pPr>
        <w:spacing w:before="0"/>
        <w:ind w:left="142" w:right="786" w:firstLine="0"/>
        <w:jc w:val="left"/>
        <w:rPr>
          <w:sz w:val="20"/>
        </w:rPr>
      </w:pPr>
      <w:r>
        <w:rPr>
          <w:position w:val="6"/>
          <w:sz w:val="13"/>
        </w:rPr>
        <w:t>44 </w:t>
      </w:r>
      <w:hyperlink r:id="rId50">
        <w:r>
          <w:rPr>
            <w:color w:val="0000FF"/>
            <w:sz w:val="20"/>
            <w:u w:val="single" w:color="0000FF"/>
          </w:rPr>
          <w:t>http://www.cme.com/</w:t>
        </w:r>
      </w:hyperlink>
    </w:p>
    <w:p>
      <w:pPr>
        <w:spacing w:before="0"/>
        <w:ind w:left="142" w:right="786" w:firstLine="0"/>
        <w:jc w:val="left"/>
        <w:rPr>
          <w:sz w:val="20"/>
        </w:rPr>
      </w:pPr>
      <w:r>
        <w:rPr>
          <w:position w:val="6"/>
          <w:sz w:val="13"/>
        </w:rPr>
        <w:t>45 </w:t>
      </w:r>
      <w:hyperlink r:id="rId51">
        <w:r>
          <w:rPr>
            <w:color w:val="0000FF"/>
            <w:sz w:val="20"/>
            <w:u w:val="single" w:color="0000FF"/>
          </w:rPr>
          <w:t>http://www.cboe.com/</w:t>
        </w:r>
      </w:hyperlink>
    </w:p>
    <w:p>
      <w:pPr>
        <w:spacing w:before="0"/>
        <w:ind w:left="142" w:right="786" w:firstLine="0"/>
        <w:jc w:val="left"/>
        <w:rPr>
          <w:sz w:val="20"/>
        </w:rPr>
      </w:pPr>
      <w:r>
        <w:rPr>
          <w:position w:val="6"/>
          <w:sz w:val="13"/>
        </w:rPr>
        <w:t>46 </w:t>
      </w:r>
      <w:hyperlink r:id="rId52">
        <w:r>
          <w:rPr>
            <w:color w:val="0000FF"/>
            <w:sz w:val="20"/>
            <w:u w:val="single" w:color="0000FF"/>
          </w:rPr>
          <w:t>http://www.cbot.com/</w:t>
        </w:r>
      </w:hyperlink>
    </w:p>
    <w:p>
      <w:pPr>
        <w:spacing w:after="0"/>
        <w:jc w:val="left"/>
        <w:rPr>
          <w:sz w:val="20"/>
        </w:rPr>
        <w:sectPr>
          <w:pgSz w:w="12240" w:h="15840"/>
          <w:pgMar w:header="731" w:footer="737" w:top="1180" w:bottom="920" w:left="1560" w:right="1560"/>
        </w:sectPr>
      </w:pPr>
    </w:p>
    <w:p>
      <w:pPr>
        <w:pStyle w:val="BodyText"/>
        <w:rPr>
          <w:sz w:val="20"/>
        </w:rPr>
      </w:pPr>
    </w:p>
    <w:p>
      <w:pPr>
        <w:pStyle w:val="BodyText"/>
        <w:spacing w:before="8"/>
        <w:rPr>
          <w:sz w:val="15"/>
        </w:rPr>
      </w:pPr>
    </w:p>
    <w:p>
      <w:pPr>
        <w:spacing w:before="73"/>
        <w:ind w:left="4001" w:right="754" w:hanging="3248"/>
        <w:jc w:val="left"/>
        <w:rPr>
          <w:sz w:val="22"/>
        </w:rPr>
      </w:pPr>
      <w:bookmarkStart w:name="_bookmark27" w:id="45"/>
      <w:bookmarkEnd w:id="45"/>
      <w:r>
        <w:rPr/>
      </w:r>
      <w:r>
        <w:rPr>
          <w:sz w:val="22"/>
        </w:rPr>
        <w:t>Tabla 04 Diferencias de operación de contratos en mercados organizados y no organizados</w:t>
      </w:r>
    </w:p>
    <w:p>
      <w:pPr>
        <w:pStyle w:val="BodyText"/>
        <w:spacing w:before="3"/>
        <w:rPr>
          <w:sz w:val="5"/>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18"/>
        <w:gridCol w:w="240"/>
        <w:gridCol w:w="2784"/>
        <w:gridCol w:w="242"/>
        <w:gridCol w:w="2897"/>
      </w:tblGrid>
      <w:tr>
        <w:trPr>
          <w:trHeight w:val="226" w:hRule="exact"/>
        </w:trPr>
        <w:tc>
          <w:tcPr>
            <w:tcW w:w="2818" w:type="dxa"/>
            <w:tcBorders>
              <w:left w:val="nil"/>
              <w:bottom w:val="double" w:sz="4" w:space="0" w:color="000000"/>
              <w:right w:val="nil"/>
            </w:tcBorders>
            <w:shd w:val="clear" w:color="auto" w:fill="DFDFDF"/>
          </w:tcPr>
          <w:p>
            <w:pPr>
              <w:pStyle w:val="TableParagraph"/>
              <w:spacing w:line="201" w:lineRule="exact"/>
              <w:ind w:left="760"/>
              <w:rPr>
                <w:b/>
                <w:sz w:val="18"/>
              </w:rPr>
            </w:pPr>
            <w:r>
              <w:rPr>
                <w:b/>
                <w:sz w:val="18"/>
              </w:rPr>
              <w:t>Características</w:t>
            </w:r>
          </w:p>
        </w:tc>
        <w:tc>
          <w:tcPr>
            <w:tcW w:w="240" w:type="dxa"/>
            <w:tcBorders>
              <w:top w:val="nil"/>
              <w:left w:val="nil"/>
              <w:bottom w:val="nil"/>
              <w:right w:val="nil"/>
            </w:tcBorders>
          </w:tcPr>
          <w:p>
            <w:pPr/>
          </w:p>
        </w:tc>
        <w:tc>
          <w:tcPr>
            <w:tcW w:w="2784" w:type="dxa"/>
            <w:tcBorders>
              <w:left w:val="nil"/>
              <w:bottom w:val="double" w:sz="4" w:space="0" w:color="000000"/>
              <w:right w:val="nil"/>
            </w:tcBorders>
            <w:shd w:val="clear" w:color="auto" w:fill="DFDFDF"/>
          </w:tcPr>
          <w:p>
            <w:pPr>
              <w:pStyle w:val="TableParagraph"/>
              <w:spacing w:line="201" w:lineRule="exact"/>
              <w:ind w:left="1182" w:right="1182"/>
              <w:jc w:val="center"/>
              <w:rPr>
                <w:b/>
                <w:sz w:val="18"/>
              </w:rPr>
            </w:pPr>
            <w:r>
              <w:rPr>
                <w:b/>
                <w:sz w:val="18"/>
              </w:rPr>
              <w:t>OTC</w:t>
            </w:r>
          </w:p>
        </w:tc>
        <w:tc>
          <w:tcPr>
            <w:tcW w:w="242" w:type="dxa"/>
            <w:tcBorders>
              <w:top w:val="nil"/>
              <w:left w:val="nil"/>
              <w:bottom w:val="nil"/>
              <w:right w:val="nil"/>
            </w:tcBorders>
          </w:tcPr>
          <w:p>
            <w:pPr/>
          </w:p>
        </w:tc>
        <w:tc>
          <w:tcPr>
            <w:tcW w:w="2897" w:type="dxa"/>
            <w:tcBorders>
              <w:left w:val="nil"/>
              <w:bottom w:val="double" w:sz="4" w:space="0" w:color="000000"/>
              <w:right w:val="nil"/>
            </w:tcBorders>
            <w:shd w:val="clear" w:color="auto" w:fill="DFDFDF"/>
          </w:tcPr>
          <w:p>
            <w:pPr>
              <w:pStyle w:val="TableParagraph"/>
              <w:spacing w:line="201" w:lineRule="exact"/>
              <w:ind w:left="902" w:right="446"/>
              <w:rPr>
                <w:b/>
                <w:sz w:val="18"/>
              </w:rPr>
            </w:pPr>
            <w:r>
              <w:rPr>
                <w:b/>
                <w:sz w:val="18"/>
              </w:rPr>
              <w:t>Organizados</w:t>
            </w:r>
          </w:p>
        </w:tc>
      </w:tr>
      <w:tr>
        <w:trPr>
          <w:trHeight w:val="439" w:hRule="exact"/>
        </w:trPr>
        <w:tc>
          <w:tcPr>
            <w:tcW w:w="2818" w:type="dxa"/>
            <w:tcBorders>
              <w:top w:val="double" w:sz="4" w:space="0" w:color="000000"/>
              <w:left w:val="nil"/>
              <w:bottom w:val="nil"/>
              <w:right w:val="nil"/>
            </w:tcBorders>
          </w:tcPr>
          <w:p>
            <w:pPr>
              <w:pStyle w:val="TableParagraph"/>
              <w:tabs>
                <w:tab w:pos="429" w:val="left" w:leader="none"/>
              </w:tabs>
              <w:spacing w:before="1"/>
              <w:rPr>
                <w:sz w:val="18"/>
              </w:rPr>
            </w:pPr>
            <w:r>
              <w:rPr>
                <w:sz w:val="18"/>
              </w:rPr>
              <w:t>1.</w:t>
              <w:tab/>
              <w:t>Términos del</w:t>
            </w:r>
            <w:r>
              <w:rPr>
                <w:spacing w:val="-9"/>
                <w:sz w:val="18"/>
              </w:rPr>
              <w:t> </w:t>
            </w:r>
            <w:r>
              <w:rPr>
                <w:sz w:val="18"/>
              </w:rPr>
              <w:t>contrato</w:t>
            </w:r>
          </w:p>
        </w:tc>
        <w:tc>
          <w:tcPr>
            <w:tcW w:w="240" w:type="dxa"/>
            <w:tcBorders>
              <w:top w:val="nil"/>
              <w:left w:val="nil"/>
              <w:bottom w:val="nil"/>
              <w:right w:val="nil"/>
            </w:tcBorders>
          </w:tcPr>
          <w:p>
            <w:pPr/>
          </w:p>
        </w:tc>
        <w:tc>
          <w:tcPr>
            <w:tcW w:w="2784" w:type="dxa"/>
            <w:tcBorders>
              <w:top w:val="double" w:sz="4" w:space="0" w:color="000000"/>
              <w:left w:val="nil"/>
              <w:bottom w:val="nil"/>
              <w:right w:val="nil"/>
            </w:tcBorders>
          </w:tcPr>
          <w:p>
            <w:pPr>
              <w:pStyle w:val="TableParagraph"/>
              <w:spacing w:before="1"/>
              <w:ind w:right="253"/>
              <w:rPr>
                <w:sz w:val="18"/>
              </w:rPr>
            </w:pPr>
            <w:r>
              <w:rPr>
                <w:sz w:val="18"/>
              </w:rPr>
              <w:t>Ajustado a las necesidades de ambas partes</w:t>
            </w:r>
          </w:p>
        </w:tc>
        <w:tc>
          <w:tcPr>
            <w:tcW w:w="242" w:type="dxa"/>
            <w:tcBorders>
              <w:top w:val="nil"/>
              <w:left w:val="nil"/>
              <w:bottom w:val="nil"/>
              <w:right w:val="nil"/>
            </w:tcBorders>
          </w:tcPr>
          <w:p>
            <w:pPr/>
          </w:p>
        </w:tc>
        <w:tc>
          <w:tcPr>
            <w:tcW w:w="2897" w:type="dxa"/>
            <w:tcBorders>
              <w:top w:val="double" w:sz="4" w:space="0" w:color="000000"/>
              <w:left w:val="nil"/>
              <w:bottom w:val="nil"/>
              <w:right w:val="nil"/>
            </w:tcBorders>
          </w:tcPr>
          <w:p>
            <w:pPr>
              <w:pStyle w:val="TableParagraph"/>
              <w:spacing w:before="1"/>
              <w:ind w:right="446"/>
              <w:rPr>
                <w:sz w:val="18"/>
              </w:rPr>
            </w:pPr>
            <w:r>
              <w:rPr>
                <w:sz w:val="18"/>
              </w:rPr>
              <w:t>Estandarizados</w:t>
            </w:r>
          </w:p>
        </w:tc>
      </w:tr>
      <w:tr>
        <w:trPr>
          <w:trHeight w:val="208" w:hRule="exact"/>
        </w:trPr>
        <w:tc>
          <w:tcPr>
            <w:tcW w:w="2818" w:type="dxa"/>
            <w:tcBorders>
              <w:top w:val="nil"/>
              <w:left w:val="nil"/>
              <w:bottom w:val="nil"/>
              <w:right w:val="nil"/>
            </w:tcBorders>
          </w:tcPr>
          <w:p>
            <w:pPr>
              <w:pStyle w:val="TableParagraph"/>
              <w:tabs>
                <w:tab w:pos="429" w:val="left" w:leader="none"/>
              </w:tabs>
              <w:spacing w:line="197" w:lineRule="exact"/>
              <w:rPr>
                <w:sz w:val="18"/>
              </w:rPr>
            </w:pPr>
            <w:r>
              <w:rPr>
                <w:sz w:val="18"/>
              </w:rPr>
              <w:t>2.</w:t>
              <w:tab/>
              <w:t>Lugar del</w:t>
            </w:r>
            <w:r>
              <w:rPr>
                <w:spacing w:val="-8"/>
                <w:sz w:val="18"/>
              </w:rPr>
              <w:t> </w:t>
            </w:r>
            <w:r>
              <w:rPr>
                <w:sz w:val="18"/>
              </w:rPr>
              <w:t>mercado</w:t>
            </w:r>
          </w:p>
        </w:tc>
        <w:tc>
          <w:tcPr>
            <w:tcW w:w="240" w:type="dxa"/>
            <w:tcBorders>
              <w:top w:val="nil"/>
              <w:left w:val="nil"/>
              <w:bottom w:val="nil"/>
              <w:right w:val="nil"/>
            </w:tcBorders>
          </w:tcPr>
          <w:p>
            <w:pPr/>
          </w:p>
        </w:tc>
        <w:tc>
          <w:tcPr>
            <w:tcW w:w="2784" w:type="dxa"/>
            <w:tcBorders>
              <w:top w:val="nil"/>
              <w:left w:val="nil"/>
              <w:bottom w:val="nil"/>
              <w:right w:val="nil"/>
            </w:tcBorders>
          </w:tcPr>
          <w:p>
            <w:pPr>
              <w:pStyle w:val="TableParagraph"/>
              <w:spacing w:line="197" w:lineRule="exact"/>
              <w:ind w:right="253"/>
              <w:rPr>
                <w:sz w:val="18"/>
              </w:rPr>
            </w:pPr>
            <w:r>
              <w:rPr>
                <w:sz w:val="18"/>
              </w:rPr>
              <w:t>Cualquiera</w:t>
            </w:r>
          </w:p>
        </w:tc>
        <w:tc>
          <w:tcPr>
            <w:tcW w:w="242" w:type="dxa"/>
            <w:tcBorders>
              <w:top w:val="nil"/>
              <w:left w:val="nil"/>
              <w:bottom w:val="nil"/>
              <w:right w:val="nil"/>
            </w:tcBorders>
          </w:tcPr>
          <w:p>
            <w:pPr/>
          </w:p>
        </w:tc>
        <w:tc>
          <w:tcPr>
            <w:tcW w:w="2897" w:type="dxa"/>
            <w:tcBorders>
              <w:top w:val="nil"/>
              <w:left w:val="nil"/>
              <w:bottom w:val="nil"/>
              <w:right w:val="nil"/>
            </w:tcBorders>
          </w:tcPr>
          <w:p>
            <w:pPr>
              <w:pStyle w:val="TableParagraph"/>
              <w:spacing w:line="197" w:lineRule="exact"/>
              <w:ind w:right="446"/>
              <w:rPr>
                <w:sz w:val="18"/>
              </w:rPr>
            </w:pPr>
            <w:r>
              <w:rPr>
                <w:sz w:val="18"/>
              </w:rPr>
              <w:t>Mercado específico</w:t>
            </w:r>
          </w:p>
        </w:tc>
      </w:tr>
      <w:tr>
        <w:trPr>
          <w:trHeight w:val="208" w:hRule="exact"/>
        </w:trPr>
        <w:tc>
          <w:tcPr>
            <w:tcW w:w="2818" w:type="dxa"/>
            <w:tcBorders>
              <w:top w:val="nil"/>
              <w:left w:val="nil"/>
              <w:bottom w:val="nil"/>
              <w:right w:val="nil"/>
            </w:tcBorders>
          </w:tcPr>
          <w:p>
            <w:pPr>
              <w:pStyle w:val="TableParagraph"/>
              <w:tabs>
                <w:tab w:pos="429" w:val="left" w:leader="none"/>
              </w:tabs>
              <w:spacing w:line="198" w:lineRule="exact"/>
              <w:rPr>
                <w:sz w:val="18"/>
              </w:rPr>
            </w:pPr>
            <w:r>
              <w:rPr>
                <w:sz w:val="18"/>
              </w:rPr>
              <w:t>3.</w:t>
              <w:tab/>
              <w:t>Fijación de</w:t>
            </w:r>
            <w:r>
              <w:rPr>
                <w:spacing w:val="-8"/>
                <w:sz w:val="18"/>
              </w:rPr>
              <w:t> </w:t>
            </w:r>
            <w:r>
              <w:rPr>
                <w:sz w:val="18"/>
              </w:rPr>
              <w:t>precios</w:t>
            </w:r>
          </w:p>
        </w:tc>
        <w:tc>
          <w:tcPr>
            <w:tcW w:w="240" w:type="dxa"/>
            <w:tcBorders>
              <w:top w:val="nil"/>
              <w:left w:val="nil"/>
              <w:bottom w:val="nil"/>
              <w:right w:val="nil"/>
            </w:tcBorders>
          </w:tcPr>
          <w:p>
            <w:pPr/>
          </w:p>
        </w:tc>
        <w:tc>
          <w:tcPr>
            <w:tcW w:w="2784" w:type="dxa"/>
            <w:tcBorders>
              <w:top w:val="nil"/>
              <w:left w:val="nil"/>
              <w:bottom w:val="nil"/>
              <w:right w:val="nil"/>
            </w:tcBorders>
          </w:tcPr>
          <w:p>
            <w:pPr>
              <w:pStyle w:val="TableParagraph"/>
              <w:spacing w:line="198" w:lineRule="exact"/>
              <w:ind w:right="253"/>
              <w:rPr>
                <w:sz w:val="18"/>
              </w:rPr>
            </w:pPr>
            <w:r>
              <w:rPr>
                <w:sz w:val="18"/>
              </w:rPr>
              <w:t>Negociaciones</w:t>
            </w:r>
          </w:p>
        </w:tc>
        <w:tc>
          <w:tcPr>
            <w:tcW w:w="242" w:type="dxa"/>
            <w:tcBorders>
              <w:top w:val="nil"/>
              <w:left w:val="nil"/>
              <w:bottom w:val="nil"/>
              <w:right w:val="nil"/>
            </w:tcBorders>
          </w:tcPr>
          <w:p>
            <w:pPr/>
          </w:p>
        </w:tc>
        <w:tc>
          <w:tcPr>
            <w:tcW w:w="2897" w:type="dxa"/>
            <w:tcBorders>
              <w:top w:val="nil"/>
              <w:left w:val="nil"/>
              <w:bottom w:val="nil"/>
              <w:right w:val="nil"/>
            </w:tcBorders>
          </w:tcPr>
          <w:p>
            <w:pPr>
              <w:pStyle w:val="TableParagraph"/>
              <w:spacing w:line="198" w:lineRule="exact"/>
              <w:ind w:right="446"/>
              <w:rPr>
                <w:sz w:val="18"/>
              </w:rPr>
            </w:pPr>
            <w:r>
              <w:rPr>
                <w:sz w:val="18"/>
              </w:rPr>
              <w:t>Cotización abierta</w:t>
            </w:r>
          </w:p>
        </w:tc>
      </w:tr>
      <w:tr>
        <w:trPr>
          <w:trHeight w:val="413" w:hRule="exact"/>
        </w:trPr>
        <w:tc>
          <w:tcPr>
            <w:tcW w:w="2818" w:type="dxa"/>
            <w:tcBorders>
              <w:top w:val="nil"/>
              <w:left w:val="nil"/>
              <w:bottom w:val="nil"/>
              <w:right w:val="nil"/>
            </w:tcBorders>
          </w:tcPr>
          <w:p>
            <w:pPr>
              <w:pStyle w:val="TableParagraph"/>
              <w:tabs>
                <w:tab w:pos="429" w:val="left" w:leader="none"/>
              </w:tabs>
              <w:spacing w:line="197" w:lineRule="exact"/>
              <w:rPr>
                <w:sz w:val="18"/>
              </w:rPr>
            </w:pPr>
            <w:r>
              <w:rPr>
                <w:sz w:val="18"/>
              </w:rPr>
              <w:t>4.</w:t>
              <w:tab/>
              <w:t>Fluctuación de</w:t>
            </w:r>
            <w:r>
              <w:rPr>
                <w:spacing w:val="-10"/>
                <w:sz w:val="18"/>
              </w:rPr>
              <w:t> </w:t>
            </w:r>
            <w:r>
              <w:rPr>
                <w:sz w:val="18"/>
              </w:rPr>
              <w:t>precios</w:t>
            </w:r>
          </w:p>
        </w:tc>
        <w:tc>
          <w:tcPr>
            <w:tcW w:w="240" w:type="dxa"/>
            <w:tcBorders>
              <w:top w:val="nil"/>
              <w:left w:val="nil"/>
              <w:bottom w:val="nil"/>
              <w:right w:val="nil"/>
            </w:tcBorders>
          </w:tcPr>
          <w:p>
            <w:pPr/>
          </w:p>
        </w:tc>
        <w:tc>
          <w:tcPr>
            <w:tcW w:w="2784" w:type="dxa"/>
            <w:tcBorders>
              <w:top w:val="nil"/>
              <w:left w:val="nil"/>
              <w:bottom w:val="nil"/>
              <w:right w:val="nil"/>
            </w:tcBorders>
          </w:tcPr>
          <w:p>
            <w:pPr>
              <w:pStyle w:val="TableParagraph"/>
              <w:spacing w:line="197" w:lineRule="exact"/>
              <w:ind w:right="253"/>
              <w:rPr>
                <w:sz w:val="18"/>
              </w:rPr>
            </w:pPr>
            <w:r>
              <w:rPr>
                <w:sz w:val="18"/>
              </w:rPr>
              <w:t>Libre</w:t>
            </w:r>
          </w:p>
        </w:tc>
        <w:tc>
          <w:tcPr>
            <w:tcW w:w="242" w:type="dxa"/>
            <w:tcBorders>
              <w:top w:val="nil"/>
              <w:left w:val="nil"/>
              <w:bottom w:val="nil"/>
              <w:right w:val="nil"/>
            </w:tcBorders>
          </w:tcPr>
          <w:p>
            <w:pPr/>
          </w:p>
        </w:tc>
        <w:tc>
          <w:tcPr>
            <w:tcW w:w="2897" w:type="dxa"/>
            <w:tcBorders>
              <w:top w:val="nil"/>
              <w:left w:val="nil"/>
              <w:bottom w:val="nil"/>
              <w:right w:val="nil"/>
            </w:tcBorders>
          </w:tcPr>
          <w:p>
            <w:pPr>
              <w:pStyle w:val="TableParagraph"/>
              <w:ind w:right="446"/>
              <w:rPr>
                <w:sz w:val="18"/>
              </w:rPr>
            </w:pPr>
            <w:r>
              <w:rPr>
                <w:sz w:val="18"/>
              </w:rPr>
              <w:t>En algunos mercados existen límites</w:t>
            </w:r>
          </w:p>
        </w:tc>
      </w:tr>
      <w:tr>
        <w:trPr>
          <w:trHeight w:val="415" w:hRule="exact"/>
        </w:trPr>
        <w:tc>
          <w:tcPr>
            <w:tcW w:w="2818" w:type="dxa"/>
            <w:tcBorders>
              <w:top w:val="nil"/>
              <w:left w:val="nil"/>
              <w:bottom w:val="nil"/>
              <w:right w:val="nil"/>
            </w:tcBorders>
          </w:tcPr>
          <w:p>
            <w:pPr>
              <w:pStyle w:val="TableParagraph"/>
              <w:tabs>
                <w:tab w:pos="429" w:val="left" w:leader="none"/>
              </w:tabs>
              <w:spacing w:line="242" w:lineRule="auto"/>
              <w:ind w:right="1085"/>
              <w:rPr>
                <w:sz w:val="18"/>
              </w:rPr>
            </w:pPr>
            <w:r>
              <w:rPr>
                <w:sz w:val="18"/>
              </w:rPr>
              <w:t>5.</w:t>
              <w:tab/>
              <w:t>Relación </w:t>
            </w:r>
            <w:r>
              <w:rPr>
                <w:spacing w:val="-1"/>
                <w:sz w:val="18"/>
              </w:rPr>
              <w:t>comprador/vendedor</w:t>
            </w:r>
          </w:p>
        </w:tc>
        <w:tc>
          <w:tcPr>
            <w:tcW w:w="240" w:type="dxa"/>
            <w:tcBorders>
              <w:top w:val="nil"/>
              <w:left w:val="nil"/>
              <w:bottom w:val="nil"/>
              <w:right w:val="nil"/>
            </w:tcBorders>
          </w:tcPr>
          <w:p>
            <w:pPr/>
          </w:p>
        </w:tc>
        <w:tc>
          <w:tcPr>
            <w:tcW w:w="2784" w:type="dxa"/>
            <w:tcBorders>
              <w:top w:val="nil"/>
              <w:left w:val="nil"/>
              <w:bottom w:val="nil"/>
              <w:right w:val="nil"/>
            </w:tcBorders>
          </w:tcPr>
          <w:p>
            <w:pPr>
              <w:pStyle w:val="TableParagraph"/>
              <w:spacing w:line="197" w:lineRule="exact"/>
              <w:ind w:right="253"/>
              <w:rPr>
                <w:sz w:val="18"/>
              </w:rPr>
            </w:pPr>
            <w:r>
              <w:rPr>
                <w:sz w:val="18"/>
              </w:rPr>
              <w:t>Directa</w:t>
            </w:r>
          </w:p>
        </w:tc>
        <w:tc>
          <w:tcPr>
            <w:tcW w:w="242" w:type="dxa"/>
            <w:tcBorders>
              <w:top w:val="nil"/>
              <w:left w:val="nil"/>
              <w:bottom w:val="nil"/>
              <w:right w:val="nil"/>
            </w:tcBorders>
          </w:tcPr>
          <w:p>
            <w:pPr/>
          </w:p>
        </w:tc>
        <w:tc>
          <w:tcPr>
            <w:tcW w:w="2897" w:type="dxa"/>
            <w:tcBorders>
              <w:top w:val="nil"/>
              <w:left w:val="nil"/>
              <w:bottom w:val="nil"/>
              <w:right w:val="nil"/>
            </w:tcBorders>
          </w:tcPr>
          <w:p>
            <w:pPr>
              <w:pStyle w:val="TableParagraph"/>
              <w:spacing w:line="197" w:lineRule="exact"/>
              <w:rPr>
                <w:sz w:val="18"/>
              </w:rPr>
            </w:pPr>
            <w:r>
              <w:rPr>
                <w:sz w:val="18"/>
              </w:rPr>
              <w:t>Vía Cámara de Compensación</w:t>
            </w:r>
          </w:p>
        </w:tc>
      </w:tr>
      <w:tr>
        <w:trPr>
          <w:trHeight w:val="206" w:hRule="exact"/>
        </w:trPr>
        <w:tc>
          <w:tcPr>
            <w:tcW w:w="2818" w:type="dxa"/>
            <w:tcBorders>
              <w:top w:val="nil"/>
              <w:left w:val="nil"/>
              <w:bottom w:val="nil"/>
              <w:right w:val="nil"/>
            </w:tcBorders>
          </w:tcPr>
          <w:p>
            <w:pPr>
              <w:pStyle w:val="TableParagraph"/>
              <w:tabs>
                <w:tab w:pos="429" w:val="left" w:leader="none"/>
              </w:tabs>
              <w:spacing w:line="197" w:lineRule="exact"/>
              <w:rPr>
                <w:sz w:val="18"/>
              </w:rPr>
            </w:pPr>
            <w:r>
              <w:rPr>
                <w:sz w:val="18"/>
              </w:rPr>
              <w:t>6.</w:t>
              <w:tab/>
              <w:t>Aportaciones</w:t>
            </w:r>
          </w:p>
        </w:tc>
        <w:tc>
          <w:tcPr>
            <w:tcW w:w="240" w:type="dxa"/>
            <w:tcBorders>
              <w:top w:val="nil"/>
              <w:left w:val="nil"/>
              <w:bottom w:val="nil"/>
              <w:right w:val="nil"/>
            </w:tcBorders>
          </w:tcPr>
          <w:p>
            <w:pPr/>
          </w:p>
        </w:tc>
        <w:tc>
          <w:tcPr>
            <w:tcW w:w="2784" w:type="dxa"/>
            <w:tcBorders>
              <w:top w:val="nil"/>
              <w:left w:val="nil"/>
              <w:bottom w:val="nil"/>
              <w:right w:val="nil"/>
            </w:tcBorders>
          </w:tcPr>
          <w:p>
            <w:pPr>
              <w:pStyle w:val="TableParagraph"/>
              <w:spacing w:line="197" w:lineRule="exact"/>
              <w:ind w:right="253"/>
              <w:rPr>
                <w:sz w:val="18"/>
              </w:rPr>
            </w:pPr>
            <w:r>
              <w:rPr>
                <w:sz w:val="18"/>
              </w:rPr>
              <w:t>No usual</w:t>
            </w:r>
          </w:p>
        </w:tc>
        <w:tc>
          <w:tcPr>
            <w:tcW w:w="242" w:type="dxa"/>
            <w:tcBorders>
              <w:top w:val="nil"/>
              <w:left w:val="nil"/>
              <w:bottom w:val="nil"/>
              <w:right w:val="nil"/>
            </w:tcBorders>
          </w:tcPr>
          <w:p>
            <w:pPr/>
          </w:p>
        </w:tc>
        <w:tc>
          <w:tcPr>
            <w:tcW w:w="2897" w:type="dxa"/>
            <w:tcBorders>
              <w:top w:val="nil"/>
              <w:left w:val="nil"/>
              <w:bottom w:val="nil"/>
              <w:right w:val="nil"/>
            </w:tcBorders>
          </w:tcPr>
          <w:p>
            <w:pPr>
              <w:pStyle w:val="TableParagraph"/>
              <w:spacing w:line="197" w:lineRule="exact"/>
              <w:ind w:right="446"/>
              <w:rPr>
                <w:sz w:val="18"/>
              </w:rPr>
            </w:pPr>
            <w:r>
              <w:rPr>
                <w:sz w:val="18"/>
              </w:rPr>
              <w:t>Siempre</w:t>
            </w:r>
          </w:p>
        </w:tc>
      </w:tr>
      <w:tr>
        <w:trPr>
          <w:trHeight w:val="206" w:hRule="exact"/>
        </w:trPr>
        <w:tc>
          <w:tcPr>
            <w:tcW w:w="2818" w:type="dxa"/>
            <w:tcBorders>
              <w:top w:val="nil"/>
              <w:left w:val="nil"/>
              <w:bottom w:val="nil"/>
              <w:right w:val="nil"/>
            </w:tcBorders>
          </w:tcPr>
          <w:p>
            <w:pPr>
              <w:pStyle w:val="TableParagraph"/>
              <w:tabs>
                <w:tab w:pos="429" w:val="left" w:leader="none"/>
              </w:tabs>
              <w:spacing w:line="197" w:lineRule="exact"/>
              <w:rPr>
                <w:sz w:val="18"/>
              </w:rPr>
            </w:pPr>
            <w:r>
              <w:rPr>
                <w:sz w:val="18"/>
              </w:rPr>
              <w:t>7.</w:t>
              <w:tab/>
              <w:t>Calidad de</w:t>
            </w:r>
            <w:r>
              <w:rPr>
                <w:spacing w:val="-7"/>
                <w:sz w:val="18"/>
              </w:rPr>
              <w:t> </w:t>
            </w:r>
            <w:r>
              <w:rPr>
                <w:sz w:val="18"/>
              </w:rPr>
              <w:t>cobertura</w:t>
            </w:r>
          </w:p>
        </w:tc>
        <w:tc>
          <w:tcPr>
            <w:tcW w:w="240" w:type="dxa"/>
            <w:tcBorders>
              <w:top w:val="nil"/>
              <w:left w:val="nil"/>
              <w:bottom w:val="nil"/>
              <w:right w:val="nil"/>
            </w:tcBorders>
          </w:tcPr>
          <w:p>
            <w:pPr/>
          </w:p>
        </w:tc>
        <w:tc>
          <w:tcPr>
            <w:tcW w:w="2784" w:type="dxa"/>
            <w:tcBorders>
              <w:top w:val="nil"/>
              <w:left w:val="nil"/>
              <w:bottom w:val="nil"/>
              <w:right w:val="nil"/>
            </w:tcBorders>
          </w:tcPr>
          <w:p>
            <w:pPr>
              <w:pStyle w:val="TableParagraph"/>
              <w:spacing w:line="197" w:lineRule="exact"/>
              <w:ind w:right="253"/>
              <w:rPr>
                <w:sz w:val="18"/>
              </w:rPr>
            </w:pPr>
            <w:r>
              <w:rPr>
                <w:sz w:val="18"/>
              </w:rPr>
              <w:t>A medida</w:t>
            </w:r>
          </w:p>
        </w:tc>
        <w:tc>
          <w:tcPr>
            <w:tcW w:w="242" w:type="dxa"/>
            <w:tcBorders>
              <w:top w:val="nil"/>
              <w:left w:val="nil"/>
              <w:bottom w:val="nil"/>
              <w:right w:val="nil"/>
            </w:tcBorders>
          </w:tcPr>
          <w:p>
            <w:pPr/>
          </w:p>
        </w:tc>
        <w:tc>
          <w:tcPr>
            <w:tcW w:w="2897" w:type="dxa"/>
            <w:tcBorders>
              <w:top w:val="nil"/>
              <w:left w:val="nil"/>
              <w:bottom w:val="nil"/>
              <w:right w:val="nil"/>
            </w:tcBorders>
          </w:tcPr>
          <w:p>
            <w:pPr>
              <w:pStyle w:val="TableParagraph"/>
              <w:spacing w:line="197" w:lineRule="exact"/>
              <w:ind w:right="446"/>
              <w:rPr>
                <w:sz w:val="18"/>
              </w:rPr>
            </w:pPr>
            <w:r>
              <w:rPr>
                <w:sz w:val="18"/>
              </w:rPr>
              <w:t>Aproximada</w:t>
            </w:r>
          </w:p>
        </w:tc>
      </w:tr>
      <w:tr>
        <w:trPr>
          <w:trHeight w:val="415" w:hRule="exact"/>
        </w:trPr>
        <w:tc>
          <w:tcPr>
            <w:tcW w:w="2818" w:type="dxa"/>
            <w:tcBorders>
              <w:top w:val="nil"/>
              <w:left w:val="nil"/>
              <w:bottom w:val="nil"/>
              <w:right w:val="nil"/>
            </w:tcBorders>
          </w:tcPr>
          <w:p>
            <w:pPr>
              <w:pStyle w:val="TableParagraph"/>
              <w:tabs>
                <w:tab w:pos="429" w:val="left" w:leader="none"/>
              </w:tabs>
              <w:spacing w:line="197" w:lineRule="exact"/>
              <w:rPr>
                <w:sz w:val="18"/>
              </w:rPr>
            </w:pPr>
            <w:r>
              <w:rPr>
                <w:sz w:val="18"/>
              </w:rPr>
              <w:t>8.</w:t>
              <w:tab/>
              <w:t>Riesgo de</w:t>
            </w:r>
            <w:r>
              <w:rPr>
                <w:spacing w:val="-6"/>
                <w:sz w:val="18"/>
              </w:rPr>
              <w:t> </w:t>
            </w:r>
            <w:r>
              <w:rPr>
                <w:sz w:val="18"/>
              </w:rPr>
              <w:t>contraparte</w:t>
            </w:r>
          </w:p>
        </w:tc>
        <w:tc>
          <w:tcPr>
            <w:tcW w:w="240" w:type="dxa"/>
            <w:tcBorders>
              <w:top w:val="nil"/>
              <w:left w:val="nil"/>
              <w:bottom w:val="nil"/>
              <w:right w:val="nil"/>
            </w:tcBorders>
          </w:tcPr>
          <w:p>
            <w:pPr/>
          </w:p>
        </w:tc>
        <w:tc>
          <w:tcPr>
            <w:tcW w:w="2784" w:type="dxa"/>
            <w:tcBorders>
              <w:top w:val="nil"/>
              <w:left w:val="nil"/>
              <w:bottom w:val="nil"/>
              <w:right w:val="nil"/>
            </w:tcBorders>
          </w:tcPr>
          <w:p>
            <w:pPr>
              <w:pStyle w:val="TableParagraph"/>
              <w:spacing w:line="197" w:lineRule="exact"/>
              <w:ind w:right="253"/>
              <w:rPr>
                <w:sz w:val="18"/>
              </w:rPr>
            </w:pPr>
            <w:r>
              <w:rPr>
                <w:sz w:val="18"/>
              </w:rPr>
              <w:t>Lo asumen los participantes</w:t>
            </w:r>
          </w:p>
        </w:tc>
        <w:tc>
          <w:tcPr>
            <w:tcW w:w="242" w:type="dxa"/>
            <w:tcBorders>
              <w:top w:val="nil"/>
              <w:left w:val="nil"/>
              <w:bottom w:val="nil"/>
              <w:right w:val="nil"/>
            </w:tcBorders>
          </w:tcPr>
          <w:p>
            <w:pPr/>
          </w:p>
        </w:tc>
        <w:tc>
          <w:tcPr>
            <w:tcW w:w="2897" w:type="dxa"/>
            <w:tcBorders>
              <w:top w:val="nil"/>
              <w:left w:val="nil"/>
              <w:bottom w:val="nil"/>
              <w:right w:val="nil"/>
            </w:tcBorders>
          </w:tcPr>
          <w:p>
            <w:pPr>
              <w:pStyle w:val="TableParagraph"/>
              <w:spacing w:line="242" w:lineRule="auto"/>
              <w:ind w:right="887"/>
              <w:rPr>
                <w:sz w:val="18"/>
              </w:rPr>
            </w:pPr>
            <w:r>
              <w:rPr>
                <w:sz w:val="18"/>
              </w:rPr>
              <w:t>Lo asume la Cámara de Compensación</w:t>
            </w:r>
          </w:p>
        </w:tc>
      </w:tr>
      <w:tr>
        <w:trPr>
          <w:trHeight w:val="207" w:hRule="exact"/>
        </w:trPr>
        <w:tc>
          <w:tcPr>
            <w:tcW w:w="2818" w:type="dxa"/>
            <w:tcBorders>
              <w:top w:val="nil"/>
              <w:left w:val="nil"/>
              <w:bottom w:val="nil"/>
              <w:right w:val="nil"/>
            </w:tcBorders>
          </w:tcPr>
          <w:p>
            <w:pPr>
              <w:pStyle w:val="TableParagraph"/>
              <w:tabs>
                <w:tab w:pos="429" w:val="left" w:leader="none"/>
              </w:tabs>
              <w:spacing w:line="198" w:lineRule="exact"/>
              <w:rPr>
                <w:sz w:val="18"/>
              </w:rPr>
            </w:pPr>
            <w:r>
              <w:rPr>
                <w:sz w:val="18"/>
              </w:rPr>
              <w:t>9.</w:t>
              <w:tab/>
              <w:t>Seguimiento</w:t>
            </w:r>
            <w:r>
              <w:rPr>
                <w:spacing w:val="-11"/>
                <w:sz w:val="18"/>
              </w:rPr>
              <w:t> </w:t>
            </w:r>
            <w:r>
              <w:rPr>
                <w:sz w:val="18"/>
              </w:rPr>
              <w:t>posiciones</w:t>
            </w:r>
          </w:p>
        </w:tc>
        <w:tc>
          <w:tcPr>
            <w:tcW w:w="240" w:type="dxa"/>
            <w:tcBorders>
              <w:top w:val="nil"/>
              <w:left w:val="nil"/>
              <w:bottom w:val="nil"/>
              <w:right w:val="nil"/>
            </w:tcBorders>
          </w:tcPr>
          <w:p>
            <w:pPr/>
          </w:p>
        </w:tc>
        <w:tc>
          <w:tcPr>
            <w:tcW w:w="2784" w:type="dxa"/>
            <w:tcBorders>
              <w:top w:val="nil"/>
              <w:left w:val="nil"/>
              <w:bottom w:val="nil"/>
              <w:right w:val="nil"/>
            </w:tcBorders>
          </w:tcPr>
          <w:p>
            <w:pPr>
              <w:pStyle w:val="TableParagraph"/>
              <w:spacing w:line="198" w:lineRule="exact"/>
              <w:ind w:right="253"/>
              <w:rPr>
                <w:sz w:val="18"/>
              </w:rPr>
            </w:pPr>
            <w:r>
              <w:rPr>
                <w:sz w:val="18"/>
              </w:rPr>
              <w:t>Exige medios especializados</w:t>
            </w:r>
          </w:p>
        </w:tc>
        <w:tc>
          <w:tcPr>
            <w:tcW w:w="242" w:type="dxa"/>
            <w:tcBorders>
              <w:top w:val="nil"/>
              <w:left w:val="nil"/>
              <w:bottom w:val="nil"/>
              <w:right w:val="nil"/>
            </w:tcBorders>
          </w:tcPr>
          <w:p>
            <w:pPr/>
          </w:p>
        </w:tc>
        <w:tc>
          <w:tcPr>
            <w:tcW w:w="2897" w:type="dxa"/>
            <w:tcBorders>
              <w:top w:val="nil"/>
              <w:left w:val="nil"/>
              <w:bottom w:val="nil"/>
              <w:right w:val="nil"/>
            </w:tcBorders>
          </w:tcPr>
          <w:p>
            <w:pPr>
              <w:pStyle w:val="TableParagraph"/>
              <w:spacing w:line="198" w:lineRule="exact"/>
              <w:ind w:right="446"/>
              <w:rPr>
                <w:sz w:val="18"/>
              </w:rPr>
            </w:pPr>
            <w:r>
              <w:rPr>
                <w:sz w:val="18"/>
              </w:rPr>
              <w:t>Vía prensa o en piso</w:t>
            </w:r>
          </w:p>
        </w:tc>
      </w:tr>
      <w:tr>
        <w:trPr>
          <w:trHeight w:val="206" w:hRule="exact"/>
        </w:trPr>
        <w:tc>
          <w:tcPr>
            <w:tcW w:w="2818" w:type="dxa"/>
            <w:tcBorders>
              <w:top w:val="nil"/>
              <w:left w:val="nil"/>
              <w:bottom w:val="nil"/>
              <w:right w:val="nil"/>
            </w:tcBorders>
          </w:tcPr>
          <w:p>
            <w:pPr>
              <w:pStyle w:val="TableParagraph"/>
              <w:spacing w:line="197" w:lineRule="exact"/>
              <w:rPr>
                <w:sz w:val="18"/>
              </w:rPr>
            </w:pPr>
            <w:r>
              <w:rPr>
                <w:sz w:val="18"/>
              </w:rPr>
              <w:t>10.  Regulación</w:t>
            </w:r>
          </w:p>
        </w:tc>
        <w:tc>
          <w:tcPr>
            <w:tcW w:w="240" w:type="dxa"/>
            <w:tcBorders>
              <w:top w:val="nil"/>
              <w:left w:val="nil"/>
              <w:bottom w:val="nil"/>
              <w:right w:val="nil"/>
            </w:tcBorders>
          </w:tcPr>
          <w:p>
            <w:pPr/>
          </w:p>
        </w:tc>
        <w:tc>
          <w:tcPr>
            <w:tcW w:w="2784" w:type="dxa"/>
            <w:tcBorders>
              <w:top w:val="nil"/>
              <w:left w:val="nil"/>
              <w:bottom w:val="nil"/>
              <w:right w:val="nil"/>
            </w:tcBorders>
          </w:tcPr>
          <w:p>
            <w:pPr>
              <w:pStyle w:val="TableParagraph"/>
              <w:spacing w:line="197" w:lineRule="exact"/>
              <w:ind w:right="253"/>
              <w:rPr>
                <w:sz w:val="18"/>
              </w:rPr>
            </w:pPr>
            <w:r>
              <w:rPr>
                <w:sz w:val="18"/>
              </w:rPr>
              <w:t>No regulación general</w:t>
            </w:r>
          </w:p>
        </w:tc>
        <w:tc>
          <w:tcPr>
            <w:tcW w:w="242" w:type="dxa"/>
            <w:tcBorders>
              <w:top w:val="nil"/>
              <w:left w:val="nil"/>
              <w:bottom w:val="nil"/>
              <w:right w:val="nil"/>
            </w:tcBorders>
          </w:tcPr>
          <w:p>
            <w:pPr/>
          </w:p>
        </w:tc>
        <w:tc>
          <w:tcPr>
            <w:tcW w:w="2897" w:type="dxa"/>
            <w:tcBorders>
              <w:top w:val="nil"/>
              <w:left w:val="nil"/>
              <w:bottom w:val="nil"/>
              <w:right w:val="nil"/>
            </w:tcBorders>
          </w:tcPr>
          <w:p>
            <w:pPr>
              <w:pStyle w:val="TableParagraph"/>
              <w:spacing w:line="197" w:lineRule="exact"/>
              <w:rPr>
                <w:sz w:val="18"/>
              </w:rPr>
            </w:pPr>
            <w:r>
              <w:rPr>
                <w:sz w:val="18"/>
              </w:rPr>
              <w:t>Gubernamental y autorregulación</w:t>
            </w:r>
          </w:p>
        </w:tc>
      </w:tr>
      <w:tr>
        <w:trPr>
          <w:trHeight w:val="193" w:hRule="exact"/>
        </w:trPr>
        <w:tc>
          <w:tcPr>
            <w:tcW w:w="2818" w:type="dxa"/>
            <w:tcBorders>
              <w:top w:val="nil"/>
              <w:left w:val="nil"/>
              <w:bottom w:val="nil"/>
              <w:right w:val="nil"/>
            </w:tcBorders>
          </w:tcPr>
          <w:p>
            <w:pPr>
              <w:pStyle w:val="TableParagraph"/>
              <w:tabs>
                <w:tab w:pos="2817" w:val="left" w:leader="none"/>
              </w:tabs>
              <w:spacing w:line="197" w:lineRule="exact"/>
              <w:ind w:left="-15"/>
              <w:rPr>
                <w:sz w:val="18"/>
              </w:rPr>
            </w:pPr>
            <w:r>
              <w:rPr>
                <w:w w:val="100"/>
                <w:sz w:val="18"/>
                <w:u w:val="single"/>
              </w:rPr>
              <w:t> </w:t>
            </w:r>
            <w:r>
              <w:rPr>
                <w:spacing w:val="-17"/>
                <w:sz w:val="18"/>
                <w:u w:val="single"/>
              </w:rPr>
              <w:t> </w:t>
            </w:r>
            <w:r>
              <w:rPr>
                <w:sz w:val="18"/>
                <w:u w:val="single"/>
              </w:rPr>
              <w:t>11. </w:t>
            </w:r>
            <w:r>
              <w:rPr>
                <w:spacing w:val="5"/>
                <w:sz w:val="18"/>
                <w:u w:val="single"/>
              </w:rPr>
              <w:t> </w:t>
            </w:r>
            <w:r>
              <w:rPr>
                <w:sz w:val="18"/>
                <w:u w:val="single"/>
              </w:rPr>
              <w:t>Liquidez</w:t>
              <w:tab/>
            </w:r>
          </w:p>
        </w:tc>
        <w:tc>
          <w:tcPr>
            <w:tcW w:w="240" w:type="dxa"/>
            <w:tcBorders>
              <w:top w:val="nil"/>
              <w:left w:val="nil"/>
              <w:bottom w:val="nil"/>
              <w:right w:val="nil"/>
            </w:tcBorders>
          </w:tcPr>
          <w:p>
            <w:pPr/>
          </w:p>
        </w:tc>
        <w:tc>
          <w:tcPr>
            <w:tcW w:w="2784" w:type="dxa"/>
            <w:tcBorders>
              <w:top w:val="nil"/>
              <w:left w:val="nil"/>
              <w:bottom w:val="nil"/>
              <w:right w:val="nil"/>
            </w:tcBorders>
          </w:tcPr>
          <w:p>
            <w:pPr>
              <w:pStyle w:val="TableParagraph"/>
              <w:tabs>
                <w:tab w:pos="2784" w:val="left" w:leader="none"/>
              </w:tabs>
              <w:spacing w:line="197" w:lineRule="exact"/>
              <w:ind w:left="-15"/>
              <w:rPr>
                <w:sz w:val="18"/>
              </w:rPr>
            </w:pPr>
            <w:r>
              <w:rPr>
                <w:w w:val="100"/>
                <w:sz w:val="18"/>
                <w:u w:val="single"/>
              </w:rPr>
              <w:t> </w:t>
            </w:r>
            <w:r>
              <w:rPr>
                <w:spacing w:val="-17"/>
                <w:sz w:val="18"/>
                <w:u w:val="single"/>
              </w:rPr>
              <w:t> </w:t>
            </w:r>
            <w:r>
              <w:rPr>
                <w:sz w:val="18"/>
                <w:u w:val="single"/>
              </w:rPr>
              <w:t>Escasa en muchos</w:t>
            </w:r>
            <w:r>
              <w:rPr>
                <w:spacing w:val="-10"/>
                <w:sz w:val="18"/>
                <w:u w:val="single"/>
              </w:rPr>
              <w:t> </w:t>
            </w:r>
            <w:r>
              <w:rPr>
                <w:sz w:val="18"/>
                <w:u w:val="single"/>
              </w:rPr>
              <w:t>contratos</w:t>
              <w:tab/>
            </w:r>
          </w:p>
        </w:tc>
        <w:tc>
          <w:tcPr>
            <w:tcW w:w="242" w:type="dxa"/>
            <w:tcBorders>
              <w:top w:val="nil"/>
              <w:left w:val="nil"/>
              <w:bottom w:val="nil"/>
              <w:right w:val="nil"/>
            </w:tcBorders>
          </w:tcPr>
          <w:p>
            <w:pPr/>
          </w:p>
        </w:tc>
        <w:tc>
          <w:tcPr>
            <w:tcW w:w="2897" w:type="dxa"/>
            <w:tcBorders>
              <w:top w:val="nil"/>
              <w:left w:val="nil"/>
              <w:bottom w:val="nil"/>
              <w:right w:val="nil"/>
            </w:tcBorders>
          </w:tcPr>
          <w:p>
            <w:pPr>
              <w:pStyle w:val="TableParagraph"/>
              <w:tabs>
                <w:tab w:pos="2897" w:val="left" w:leader="none"/>
              </w:tabs>
              <w:spacing w:line="197" w:lineRule="exact"/>
              <w:ind w:left="-15"/>
              <w:rPr>
                <w:sz w:val="18"/>
              </w:rPr>
            </w:pPr>
            <w:r>
              <w:rPr>
                <w:w w:val="100"/>
                <w:sz w:val="18"/>
                <w:u w:val="single"/>
              </w:rPr>
              <w:t> </w:t>
            </w:r>
            <w:r>
              <w:rPr>
                <w:spacing w:val="-17"/>
                <w:sz w:val="18"/>
                <w:u w:val="single"/>
              </w:rPr>
              <w:t> </w:t>
            </w:r>
            <w:r>
              <w:rPr>
                <w:sz w:val="18"/>
                <w:u w:val="single"/>
              </w:rPr>
              <w:t>Amplia</w:t>
              <w:tab/>
            </w:r>
          </w:p>
        </w:tc>
      </w:tr>
    </w:tbl>
    <w:p>
      <w:pPr>
        <w:pStyle w:val="BodyText"/>
        <w:spacing w:before="6"/>
        <w:rPr>
          <w:sz w:val="29"/>
        </w:rPr>
      </w:pPr>
    </w:p>
    <w:p>
      <w:pPr>
        <w:pStyle w:val="Heading3"/>
        <w:spacing w:before="69"/>
        <w:ind w:left="539" w:right="754"/>
      </w:pPr>
      <w:r>
        <w:rPr/>
        <w:t>Instituciones participantes en México</w:t>
      </w:r>
    </w:p>
    <w:p>
      <w:pPr>
        <w:pStyle w:val="ListParagraph"/>
        <w:numPr>
          <w:ilvl w:val="2"/>
          <w:numId w:val="16"/>
        </w:numPr>
        <w:tabs>
          <w:tab w:pos="1314" w:val="left" w:leader="none"/>
          <w:tab w:pos="1315" w:val="left" w:leader="none"/>
        </w:tabs>
        <w:spacing w:line="240" w:lineRule="auto" w:before="63" w:after="0"/>
        <w:ind w:left="1314" w:right="0" w:hanging="357"/>
        <w:jc w:val="left"/>
        <w:rPr>
          <w:sz w:val="24"/>
        </w:rPr>
      </w:pPr>
      <w:r>
        <w:rPr>
          <w:sz w:val="24"/>
        </w:rPr>
        <w:t>MexDer, Mercado Mexicano de Derivados, S.A de</w:t>
      </w:r>
      <w:r>
        <w:rPr>
          <w:spacing w:val="-20"/>
          <w:sz w:val="24"/>
        </w:rPr>
        <w:t> </w:t>
      </w:r>
      <w:r>
        <w:rPr>
          <w:sz w:val="24"/>
        </w:rPr>
        <w:t>C.V.</w:t>
      </w:r>
    </w:p>
    <w:p>
      <w:pPr>
        <w:pStyle w:val="ListParagraph"/>
        <w:numPr>
          <w:ilvl w:val="2"/>
          <w:numId w:val="16"/>
        </w:numPr>
        <w:tabs>
          <w:tab w:pos="1314" w:val="left" w:leader="none"/>
          <w:tab w:pos="1315" w:val="left" w:leader="none"/>
        </w:tabs>
        <w:spacing w:line="240" w:lineRule="auto" w:before="135" w:after="0"/>
        <w:ind w:left="1314" w:right="0" w:hanging="357"/>
        <w:jc w:val="left"/>
        <w:rPr>
          <w:sz w:val="16"/>
        </w:rPr>
      </w:pPr>
      <w:r>
        <w:rPr>
          <w:sz w:val="24"/>
        </w:rPr>
        <w:t>Asigna, Compensación y</w:t>
      </w:r>
      <w:r>
        <w:rPr>
          <w:spacing w:val="-7"/>
          <w:sz w:val="24"/>
        </w:rPr>
        <w:t> </w:t>
      </w:r>
      <w:r>
        <w:rPr>
          <w:sz w:val="24"/>
        </w:rPr>
        <w:t>Liquidación</w:t>
      </w:r>
      <w:r>
        <w:rPr>
          <w:position w:val="8"/>
          <w:sz w:val="16"/>
        </w:rPr>
        <w:t>47</w:t>
      </w:r>
    </w:p>
    <w:p>
      <w:pPr>
        <w:pStyle w:val="ListParagraph"/>
        <w:numPr>
          <w:ilvl w:val="2"/>
          <w:numId w:val="16"/>
        </w:numPr>
        <w:tabs>
          <w:tab w:pos="1314" w:val="left" w:leader="none"/>
          <w:tab w:pos="1315" w:val="left" w:leader="none"/>
        </w:tabs>
        <w:spacing w:line="240" w:lineRule="auto" w:before="135" w:after="0"/>
        <w:ind w:left="1314" w:right="0" w:hanging="357"/>
        <w:jc w:val="left"/>
        <w:rPr>
          <w:sz w:val="24"/>
        </w:rPr>
      </w:pPr>
      <w:r>
        <w:rPr>
          <w:sz w:val="24"/>
        </w:rPr>
        <w:t>Socios</w:t>
      </w:r>
      <w:r>
        <w:rPr>
          <w:spacing w:val="-5"/>
          <w:sz w:val="24"/>
        </w:rPr>
        <w:t> </w:t>
      </w:r>
      <w:r>
        <w:rPr>
          <w:sz w:val="24"/>
        </w:rPr>
        <w:t>liquidadores</w:t>
      </w:r>
    </w:p>
    <w:p>
      <w:pPr>
        <w:pStyle w:val="ListParagraph"/>
        <w:numPr>
          <w:ilvl w:val="2"/>
          <w:numId w:val="16"/>
        </w:numPr>
        <w:tabs>
          <w:tab w:pos="1314" w:val="left" w:leader="none"/>
          <w:tab w:pos="1315" w:val="left" w:leader="none"/>
        </w:tabs>
        <w:spacing w:line="240" w:lineRule="auto" w:before="135" w:after="0"/>
        <w:ind w:left="1314" w:right="0" w:hanging="357"/>
        <w:jc w:val="left"/>
        <w:rPr>
          <w:sz w:val="24"/>
        </w:rPr>
      </w:pPr>
      <w:r>
        <w:rPr>
          <w:sz w:val="24"/>
        </w:rPr>
        <w:t>Operadores del</w:t>
      </w:r>
      <w:r>
        <w:rPr>
          <w:spacing w:val="-9"/>
          <w:sz w:val="24"/>
        </w:rPr>
        <w:t> </w:t>
      </w:r>
      <w:r>
        <w:rPr>
          <w:sz w:val="24"/>
        </w:rPr>
        <w:t>mercado</w:t>
      </w:r>
    </w:p>
    <w:p>
      <w:pPr>
        <w:pStyle w:val="BodyText"/>
        <w:spacing w:before="8"/>
        <w:rPr>
          <w:sz w:val="21"/>
        </w:rPr>
      </w:pPr>
    </w:p>
    <w:p>
      <w:pPr>
        <w:spacing w:before="0"/>
        <w:ind w:left="539" w:right="754" w:firstLine="0"/>
        <w:jc w:val="left"/>
        <w:rPr>
          <w:b/>
          <w:sz w:val="16"/>
        </w:rPr>
      </w:pPr>
      <w:r>
        <w:rPr>
          <w:b/>
          <w:sz w:val="24"/>
        </w:rPr>
        <w:t>MexDer</w:t>
      </w:r>
      <w:r>
        <w:rPr>
          <w:b/>
          <w:position w:val="8"/>
          <w:sz w:val="16"/>
        </w:rPr>
        <w:t>48</w:t>
      </w:r>
    </w:p>
    <w:p>
      <w:pPr>
        <w:pStyle w:val="BodyText"/>
        <w:spacing w:line="357" w:lineRule="auto" w:before="63"/>
        <w:ind w:left="182" w:right="200" w:firstLine="707"/>
        <w:jc w:val="both"/>
        <w:rPr>
          <w:sz w:val="16"/>
        </w:rPr>
      </w:pPr>
      <w:r>
        <w:rPr/>
        <w:t>MexDer es la Bolsa de Derivados de México, la cual ofrece Contratos de Futuro</w:t>
      </w:r>
      <w:r>
        <w:rPr>
          <w:spacing w:val="-15"/>
        </w:rPr>
        <w:t> </w:t>
      </w:r>
      <w:r>
        <w:rPr/>
        <w:t>y</w:t>
      </w:r>
      <w:r>
        <w:rPr>
          <w:spacing w:val="-18"/>
        </w:rPr>
        <w:t> </w:t>
      </w:r>
      <w:r>
        <w:rPr/>
        <w:t>Contratos</w:t>
      </w:r>
      <w:r>
        <w:rPr>
          <w:spacing w:val="-18"/>
        </w:rPr>
        <w:t> </w:t>
      </w:r>
      <w:r>
        <w:rPr/>
        <w:t>de</w:t>
      </w:r>
      <w:r>
        <w:rPr>
          <w:spacing w:val="-17"/>
        </w:rPr>
        <w:t> </w:t>
      </w:r>
      <w:r>
        <w:rPr/>
        <w:t>Opción.</w:t>
      </w:r>
      <w:r>
        <w:rPr>
          <w:spacing w:val="-15"/>
        </w:rPr>
        <w:t> </w:t>
      </w:r>
      <w:r>
        <w:rPr/>
        <w:t>Inició</w:t>
      </w:r>
      <w:r>
        <w:rPr>
          <w:spacing w:val="-15"/>
        </w:rPr>
        <w:t> </w:t>
      </w:r>
      <w:r>
        <w:rPr/>
        <w:t>operaciones</w:t>
      </w:r>
      <w:r>
        <w:rPr>
          <w:spacing w:val="-15"/>
        </w:rPr>
        <w:t> </w:t>
      </w:r>
      <w:r>
        <w:rPr/>
        <w:t>el</w:t>
      </w:r>
      <w:r>
        <w:rPr>
          <w:spacing w:val="-16"/>
        </w:rPr>
        <w:t> </w:t>
      </w:r>
      <w:r>
        <w:rPr/>
        <w:t>15</w:t>
      </w:r>
      <w:r>
        <w:rPr>
          <w:spacing w:val="-15"/>
        </w:rPr>
        <w:t> </w:t>
      </w:r>
      <w:r>
        <w:rPr/>
        <w:t>de</w:t>
      </w:r>
      <w:r>
        <w:rPr>
          <w:spacing w:val="-17"/>
        </w:rPr>
        <w:t> </w:t>
      </w:r>
      <w:r>
        <w:rPr/>
        <w:t>diciembre</w:t>
      </w:r>
      <w:r>
        <w:rPr>
          <w:spacing w:val="-18"/>
        </w:rPr>
        <w:t> </w:t>
      </w:r>
      <w:r>
        <w:rPr/>
        <w:t>de</w:t>
      </w:r>
      <w:r>
        <w:rPr>
          <w:spacing w:val="-15"/>
        </w:rPr>
        <w:t> </w:t>
      </w:r>
      <w:r>
        <w:rPr/>
        <w:t>1998,</w:t>
      </w:r>
      <w:r>
        <w:rPr>
          <w:spacing w:val="-15"/>
        </w:rPr>
        <w:t> </w:t>
      </w:r>
      <w:r>
        <w:rPr/>
        <w:t>siendo constituida como una sociedad anónima de capital variable, autorizada por la Secretaría de Hacienda y Crédito</w:t>
      </w:r>
      <w:r>
        <w:rPr>
          <w:spacing w:val="-14"/>
        </w:rPr>
        <w:t> </w:t>
      </w:r>
      <w:r>
        <w:rPr/>
        <w:t>Público.</w:t>
      </w:r>
      <w:r>
        <w:rPr>
          <w:position w:val="8"/>
          <w:sz w:val="16"/>
        </w:rPr>
        <w:t>49</w:t>
      </w:r>
    </w:p>
    <w:p>
      <w:pPr>
        <w:spacing w:before="114"/>
        <w:ind w:left="539" w:right="754" w:firstLine="0"/>
        <w:jc w:val="left"/>
        <w:rPr>
          <w:b/>
          <w:sz w:val="16"/>
        </w:rPr>
      </w:pPr>
      <w:r>
        <w:rPr>
          <w:b/>
          <w:sz w:val="24"/>
        </w:rPr>
        <w:t>Asigna</w:t>
      </w:r>
      <w:r>
        <w:rPr>
          <w:b/>
          <w:position w:val="8"/>
          <w:sz w:val="16"/>
        </w:rPr>
        <w:t>50</w:t>
      </w:r>
    </w:p>
    <w:p>
      <w:pPr>
        <w:pStyle w:val="BodyText"/>
        <w:spacing w:line="360" w:lineRule="auto" w:before="62"/>
        <w:ind w:left="182" w:right="204" w:firstLine="707"/>
        <w:jc w:val="both"/>
        <w:rPr>
          <w:sz w:val="16"/>
        </w:rPr>
      </w:pPr>
      <w:r>
        <w:rPr/>
        <w:t>Es la Cámara de Compensación y Liquidación del Mercado Mexicano de Derivados (MexDer), su función central es ser la contraparte y por tanto garante de todas las obligaciones financieras que se derivan de la operación de los contratos negociados.</w:t>
      </w:r>
      <w:r>
        <w:rPr>
          <w:position w:val="8"/>
          <w:sz w:val="16"/>
        </w:rPr>
        <w:t>51</w:t>
      </w:r>
    </w:p>
    <w:p>
      <w:pPr>
        <w:pStyle w:val="BodyText"/>
        <w:rPr>
          <w:sz w:val="20"/>
        </w:rPr>
      </w:pPr>
    </w:p>
    <w:p>
      <w:pPr>
        <w:pStyle w:val="BodyText"/>
        <w:rPr>
          <w:sz w:val="20"/>
        </w:rPr>
      </w:pPr>
    </w:p>
    <w:p>
      <w:pPr>
        <w:pStyle w:val="BodyText"/>
        <w:rPr>
          <w:sz w:val="20"/>
        </w:rPr>
      </w:pPr>
    </w:p>
    <w:p>
      <w:pPr>
        <w:pStyle w:val="BodyText"/>
        <w:spacing w:before="2"/>
        <w:rPr>
          <w:sz w:val="12"/>
        </w:rPr>
      </w:pPr>
      <w:r>
        <w:rPr/>
        <w:pict>
          <v:line style="position:absolute;mso-position-horizontal-relative:page;mso-position-vertical-relative:paragraph;z-index:3976;mso-wrap-distance-left:0;mso-wrap-distance-right:0" from="85.103996pt,9.287359pt" to="229.123996pt,9.287359pt" stroked="true" strokeweight=".60004pt" strokecolor="#000000">
            <w10:wrap type="topAndBottom"/>
          </v:line>
        </w:pict>
      </w:r>
    </w:p>
    <w:p>
      <w:pPr>
        <w:spacing w:before="78"/>
        <w:ind w:left="182" w:right="1511" w:firstLine="0"/>
        <w:jc w:val="left"/>
        <w:rPr>
          <w:sz w:val="20"/>
        </w:rPr>
      </w:pPr>
      <w:r>
        <w:rPr>
          <w:position w:val="6"/>
          <w:sz w:val="13"/>
        </w:rPr>
        <w:t>47 </w:t>
      </w:r>
      <w:r>
        <w:rPr>
          <w:sz w:val="20"/>
        </w:rPr>
        <w:t>Cámara de Compensación constituida como fideicomiso de administración y pago. </w:t>
      </w:r>
      <w:r>
        <w:rPr>
          <w:position w:val="6"/>
          <w:sz w:val="13"/>
        </w:rPr>
        <w:t>48 </w:t>
      </w:r>
      <w:r>
        <w:rPr>
          <w:sz w:val="20"/>
        </w:rPr>
        <w:t>Fuente: página de MexDer: </w:t>
      </w:r>
      <w:hyperlink r:id="rId48">
        <w:r>
          <w:rPr>
            <w:color w:val="0000FF"/>
            <w:sz w:val="20"/>
            <w:u w:val="single" w:color="0000FF"/>
          </w:rPr>
          <w:t>http://www.mexder.com.mx/MEX/paginaprincipal.html</w:t>
        </w:r>
      </w:hyperlink>
      <w:r>
        <w:rPr>
          <w:color w:val="0000FF"/>
          <w:sz w:val="20"/>
          <w:u w:val="single" w:color="0000FF"/>
        </w:rPr>
        <w:t> </w:t>
      </w:r>
      <w:r>
        <w:rPr>
          <w:position w:val="6"/>
          <w:sz w:val="13"/>
        </w:rPr>
        <w:t>49 </w:t>
      </w:r>
      <w:hyperlink r:id="rId45">
        <w:r>
          <w:rPr>
            <w:color w:val="0000FF"/>
            <w:sz w:val="20"/>
            <w:u w:val="single" w:color="0000FF"/>
          </w:rPr>
          <w:t>http://www.mexder.com.mx/MEX/anteceden.html</w:t>
        </w:r>
      </w:hyperlink>
    </w:p>
    <w:p>
      <w:pPr>
        <w:spacing w:before="0"/>
        <w:ind w:left="182" w:right="754" w:firstLine="0"/>
        <w:jc w:val="left"/>
        <w:rPr>
          <w:sz w:val="20"/>
        </w:rPr>
      </w:pPr>
      <w:r>
        <w:rPr>
          <w:position w:val="6"/>
          <w:sz w:val="13"/>
        </w:rPr>
        <w:t>50 </w:t>
      </w:r>
      <w:r>
        <w:rPr>
          <w:sz w:val="20"/>
        </w:rPr>
        <w:t>Fuente: página de ASIGNA: </w:t>
      </w:r>
      <w:hyperlink r:id="rId54">
        <w:r>
          <w:rPr>
            <w:color w:val="0000FF"/>
            <w:sz w:val="20"/>
            <w:u w:val="single" w:color="0000FF"/>
          </w:rPr>
          <w:t>http://www.asigna.com.mx/ASG/HTML/home.html</w:t>
        </w:r>
      </w:hyperlink>
    </w:p>
    <w:p>
      <w:pPr>
        <w:spacing w:before="0"/>
        <w:ind w:left="182" w:right="754" w:firstLine="0"/>
        <w:jc w:val="left"/>
        <w:rPr>
          <w:sz w:val="20"/>
        </w:rPr>
      </w:pPr>
      <w:r>
        <w:rPr>
          <w:position w:val="6"/>
          <w:sz w:val="13"/>
        </w:rPr>
        <w:t>51 </w:t>
      </w:r>
      <w:hyperlink r:id="rId55">
        <w:r>
          <w:rPr>
            <w:color w:val="0000FF"/>
            <w:sz w:val="20"/>
            <w:u w:val="single" w:color="0000FF"/>
          </w:rPr>
          <w:t>http://www.mexder.com.mx/MEX/Camara_de_Compensacion.html</w:t>
        </w:r>
      </w:hyperlink>
    </w:p>
    <w:p>
      <w:pPr>
        <w:spacing w:after="0"/>
        <w:jc w:val="left"/>
        <w:rPr>
          <w:sz w:val="20"/>
        </w:rPr>
        <w:sectPr>
          <w:footerReference w:type="default" r:id="rId53"/>
          <w:pgSz w:w="12240" w:h="15840"/>
          <w:pgMar w:footer="737" w:header="731" w:top="1180" w:bottom="920" w:left="1520" w:right="1500"/>
          <w:pgNumType w:start="52"/>
        </w:sectPr>
      </w:pPr>
    </w:p>
    <w:p>
      <w:pPr>
        <w:pStyle w:val="BodyText"/>
        <w:rPr>
          <w:sz w:val="20"/>
        </w:rPr>
      </w:pPr>
    </w:p>
    <w:p>
      <w:pPr>
        <w:pStyle w:val="BodyText"/>
        <w:spacing w:before="5"/>
        <w:rPr>
          <w:sz w:val="21"/>
        </w:rPr>
      </w:pPr>
    </w:p>
    <w:p>
      <w:pPr>
        <w:pStyle w:val="Heading3"/>
        <w:spacing w:before="0"/>
        <w:rPr>
          <w:sz w:val="16"/>
        </w:rPr>
      </w:pPr>
      <w:r>
        <w:rPr/>
        <w:t>Socios liquidadores</w:t>
      </w:r>
      <w:r>
        <w:rPr>
          <w:position w:val="8"/>
          <w:sz w:val="16"/>
        </w:rPr>
        <w:t>52</w:t>
      </w:r>
    </w:p>
    <w:p>
      <w:pPr>
        <w:pStyle w:val="BodyText"/>
        <w:spacing w:line="357" w:lineRule="auto" w:before="62"/>
        <w:ind w:left="142" w:right="144" w:firstLine="707"/>
        <w:jc w:val="both"/>
        <w:rPr>
          <w:sz w:val="16"/>
        </w:rPr>
      </w:pPr>
      <w:r>
        <w:rPr/>
        <w:t>Fideicomiso de administración cuya finalidad es celebrar y liquidar contratos de futuros y contratos de opciones operados en Bolsa.</w:t>
      </w:r>
      <w:r>
        <w:rPr>
          <w:position w:val="8"/>
          <w:sz w:val="16"/>
        </w:rPr>
        <w:t>53</w:t>
      </w:r>
    </w:p>
    <w:p>
      <w:pPr>
        <w:pStyle w:val="ListParagraph"/>
        <w:numPr>
          <w:ilvl w:val="2"/>
          <w:numId w:val="16"/>
        </w:numPr>
        <w:tabs>
          <w:tab w:pos="1275" w:val="left" w:leader="none"/>
        </w:tabs>
        <w:spacing w:line="355" w:lineRule="auto" w:before="2" w:after="0"/>
        <w:ind w:left="1274" w:right="137" w:hanging="357"/>
        <w:jc w:val="both"/>
        <w:rPr>
          <w:sz w:val="24"/>
        </w:rPr>
      </w:pPr>
      <w:r>
        <w:rPr>
          <w:sz w:val="24"/>
        </w:rPr>
        <w:t>Existen dos tipos de Socios Liquidadores.</w:t>
      </w:r>
      <w:r>
        <w:rPr>
          <w:spacing w:val="9"/>
          <w:sz w:val="24"/>
        </w:rPr>
        <w:t> </w:t>
      </w:r>
      <w:r>
        <w:rPr>
          <w:sz w:val="24"/>
        </w:rPr>
        <w:t>De posición propia. Liquidan Contratos de Futuros y Contratos de Opciones exclusivamente por cuenta de entidades del grupo financiero al que</w:t>
      </w:r>
      <w:r>
        <w:rPr>
          <w:spacing w:val="-26"/>
          <w:sz w:val="24"/>
        </w:rPr>
        <w:t> </w:t>
      </w:r>
      <w:r>
        <w:rPr>
          <w:sz w:val="24"/>
        </w:rPr>
        <w:t>pertenezcan.</w:t>
      </w:r>
    </w:p>
    <w:p>
      <w:pPr>
        <w:pStyle w:val="ListParagraph"/>
        <w:numPr>
          <w:ilvl w:val="2"/>
          <w:numId w:val="16"/>
        </w:numPr>
        <w:tabs>
          <w:tab w:pos="1275" w:val="left" w:leader="none"/>
        </w:tabs>
        <w:spacing w:line="355" w:lineRule="auto" w:before="8" w:after="0"/>
        <w:ind w:left="1274" w:right="144" w:hanging="357"/>
        <w:jc w:val="both"/>
        <w:rPr>
          <w:sz w:val="24"/>
        </w:rPr>
      </w:pPr>
      <w:r>
        <w:rPr>
          <w:sz w:val="24"/>
        </w:rPr>
        <w:t>De posición de terceros. Liquidan Contratos de Futuros y Contratos de Opciones por cuenta de clientes que no están clasificadas como cuenta propia.</w:t>
      </w:r>
    </w:p>
    <w:p>
      <w:pPr>
        <w:pStyle w:val="Heading3"/>
        <w:spacing w:before="125"/>
      </w:pPr>
      <w:r>
        <w:rPr/>
        <w:t>Operadores del mercado</w:t>
      </w:r>
    </w:p>
    <w:p>
      <w:pPr>
        <w:pStyle w:val="BodyText"/>
        <w:spacing w:line="360" w:lineRule="auto" w:before="62"/>
        <w:ind w:left="142" w:right="146" w:firstLine="707"/>
        <w:jc w:val="both"/>
      </w:pPr>
      <w:r>
        <w:rPr/>
        <w:t>Instituciones de crédito, casas de bolsa, etc. cuya función sea actuar como comisionista de los Socios Liquidadores en la celebración de contratos por cuenta de terceros y capaces también de poder celebrar operaciones por cuenta propia, actuando como cliente de un socio liquidador.</w:t>
      </w:r>
    </w:p>
    <w:p>
      <w:pPr>
        <w:pStyle w:val="BodyText"/>
      </w:pPr>
    </w:p>
    <w:p>
      <w:pPr>
        <w:pStyle w:val="ListParagraph"/>
        <w:numPr>
          <w:ilvl w:val="1"/>
          <w:numId w:val="16"/>
        </w:numPr>
        <w:tabs>
          <w:tab w:pos="596" w:val="left" w:leader="none"/>
        </w:tabs>
        <w:spacing w:line="240" w:lineRule="auto" w:before="199" w:after="0"/>
        <w:ind w:left="595" w:right="0" w:hanging="453"/>
        <w:jc w:val="left"/>
        <w:rPr>
          <w:b/>
          <w:sz w:val="18"/>
        </w:rPr>
      </w:pPr>
      <w:bookmarkStart w:name="_bookmark28" w:id="46"/>
      <w:bookmarkEnd w:id="46"/>
      <w:r>
        <w:rPr/>
      </w:r>
      <w:bookmarkStart w:name="_bookmark28" w:id="47"/>
      <w:bookmarkEnd w:id="47"/>
      <w:r>
        <w:rPr>
          <w:b/>
          <w:sz w:val="28"/>
        </w:rPr>
        <w:t>L</w:t>
      </w:r>
      <w:r>
        <w:rPr>
          <w:b/>
          <w:sz w:val="22"/>
        </w:rPr>
        <w:t>A BOLSA DE DERIVADOS DE </w:t>
      </w:r>
      <w:r>
        <w:rPr>
          <w:b/>
          <w:sz w:val="28"/>
        </w:rPr>
        <w:t>M</w:t>
      </w:r>
      <w:r>
        <w:rPr>
          <w:b/>
          <w:sz w:val="22"/>
        </w:rPr>
        <w:t>ÉXICO</w:t>
      </w:r>
      <w:r>
        <w:rPr>
          <w:b/>
          <w:spacing w:val="-18"/>
          <w:sz w:val="22"/>
        </w:rPr>
        <w:t> </w:t>
      </w:r>
      <w:r>
        <w:rPr>
          <w:b/>
          <w:sz w:val="28"/>
        </w:rPr>
        <w:t>(M</w:t>
      </w:r>
      <w:r>
        <w:rPr>
          <w:b/>
          <w:sz w:val="22"/>
        </w:rPr>
        <w:t>EX</w:t>
      </w:r>
      <w:r>
        <w:rPr>
          <w:b/>
          <w:sz w:val="28"/>
        </w:rPr>
        <w:t>D</w:t>
      </w:r>
      <w:r>
        <w:rPr>
          <w:b/>
          <w:sz w:val="22"/>
        </w:rPr>
        <w:t>ER</w:t>
      </w:r>
      <w:r>
        <w:rPr>
          <w:b/>
          <w:sz w:val="28"/>
        </w:rPr>
        <w:t>)</w:t>
      </w:r>
      <w:r>
        <w:rPr>
          <w:b/>
          <w:position w:val="10"/>
          <w:sz w:val="18"/>
        </w:rPr>
        <w:t>54</w:t>
      </w:r>
    </w:p>
    <w:p>
      <w:pPr>
        <w:pStyle w:val="Heading3"/>
        <w:spacing w:before="241"/>
      </w:pPr>
      <w:r>
        <w:rPr/>
        <w:t>La Bolsa de Futuros y Opciones</w:t>
      </w:r>
    </w:p>
    <w:p>
      <w:pPr>
        <w:pStyle w:val="BodyText"/>
        <w:spacing w:line="360" w:lineRule="auto" w:before="62"/>
        <w:ind w:left="142" w:right="140" w:firstLine="707"/>
        <w:jc w:val="both"/>
      </w:pPr>
      <w:r>
        <w:rPr/>
        <w:t>La Bolsa de Derivados de México (MexDer), es el lugar donde se llevan a cabo las operaciones de compraventa de contratos de futuros y de contratos de opciones. Su función es facilitar las transacciones con contratos poniendo en contacto a los sujetos económico superavitarios de hoy, con los que fueron ayer y que hoy desean desprenderse de sus contratos. (BMV-Educación, 2003:17)</w:t>
      </w:r>
    </w:p>
    <w:p>
      <w:pPr>
        <w:pStyle w:val="Heading3"/>
      </w:pPr>
      <w:r>
        <w:rPr/>
        <w:t>Objetivo</w:t>
      </w:r>
    </w:p>
    <w:p>
      <w:pPr>
        <w:pStyle w:val="BodyText"/>
        <w:spacing w:line="360" w:lineRule="auto" w:before="62"/>
        <w:ind w:left="142" w:right="143" w:firstLine="707"/>
        <w:jc w:val="both"/>
      </w:pPr>
      <w:r>
        <w:rPr/>
        <w:t>Facilitar las instalaciones y mecanismos para que se coticen y negocien los contratos de futuros y de opciones.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r>
        <w:rPr/>
        <w:pict>
          <v:line style="position:absolute;mso-position-horizontal-relative:page;mso-position-vertical-relative:paragraph;z-index:4000;mso-wrap-distance-left:0;mso-wrap-distance-right:0" from="85.103996pt,13.577821pt" to="229.123996pt,13.577821pt" stroked="true" strokeweight=".599980pt" strokecolor="#000000">
            <w10:wrap type="topAndBottom"/>
          </v:line>
        </w:pict>
      </w:r>
    </w:p>
    <w:p>
      <w:pPr>
        <w:spacing w:before="78"/>
        <w:ind w:left="142" w:right="3352" w:firstLine="0"/>
        <w:jc w:val="left"/>
        <w:rPr>
          <w:sz w:val="20"/>
        </w:rPr>
      </w:pPr>
      <w:r>
        <w:rPr>
          <w:position w:val="6"/>
          <w:sz w:val="13"/>
        </w:rPr>
        <w:t>52 </w:t>
      </w:r>
      <w:r>
        <w:rPr>
          <w:sz w:val="20"/>
        </w:rPr>
        <w:t>Operadores, Socios Liquidadores y Formadores de Mercado: </w:t>
      </w:r>
      <w:hyperlink r:id="rId56">
        <w:r>
          <w:rPr>
            <w:color w:val="0000FF"/>
            <w:sz w:val="20"/>
            <w:u w:val="single" w:color="0000FF"/>
          </w:rPr>
          <w:t>http://www.mexder.com.mx/MEX/Abrir_una_Cuenta.html</w:t>
        </w:r>
      </w:hyperlink>
    </w:p>
    <w:p>
      <w:pPr>
        <w:spacing w:before="0"/>
        <w:ind w:left="142" w:right="786" w:firstLine="0"/>
        <w:jc w:val="left"/>
        <w:rPr>
          <w:sz w:val="20"/>
        </w:rPr>
      </w:pPr>
      <w:r>
        <w:rPr>
          <w:position w:val="6"/>
          <w:sz w:val="13"/>
        </w:rPr>
        <w:t>53 </w:t>
      </w:r>
      <w:hyperlink r:id="rId57">
        <w:r>
          <w:rPr>
            <w:color w:val="0000FF"/>
            <w:sz w:val="20"/>
            <w:u w:val="single" w:color="0000FF"/>
          </w:rPr>
          <w:t>http://www.mexder.com.mx/MEX/Glosario.html</w:t>
        </w:r>
      </w:hyperlink>
    </w:p>
    <w:p>
      <w:pPr>
        <w:spacing w:before="0"/>
        <w:ind w:left="142" w:right="786" w:firstLine="0"/>
        <w:jc w:val="left"/>
        <w:rPr>
          <w:sz w:val="20"/>
        </w:rPr>
      </w:pPr>
      <w:r>
        <w:rPr>
          <w:position w:val="6"/>
          <w:sz w:val="13"/>
        </w:rPr>
        <w:t>54 </w:t>
      </w:r>
      <w:r>
        <w:rPr>
          <w:sz w:val="20"/>
        </w:rPr>
        <w:t>Ver video: Video: </w:t>
      </w:r>
      <w:hyperlink r:id="rId58">
        <w:r>
          <w:rPr>
            <w:color w:val="0000FF"/>
            <w:sz w:val="20"/>
            <w:u w:val="single" w:color="0000FF"/>
          </w:rPr>
          <w:t>http://www.mexder.com.mx/MEX/mexder.htm</w:t>
        </w:r>
      </w:hyperlink>
    </w:p>
    <w:p>
      <w:pPr>
        <w:spacing w:after="0"/>
        <w:jc w:val="left"/>
        <w:rPr>
          <w:sz w:val="20"/>
        </w:rPr>
        <w:sectPr>
          <w:pgSz w:w="12240" w:h="15840"/>
          <w:pgMar w:header="731" w:footer="737" w:top="1180" w:bottom="920" w:left="1560" w:right="1560"/>
        </w:sectPr>
      </w:pPr>
    </w:p>
    <w:p>
      <w:pPr>
        <w:pStyle w:val="BodyText"/>
        <w:rPr>
          <w:sz w:val="20"/>
        </w:rPr>
      </w:pPr>
    </w:p>
    <w:p>
      <w:pPr>
        <w:pStyle w:val="BodyText"/>
        <w:spacing w:before="9"/>
        <w:rPr>
          <w:sz w:val="15"/>
        </w:rPr>
      </w:pPr>
    </w:p>
    <w:p>
      <w:pPr>
        <w:pStyle w:val="Heading3"/>
        <w:spacing w:before="70"/>
      </w:pPr>
      <w:r>
        <w:rPr/>
        <w:t>Funciones</w:t>
      </w:r>
    </w:p>
    <w:p>
      <w:pPr>
        <w:pStyle w:val="ListParagraph"/>
        <w:numPr>
          <w:ilvl w:val="2"/>
          <w:numId w:val="16"/>
        </w:numPr>
        <w:tabs>
          <w:tab w:pos="1275" w:val="left" w:leader="none"/>
        </w:tabs>
        <w:spacing w:line="350" w:lineRule="auto" w:before="63" w:after="0"/>
        <w:ind w:left="1274" w:right="143" w:hanging="357"/>
        <w:jc w:val="both"/>
        <w:rPr>
          <w:sz w:val="24"/>
        </w:rPr>
      </w:pPr>
      <w:r>
        <w:rPr>
          <w:sz w:val="24"/>
        </w:rPr>
        <w:t>Diseñar</w:t>
      </w:r>
      <w:r>
        <w:rPr>
          <w:spacing w:val="-19"/>
          <w:sz w:val="24"/>
        </w:rPr>
        <w:t> </w:t>
      </w:r>
      <w:r>
        <w:rPr>
          <w:sz w:val="24"/>
        </w:rPr>
        <w:t>e</w:t>
      </w:r>
      <w:r>
        <w:rPr>
          <w:spacing w:val="-18"/>
          <w:sz w:val="24"/>
        </w:rPr>
        <w:t> </w:t>
      </w:r>
      <w:r>
        <w:rPr>
          <w:sz w:val="24"/>
        </w:rPr>
        <w:t>incorporar</w:t>
      </w:r>
      <w:r>
        <w:rPr>
          <w:spacing w:val="-19"/>
          <w:sz w:val="24"/>
        </w:rPr>
        <w:t> </w:t>
      </w:r>
      <w:r>
        <w:rPr>
          <w:sz w:val="24"/>
        </w:rPr>
        <w:t>los</w:t>
      </w:r>
      <w:r>
        <w:rPr>
          <w:spacing w:val="-19"/>
          <w:sz w:val="24"/>
        </w:rPr>
        <w:t> </w:t>
      </w:r>
      <w:r>
        <w:rPr>
          <w:sz w:val="24"/>
        </w:rPr>
        <w:t>contratos</w:t>
      </w:r>
      <w:r>
        <w:rPr>
          <w:spacing w:val="-19"/>
          <w:sz w:val="24"/>
        </w:rPr>
        <w:t> </w:t>
      </w:r>
      <w:r>
        <w:rPr>
          <w:sz w:val="24"/>
        </w:rPr>
        <w:t>de</w:t>
      </w:r>
      <w:r>
        <w:rPr>
          <w:spacing w:val="-20"/>
          <w:sz w:val="24"/>
        </w:rPr>
        <w:t> </w:t>
      </w:r>
      <w:r>
        <w:rPr>
          <w:sz w:val="24"/>
        </w:rPr>
        <w:t>futuros</w:t>
      </w:r>
      <w:r>
        <w:rPr>
          <w:spacing w:val="-19"/>
          <w:sz w:val="24"/>
        </w:rPr>
        <w:t> </w:t>
      </w:r>
      <w:r>
        <w:rPr>
          <w:sz w:val="24"/>
        </w:rPr>
        <w:t>y</w:t>
      </w:r>
      <w:r>
        <w:rPr>
          <w:spacing w:val="-21"/>
          <w:sz w:val="24"/>
        </w:rPr>
        <w:t> </w:t>
      </w:r>
      <w:r>
        <w:rPr>
          <w:sz w:val="24"/>
        </w:rPr>
        <w:t>opciones</w:t>
      </w:r>
      <w:r>
        <w:rPr>
          <w:spacing w:val="-19"/>
          <w:sz w:val="24"/>
        </w:rPr>
        <w:t> </w:t>
      </w:r>
      <w:r>
        <w:rPr>
          <w:sz w:val="24"/>
        </w:rPr>
        <w:t>que</w:t>
      </w:r>
      <w:r>
        <w:rPr>
          <w:spacing w:val="-18"/>
          <w:sz w:val="24"/>
        </w:rPr>
        <w:t> </w:t>
      </w:r>
      <w:r>
        <w:rPr>
          <w:sz w:val="24"/>
        </w:rPr>
        <w:t>se</w:t>
      </w:r>
      <w:r>
        <w:rPr>
          <w:spacing w:val="-20"/>
          <w:sz w:val="24"/>
        </w:rPr>
        <w:t> </w:t>
      </w:r>
      <w:r>
        <w:rPr>
          <w:sz w:val="24"/>
        </w:rPr>
        <w:t>pretendan negociar.</w:t>
      </w:r>
    </w:p>
    <w:p>
      <w:pPr>
        <w:pStyle w:val="ListParagraph"/>
        <w:numPr>
          <w:ilvl w:val="2"/>
          <w:numId w:val="16"/>
        </w:numPr>
        <w:tabs>
          <w:tab w:pos="1275" w:val="left" w:leader="none"/>
        </w:tabs>
        <w:spacing w:line="350" w:lineRule="auto" w:before="16" w:after="0"/>
        <w:ind w:left="1274" w:right="138" w:hanging="357"/>
        <w:jc w:val="both"/>
        <w:rPr>
          <w:sz w:val="24"/>
        </w:rPr>
      </w:pPr>
      <w:r>
        <w:rPr>
          <w:sz w:val="24"/>
        </w:rPr>
        <w:t>Ser un organismo regulador, sancionador, de vigilancia y auditoria respecto de sí misma y de los demás participantes del</w:t>
      </w:r>
      <w:r>
        <w:rPr>
          <w:spacing w:val="-21"/>
          <w:sz w:val="24"/>
        </w:rPr>
        <w:t> </w:t>
      </w:r>
      <w:r>
        <w:rPr>
          <w:sz w:val="24"/>
        </w:rPr>
        <w:t>mercado.</w:t>
      </w:r>
    </w:p>
    <w:p>
      <w:pPr>
        <w:pStyle w:val="Heading3"/>
        <w:spacing w:before="133"/>
      </w:pPr>
      <w:r>
        <w:rPr/>
        <w:t>Obligaciones</w:t>
      </w:r>
    </w:p>
    <w:p>
      <w:pPr>
        <w:pStyle w:val="BodyText"/>
        <w:spacing w:before="62"/>
        <w:ind w:left="850" w:right="786"/>
      </w:pPr>
      <w:r>
        <w:rPr/>
        <w:t>Debe contar con:</w:t>
      </w:r>
    </w:p>
    <w:p>
      <w:pPr>
        <w:pStyle w:val="ListParagraph"/>
        <w:numPr>
          <w:ilvl w:val="2"/>
          <w:numId w:val="16"/>
        </w:numPr>
        <w:tabs>
          <w:tab w:pos="1274" w:val="left" w:leader="none"/>
          <w:tab w:pos="1275" w:val="left" w:leader="none"/>
        </w:tabs>
        <w:spacing w:line="240" w:lineRule="auto" w:before="137" w:after="0"/>
        <w:ind w:left="1274" w:right="0" w:hanging="357"/>
        <w:jc w:val="left"/>
        <w:rPr>
          <w:sz w:val="24"/>
        </w:rPr>
      </w:pPr>
      <w:r>
        <w:rPr>
          <w:sz w:val="24"/>
        </w:rPr>
        <w:t>Sistemas operativos de negociación de contratos (Sentra</w:t>
      </w:r>
      <w:r>
        <w:rPr>
          <w:spacing w:val="-24"/>
          <w:sz w:val="24"/>
        </w:rPr>
        <w:t> </w:t>
      </w:r>
      <w:r>
        <w:rPr>
          <w:sz w:val="24"/>
        </w:rPr>
        <w:t>Derivados).</w:t>
      </w:r>
    </w:p>
    <w:p>
      <w:pPr>
        <w:pStyle w:val="ListParagraph"/>
        <w:numPr>
          <w:ilvl w:val="2"/>
          <w:numId w:val="16"/>
        </w:numPr>
        <w:tabs>
          <w:tab w:pos="1275" w:val="left" w:leader="none"/>
        </w:tabs>
        <w:spacing w:line="355" w:lineRule="auto" w:before="136" w:after="0"/>
        <w:ind w:left="1274" w:right="140" w:hanging="357"/>
        <w:jc w:val="both"/>
        <w:rPr>
          <w:sz w:val="24"/>
        </w:rPr>
      </w:pPr>
      <w:r>
        <w:rPr>
          <w:sz w:val="24"/>
        </w:rPr>
        <w:t>Sistema de control interno que capture en forma ordenada y completa la información generada en cada transacción (Siva Futuros: Reuters, Bloomberg).</w:t>
      </w:r>
    </w:p>
    <w:p>
      <w:pPr>
        <w:pStyle w:val="ListParagraph"/>
        <w:numPr>
          <w:ilvl w:val="2"/>
          <w:numId w:val="16"/>
        </w:numPr>
        <w:tabs>
          <w:tab w:pos="1274" w:val="left" w:leader="none"/>
          <w:tab w:pos="1275" w:val="left" w:leader="none"/>
        </w:tabs>
        <w:spacing w:line="240" w:lineRule="auto" w:before="8" w:after="0"/>
        <w:ind w:left="1274" w:right="0" w:hanging="357"/>
        <w:jc w:val="left"/>
        <w:rPr>
          <w:sz w:val="24"/>
        </w:rPr>
      </w:pPr>
      <w:r>
        <w:rPr>
          <w:sz w:val="24"/>
        </w:rPr>
        <w:t>Sistemas de monitoreo y revisión de las operaciones</w:t>
      </w:r>
      <w:r>
        <w:rPr>
          <w:spacing w:val="-22"/>
          <w:sz w:val="24"/>
        </w:rPr>
        <w:t> </w:t>
      </w:r>
      <w:r>
        <w:rPr>
          <w:sz w:val="24"/>
        </w:rPr>
        <w:t>celebradas.</w:t>
      </w:r>
    </w:p>
    <w:p>
      <w:pPr>
        <w:pStyle w:val="ListParagraph"/>
        <w:numPr>
          <w:ilvl w:val="2"/>
          <w:numId w:val="16"/>
        </w:numPr>
        <w:tabs>
          <w:tab w:pos="1275" w:val="left" w:leader="none"/>
        </w:tabs>
        <w:spacing w:line="350" w:lineRule="auto" w:before="138" w:after="0"/>
        <w:ind w:left="1274" w:right="145" w:hanging="357"/>
        <w:jc w:val="both"/>
        <w:rPr>
          <w:sz w:val="24"/>
        </w:rPr>
      </w:pPr>
      <w:r>
        <w:rPr>
          <w:sz w:val="24"/>
        </w:rPr>
        <w:t>Sistema de monitoreo y revisión de las posiciones limite por contrato abierto (Por ejemplo, 500 posiciones de contrato de</w:t>
      </w:r>
      <w:r>
        <w:rPr>
          <w:spacing w:val="-16"/>
          <w:sz w:val="24"/>
        </w:rPr>
        <w:t> </w:t>
      </w:r>
      <w:r>
        <w:rPr>
          <w:sz w:val="24"/>
        </w:rPr>
        <w:t>Cetes).</w:t>
      </w:r>
    </w:p>
    <w:p>
      <w:pPr>
        <w:pStyle w:val="ListParagraph"/>
        <w:numPr>
          <w:ilvl w:val="2"/>
          <w:numId w:val="16"/>
        </w:numPr>
        <w:tabs>
          <w:tab w:pos="1275" w:val="left" w:leader="none"/>
        </w:tabs>
        <w:spacing w:line="352" w:lineRule="auto" w:before="14" w:after="0"/>
        <w:ind w:left="1274" w:right="145" w:hanging="357"/>
        <w:jc w:val="both"/>
        <w:rPr>
          <w:sz w:val="24"/>
        </w:rPr>
      </w:pPr>
      <w:r>
        <w:rPr>
          <w:sz w:val="24"/>
        </w:rPr>
        <w:t>Sistemas eficientes de información histórica y a tiempo real de las transacciones.</w:t>
      </w:r>
    </w:p>
    <w:p>
      <w:pPr>
        <w:pStyle w:val="ListParagraph"/>
        <w:numPr>
          <w:ilvl w:val="2"/>
          <w:numId w:val="16"/>
        </w:numPr>
        <w:tabs>
          <w:tab w:pos="1275" w:val="left" w:leader="none"/>
        </w:tabs>
        <w:spacing w:line="350" w:lineRule="auto" w:before="12" w:after="0"/>
        <w:ind w:left="1274" w:right="145" w:hanging="357"/>
        <w:jc w:val="both"/>
        <w:rPr>
          <w:sz w:val="24"/>
        </w:rPr>
      </w:pPr>
      <w:r>
        <w:rPr>
          <w:sz w:val="24"/>
        </w:rPr>
        <w:t>Procedimientos de seguridad en caso de contingencias (Se opera un sistema espejo en Bancomer y en Pachuca,</w:t>
      </w:r>
      <w:r>
        <w:rPr>
          <w:spacing w:val="-21"/>
          <w:sz w:val="24"/>
        </w:rPr>
        <w:t> </w:t>
      </w:r>
      <w:r>
        <w:rPr>
          <w:sz w:val="24"/>
        </w:rPr>
        <w:t>Hgo.).</w:t>
      </w:r>
    </w:p>
    <w:p>
      <w:pPr>
        <w:pStyle w:val="ListParagraph"/>
        <w:numPr>
          <w:ilvl w:val="2"/>
          <w:numId w:val="16"/>
        </w:numPr>
        <w:tabs>
          <w:tab w:pos="1274" w:val="left" w:leader="none"/>
          <w:tab w:pos="1275" w:val="left" w:leader="none"/>
        </w:tabs>
        <w:spacing w:line="240" w:lineRule="auto" w:before="16" w:after="0"/>
        <w:ind w:left="1274" w:right="0" w:hanging="357"/>
        <w:jc w:val="left"/>
        <w:rPr>
          <w:sz w:val="24"/>
        </w:rPr>
      </w:pPr>
      <w:r>
        <w:rPr>
          <w:sz w:val="24"/>
        </w:rPr>
        <w:t>Sistemas de divulgación en caso de</w:t>
      </w:r>
      <w:r>
        <w:rPr>
          <w:spacing w:val="-14"/>
          <w:sz w:val="24"/>
        </w:rPr>
        <w:t> </w:t>
      </w:r>
      <w:r>
        <w:rPr>
          <w:sz w:val="24"/>
        </w:rPr>
        <w:t>incumplimiento.</w:t>
      </w:r>
    </w:p>
    <w:p>
      <w:pPr>
        <w:pStyle w:val="ListParagraph"/>
        <w:numPr>
          <w:ilvl w:val="2"/>
          <w:numId w:val="16"/>
        </w:numPr>
        <w:tabs>
          <w:tab w:pos="1274" w:val="left" w:leader="none"/>
          <w:tab w:pos="1275" w:val="left" w:leader="none"/>
        </w:tabs>
        <w:spacing w:line="240" w:lineRule="auto" w:before="135" w:after="0"/>
        <w:ind w:left="1274" w:right="0" w:hanging="357"/>
        <w:jc w:val="left"/>
        <w:rPr>
          <w:sz w:val="24"/>
        </w:rPr>
      </w:pPr>
      <w:r>
        <w:rPr>
          <w:sz w:val="24"/>
        </w:rPr>
        <w:t>Mecanismos para vigilar la actuación de la cámara de</w:t>
      </w:r>
      <w:r>
        <w:rPr>
          <w:spacing w:val="-23"/>
          <w:sz w:val="24"/>
        </w:rPr>
        <w:t> </w:t>
      </w:r>
      <w:r>
        <w:rPr>
          <w:sz w:val="24"/>
        </w:rPr>
        <w:t>compensación.</w:t>
      </w:r>
    </w:p>
    <w:p>
      <w:pPr>
        <w:pStyle w:val="ListParagraph"/>
        <w:numPr>
          <w:ilvl w:val="2"/>
          <w:numId w:val="16"/>
        </w:numPr>
        <w:tabs>
          <w:tab w:pos="1275" w:val="left" w:leader="none"/>
        </w:tabs>
        <w:spacing w:line="355" w:lineRule="auto" w:before="135" w:after="0"/>
        <w:ind w:left="1274" w:right="144" w:hanging="357"/>
        <w:jc w:val="both"/>
        <w:rPr>
          <w:sz w:val="24"/>
        </w:rPr>
      </w:pPr>
      <w:r>
        <w:rPr>
          <w:sz w:val="24"/>
        </w:rPr>
        <w:t>Evitar que en las operaciones que se celebren por cada tipo de</w:t>
      </w:r>
      <w:r>
        <w:rPr>
          <w:spacing w:val="-37"/>
          <w:sz w:val="24"/>
        </w:rPr>
        <w:t> </w:t>
      </w:r>
      <w:r>
        <w:rPr>
          <w:sz w:val="24"/>
        </w:rPr>
        <w:t>Contrato de Futuro y Contrato de Opción, exista concentración de mercado por parte de Socios Liquidadores, Operadores u Operadores de</w:t>
      </w:r>
      <w:r>
        <w:rPr>
          <w:spacing w:val="-24"/>
          <w:sz w:val="24"/>
        </w:rPr>
        <w:t> </w:t>
      </w:r>
      <w:r>
        <w:rPr>
          <w:sz w:val="24"/>
        </w:rPr>
        <w:t>Mesa.</w:t>
      </w:r>
    </w:p>
    <w:p>
      <w:pPr>
        <w:pStyle w:val="BodyText"/>
      </w:pPr>
    </w:p>
    <w:p>
      <w:pPr>
        <w:pStyle w:val="ListParagraph"/>
        <w:numPr>
          <w:ilvl w:val="1"/>
          <w:numId w:val="16"/>
        </w:numPr>
        <w:tabs>
          <w:tab w:pos="596" w:val="left" w:leader="none"/>
        </w:tabs>
        <w:spacing w:line="240" w:lineRule="auto" w:before="205" w:after="0"/>
        <w:ind w:left="595" w:right="0" w:hanging="453"/>
        <w:jc w:val="left"/>
        <w:rPr>
          <w:b/>
          <w:sz w:val="18"/>
        </w:rPr>
      </w:pPr>
      <w:bookmarkStart w:name="_bookmark29" w:id="48"/>
      <w:bookmarkEnd w:id="48"/>
      <w:r>
        <w:rPr/>
      </w:r>
      <w:bookmarkStart w:name="_bookmark29" w:id="49"/>
      <w:bookmarkEnd w:id="49"/>
      <w:r>
        <w:rPr>
          <w:b/>
          <w:sz w:val="28"/>
        </w:rPr>
        <w:t>L</w:t>
      </w:r>
      <w:r>
        <w:rPr>
          <w:b/>
          <w:sz w:val="22"/>
        </w:rPr>
        <w:t>A </w:t>
      </w:r>
      <w:r>
        <w:rPr>
          <w:b/>
          <w:sz w:val="28"/>
        </w:rPr>
        <w:t>C</w:t>
      </w:r>
      <w:r>
        <w:rPr>
          <w:b/>
          <w:sz w:val="22"/>
        </w:rPr>
        <w:t>ÁMARA DE </w:t>
      </w:r>
      <w:r>
        <w:rPr>
          <w:b/>
          <w:sz w:val="28"/>
        </w:rPr>
        <w:t>C</w:t>
      </w:r>
      <w:r>
        <w:rPr>
          <w:b/>
          <w:sz w:val="22"/>
        </w:rPr>
        <w:t>OMPENSACIÓN</w:t>
      </w:r>
      <w:r>
        <w:rPr>
          <w:b/>
          <w:spacing w:val="-18"/>
          <w:sz w:val="22"/>
        </w:rPr>
        <w:t> </w:t>
      </w:r>
      <w:r>
        <w:rPr>
          <w:b/>
          <w:sz w:val="28"/>
        </w:rPr>
        <w:t>(A</w:t>
      </w:r>
      <w:r>
        <w:rPr>
          <w:b/>
          <w:sz w:val="22"/>
        </w:rPr>
        <w:t>SIGNA</w:t>
      </w:r>
      <w:r>
        <w:rPr>
          <w:b/>
          <w:sz w:val="28"/>
        </w:rPr>
        <w:t>)</w:t>
      </w:r>
      <w:r>
        <w:rPr>
          <w:b/>
          <w:position w:val="10"/>
          <w:sz w:val="18"/>
        </w:rPr>
        <w:t>55</w:t>
      </w:r>
    </w:p>
    <w:p>
      <w:pPr>
        <w:spacing w:before="236"/>
        <w:ind w:left="499" w:right="786" w:firstLine="0"/>
        <w:jc w:val="left"/>
        <w:rPr>
          <w:b/>
          <w:sz w:val="16"/>
        </w:rPr>
      </w:pPr>
      <w:r>
        <w:rPr>
          <w:b/>
          <w:sz w:val="24"/>
        </w:rPr>
        <w:t>Asigna</w:t>
      </w:r>
      <w:r>
        <w:rPr>
          <w:b/>
          <w:position w:val="8"/>
          <w:sz w:val="16"/>
        </w:rPr>
        <w:t>56</w:t>
      </w:r>
    </w:p>
    <w:p>
      <w:pPr>
        <w:pStyle w:val="BodyText"/>
        <w:spacing w:line="360" w:lineRule="auto" w:before="62"/>
        <w:ind w:left="142" w:right="127" w:firstLine="707"/>
      </w:pPr>
      <w:r>
        <w:rPr/>
        <w:t>Es la Cámara de Compensación y Liquidación del Mercado Mexicano de Derivados (MexDer), su función central es ser la contraparte y por tanto garante de</w:t>
      </w:r>
    </w:p>
    <w:p>
      <w:pPr>
        <w:pStyle w:val="BodyText"/>
        <w:spacing w:before="7"/>
        <w:rPr>
          <w:sz w:val="22"/>
        </w:rPr>
      </w:pPr>
      <w:r>
        <w:rPr/>
        <w:pict>
          <v:line style="position:absolute;mso-position-horizontal-relative:page;mso-position-vertical-relative:paragraph;z-index:4024;mso-wrap-distance-left:0;mso-wrap-distance-right:0" from="85.103996pt,15.289885pt" to="229.123996pt,15.289885pt" stroked="true" strokeweight=".60004pt" strokecolor="#000000">
            <w10:wrap type="topAndBottom"/>
          </v:line>
        </w:pict>
      </w:r>
    </w:p>
    <w:p>
      <w:pPr>
        <w:spacing w:before="78"/>
        <w:ind w:left="142" w:right="786" w:firstLine="0"/>
        <w:jc w:val="left"/>
        <w:rPr>
          <w:sz w:val="20"/>
        </w:rPr>
      </w:pPr>
      <w:r>
        <w:rPr>
          <w:position w:val="6"/>
          <w:sz w:val="13"/>
        </w:rPr>
        <w:t>55 </w:t>
      </w:r>
      <w:r>
        <w:rPr>
          <w:sz w:val="20"/>
        </w:rPr>
        <w:t>Este tema se amplía en el material de filminas.</w:t>
      </w:r>
    </w:p>
    <w:p>
      <w:pPr>
        <w:spacing w:before="0"/>
        <w:ind w:left="142" w:right="786" w:firstLine="0"/>
        <w:jc w:val="left"/>
        <w:rPr>
          <w:sz w:val="20"/>
        </w:rPr>
      </w:pPr>
      <w:r>
        <w:rPr>
          <w:position w:val="6"/>
          <w:sz w:val="13"/>
        </w:rPr>
        <w:t>56 </w:t>
      </w:r>
      <w:r>
        <w:rPr>
          <w:sz w:val="20"/>
        </w:rPr>
        <w:t>Fuente: página de ASIGNA: </w:t>
      </w:r>
      <w:hyperlink r:id="rId54">
        <w:r>
          <w:rPr>
            <w:color w:val="0000FF"/>
            <w:sz w:val="20"/>
            <w:u w:val="single" w:color="0000FF"/>
          </w:rPr>
          <w:t>http://www.asigna.com.mx/ASG/HTML/home.html</w:t>
        </w:r>
      </w:hyperlink>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57" w:lineRule="auto" w:before="70"/>
        <w:ind w:left="142" w:right="157"/>
        <w:rPr>
          <w:sz w:val="16"/>
        </w:rPr>
      </w:pPr>
      <w:r>
        <w:rPr/>
        <w:t>todas las obligaciones financieras que se derivan de la operación de los contratos negociados.</w:t>
      </w:r>
      <w:r>
        <w:rPr>
          <w:position w:val="8"/>
          <w:sz w:val="16"/>
        </w:rPr>
        <w:t>57</w:t>
      </w:r>
    </w:p>
    <w:p>
      <w:pPr>
        <w:pStyle w:val="BodyText"/>
        <w:spacing w:line="360" w:lineRule="auto"/>
        <w:ind w:left="142" w:right="137" w:firstLine="707"/>
        <w:jc w:val="both"/>
      </w:pPr>
      <w:r>
        <w:rPr/>
        <w:t>La cámara de compensación es un fideicomiso</w:t>
      </w:r>
      <w:r>
        <w:rPr>
          <w:position w:val="8"/>
          <w:sz w:val="16"/>
        </w:rPr>
        <w:t>58 </w:t>
      </w:r>
      <w:r>
        <w:rPr/>
        <w:t>cuya función consiste en determinar diariamente el saldo de las operaciones realizadas por cada socio liquidador y calcular las aportaciones correspondientes, abonándolas en la cuenta del socio correspondiente cuando éstos son positivos o cargándolos en el caso contrario, exigiendo además aportaciones de fondos complementarios y liquidando las posiciones de los operadores cuando ello sea necesario.</w:t>
      </w:r>
    </w:p>
    <w:p>
      <w:pPr>
        <w:pStyle w:val="BodyText"/>
        <w:spacing w:line="360" w:lineRule="auto" w:before="3"/>
        <w:ind w:left="142" w:right="141" w:firstLine="707"/>
        <w:jc w:val="both"/>
      </w:pPr>
      <w:r>
        <w:rPr/>
        <w:t>Solamente los Socios Liquidadores son miembros de la cámara de compensación y son los únicos que pueden realizar aportaciones a la cámara; los operadores</w:t>
      </w:r>
      <w:r>
        <w:rPr>
          <w:spacing w:val="-17"/>
        </w:rPr>
        <w:t> </w:t>
      </w:r>
      <w:r>
        <w:rPr/>
        <w:t>y</w:t>
      </w:r>
      <w:r>
        <w:rPr>
          <w:spacing w:val="-20"/>
        </w:rPr>
        <w:t> </w:t>
      </w:r>
      <w:r>
        <w:rPr/>
        <w:t>clientes</w:t>
      </w:r>
      <w:r>
        <w:rPr>
          <w:spacing w:val="-17"/>
        </w:rPr>
        <w:t> </w:t>
      </w:r>
      <w:r>
        <w:rPr/>
        <w:t>lo</w:t>
      </w:r>
      <w:r>
        <w:rPr>
          <w:spacing w:val="-17"/>
        </w:rPr>
        <w:t> </w:t>
      </w:r>
      <w:r>
        <w:rPr/>
        <w:t>harán</w:t>
      </w:r>
      <w:r>
        <w:rPr>
          <w:spacing w:val="-17"/>
        </w:rPr>
        <w:t> </w:t>
      </w:r>
      <w:r>
        <w:rPr/>
        <w:t>indirectamente</w:t>
      </w:r>
      <w:r>
        <w:rPr>
          <w:spacing w:val="-19"/>
        </w:rPr>
        <w:t> </w:t>
      </w:r>
      <w:r>
        <w:rPr/>
        <w:t>por</w:t>
      </w:r>
      <w:r>
        <w:rPr>
          <w:spacing w:val="-18"/>
        </w:rPr>
        <w:t> </w:t>
      </w:r>
      <w:r>
        <w:rPr/>
        <w:t>medio</w:t>
      </w:r>
      <w:r>
        <w:rPr>
          <w:spacing w:val="-19"/>
        </w:rPr>
        <w:t> </w:t>
      </w:r>
      <w:r>
        <w:rPr/>
        <w:t>de</w:t>
      </w:r>
      <w:r>
        <w:rPr>
          <w:spacing w:val="-17"/>
        </w:rPr>
        <w:t> </w:t>
      </w:r>
      <w:r>
        <w:rPr/>
        <w:t>los</w:t>
      </w:r>
      <w:r>
        <w:rPr>
          <w:spacing w:val="-19"/>
        </w:rPr>
        <w:t> </w:t>
      </w:r>
      <w:r>
        <w:rPr/>
        <w:t>Socios</w:t>
      </w:r>
      <w:r>
        <w:rPr>
          <w:spacing w:val="-17"/>
        </w:rPr>
        <w:t> </w:t>
      </w:r>
      <w:r>
        <w:rPr/>
        <w:t>Liquidadores.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r>
        <w:rPr/>
        <w:pict>
          <v:line style="position:absolute;mso-position-horizontal-relative:page;mso-position-vertical-relative:paragraph;z-index:4048;mso-wrap-distance-left:0;mso-wrap-distance-right:0" from="85.103996pt,13.093217pt" to="229.123996pt,13.093217pt" stroked="true" strokeweight=".599980pt" strokecolor="#000000">
            <w10:wrap type="topAndBottom"/>
          </v:line>
        </w:pict>
      </w:r>
    </w:p>
    <w:p>
      <w:pPr>
        <w:spacing w:before="78"/>
        <w:ind w:left="142" w:right="0" w:firstLine="0"/>
        <w:jc w:val="both"/>
        <w:rPr>
          <w:sz w:val="20"/>
        </w:rPr>
      </w:pPr>
      <w:r>
        <w:rPr>
          <w:position w:val="6"/>
          <w:sz w:val="13"/>
        </w:rPr>
        <w:t>57 </w:t>
      </w:r>
      <w:hyperlink r:id="rId55">
        <w:r>
          <w:rPr>
            <w:color w:val="0000FF"/>
            <w:sz w:val="20"/>
            <w:u w:val="single" w:color="0000FF"/>
          </w:rPr>
          <w:t>http://www.mexder.com.mx/MEX/Camara_de_Compensacion.html</w:t>
        </w:r>
      </w:hyperlink>
    </w:p>
    <w:p>
      <w:pPr>
        <w:spacing w:before="0"/>
        <w:ind w:left="142" w:right="295" w:firstLine="0"/>
        <w:jc w:val="both"/>
        <w:rPr>
          <w:sz w:val="20"/>
        </w:rPr>
      </w:pPr>
      <w:r>
        <w:rPr>
          <w:position w:val="6"/>
          <w:sz w:val="13"/>
        </w:rPr>
        <w:t>58 </w:t>
      </w:r>
      <w:r>
        <w:rPr>
          <w:sz w:val="20"/>
        </w:rPr>
        <w:t>Fideicomiso de administración y pago constituido en BBVA Bancomer y sus fideicomitentes son Banamex Citigroup, BBVA Bancomer, Scotiabank Inverlat, Santander-Serfin, así como el Instituto para el Depósito de Valores S.D. Indeval.</w:t>
      </w:r>
    </w:p>
    <w:p>
      <w:pPr>
        <w:spacing w:after="0"/>
        <w:jc w:val="both"/>
        <w:rPr>
          <w:sz w:val="20"/>
        </w:rPr>
        <w:sectPr>
          <w:pgSz w:w="12240" w:h="15840"/>
          <w:pgMar w:header="731" w:footer="737" w:top="1180" w:bottom="920" w:left="1560" w:right="1560"/>
        </w:sectPr>
      </w:pPr>
    </w:p>
    <w:p>
      <w:pPr>
        <w:pStyle w:val="BodyText"/>
        <w:rPr>
          <w:sz w:val="20"/>
        </w:rPr>
      </w:pPr>
    </w:p>
    <w:p>
      <w:pPr>
        <w:pStyle w:val="Heading1"/>
        <w:numPr>
          <w:ilvl w:val="0"/>
          <w:numId w:val="6"/>
        </w:numPr>
        <w:tabs>
          <w:tab w:pos="606" w:val="left" w:leader="none"/>
        </w:tabs>
        <w:spacing w:line="240" w:lineRule="auto" w:before="248" w:after="0"/>
        <w:ind w:left="605" w:right="0" w:hanging="463"/>
        <w:jc w:val="left"/>
        <w:rPr>
          <w:sz w:val="21"/>
        </w:rPr>
      </w:pPr>
      <w:bookmarkStart w:name="_bookmark30" w:id="50"/>
      <w:bookmarkEnd w:id="50"/>
      <w:r>
        <w:rPr>
          <w:b w:val="0"/>
        </w:rPr>
      </w:r>
      <w:bookmarkStart w:name="_bookmark30" w:id="51"/>
      <w:bookmarkEnd w:id="51"/>
      <w:r>
        <w:rPr>
          <w:sz w:val="32"/>
        </w:rPr>
        <w:t>P</w:t>
      </w:r>
      <w:r>
        <w:rPr/>
        <w:t>RODUCTOS</w:t>
      </w:r>
      <w:r>
        <w:rPr>
          <w:spacing w:val="-2"/>
        </w:rPr>
        <w:t> </w:t>
      </w:r>
      <w:r>
        <w:rPr/>
        <w:t>DERIVADOS</w:t>
      </w:r>
      <w:r>
        <w:rPr>
          <w:position w:val="10"/>
          <w:sz w:val="21"/>
        </w:rPr>
        <w:t>59</w:t>
      </w:r>
    </w:p>
    <w:p>
      <w:pPr>
        <w:pStyle w:val="BodyText"/>
        <w:spacing w:line="360" w:lineRule="auto" w:before="244"/>
        <w:ind w:left="142" w:right="137" w:firstLine="707"/>
        <w:jc w:val="both"/>
      </w:pPr>
      <w:r>
        <w:rPr/>
        <w:t>Un producto derivado es un instrumento financiero cuyo valor depende del valor de otras variables subyacentes. Estos productos financieros pueden ser operados a través de mercados organizados (Futuros y Opciones) o pueden pactarse</w:t>
      </w:r>
      <w:r>
        <w:rPr>
          <w:spacing w:val="-16"/>
        </w:rPr>
        <w:t> </w:t>
      </w:r>
      <w:r>
        <w:rPr/>
        <w:t>directamente</w:t>
      </w:r>
      <w:r>
        <w:rPr>
          <w:spacing w:val="-16"/>
        </w:rPr>
        <w:t> </w:t>
      </w:r>
      <w:r>
        <w:rPr/>
        <w:t>entre</w:t>
      </w:r>
      <w:r>
        <w:rPr>
          <w:spacing w:val="-16"/>
        </w:rPr>
        <w:t> </w:t>
      </w:r>
      <w:r>
        <w:rPr/>
        <w:t>instituciones</w:t>
      </w:r>
      <w:r>
        <w:rPr>
          <w:spacing w:val="-19"/>
        </w:rPr>
        <w:t> </w:t>
      </w:r>
      <w:r>
        <w:rPr/>
        <w:t>financieras</w:t>
      </w:r>
      <w:r>
        <w:rPr>
          <w:spacing w:val="-14"/>
        </w:rPr>
        <w:t> </w:t>
      </w:r>
      <w:r>
        <w:rPr/>
        <w:t>y</w:t>
      </w:r>
      <w:r>
        <w:rPr>
          <w:spacing w:val="-16"/>
        </w:rPr>
        <w:t> </w:t>
      </w:r>
      <w:r>
        <w:rPr/>
        <w:t>sus</w:t>
      </w:r>
      <w:r>
        <w:rPr>
          <w:spacing w:val="-14"/>
        </w:rPr>
        <w:t> </w:t>
      </w:r>
      <w:r>
        <w:rPr/>
        <w:t>clientes</w:t>
      </w:r>
      <w:r>
        <w:rPr>
          <w:spacing w:val="-16"/>
        </w:rPr>
        <w:t> </w:t>
      </w:r>
      <w:r>
        <w:rPr/>
        <w:t>(forwards</w:t>
      </w:r>
      <w:r>
        <w:rPr>
          <w:spacing w:val="-14"/>
        </w:rPr>
        <w:t> </w:t>
      </w:r>
      <w:r>
        <w:rPr/>
        <w:t>y</w:t>
      </w:r>
      <w:r>
        <w:rPr>
          <w:spacing w:val="-16"/>
        </w:rPr>
        <w:t> </w:t>
      </w:r>
      <w:r>
        <w:rPr/>
        <w:t>otros tipos de Opciones) en lo que comúnmente se le llama mercado OTC (Over The Counter).</w:t>
      </w:r>
    </w:p>
    <w:p>
      <w:pPr>
        <w:pStyle w:val="BodyText"/>
        <w:spacing w:line="360" w:lineRule="auto" w:before="2"/>
        <w:ind w:left="142" w:right="134" w:firstLine="707"/>
        <w:jc w:val="both"/>
      </w:pPr>
      <w:r>
        <w:rPr/>
        <w:t>Lo más normal es que las variables subyacentes de los derivados sean los precios de instrumentos financieros. Una opción o futuro sobre una acción, por ejemplo, es un derivado cuyo valor depende del precio de la acción. Sin embargo, los derivados pueden depender de casi cualquier variable, desde el precio del jitomate hasta la cantidad de lluvia que caerá en una determinada época del año.</w:t>
      </w:r>
    </w:p>
    <w:p>
      <w:pPr>
        <w:pStyle w:val="BodyText"/>
        <w:spacing w:line="360" w:lineRule="auto" w:before="5"/>
        <w:ind w:left="142" w:right="140" w:firstLine="707"/>
        <w:jc w:val="both"/>
      </w:pPr>
      <w:r>
        <w:rPr/>
        <w:t>La volatilidad y la consiguiente poca certidumbre sobre el futuro de los mercados financieros dieron origen a los productos derivados, los cuales tienen como</w:t>
      </w:r>
      <w:r>
        <w:rPr>
          <w:spacing w:val="-24"/>
        </w:rPr>
        <w:t> </w:t>
      </w:r>
      <w:r>
        <w:rPr/>
        <w:t>función</w:t>
      </w:r>
      <w:r>
        <w:rPr>
          <w:spacing w:val="-21"/>
        </w:rPr>
        <w:t> </w:t>
      </w:r>
      <w:r>
        <w:rPr/>
        <w:t>primordial</w:t>
      </w:r>
      <w:r>
        <w:rPr>
          <w:spacing w:val="-20"/>
        </w:rPr>
        <w:t> </w:t>
      </w:r>
      <w:r>
        <w:rPr/>
        <w:t>proveer</w:t>
      </w:r>
      <w:r>
        <w:rPr>
          <w:spacing w:val="-20"/>
        </w:rPr>
        <w:t> </w:t>
      </w:r>
      <w:r>
        <w:rPr/>
        <w:t>al</w:t>
      </w:r>
      <w:r>
        <w:rPr>
          <w:spacing w:val="-20"/>
        </w:rPr>
        <w:t> </w:t>
      </w:r>
      <w:r>
        <w:rPr/>
        <w:t>inversionista</w:t>
      </w:r>
      <w:r>
        <w:rPr>
          <w:spacing w:val="-19"/>
        </w:rPr>
        <w:t> </w:t>
      </w:r>
      <w:r>
        <w:rPr/>
        <w:t>de</w:t>
      </w:r>
      <w:r>
        <w:rPr>
          <w:spacing w:val="-19"/>
        </w:rPr>
        <w:t> </w:t>
      </w:r>
      <w:r>
        <w:rPr/>
        <w:t>instrumentos</w:t>
      </w:r>
      <w:r>
        <w:rPr>
          <w:spacing w:val="-22"/>
        </w:rPr>
        <w:t> </w:t>
      </w:r>
      <w:r>
        <w:rPr/>
        <w:t>de</w:t>
      </w:r>
      <w:r>
        <w:rPr>
          <w:spacing w:val="-21"/>
        </w:rPr>
        <w:t> </w:t>
      </w:r>
      <w:r>
        <w:rPr/>
        <w:t>cobertura</w:t>
      </w:r>
      <w:r>
        <w:rPr>
          <w:spacing w:val="-19"/>
        </w:rPr>
        <w:t> </w:t>
      </w:r>
      <w:r>
        <w:rPr/>
        <w:t>contra movimientos</w:t>
      </w:r>
      <w:r>
        <w:rPr>
          <w:spacing w:val="-7"/>
        </w:rPr>
        <w:t> </w:t>
      </w:r>
      <w:r>
        <w:rPr/>
        <w:t>adversos</w:t>
      </w:r>
      <w:r>
        <w:rPr>
          <w:spacing w:val="-9"/>
        </w:rPr>
        <w:t> </w:t>
      </w:r>
      <w:r>
        <w:rPr/>
        <w:t>del</w:t>
      </w:r>
      <w:r>
        <w:rPr>
          <w:spacing w:val="-7"/>
        </w:rPr>
        <w:t> </w:t>
      </w:r>
      <w:r>
        <w:rPr/>
        <w:t>mercado</w:t>
      </w:r>
      <w:r>
        <w:rPr>
          <w:spacing w:val="-6"/>
        </w:rPr>
        <w:t> </w:t>
      </w:r>
      <w:r>
        <w:rPr/>
        <w:t>y</w:t>
      </w:r>
      <w:r>
        <w:rPr>
          <w:spacing w:val="-9"/>
        </w:rPr>
        <w:t> </w:t>
      </w:r>
      <w:r>
        <w:rPr/>
        <w:t>contar</w:t>
      </w:r>
      <w:r>
        <w:rPr>
          <w:spacing w:val="-7"/>
        </w:rPr>
        <w:t> </w:t>
      </w:r>
      <w:r>
        <w:rPr/>
        <w:t>con</w:t>
      </w:r>
      <w:r>
        <w:rPr>
          <w:spacing w:val="-6"/>
        </w:rPr>
        <w:t> </w:t>
      </w:r>
      <w:r>
        <w:rPr/>
        <w:t>mayor</w:t>
      </w:r>
      <w:r>
        <w:rPr>
          <w:spacing w:val="-7"/>
        </w:rPr>
        <w:t> </w:t>
      </w:r>
      <w:r>
        <w:rPr/>
        <w:t>certidumbre</w:t>
      </w:r>
      <w:r>
        <w:rPr>
          <w:spacing w:val="-9"/>
        </w:rPr>
        <w:t> </w:t>
      </w:r>
      <w:r>
        <w:rPr/>
        <w:t>sobre</w:t>
      </w:r>
      <w:r>
        <w:rPr>
          <w:spacing w:val="-7"/>
        </w:rPr>
        <w:t> </w:t>
      </w:r>
      <w:r>
        <w:rPr/>
        <w:t>los</w:t>
      </w:r>
      <w:r>
        <w:rPr>
          <w:spacing w:val="-9"/>
        </w:rPr>
        <w:t> </w:t>
      </w:r>
      <w:r>
        <w:rPr/>
        <w:t>flujos futuros de efectivo. Entre los principales beneficios</w:t>
      </w:r>
      <w:r>
        <w:rPr>
          <w:spacing w:val="-54"/>
        </w:rPr>
        <w:t> </w:t>
      </w:r>
      <w:r>
        <w:rPr/>
        <w:t>encontramos.</w:t>
      </w:r>
    </w:p>
    <w:p>
      <w:pPr>
        <w:pStyle w:val="ListParagraph"/>
        <w:numPr>
          <w:ilvl w:val="1"/>
          <w:numId w:val="6"/>
        </w:numPr>
        <w:tabs>
          <w:tab w:pos="1275" w:val="left" w:leader="none"/>
        </w:tabs>
        <w:spacing w:line="350" w:lineRule="auto" w:before="3" w:after="0"/>
        <w:ind w:left="1274" w:right="143" w:hanging="357"/>
        <w:jc w:val="both"/>
        <w:rPr>
          <w:sz w:val="24"/>
        </w:rPr>
      </w:pPr>
      <w:r>
        <w:rPr>
          <w:sz w:val="24"/>
        </w:rPr>
        <w:t>Aseguran precios futuros sobre subyacentes cuyos precios pueden ser muy</w:t>
      </w:r>
      <w:r>
        <w:rPr>
          <w:spacing w:val="-6"/>
          <w:sz w:val="24"/>
        </w:rPr>
        <w:t> </w:t>
      </w:r>
      <w:r>
        <w:rPr>
          <w:sz w:val="24"/>
        </w:rPr>
        <w:t>volátiles,</w:t>
      </w:r>
    </w:p>
    <w:p>
      <w:pPr>
        <w:pStyle w:val="ListParagraph"/>
        <w:numPr>
          <w:ilvl w:val="1"/>
          <w:numId w:val="6"/>
        </w:numPr>
        <w:tabs>
          <w:tab w:pos="1274" w:val="left" w:leader="none"/>
          <w:tab w:pos="1275" w:val="left" w:leader="none"/>
        </w:tabs>
        <w:spacing w:line="240" w:lineRule="auto" w:before="16" w:after="0"/>
        <w:ind w:left="1274" w:right="0" w:hanging="357"/>
        <w:jc w:val="left"/>
        <w:rPr>
          <w:sz w:val="24"/>
        </w:rPr>
      </w:pPr>
      <w:r>
        <w:rPr>
          <w:sz w:val="24"/>
        </w:rPr>
        <w:t>Mayor</w:t>
      </w:r>
      <w:r>
        <w:rPr>
          <w:spacing w:val="-9"/>
          <w:sz w:val="24"/>
        </w:rPr>
        <w:t> </w:t>
      </w:r>
      <w:r>
        <w:rPr>
          <w:sz w:val="24"/>
        </w:rPr>
        <w:t>certidumbre</w:t>
      </w:r>
      <w:r>
        <w:rPr>
          <w:spacing w:val="-7"/>
          <w:sz w:val="24"/>
        </w:rPr>
        <w:t> </w:t>
      </w:r>
      <w:r>
        <w:rPr>
          <w:sz w:val="24"/>
        </w:rPr>
        <w:t>sobre</w:t>
      </w:r>
      <w:r>
        <w:rPr>
          <w:spacing w:val="-9"/>
          <w:sz w:val="24"/>
        </w:rPr>
        <w:t> </w:t>
      </w:r>
      <w:r>
        <w:rPr>
          <w:sz w:val="24"/>
        </w:rPr>
        <w:t>los</w:t>
      </w:r>
      <w:r>
        <w:rPr>
          <w:spacing w:val="-9"/>
          <w:sz w:val="24"/>
        </w:rPr>
        <w:t> </w:t>
      </w:r>
      <w:r>
        <w:rPr>
          <w:sz w:val="24"/>
        </w:rPr>
        <w:t>flujos</w:t>
      </w:r>
      <w:r>
        <w:rPr>
          <w:spacing w:val="-8"/>
          <w:sz w:val="24"/>
        </w:rPr>
        <w:t> </w:t>
      </w:r>
      <w:r>
        <w:rPr>
          <w:sz w:val="24"/>
        </w:rPr>
        <w:t>de</w:t>
      </w:r>
      <w:r>
        <w:rPr>
          <w:spacing w:val="-11"/>
          <w:sz w:val="24"/>
        </w:rPr>
        <w:t> </w:t>
      </w:r>
      <w:r>
        <w:rPr>
          <w:sz w:val="24"/>
        </w:rPr>
        <w:t>efectivo</w:t>
      </w:r>
      <w:r>
        <w:rPr>
          <w:spacing w:val="-10"/>
          <w:sz w:val="24"/>
        </w:rPr>
        <w:t> </w:t>
      </w:r>
      <w:r>
        <w:rPr>
          <w:sz w:val="24"/>
        </w:rPr>
        <w:t>futuros,</w:t>
      </w:r>
    </w:p>
    <w:p>
      <w:pPr>
        <w:pStyle w:val="ListParagraph"/>
        <w:numPr>
          <w:ilvl w:val="1"/>
          <w:numId w:val="6"/>
        </w:numPr>
        <w:tabs>
          <w:tab w:pos="1274" w:val="left" w:leader="none"/>
          <w:tab w:pos="1275" w:val="left" w:leader="none"/>
        </w:tabs>
        <w:spacing w:line="350" w:lineRule="auto" w:before="135" w:after="0"/>
        <w:ind w:left="1546" w:right="138" w:hanging="629"/>
        <w:jc w:val="left"/>
        <w:rPr>
          <w:sz w:val="24"/>
        </w:rPr>
      </w:pPr>
      <w:r>
        <w:rPr/>
        <w:drawing>
          <wp:anchor distT="0" distB="0" distL="0" distR="0" allowOverlap="1" layoutInCell="1" locked="0" behindDoc="1" simplePos="0" relativeHeight="268339607">
            <wp:simplePos x="0" y="0"/>
            <wp:positionH relativeFrom="page">
              <wp:posOffset>1799844</wp:posOffset>
            </wp:positionH>
            <wp:positionV relativeFrom="paragraph">
              <wp:posOffset>375214</wp:posOffset>
            </wp:positionV>
            <wp:extent cx="173736" cy="126492"/>
            <wp:effectExtent l="0" t="0" r="0" b="0"/>
            <wp:wrapNone/>
            <wp:docPr id="9" name="image27.png" descr=""/>
            <wp:cNvGraphicFramePr>
              <a:graphicFrameLocks noChangeAspect="1"/>
            </wp:cNvGraphicFramePr>
            <a:graphic>
              <a:graphicData uri="http://schemas.openxmlformats.org/drawingml/2006/picture">
                <pic:pic>
                  <pic:nvPicPr>
                    <pic:cNvPr id="10" name="image27.png"/>
                    <pic:cNvPicPr/>
                  </pic:nvPicPr>
                  <pic:blipFill>
                    <a:blip r:embed="rId59" cstate="print"/>
                    <a:stretch>
                      <a:fillRect/>
                    </a:stretch>
                  </pic:blipFill>
                  <pic:spPr>
                    <a:xfrm>
                      <a:off x="0" y="0"/>
                      <a:ext cx="173736" cy="126492"/>
                    </a:xfrm>
                    <a:prstGeom prst="rect">
                      <a:avLst/>
                    </a:prstGeom>
                  </pic:spPr>
                </pic:pic>
              </a:graphicData>
            </a:graphic>
          </wp:anchor>
        </w:drawing>
      </w:r>
      <w:r>
        <w:rPr>
          <w:sz w:val="24"/>
        </w:rPr>
        <w:t>Reducción</w:t>
      </w:r>
      <w:r>
        <w:rPr>
          <w:spacing w:val="-8"/>
          <w:sz w:val="24"/>
        </w:rPr>
        <w:t> </w:t>
      </w:r>
      <w:r>
        <w:rPr>
          <w:sz w:val="24"/>
        </w:rPr>
        <w:t>de</w:t>
      </w:r>
      <w:r>
        <w:rPr>
          <w:spacing w:val="-6"/>
          <w:sz w:val="24"/>
        </w:rPr>
        <w:t> </w:t>
      </w:r>
      <w:r>
        <w:rPr>
          <w:sz w:val="24"/>
        </w:rPr>
        <w:t>costos</w:t>
      </w:r>
      <w:r>
        <w:rPr>
          <w:spacing w:val="-7"/>
          <w:sz w:val="24"/>
        </w:rPr>
        <w:t> </w:t>
      </w:r>
      <w:r>
        <w:rPr>
          <w:sz w:val="24"/>
        </w:rPr>
        <w:t>de</w:t>
      </w:r>
      <w:r>
        <w:rPr>
          <w:spacing w:val="-6"/>
          <w:sz w:val="24"/>
        </w:rPr>
        <w:t> </w:t>
      </w:r>
      <w:r>
        <w:rPr>
          <w:sz w:val="24"/>
        </w:rPr>
        <w:t>transacción</w:t>
      </w:r>
      <w:r>
        <w:rPr>
          <w:spacing w:val="-6"/>
          <w:sz w:val="24"/>
        </w:rPr>
        <w:t> </w:t>
      </w:r>
      <w:r>
        <w:rPr>
          <w:sz w:val="24"/>
        </w:rPr>
        <w:t>y</w:t>
      </w:r>
      <w:r>
        <w:rPr>
          <w:spacing w:val="-9"/>
          <w:sz w:val="24"/>
        </w:rPr>
        <w:t> </w:t>
      </w:r>
      <w:r>
        <w:rPr>
          <w:sz w:val="24"/>
        </w:rPr>
        <w:t>costos</w:t>
      </w:r>
      <w:r>
        <w:rPr>
          <w:spacing w:val="-9"/>
          <w:sz w:val="24"/>
        </w:rPr>
        <w:t> </w:t>
      </w:r>
      <w:r>
        <w:rPr>
          <w:sz w:val="24"/>
        </w:rPr>
        <w:t>de</w:t>
      </w:r>
      <w:r>
        <w:rPr>
          <w:spacing w:val="-6"/>
          <w:sz w:val="24"/>
        </w:rPr>
        <w:t> </w:t>
      </w:r>
      <w:r>
        <w:rPr>
          <w:sz w:val="24"/>
        </w:rPr>
        <w:t>reasignación</w:t>
      </w:r>
      <w:r>
        <w:rPr>
          <w:spacing w:val="-28"/>
          <w:sz w:val="24"/>
        </w:rPr>
        <w:t> </w:t>
      </w:r>
      <w:r>
        <w:rPr>
          <w:sz w:val="24"/>
        </w:rPr>
        <w:t>de</w:t>
      </w:r>
      <w:r>
        <w:rPr>
          <w:spacing w:val="-11"/>
          <w:sz w:val="24"/>
        </w:rPr>
        <w:t> </w:t>
      </w:r>
      <w:r>
        <w:rPr>
          <w:sz w:val="24"/>
        </w:rPr>
        <w:t>activos, Creación de vías ágiles para el arbitraje entre</w:t>
      </w:r>
      <w:r>
        <w:rPr>
          <w:spacing w:val="-29"/>
          <w:sz w:val="24"/>
        </w:rPr>
        <w:t> </w:t>
      </w:r>
      <w:r>
        <w:rPr>
          <w:sz w:val="24"/>
        </w:rPr>
        <w:t>mercados,</w:t>
      </w:r>
    </w:p>
    <w:p>
      <w:pPr>
        <w:pStyle w:val="ListParagraph"/>
        <w:numPr>
          <w:ilvl w:val="1"/>
          <w:numId w:val="6"/>
        </w:numPr>
        <w:tabs>
          <w:tab w:pos="1275" w:val="left" w:leader="none"/>
        </w:tabs>
        <w:spacing w:line="355" w:lineRule="auto" w:before="16" w:after="0"/>
        <w:ind w:left="1274" w:right="138" w:hanging="357"/>
        <w:jc w:val="both"/>
        <w:rPr>
          <w:sz w:val="24"/>
        </w:rPr>
      </w:pPr>
      <w:r>
        <w:rPr>
          <w:sz w:val="24"/>
        </w:rPr>
        <w:t>Alineación de precios de los instrumentos de deuda, acciones y derivados incrementando con ello la eficiencia y la liquidez en sus respectivos</w:t>
      </w:r>
      <w:r>
        <w:rPr>
          <w:spacing w:val="-36"/>
          <w:sz w:val="24"/>
        </w:rPr>
        <w:t> </w:t>
      </w:r>
      <w:r>
        <w:rPr>
          <w:sz w:val="24"/>
        </w:rPr>
        <w:t>mercados.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4072;mso-wrap-distance-left:0;mso-wrap-distance-right:0" from="85.103996pt,9.584884pt" to="229.123996pt,9.584884pt" stroked="true" strokeweight=".599980pt" strokecolor="#000000">
            <w10:wrap type="topAndBottom"/>
          </v:line>
        </w:pict>
      </w:r>
    </w:p>
    <w:p>
      <w:pPr>
        <w:spacing w:before="78"/>
        <w:ind w:left="142" w:right="786" w:firstLine="0"/>
        <w:jc w:val="left"/>
        <w:rPr>
          <w:sz w:val="20"/>
        </w:rPr>
      </w:pPr>
      <w:r>
        <w:rPr>
          <w:position w:val="6"/>
          <w:sz w:val="13"/>
        </w:rPr>
        <w:t>59 </w:t>
      </w:r>
      <w:r>
        <w:rPr>
          <w:sz w:val="20"/>
        </w:rPr>
        <w:t>Tomado de MexDer, </w:t>
      </w:r>
      <w:hyperlink r:id="rId60">
        <w:r>
          <w:rPr>
            <w:sz w:val="20"/>
          </w:rPr>
          <w:t>http://www.mexder.com.mx/wb3/wb/MEX/home</w:t>
        </w:r>
      </w:hyperlink>
    </w:p>
    <w:p>
      <w:pPr>
        <w:spacing w:after="0"/>
        <w:jc w:val="left"/>
        <w:rPr>
          <w:sz w:val="20"/>
        </w:rPr>
        <w:sectPr>
          <w:pgSz w:w="12240" w:h="15840"/>
          <w:pgMar w:header="731" w:footer="737" w:top="1180" w:bottom="920" w:left="1560" w:right="1560"/>
        </w:sectPr>
      </w:pPr>
    </w:p>
    <w:p>
      <w:pPr>
        <w:pStyle w:val="BodyText"/>
        <w:rPr>
          <w:sz w:val="20"/>
        </w:rPr>
      </w:pPr>
    </w:p>
    <w:p>
      <w:pPr>
        <w:pStyle w:val="BodyText"/>
        <w:spacing w:before="1"/>
        <w:rPr>
          <w:sz w:val="16"/>
        </w:rPr>
      </w:pPr>
    </w:p>
    <w:p>
      <w:pPr>
        <w:pStyle w:val="ListParagraph"/>
        <w:numPr>
          <w:ilvl w:val="1"/>
          <w:numId w:val="17"/>
        </w:numPr>
        <w:tabs>
          <w:tab w:pos="594" w:val="left" w:leader="none"/>
        </w:tabs>
        <w:spacing w:line="240" w:lineRule="auto" w:before="65" w:after="0"/>
        <w:ind w:left="593" w:right="0" w:hanging="451"/>
        <w:jc w:val="left"/>
        <w:rPr>
          <w:b/>
          <w:sz w:val="28"/>
        </w:rPr>
      </w:pPr>
      <w:bookmarkStart w:name="_bookmark31" w:id="52"/>
      <w:bookmarkEnd w:id="52"/>
      <w:r>
        <w:rPr/>
      </w:r>
      <w:bookmarkStart w:name="_bookmark31" w:id="53"/>
      <w:bookmarkEnd w:id="53"/>
      <w:r>
        <w:rPr>
          <w:b/>
          <w:sz w:val="28"/>
        </w:rPr>
        <w:t>M</w:t>
      </w:r>
      <w:r>
        <w:rPr>
          <w:b/>
          <w:sz w:val="22"/>
        </w:rPr>
        <w:t>ÁRGEN </w:t>
      </w:r>
      <w:r>
        <w:rPr>
          <w:b/>
          <w:sz w:val="28"/>
        </w:rPr>
        <w:t>(A</w:t>
      </w:r>
      <w:r>
        <w:rPr>
          <w:b/>
          <w:sz w:val="22"/>
        </w:rPr>
        <w:t>PORTACIÓN </w:t>
      </w:r>
      <w:r>
        <w:rPr>
          <w:b/>
          <w:sz w:val="28"/>
        </w:rPr>
        <w:t>I</w:t>
      </w:r>
      <w:r>
        <w:rPr>
          <w:b/>
          <w:sz w:val="22"/>
        </w:rPr>
        <w:t>NICIAL</w:t>
      </w:r>
      <w:r>
        <w:rPr>
          <w:b/>
          <w:spacing w:val="-24"/>
          <w:sz w:val="22"/>
        </w:rPr>
        <w:t> </w:t>
      </w:r>
      <w:r>
        <w:rPr>
          <w:b/>
          <w:sz w:val="28"/>
        </w:rPr>
        <w:t>M</w:t>
      </w:r>
      <w:r>
        <w:rPr>
          <w:b/>
          <w:sz w:val="22"/>
        </w:rPr>
        <w:t>ÍNIMA</w:t>
      </w:r>
      <w:r>
        <w:rPr>
          <w:b/>
          <w:sz w:val="28"/>
        </w:rPr>
        <w:t>)</w:t>
      </w:r>
    </w:p>
    <w:p>
      <w:pPr>
        <w:pStyle w:val="BodyText"/>
        <w:spacing w:line="360" w:lineRule="auto" w:before="243"/>
        <w:ind w:left="142" w:right="141" w:firstLine="707"/>
        <w:jc w:val="both"/>
      </w:pPr>
      <w:r>
        <w:rPr/>
        <w:t>Si</w:t>
      </w:r>
      <w:r>
        <w:rPr>
          <w:spacing w:val="-7"/>
        </w:rPr>
        <w:t> </w:t>
      </w:r>
      <w:r>
        <w:rPr/>
        <w:t>dos</w:t>
      </w:r>
      <w:r>
        <w:rPr>
          <w:spacing w:val="-9"/>
        </w:rPr>
        <w:t> </w:t>
      </w:r>
      <w:r>
        <w:rPr/>
        <w:t>inversionistas</w:t>
      </w:r>
      <w:r>
        <w:rPr>
          <w:spacing w:val="-6"/>
        </w:rPr>
        <w:t> </w:t>
      </w:r>
      <w:r>
        <w:rPr/>
        <w:t>deciden</w:t>
      </w:r>
      <w:r>
        <w:rPr>
          <w:spacing w:val="-8"/>
        </w:rPr>
        <w:t> </w:t>
      </w:r>
      <w:r>
        <w:rPr/>
        <w:t>operar</w:t>
      </w:r>
      <w:r>
        <w:rPr>
          <w:spacing w:val="-7"/>
        </w:rPr>
        <w:t> </w:t>
      </w:r>
      <w:r>
        <w:rPr/>
        <w:t>productos</w:t>
      </w:r>
      <w:r>
        <w:rPr>
          <w:spacing w:val="-6"/>
        </w:rPr>
        <w:t> </w:t>
      </w:r>
      <w:r>
        <w:rPr/>
        <w:t>derivados</w:t>
      </w:r>
      <w:r>
        <w:rPr>
          <w:spacing w:val="-6"/>
        </w:rPr>
        <w:t> </w:t>
      </w:r>
      <w:r>
        <w:rPr/>
        <w:t>directamente</w:t>
      </w:r>
      <w:r>
        <w:rPr>
          <w:spacing w:val="-7"/>
        </w:rPr>
        <w:t> </w:t>
      </w:r>
      <w:r>
        <w:rPr/>
        <w:t>entre ellos</w:t>
      </w:r>
      <w:r>
        <w:rPr>
          <w:spacing w:val="-8"/>
        </w:rPr>
        <w:t> </w:t>
      </w:r>
      <w:r>
        <w:rPr/>
        <w:t>existe</w:t>
      </w:r>
      <w:r>
        <w:rPr>
          <w:spacing w:val="-7"/>
        </w:rPr>
        <w:t> </w:t>
      </w:r>
      <w:r>
        <w:rPr/>
        <w:t>el</w:t>
      </w:r>
      <w:r>
        <w:rPr>
          <w:spacing w:val="-8"/>
        </w:rPr>
        <w:t> </w:t>
      </w:r>
      <w:r>
        <w:rPr/>
        <w:t>riesgo</w:t>
      </w:r>
      <w:r>
        <w:rPr>
          <w:spacing w:val="-7"/>
        </w:rPr>
        <w:t> </w:t>
      </w:r>
      <w:r>
        <w:rPr/>
        <w:t>de</w:t>
      </w:r>
      <w:r>
        <w:rPr>
          <w:spacing w:val="-7"/>
        </w:rPr>
        <w:t> </w:t>
      </w:r>
      <w:r>
        <w:rPr/>
        <w:t>que</w:t>
      </w:r>
      <w:r>
        <w:rPr>
          <w:spacing w:val="-7"/>
        </w:rPr>
        <w:t> </w:t>
      </w:r>
      <w:r>
        <w:rPr/>
        <w:t>uno</w:t>
      </w:r>
      <w:r>
        <w:rPr>
          <w:spacing w:val="-9"/>
        </w:rPr>
        <w:t> </w:t>
      </w:r>
      <w:r>
        <w:rPr/>
        <w:t>de</w:t>
      </w:r>
      <w:r>
        <w:rPr>
          <w:spacing w:val="-9"/>
        </w:rPr>
        <w:t> </w:t>
      </w:r>
      <w:r>
        <w:rPr/>
        <w:t>ellos</w:t>
      </w:r>
      <w:r>
        <w:rPr>
          <w:spacing w:val="-10"/>
        </w:rPr>
        <w:t> </w:t>
      </w:r>
      <w:r>
        <w:rPr/>
        <w:t>no</w:t>
      </w:r>
      <w:r>
        <w:rPr>
          <w:spacing w:val="-7"/>
        </w:rPr>
        <w:t> </w:t>
      </w:r>
      <w:r>
        <w:rPr/>
        <w:t>reconozca</w:t>
      </w:r>
      <w:r>
        <w:rPr>
          <w:spacing w:val="-7"/>
        </w:rPr>
        <w:t> </w:t>
      </w:r>
      <w:r>
        <w:rPr/>
        <w:t>la</w:t>
      </w:r>
      <w:r>
        <w:rPr>
          <w:spacing w:val="-7"/>
        </w:rPr>
        <w:t> </w:t>
      </w:r>
      <w:r>
        <w:rPr/>
        <w:t>transacción</w:t>
      </w:r>
      <w:r>
        <w:rPr>
          <w:spacing w:val="-7"/>
        </w:rPr>
        <w:t> </w:t>
      </w:r>
      <w:r>
        <w:rPr/>
        <w:t>y</w:t>
      </w:r>
      <w:r>
        <w:rPr>
          <w:spacing w:val="-10"/>
        </w:rPr>
        <w:t> </w:t>
      </w:r>
      <w:r>
        <w:rPr/>
        <w:t>no</w:t>
      </w:r>
      <w:r>
        <w:rPr>
          <w:spacing w:val="-7"/>
        </w:rPr>
        <w:t> </w:t>
      </w:r>
      <w:r>
        <w:rPr/>
        <w:t>entregue o compre el subyacente o que su pérdida en la transacción sea tal que no pueda enfrentar su obligación. Sin embargo, al operar a través de mercados organizados existe el soporte de una Cámara de Compensación la cual se hace responsable</w:t>
      </w:r>
      <w:r>
        <w:rPr>
          <w:spacing w:val="-35"/>
        </w:rPr>
        <w:t> </w:t>
      </w:r>
      <w:r>
        <w:rPr/>
        <w:t>de todas las transacciones en el mercado. Esta a su vez, minimiza la probabilidad de incumplimiento al requerir un monto que debe ser necesario para cubrir la pérdida ocasionada</w:t>
      </w:r>
      <w:r>
        <w:rPr>
          <w:spacing w:val="-15"/>
        </w:rPr>
        <w:t> </w:t>
      </w:r>
      <w:r>
        <w:rPr/>
        <w:t>por</w:t>
      </w:r>
      <w:r>
        <w:rPr>
          <w:spacing w:val="-15"/>
        </w:rPr>
        <w:t> </w:t>
      </w:r>
      <w:r>
        <w:rPr/>
        <w:t>el</w:t>
      </w:r>
      <w:r>
        <w:rPr>
          <w:spacing w:val="-17"/>
        </w:rPr>
        <w:t> </w:t>
      </w:r>
      <w:r>
        <w:rPr/>
        <w:t>incumplimiento.</w:t>
      </w:r>
      <w:r>
        <w:rPr>
          <w:spacing w:val="-16"/>
        </w:rPr>
        <w:t> </w:t>
      </w:r>
      <w:r>
        <w:rPr/>
        <w:t>A</w:t>
      </w:r>
      <w:r>
        <w:rPr>
          <w:spacing w:val="-13"/>
        </w:rPr>
        <w:t> </w:t>
      </w:r>
      <w:r>
        <w:rPr/>
        <w:t>dicho</w:t>
      </w:r>
      <w:r>
        <w:rPr>
          <w:spacing w:val="-15"/>
        </w:rPr>
        <w:t> </w:t>
      </w:r>
      <w:r>
        <w:rPr/>
        <w:t>monto</w:t>
      </w:r>
      <w:r>
        <w:rPr>
          <w:spacing w:val="-15"/>
        </w:rPr>
        <w:t> </w:t>
      </w:r>
      <w:r>
        <w:rPr/>
        <w:t>se</w:t>
      </w:r>
      <w:r>
        <w:rPr>
          <w:spacing w:val="-13"/>
        </w:rPr>
        <w:t> </w:t>
      </w:r>
      <w:r>
        <w:rPr/>
        <w:t>le</w:t>
      </w:r>
      <w:r>
        <w:rPr>
          <w:spacing w:val="-13"/>
        </w:rPr>
        <w:t> </w:t>
      </w:r>
      <w:r>
        <w:rPr/>
        <w:t>llama</w:t>
      </w:r>
      <w:r>
        <w:rPr>
          <w:spacing w:val="-15"/>
        </w:rPr>
        <w:t> </w:t>
      </w:r>
      <w:r>
        <w:rPr/>
        <w:t>margen.</w:t>
      </w:r>
      <w:r>
        <w:rPr>
          <w:spacing w:val="-16"/>
        </w:rPr>
        <w:t> </w:t>
      </w:r>
      <w:r>
        <w:rPr/>
        <w:t>En</w:t>
      </w:r>
      <w:r>
        <w:rPr>
          <w:spacing w:val="-15"/>
        </w:rPr>
        <w:t> </w:t>
      </w:r>
      <w:r>
        <w:rPr/>
        <w:t>el</w:t>
      </w:r>
      <w:r>
        <w:rPr>
          <w:spacing w:val="-17"/>
        </w:rPr>
        <w:t> </w:t>
      </w:r>
      <w:r>
        <w:rPr/>
        <w:t>mercado mexicano de derivados se conoce  como Aportación Inicial Mínima</w:t>
      </w:r>
      <w:r>
        <w:rPr>
          <w:spacing w:val="-31"/>
        </w:rPr>
        <w:t> </w:t>
      </w:r>
      <w:r>
        <w:rPr/>
        <w:t>(AIM).</w:t>
      </w:r>
    </w:p>
    <w:p>
      <w:pPr>
        <w:pStyle w:val="BodyText"/>
        <w:spacing w:line="360" w:lineRule="auto" w:before="5"/>
        <w:ind w:left="142" w:right="143" w:firstLine="707"/>
        <w:jc w:val="both"/>
      </w:pPr>
      <w:r>
        <w:rPr/>
        <w:t>La AIM es el monto mínimo requerido para soportar una posición de derivados. El monto de AIM se obtiene al calcular la pérdida potencial máxima en un día sobre su posición de derivados, de esta forma se asegura que al momento de</w:t>
      </w:r>
      <w:r>
        <w:rPr>
          <w:spacing w:val="-14"/>
        </w:rPr>
        <w:t> </w:t>
      </w:r>
      <w:r>
        <w:rPr/>
        <w:t>que</w:t>
      </w:r>
      <w:r>
        <w:rPr>
          <w:spacing w:val="-16"/>
        </w:rPr>
        <w:t> </w:t>
      </w:r>
      <w:r>
        <w:rPr/>
        <w:t>alguien</w:t>
      </w:r>
      <w:r>
        <w:rPr>
          <w:spacing w:val="-14"/>
        </w:rPr>
        <w:t> </w:t>
      </w:r>
      <w:r>
        <w:rPr/>
        <w:t>incumpla,</w:t>
      </w:r>
      <w:r>
        <w:rPr>
          <w:spacing w:val="-14"/>
        </w:rPr>
        <w:t> </w:t>
      </w:r>
      <w:r>
        <w:rPr/>
        <w:t>la</w:t>
      </w:r>
      <w:r>
        <w:rPr>
          <w:spacing w:val="-17"/>
        </w:rPr>
        <w:t> </w:t>
      </w:r>
      <w:r>
        <w:rPr/>
        <w:t>cámara,</w:t>
      </w:r>
      <w:r>
        <w:rPr>
          <w:spacing w:val="-14"/>
        </w:rPr>
        <w:t> </w:t>
      </w:r>
      <w:r>
        <w:rPr/>
        <w:t>que</w:t>
      </w:r>
      <w:r>
        <w:rPr>
          <w:spacing w:val="-16"/>
        </w:rPr>
        <w:t> </w:t>
      </w:r>
      <w:r>
        <w:rPr/>
        <w:t>es</w:t>
      </w:r>
      <w:r>
        <w:rPr>
          <w:spacing w:val="-17"/>
        </w:rPr>
        <w:t> </w:t>
      </w:r>
      <w:r>
        <w:rPr/>
        <w:t>la</w:t>
      </w:r>
      <w:r>
        <w:rPr>
          <w:spacing w:val="-19"/>
        </w:rPr>
        <w:t> </w:t>
      </w:r>
      <w:r>
        <w:rPr/>
        <w:t>que</w:t>
      </w:r>
      <w:r>
        <w:rPr>
          <w:spacing w:val="-14"/>
        </w:rPr>
        <w:t> </w:t>
      </w:r>
      <w:r>
        <w:rPr/>
        <w:t>mantiene</w:t>
      </w:r>
      <w:r>
        <w:rPr>
          <w:spacing w:val="-16"/>
        </w:rPr>
        <w:t> </w:t>
      </w:r>
      <w:r>
        <w:rPr/>
        <w:t>las</w:t>
      </w:r>
      <w:r>
        <w:rPr>
          <w:spacing w:val="-17"/>
        </w:rPr>
        <w:t> </w:t>
      </w:r>
      <w:r>
        <w:rPr/>
        <w:t>AIM´S,</w:t>
      </w:r>
      <w:r>
        <w:rPr>
          <w:spacing w:val="-14"/>
        </w:rPr>
        <w:t> </w:t>
      </w:r>
      <w:r>
        <w:rPr/>
        <w:t>pueda</w:t>
      </w:r>
      <w:r>
        <w:rPr>
          <w:spacing w:val="-16"/>
        </w:rPr>
        <w:t> </w:t>
      </w:r>
      <w:r>
        <w:rPr/>
        <w:t>cerrar la posición del incumplido y pagar a la contraparte lo que le corresponde, esto a pesar de un movimiento adverso</w:t>
      </w:r>
      <w:r>
        <w:rPr>
          <w:spacing w:val="-14"/>
        </w:rPr>
        <w:t> </w:t>
      </w:r>
      <w:r>
        <w:rPr/>
        <w:t>importante.</w:t>
      </w:r>
    </w:p>
    <w:p>
      <w:pPr>
        <w:pStyle w:val="BodyText"/>
      </w:pPr>
    </w:p>
    <w:p>
      <w:pPr>
        <w:pStyle w:val="ListParagraph"/>
        <w:numPr>
          <w:ilvl w:val="1"/>
          <w:numId w:val="17"/>
        </w:numPr>
        <w:tabs>
          <w:tab w:pos="596" w:val="left" w:leader="none"/>
        </w:tabs>
        <w:spacing w:line="240" w:lineRule="auto" w:before="208" w:after="0"/>
        <w:ind w:left="595" w:right="0" w:hanging="453"/>
        <w:jc w:val="left"/>
        <w:rPr>
          <w:b/>
          <w:sz w:val="22"/>
        </w:rPr>
      </w:pPr>
      <w:bookmarkStart w:name="_bookmark32" w:id="54"/>
      <w:bookmarkEnd w:id="54"/>
      <w:r>
        <w:rPr/>
      </w:r>
      <w:bookmarkStart w:name="_bookmark32" w:id="55"/>
      <w:bookmarkEnd w:id="55"/>
      <w:r>
        <w:rPr>
          <w:b/>
          <w:sz w:val="28"/>
        </w:rPr>
        <w:t>C</w:t>
      </w:r>
      <w:r>
        <w:rPr>
          <w:b/>
          <w:sz w:val="22"/>
        </w:rPr>
        <w:t>ÁMARA DE</w:t>
      </w:r>
      <w:r>
        <w:rPr>
          <w:b/>
          <w:spacing w:val="-15"/>
          <w:sz w:val="22"/>
        </w:rPr>
        <w:t> </w:t>
      </w:r>
      <w:r>
        <w:rPr>
          <w:b/>
          <w:sz w:val="28"/>
        </w:rPr>
        <w:t>C</w:t>
      </w:r>
      <w:r>
        <w:rPr>
          <w:b/>
          <w:sz w:val="22"/>
        </w:rPr>
        <w:t>OMPENSACIÓN</w:t>
      </w:r>
    </w:p>
    <w:p>
      <w:pPr>
        <w:pStyle w:val="BodyText"/>
        <w:spacing w:line="360" w:lineRule="auto" w:before="241"/>
        <w:ind w:left="142" w:right="143" w:firstLine="707"/>
        <w:jc w:val="both"/>
      </w:pPr>
      <w:r>
        <w:rPr/>
        <w:t>Una cámara de compensación en una institución cuya función fundamental es</w:t>
      </w:r>
      <w:r>
        <w:rPr>
          <w:spacing w:val="-5"/>
        </w:rPr>
        <w:t> </w:t>
      </w:r>
      <w:r>
        <w:rPr/>
        <w:t>la</w:t>
      </w:r>
      <w:r>
        <w:rPr>
          <w:spacing w:val="-7"/>
        </w:rPr>
        <w:t> </w:t>
      </w:r>
      <w:r>
        <w:rPr/>
        <w:t>protección</w:t>
      </w:r>
      <w:r>
        <w:rPr>
          <w:spacing w:val="-7"/>
        </w:rPr>
        <w:t> </w:t>
      </w:r>
      <w:r>
        <w:rPr/>
        <w:t>del</w:t>
      </w:r>
      <w:r>
        <w:rPr>
          <w:spacing w:val="-8"/>
        </w:rPr>
        <w:t> </w:t>
      </w:r>
      <w:r>
        <w:rPr/>
        <w:t>mercado</w:t>
      </w:r>
      <w:r>
        <w:rPr>
          <w:spacing w:val="-7"/>
        </w:rPr>
        <w:t> </w:t>
      </w:r>
      <w:r>
        <w:rPr/>
        <w:t>de</w:t>
      </w:r>
      <w:r>
        <w:rPr>
          <w:spacing w:val="-7"/>
        </w:rPr>
        <w:t> </w:t>
      </w:r>
      <w:r>
        <w:rPr/>
        <w:t>derivados,</w:t>
      </w:r>
      <w:r>
        <w:rPr>
          <w:spacing w:val="-5"/>
        </w:rPr>
        <w:t> </w:t>
      </w:r>
      <w:r>
        <w:rPr/>
        <w:t>la</w:t>
      </w:r>
      <w:r>
        <w:rPr>
          <w:spacing w:val="-10"/>
        </w:rPr>
        <w:t> </w:t>
      </w:r>
      <w:r>
        <w:rPr/>
        <w:t>cual</w:t>
      </w:r>
      <w:r>
        <w:rPr>
          <w:spacing w:val="-6"/>
        </w:rPr>
        <w:t> </w:t>
      </w:r>
      <w:r>
        <w:rPr/>
        <w:t>se</w:t>
      </w:r>
      <w:r>
        <w:rPr>
          <w:spacing w:val="-5"/>
        </w:rPr>
        <w:t> </w:t>
      </w:r>
      <w:r>
        <w:rPr/>
        <w:t>responsabiliza</w:t>
      </w:r>
      <w:r>
        <w:rPr>
          <w:spacing w:val="-7"/>
        </w:rPr>
        <w:t> </w:t>
      </w:r>
      <w:r>
        <w:rPr/>
        <w:t>de</w:t>
      </w:r>
      <w:r>
        <w:rPr>
          <w:spacing w:val="-5"/>
        </w:rPr>
        <w:t> </w:t>
      </w:r>
      <w:r>
        <w:rPr/>
        <w:t>cumplir</w:t>
      </w:r>
      <w:r>
        <w:rPr>
          <w:spacing w:val="-8"/>
        </w:rPr>
        <w:t> </w:t>
      </w:r>
      <w:r>
        <w:rPr/>
        <w:t>con todas las obligaciones adquiridas al operar en el mercado de derivados. Es decir, funge como acreedora y deudora recíproca en todas las</w:t>
      </w:r>
      <w:r>
        <w:rPr>
          <w:spacing w:val="-48"/>
        </w:rPr>
        <w:t> </w:t>
      </w:r>
      <w:r>
        <w:rPr/>
        <w:t>transacciones.</w:t>
      </w:r>
    </w:p>
    <w:p>
      <w:pPr>
        <w:pStyle w:val="BodyText"/>
        <w:spacing w:line="360" w:lineRule="auto" w:before="5"/>
        <w:ind w:left="142" w:right="135" w:firstLine="707"/>
        <w:jc w:val="both"/>
      </w:pPr>
      <w:r>
        <w:rPr/>
        <w:t>La responsabilidad de la cámara conlleva un riesgo altísimo. Sin embargo, mediante</w:t>
      </w:r>
      <w:r>
        <w:rPr>
          <w:spacing w:val="-7"/>
        </w:rPr>
        <w:t> </w:t>
      </w:r>
      <w:r>
        <w:rPr/>
        <w:t>una</w:t>
      </w:r>
      <w:r>
        <w:rPr>
          <w:spacing w:val="-7"/>
        </w:rPr>
        <w:t> </w:t>
      </w:r>
      <w:r>
        <w:rPr/>
        <w:t>serie</w:t>
      </w:r>
      <w:r>
        <w:rPr>
          <w:spacing w:val="-7"/>
        </w:rPr>
        <w:t> </w:t>
      </w:r>
      <w:r>
        <w:rPr/>
        <w:t>de</w:t>
      </w:r>
      <w:r>
        <w:rPr>
          <w:spacing w:val="-9"/>
        </w:rPr>
        <w:t> </w:t>
      </w:r>
      <w:r>
        <w:rPr/>
        <w:t>mecanismos</w:t>
      </w:r>
      <w:r>
        <w:rPr>
          <w:spacing w:val="-8"/>
        </w:rPr>
        <w:t> </w:t>
      </w:r>
      <w:r>
        <w:rPr/>
        <w:t>de</w:t>
      </w:r>
      <w:r>
        <w:rPr>
          <w:spacing w:val="-7"/>
        </w:rPr>
        <w:t> </w:t>
      </w:r>
      <w:r>
        <w:rPr/>
        <w:t>control</w:t>
      </w:r>
      <w:r>
        <w:rPr>
          <w:spacing w:val="-8"/>
        </w:rPr>
        <w:t> </w:t>
      </w:r>
      <w:r>
        <w:rPr/>
        <w:t>de</w:t>
      </w:r>
      <w:r>
        <w:rPr>
          <w:spacing w:val="-7"/>
        </w:rPr>
        <w:t> </w:t>
      </w:r>
      <w:r>
        <w:rPr/>
        <w:t>riesgos</w:t>
      </w:r>
      <w:r>
        <w:rPr>
          <w:spacing w:val="-8"/>
        </w:rPr>
        <w:t> </w:t>
      </w:r>
      <w:r>
        <w:rPr/>
        <w:t>y</w:t>
      </w:r>
      <w:r>
        <w:rPr>
          <w:spacing w:val="-10"/>
        </w:rPr>
        <w:t> </w:t>
      </w:r>
      <w:r>
        <w:rPr/>
        <w:t>de</w:t>
      </w:r>
      <w:r>
        <w:rPr>
          <w:spacing w:val="-7"/>
        </w:rPr>
        <w:t> </w:t>
      </w:r>
      <w:r>
        <w:rPr/>
        <w:t>supervisión,</w:t>
      </w:r>
      <w:r>
        <w:rPr>
          <w:spacing w:val="-7"/>
        </w:rPr>
        <w:t> </w:t>
      </w:r>
      <w:r>
        <w:rPr/>
        <w:t>asegura el cumplimiento de las obligaciones que los operadores adquieren y logra eliminar, en algunos casos, y la disminución en otros, de los riesgos que se corren al operar derivados.</w:t>
      </w:r>
    </w:p>
    <w:p>
      <w:pPr>
        <w:pStyle w:val="Heading3"/>
      </w:pPr>
      <w:r>
        <w:rPr/>
        <w:t>Riesgo Principal.</w:t>
      </w:r>
    </w:p>
    <w:p>
      <w:pPr>
        <w:pStyle w:val="BodyText"/>
        <w:spacing w:line="360" w:lineRule="auto" w:before="62"/>
        <w:ind w:left="142" w:right="137" w:firstLine="707"/>
        <w:jc w:val="both"/>
      </w:pPr>
      <w:r>
        <w:rPr/>
        <w:t>El riesgo principal es aquel ocasionado por la posibilidad de entregar sin recibir. Este tipo de riesgo es eliminado en el momento que las transacciones </w:t>
      </w:r>
      <w:r>
        <w:rPr>
          <w:spacing w:val="62"/>
        </w:rPr>
        <w:t> </w:t>
      </w:r>
      <w:r>
        <w:rPr/>
        <w:t>son</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57"/>
      </w:pPr>
      <w:r>
        <w:rPr/>
        <w:t>llevadas a cabo por medio de los sistemas de una Cámara de Compensación utilizando la liquidación DVP (Entrega contra Pago).</w:t>
      </w:r>
    </w:p>
    <w:p>
      <w:pPr>
        <w:pStyle w:val="Heading3"/>
      </w:pPr>
      <w:r>
        <w:rPr/>
        <w:t>Riesgo Liquidez</w:t>
      </w:r>
    </w:p>
    <w:p>
      <w:pPr>
        <w:pStyle w:val="BodyText"/>
        <w:spacing w:line="360" w:lineRule="auto" w:before="62"/>
        <w:ind w:left="142" w:right="143" w:firstLine="707"/>
        <w:jc w:val="both"/>
      </w:pPr>
      <w:r>
        <w:rPr/>
        <w:t>El</w:t>
      </w:r>
      <w:r>
        <w:rPr>
          <w:spacing w:val="-15"/>
        </w:rPr>
        <w:t> </w:t>
      </w:r>
      <w:r>
        <w:rPr/>
        <w:t>riesgo</w:t>
      </w:r>
      <w:r>
        <w:rPr>
          <w:spacing w:val="-14"/>
        </w:rPr>
        <w:t> </w:t>
      </w:r>
      <w:r>
        <w:rPr/>
        <w:t>liquidez</w:t>
      </w:r>
      <w:r>
        <w:rPr>
          <w:spacing w:val="-17"/>
        </w:rPr>
        <w:t> </w:t>
      </w:r>
      <w:r>
        <w:rPr/>
        <w:t>ocurre</w:t>
      </w:r>
      <w:r>
        <w:rPr>
          <w:spacing w:val="-14"/>
        </w:rPr>
        <w:t> </w:t>
      </w:r>
      <w:r>
        <w:rPr/>
        <w:t>cuando</w:t>
      </w:r>
      <w:r>
        <w:rPr>
          <w:spacing w:val="-17"/>
        </w:rPr>
        <w:t> </w:t>
      </w:r>
      <w:r>
        <w:rPr/>
        <w:t>el</w:t>
      </w:r>
      <w:r>
        <w:rPr>
          <w:spacing w:val="-15"/>
        </w:rPr>
        <w:t> </w:t>
      </w:r>
      <w:r>
        <w:rPr/>
        <w:t>retraso</w:t>
      </w:r>
      <w:r>
        <w:rPr>
          <w:spacing w:val="-16"/>
        </w:rPr>
        <w:t> </w:t>
      </w:r>
      <w:r>
        <w:rPr/>
        <w:t>o</w:t>
      </w:r>
      <w:r>
        <w:rPr>
          <w:spacing w:val="-16"/>
        </w:rPr>
        <w:t> </w:t>
      </w:r>
      <w:r>
        <w:rPr/>
        <w:t>incumplimiento</w:t>
      </w:r>
      <w:r>
        <w:rPr>
          <w:spacing w:val="-17"/>
        </w:rPr>
        <w:t> </w:t>
      </w:r>
      <w:r>
        <w:rPr/>
        <w:t>de</w:t>
      </w:r>
      <w:r>
        <w:rPr>
          <w:spacing w:val="-16"/>
        </w:rPr>
        <w:t> </w:t>
      </w:r>
      <w:r>
        <w:rPr/>
        <w:t>una</w:t>
      </w:r>
      <w:r>
        <w:rPr>
          <w:spacing w:val="-16"/>
        </w:rPr>
        <w:t> </w:t>
      </w:r>
      <w:r>
        <w:rPr/>
        <w:t>operación retrasa el flujo de pagos de otros participantes. Este tipo de riesgo es posible disminuirlo al utilizar una cámara de compensación ya que el proceso de compensación al ser multilateral reduce sustancialmente los</w:t>
      </w:r>
      <w:r>
        <w:rPr>
          <w:spacing w:val="-38"/>
        </w:rPr>
        <w:t> </w:t>
      </w:r>
      <w:r>
        <w:rPr/>
        <w:t>flujos.</w:t>
      </w:r>
    </w:p>
    <w:p>
      <w:pPr>
        <w:pStyle w:val="Heading3"/>
      </w:pPr>
      <w:r>
        <w:rPr/>
        <w:t>Riesgo Crédito</w:t>
      </w:r>
    </w:p>
    <w:p>
      <w:pPr>
        <w:pStyle w:val="BodyText"/>
        <w:spacing w:line="360" w:lineRule="auto" w:before="63"/>
        <w:ind w:left="142" w:right="136" w:firstLine="707"/>
        <w:jc w:val="both"/>
      </w:pPr>
      <w:r>
        <w:rPr/>
        <w:t>El riesgo crédito es aquel al cual se enfrenta cada participante del mercado OTC al enfrentar un posible incumplimiento por parte de cualquiera de sus contrapartes ocasionado por una mala administración financiera. Este riesgo disminuye</w:t>
      </w:r>
      <w:r>
        <w:rPr>
          <w:spacing w:val="-8"/>
        </w:rPr>
        <w:t> </w:t>
      </w:r>
      <w:r>
        <w:rPr/>
        <w:t>al</w:t>
      </w:r>
      <w:r>
        <w:rPr>
          <w:spacing w:val="-10"/>
        </w:rPr>
        <w:t> </w:t>
      </w:r>
      <w:r>
        <w:rPr/>
        <w:t>realizar</w:t>
      </w:r>
      <w:r>
        <w:rPr>
          <w:spacing w:val="-10"/>
        </w:rPr>
        <w:t> </w:t>
      </w:r>
      <w:r>
        <w:rPr/>
        <w:t>las</w:t>
      </w:r>
      <w:r>
        <w:rPr>
          <w:spacing w:val="-9"/>
        </w:rPr>
        <w:t> </w:t>
      </w:r>
      <w:r>
        <w:rPr/>
        <w:t>operaciones</w:t>
      </w:r>
      <w:r>
        <w:rPr>
          <w:spacing w:val="-9"/>
        </w:rPr>
        <w:t> </w:t>
      </w:r>
      <w:r>
        <w:rPr/>
        <w:t>utilizando</w:t>
      </w:r>
      <w:r>
        <w:rPr>
          <w:spacing w:val="-8"/>
        </w:rPr>
        <w:t> </w:t>
      </w:r>
      <w:r>
        <w:rPr/>
        <w:t>una</w:t>
      </w:r>
      <w:r>
        <w:rPr>
          <w:spacing w:val="-8"/>
        </w:rPr>
        <w:t> </w:t>
      </w:r>
      <w:r>
        <w:rPr/>
        <w:t>cámara</w:t>
      </w:r>
      <w:r>
        <w:rPr>
          <w:spacing w:val="-8"/>
        </w:rPr>
        <w:t> </w:t>
      </w:r>
      <w:r>
        <w:rPr/>
        <w:t>de</w:t>
      </w:r>
      <w:r>
        <w:rPr>
          <w:spacing w:val="-8"/>
        </w:rPr>
        <w:t> </w:t>
      </w:r>
      <w:r>
        <w:rPr/>
        <w:t>compensación</w:t>
      </w:r>
      <w:r>
        <w:rPr>
          <w:spacing w:val="-8"/>
        </w:rPr>
        <w:t> </w:t>
      </w:r>
      <w:r>
        <w:rPr/>
        <w:t>dado que ahora los operadores trasladan sus derechos a una contraparte solvente, que esta especializada en administrar riesgos, entre ellos el de</w:t>
      </w:r>
      <w:r>
        <w:rPr>
          <w:spacing w:val="-28"/>
        </w:rPr>
        <w:t> </w:t>
      </w:r>
      <w:r>
        <w:rPr/>
        <w:t>crédito.</w:t>
      </w:r>
    </w:p>
    <w:p>
      <w:pPr>
        <w:pStyle w:val="Heading3"/>
        <w:spacing w:before="122"/>
      </w:pPr>
      <w:r>
        <w:rPr/>
        <w:t>Riesgo de Mercado</w:t>
      </w:r>
    </w:p>
    <w:p>
      <w:pPr>
        <w:pStyle w:val="BodyText"/>
        <w:spacing w:line="360" w:lineRule="auto" w:before="62"/>
        <w:ind w:left="142" w:right="143" w:firstLine="707"/>
        <w:jc w:val="both"/>
      </w:pPr>
      <w:r>
        <w:rPr/>
        <w:t>Es el riesgo ocasionado por las fluctuaciones del mercado. Este riesgo es ampliamente</w:t>
      </w:r>
      <w:r>
        <w:rPr>
          <w:spacing w:val="-18"/>
        </w:rPr>
        <w:t> </w:t>
      </w:r>
      <w:r>
        <w:rPr/>
        <w:t>controlado</w:t>
      </w:r>
      <w:r>
        <w:rPr>
          <w:spacing w:val="-17"/>
        </w:rPr>
        <w:t> </w:t>
      </w:r>
      <w:r>
        <w:rPr/>
        <w:t>por</w:t>
      </w:r>
      <w:r>
        <w:rPr>
          <w:spacing w:val="-18"/>
        </w:rPr>
        <w:t> </w:t>
      </w:r>
      <w:r>
        <w:rPr/>
        <w:t>una</w:t>
      </w:r>
      <w:r>
        <w:rPr>
          <w:spacing w:val="-17"/>
        </w:rPr>
        <w:t> </w:t>
      </w:r>
      <w:r>
        <w:rPr/>
        <w:t>cámara</w:t>
      </w:r>
      <w:r>
        <w:rPr>
          <w:spacing w:val="-17"/>
        </w:rPr>
        <w:t> </w:t>
      </w:r>
      <w:r>
        <w:rPr/>
        <w:t>de</w:t>
      </w:r>
      <w:r>
        <w:rPr>
          <w:spacing w:val="-17"/>
        </w:rPr>
        <w:t> </w:t>
      </w:r>
      <w:r>
        <w:rPr/>
        <w:t>compensación</w:t>
      </w:r>
      <w:r>
        <w:rPr>
          <w:spacing w:val="-19"/>
        </w:rPr>
        <w:t> </w:t>
      </w:r>
      <w:r>
        <w:rPr/>
        <w:t>al</w:t>
      </w:r>
      <w:r>
        <w:rPr>
          <w:spacing w:val="-18"/>
        </w:rPr>
        <w:t> </w:t>
      </w:r>
      <w:r>
        <w:rPr/>
        <w:t>valuar</w:t>
      </w:r>
      <w:r>
        <w:rPr>
          <w:spacing w:val="-18"/>
        </w:rPr>
        <w:t> </w:t>
      </w:r>
      <w:r>
        <w:rPr/>
        <w:t>las</w:t>
      </w:r>
      <w:r>
        <w:rPr>
          <w:spacing w:val="-17"/>
        </w:rPr>
        <w:t> </w:t>
      </w:r>
      <w:r>
        <w:rPr/>
        <w:t>operaciones diariamente y no dejar que las pérdidas se acumulen. Igualmente, movimiento de los precios intradía es cubierto por un margen que cubre la máxima variación esperada en un</w:t>
      </w:r>
      <w:r>
        <w:rPr>
          <w:spacing w:val="-46"/>
        </w:rPr>
        <w:t> </w:t>
      </w:r>
      <w:r>
        <w:rPr/>
        <w:t>día.</w:t>
      </w:r>
    </w:p>
    <w:p>
      <w:pPr>
        <w:pStyle w:val="BodyText"/>
        <w:spacing w:before="2"/>
        <w:ind w:left="850" w:right="786"/>
      </w:pPr>
      <w:r>
        <w:rPr/>
        <w:t>Además, una Cámara de Compensación otorga otros beneficios:</w:t>
      </w:r>
    </w:p>
    <w:p>
      <w:pPr>
        <w:pStyle w:val="ListParagraph"/>
        <w:numPr>
          <w:ilvl w:val="2"/>
          <w:numId w:val="17"/>
        </w:numPr>
        <w:tabs>
          <w:tab w:pos="1275" w:val="left" w:leader="none"/>
        </w:tabs>
        <w:spacing w:line="357" w:lineRule="auto" w:before="140" w:after="0"/>
        <w:ind w:left="1274" w:right="137" w:hanging="357"/>
        <w:jc w:val="both"/>
        <w:rPr>
          <w:rFonts w:ascii="Symbol" w:hAnsi="Symbol"/>
          <w:sz w:val="24"/>
        </w:rPr>
      </w:pPr>
      <w:r>
        <w:rPr>
          <w:sz w:val="24"/>
        </w:rPr>
        <w:t>Proporciona transparencia en la administración y contención del riesgo de contraparte. La Cámara acuerda seguir un proceso para liquidar sus obligaciones bien definido e informa a todos los Participantes sobre los procedimientos</w:t>
      </w:r>
      <w:r>
        <w:rPr>
          <w:spacing w:val="-9"/>
          <w:sz w:val="24"/>
        </w:rPr>
        <w:t> </w:t>
      </w:r>
      <w:r>
        <w:rPr>
          <w:sz w:val="24"/>
        </w:rPr>
        <w:t>de</w:t>
      </w:r>
      <w:r>
        <w:rPr>
          <w:spacing w:val="-8"/>
          <w:sz w:val="24"/>
        </w:rPr>
        <w:t> </w:t>
      </w:r>
      <w:r>
        <w:rPr>
          <w:sz w:val="24"/>
        </w:rPr>
        <w:t>administración</w:t>
      </w:r>
      <w:r>
        <w:rPr>
          <w:spacing w:val="-11"/>
          <w:sz w:val="24"/>
        </w:rPr>
        <w:t> </w:t>
      </w:r>
      <w:r>
        <w:rPr>
          <w:sz w:val="24"/>
        </w:rPr>
        <w:t>de</w:t>
      </w:r>
      <w:r>
        <w:rPr>
          <w:spacing w:val="-8"/>
          <w:sz w:val="24"/>
        </w:rPr>
        <w:t> </w:t>
      </w:r>
      <w:r>
        <w:rPr>
          <w:sz w:val="24"/>
        </w:rPr>
        <w:t>riesgo</w:t>
      </w:r>
      <w:r>
        <w:rPr>
          <w:spacing w:val="-8"/>
          <w:sz w:val="24"/>
        </w:rPr>
        <w:t> </w:t>
      </w:r>
      <w:r>
        <w:rPr>
          <w:sz w:val="24"/>
        </w:rPr>
        <w:t>que</w:t>
      </w:r>
      <w:r>
        <w:rPr>
          <w:spacing w:val="-8"/>
          <w:sz w:val="24"/>
        </w:rPr>
        <w:t> </w:t>
      </w:r>
      <w:r>
        <w:rPr>
          <w:sz w:val="24"/>
        </w:rPr>
        <w:t>usará</w:t>
      </w:r>
      <w:r>
        <w:rPr>
          <w:spacing w:val="-9"/>
          <w:sz w:val="24"/>
        </w:rPr>
        <w:t> </w:t>
      </w:r>
      <w:r>
        <w:rPr>
          <w:sz w:val="24"/>
        </w:rPr>
        <w:t>y</w:t>
      </w:r>
      <w:r>
        <w:rPr>
          <w:spacing w:val="-12"/>
          <w:sz w:val="24"/>
        </w:rPr>
        <w:t> </w:t>
      </w:r>
      <w:r>
        <w:rPr>
          <w:sz w:val="24"/>
        </w:rPr>
        <w:t>los</w:t>
      </w:r>
      <w:r>
        <w:rPr>
          <w:spacing w:val="-9"/>
          <w:sz w:val="24"/>
        </w:rPr>
        <w:t> </w:t>
      </w:r>
      <w:r>
        <w:rPr>
          <w:sz w:val="24"/>
        </w:rPr>
        <w:t>recursos</w:t>
      </w:r>
      <w:r>
        <w:rPr>
          <w:spacing w:val="-9"/>
          <w:sz w:val="24"/>
        </w:rPr>
        <w:t> </w:t>
      </w:r>
      <w:r>
        <w:rPr>
          <w:sz w:val="24"/>
        </w:rPr>
        <w:t>con los que</w:t>
      </w:r>
      <w:r>
        <w:rPr>
          <w:spacing w:val="-36"/>
          <w:sz w:val="24"/>
        </w:rPr>
        <w:t> </w:t>
      </w:r>
      <w:r>
        <w:rPr>
          <w:sz w:val="24"/>
        </w:rPr>
        <w:t>cuenta.</w:t>
      </w:r>
    </w:p>
    <w:p>
      <w:pPr>
        <w:pStyle w:val="ListParagraph"/>
        <w:numPr>
          <w:ilvl w:val="2"/>
          <w:numId w:val="17"/>
        </w:numPr>
        <w:tabs>
          <w:tab w:pos="1275" w:val="left" w:leader="none"/>
        </w:tabs>
        <w:spacing w:line="355" w:lineRule="auto" w:before="6" w:after="0"/>
        <w:ind w:left="1274" w:right="143" w:hanging="357"/>
        <w:jc w:val="both"/>
        <w:rPr>
          <w:rFonts w:ascii="Symbol" w:hAnsi="Symbol"/>
          <w:sz w:val="24"/>
        </w:rPr>
      </w:pPr>
      <w:r>
        <w:rPr>
          <w:sz w:val="24"/>
        </w:rPr>
        <w:t>Minimiza</w:t>
      </w:r>
      <w:r>
        <w:rPr>
          <w:spacing w:val="-9"/>
          <w:sz w:val="24"/>
        </w:rPr>
        <w:t> </w:t>
      </w:r>
      <w:r>
        <w:rPr>
          <w:sz w:val="24"/>
        </w:rPr>
        <w:t>el</w:t>
      </w:r>
      <w:r>
        <w:rPr>
          <w:spacing w:val="-11"/>
          <w:sz w:val="24"/>
        </w:rPr>
        <w:t> </w:t>
      </w:r>
      <w:r>
        <w:rPr>
          <w:sz w:val="24"/>
        </w:rPr>
        <w:t>uso</w:t>
      </w:r>
      <w:r>
        <w:rPr>
          <w:spacing w:val="-12"/>
          <w:sz w:val="24"/>
        </w:rPr>
        <w:t> </w:t>
      </w:r>
      <w:r>
        <w:rPr>
          <w:sz w:val="24"/>
        </w:rPr>
        <w:t>del</w:t>
      </w:r>
      <w:r>
        <w:rPr>
          <w:spacing w:val="-11"/>
          <w:sz w:val="24"/>
        </w:rPr>
        <w:t> </w:t>
      </w:r>
      <w:r>
        <w:rPr>
          <w:sz w:val="24"/>
        </w:rPr>
        <w:t>crédito</w:t>
      </w:r>
      <w:r>
        <w:rPr>
          <w:spacing w:val="-9"/>
          <w:sz w:val="24"/>
        </w:rPr>
        <w:t> </w:t>
      </w:r>
      <w:r>
        <w:rPr>
          <w:sz w:val="24"/>
        </w:rPr>
        <w:t>y</w:t>
      </w:r>
      <w:r>
        <w:rPr>
          <w:spacing w:val="-13"/>
          <w:sz w:val="24"/>
        </w:rPr>
        <w:t> </w:t>
      </w:r>
      <w:r>
        <w:rPr>
          <w:sz w:val="24"/>
        </w:rPr>
        <w:t>el</w:t>
      </w:r>
      <w:r>
        <w:rPr>
          <w:spacing w:val="-13"/>
          <w:sz w:val="24"/>
        </w:rPr>
        <w:t> </w:t>
      </w:r>
      <w:r>
        <w:rPr>
          <w:sz w:val="24"/>
        </w:rPr>
        <w:t>fondeo</w:t>
      </w:r>
      <w:r>
        <w:rPr>
          <w:spacing w:val="-9"/>
          <w:sz w:val="24"/>
        </w:rPr>
        <w:t> </w:t>
      </w:r>
      <w:r>
        <w:rPr>
          <w:sz w:val="24"/>
        </w:rPr>
        <w:t>de</w:t>
      </w:r>
      <w:r>
        <w:rPr>
          <w:spacing w:val="-12"/>
          <w:sz w:val="24"/>
        </w:rPr>
        <w:t> </w:t>
      </w:r>
      <w:r>
        <w:rPr>
          <w:sz w:val="24"/>
        </w:rPr>
        <w:t>operaciones.</w:t>
      </w:r>
      <w:r>
        <w:rPr>
          <w:spacing w:val="-12"/>
          <w:sz w:val="24"/>
        </w:rPr>
        <w:t> </w:t>
      </w:r>
      <w:r>
        <w:rPr>
          <w:sz w:val="24"/>
        </w:rPr>
        <w:t>La</w:t>
      </w:r>
      <w:r>
        <w:rPr>
          <w:spacing w:val="-12"/>
          <w:sz w:val="24"/>
        </w:rPr>
        <w:t> </w:t>
      </w:r>
      <w:r>
        <w:rPr>
          <w:sz w:val="24"/>
        </w:rPr>
        <w:t>compensación de</w:t>
      </w:r>
      <w:r>
        <w:rPr>
          <w:spacing w:val="-7"/>
          <w:sz w:val="24"/>
        </w:rPr>
        <w:t> </w:t>
      </w:r>
      <w:r>
        <w:rPr>
          <w:sz w:val="24"/>
        </w:rPr>
        <w:t>operaciones</w:t>
      </w:r>
      <w:r>
        <w:rPr>
          <w:spacing w:val="-8"/>
          <w:sz w:val="24"/>
        </w:rPr>
        <w:t> </w:t>
      </w:r>
      <w:r>
        <w:rPr>
          <w:sz w:val="24"/>
        </w:rPr>
        <w:t>disminuye</w:t>
      </w:r>
      <w:r>
        <w:rPr>
          <w:spacing w:val="-7"/>
          <w:sz w:val="24"/>
        </w:rPr>
        <w:t> </w:t>
      </w:r>
      <w:r>
        <w:rPr>
          <w:sz w:val="24"/>
        </w:rPr>
        <w:t>en</w:t>
      </w:r>
      <w:r>
        <w:rPr>
          <w:spacing w:val="-7"/>
          <w:sz w:val="24"/>
        </w:rPr>
        <w:t> </w:t>
      </w:r>
      <w:r>
        <w:rPr>
          <w:sz w:val="24"/>
        </w:rPr>
        <w:t>forma</w:t>
      </w:r>
      <w:r>
        <w:rPr>
          <w:spacing w:val="-7"/>
          <w:sz w:val="24"/>
        </w:rPr>
        <w:t> </w:t>
      </w:r>
      <w:r>
        <w:rPr>
          <w:sz w:val="24"/>
        </w:rPr>
        <w:t>importante</w:t>
      </w:r>
      <w:r>
        <w:rPr>
          <w:spacing w:val="-7"/>
          <w:sz w:val="24"/>
        </w:rPr>
        <w:t> </w:t>
      </w:r>
      <w:r>
        <w:rPr>
          <w:sz w:val="24"/>
        </w:rPr>
        <w:t>los</w:t>
      </w:r>
      <w:r>
        <w:rPr>
          <w:spacing w:val="-7"/>
          <w:sz w:val="24"/>
        </w:rPr>
        <w:t> </w:t>
      </w:r>
      <w:r>
        <w:rPr>
          <w:sz w:val="24"/>
        </w:rPr>
        <w:t>volúmenes</w:t>
      </w:r>
      <w:r>
        <w:rPr>
          <w:spacing w:val="-8"/>
          <w:sz w:val="24"/>
        </w:rPr>
        <w:t> </w:t>
      </w:r>
      <w:r>
        <w:rPr>
          <w:sz w:val="24"/>
        </w:rPr>
        <w:t>de</w:t>
      </w:r>
      <w:r>
        <w:rPr>
          <w:spacing w:val="-9"/>
          <w:sz w:val="24"/>
        </w:rPr>
        <w:t> </w:t>
      </w:r>
      <w:r>
        <w:rPr>
          <w:sz w:val="24"/>
        </w:rPr>
        <w:t>fondeo de operaciones y por tanto el requerimiento de crédito de los</w:t>
      </w:r>
      <w:r>
        <w:rPr>
          <w:spacing w:val="-39"/>
          <w:sz w:val="24"/>
        </w:rPr>
        <w:t> </w:t>
      </w:r>
      <w:r>
        <w:rPr>
          <w:sz w:val="24"/>
        </w:rPr>
        <w:t>mismos.</w:t>
      </w:r>
    </w:p>
    <w:p>
      <w:pPr>
        <w:spacing w:after="0" w:line="355" w:lineRule="auto"/>
        <w:jc w:val="both"/>
        <w:rPr>
          <w:rFonts w:ascii="Symbol" w:hAnsi="Symbol"/>
          <w:sz w:val="24"/>
        </w:rPr>
        <w:sectPr>
          <w:pgSz w:w="12240" w:h="15840"/>
          <w:pgMar w:header="731" w:footer="737" w:top="1180" w:bottom="920" w:left="1560" w:right="1560"/>
        </w:sectPr>
      </w:pPr>
    </w:p>
    <w:p>
      <w:pPr>
        <w:pStyle w:val="BodyText"/>
        <w:rPr>
          <w:sz w:val="20"/>
        </w:rPr>
      </w:pPr>
    </w:p>
    <w:p>
      <w:pPr>
        <w:pStyle w:val="BodyText"/>
        <w:spacing w:before="3"/>
        <w:rPr>
          <w:sz w:val="17"/>
        </w:rPr>
      </w:pPr>
    </w:p>
    <w:p>
      <w:pPr>
        <w:pStyle w:val="ListParagraph"/>
        <w:numPr>
          <w:ilvl w:val="2"/>
          <w:numId w:val="17"/>
        </w:numPr>
        <w:tabs>
          <w:tab w:pos="1275" w:val="left" w:leader="none"/>
        </w:tabs>
        <w:spacing w:line="357" w:lineRule="auto" w:before="56" w:after="0"/>
        <w:ind w:left="1274" w:right="142" w:hanging="357"/>
        <w:jc w:val="both"/>
        <w:rPr>
          <w:rFonts w:ascii="Symbol" w:hAnsi="Symbol"/>
          <w:sz w:val="24"/>
        </w:rPr>
      </w:pPr>
      <w:r>
        <w:rPr>
          <w:sz w:val="24"/>
        </w:rPr>
        <w:t>Minimiza la tasa de incumplimientos. El proceso de compensación de obligaciones</w:t>
      </w:r>
      <w:r>
        <w:rPr>
          <w:spacing w:val="-8"/>
          <w:sz w:val="24"/>
        </w:rPr>
        <w:t> </w:t>
      </w:r>
      <w:r>
        <w:rPr>
          <w:sz w:val="24"/>
        </w:rPr>
        <w:t>reduce</w:t>
      </w:r>
      <w:r>
        <w:rPr>
          <w:spacing w:val="-7"/>
          <w:sz w:val="24"/>
        </w:rPr>
        <w:t> </w:t>
      </w:r>
      <w:r>
        <w:rPr>
          <w:sz w:val="24"/>
        </w:rPr>
        <w:t>el</w:t>
      </w:r>
      <w:r>
        <w:rPr>
          <w:spacing w:val="-8"/>
          <w:sz w:val="24"/>
        </w:rPr>
        <w:t> </w:t>
      </w:r>
      <w:r>
        <w:rPr>
          <w:sz w:val="24"/>
        </w:rPr>
        <w:t>requerimiento</w:t>
      </w:r>
      <w:r>
        <w:rPr>
          <w:spacing w:val="-7"/>
          <w:sz w:val="24"/>
        </w:rPr>
        <w:t> </w:t>
      </w:r>
      <w:r>
        <w:rPr>
          <w:sz w:val="24"/>
        </w:rPr>
        <w:t>de</w:t>
      </w:r>
      <w:r>
        <w:rPr>
          <w:spacing w:val="-7"/>
          <w:sz w:val="24"/>
        </w:rPr>
        <w:t> </w:t>
      </w:r>
      <w:r>
        <w:rPr>
          <w:sz w:val="24"/>
        </w:rPr>
        <w:t>los</w:t>
      </w:r>
      <w:r>
        <w:rPr>
          <w:spacing w:val="-5"/>
          <w:sz w:val="24"/>
        </w:rPr>
        <w:t> </w:t>
      </w:r>
      <w:r>
        <w:rPr>
          <w:sz w:val="24"/>
        </w:rPr>
        <w:t>recursos</w:t>
      </w:r>
      <w:r>
        <w:rPr>
          <w:spacing w:val="-5"/>
          <w:sz w:val="24"/>
        </w:rPr>
        <w:t> </w:t>
      </w:r>
      <w:r>
        <w:rPr>
          <w:sz w:val="24"/>
        </w:rPr>
        <w:t>en</w:t>
      </w:r>
      <w:r>
        <w:rPr>
          <w:spacing w:val="-5"/>
          <w:sz w:val="24"/>
        </w:rPr>
        <w:t> </w:t>
      </w:r>
      <w:r>
        <w:rPr>
          <w:sz w:val="24"/>
        </w:rPr>
        <w:t>la</w:t>
      </w:r>
      <w:r>
        <w:rPr>
          <w:spacing w:val="-5"/>
          <w:sz w:val="24"/>
        </w:rPr>
        <w:t> </w:t>
      </w:r>
      <w:r>
        <w:rPr>
          <w:sz w:val="24"/>
        </w:rPr>
        <w:t>liquidación</w:t>
      </w:r>
      <w:r>
        <w:rPr>
          <w:spacing w:val="-7"/>
          <w:sz w:val="24"/>
        </w:rPr>
        <w:t> </w:t>
      </w:r>
      <w:r>
        <w:rPr>
          <w:sz w:val="24"/>
        </w:rPr>
        <w:t>de operaciones, disminuyendo significativamente la tasa de incumplimientos, asimismo elimina las cadenas de</w:t>
      </w:r>
      <w:r>
        <w:rPr>
          <w:spacing w:val="-36"/>
          <w:sz w:val="24"/>
        </w:rPr>
        <w:t> </w:t>
      </w:r>
      <w:r>
        <w:rPr>
          <w:sz w:val="24"/>
        </w:rPr>
        <w:t>incumplimientos.</w:t>
      </w:r>
    </w:p>
    <w:p>
      <w:pPr>
        <w:pStyle w:val="BodyText"/>
      </w:pPr>
    </w:p>
    <w:p>
      <w:pPr>
        <w:pStyle w:val="ListParagraph"/>
        <w:numPr>
          <w:ilvl w:val="1"/>
          <w:numId w:val="17"/>
        </w:numPr>
        <w:tabs>
          <w:tab w:pos="596" w:val="left" w:leader="none"/>
        </w:tabs>
        <w:spacing w:line="240" w:lineRule="auto" w:before="210" w:after="0"/>
        <w:ind w:left="595" w:right="0" w:hanging="453"/>
        <w:jc w:val="left"/>
        <w:rPr>
          <w:b/>
          <w:sz w:val="22"/>
        </w:rPr>
      </w:pPr>
      <w:bookmarkStart w:name="_bookmark33" w:id="56"/>
      <w:bookmarkEnd w:id="56"/>
      <w:r>
        <w:rPr/>
      </w:r>
      <w:bookmarkStart w:name="_bookmark33" w:id="57"/>
      <w:bookmarkEnd w:id="57"/>
      <w:r>
        <w:rPr>
          <w:b/>
          <w:sz w:val="28"/>
        </w:rPr>
        <w:t>T</w:t>
      </w:r>
      <w:r>
        <w:rPr>
          <w:b/>
          <w:sz w:val="22"/>
        </w:rPr>
        <w:t>IPOS DE</w:t>
      </w:r>
      <w:r>
        <w:rPr>
          <w:b/>
          <w:spacing w:val="-31"/>
          <w:sz w:val="22"/>
        </w:rPr>
        <w:t> </w:t>
      </w:r>
      <w:r>
        <w:rPr>
          <w:b/>
          <w:sz w:val="28"/>
        </w:rPr>
        <w:t>D</w:t>
      </w:r>
      <w:r>
        <w:rPr>
          <w:b/>
          <w:sz w:val="22"/>
        </w:rPr>
        <w:t>ERIVADOS</w:t>
      </w:r>
    </w:p>
    <w:p>
      <w:pPr>
        <w:pStyle w:val="Heading3"/>
        <w:spacing w:before="238"/>
      </w:pPr>
      <w:r>
        <w:rPr/>
        <w:t>Futuros</w:t>
      </w:r>
    </w:p>
    <w:p>
      <w:pPr>
        <w:pStyle w:val="BodyText"/>
        <w:spacing w:line="360" w:lineRule="auto" w:before="62"/>
        <w:ind w:left="142" w:right="147" w:firstLine="707"/>
        <w:jc w:val="both"/>
      </w:pPr>
      <w:r>
        <w:rPr/>
        <w:t>Un Contrato de Futuro es el acuerdo de comprar o vender un activo subyacente a un cierto precio y en una fecha futura.</w:t>
      </w:r>
    </w:p>
    <w:p>
      <w:pPr>
        <w:pStyle w:val="BodyText"/>
        <w:spacing w:line="360" w:lineRule="auto" w:before="5"/>
        <w:ind w:left="142" w:right="138" w:firstLine="707"/>
        <w:jc w:val="both"/>
      </w:pPr>
      <w:r>
        <w:rPr/>
        <w:t>La mayor parte de los Contratos de Futuros que se inician no llegan a liquidarse</w:t>
      </w:r>
      <w:r>
        <w:rPr>
          <w:spacing w:val="-12"/>
        </w:rPr>
        <w:t> </w:t>
      </w:r>
      <w:r>
        <w:rPr/>
        <w:t>ya</w:t>
      </w:r>
      <w:r>
        <w:rPr>
          <w:spacing w:val="-12"/>
        </w:rPr>
        <w:t> </w:t>
      </w:r>
      <w:r>
        <w:rPr/>
        <w:t>que</w:t>
      </w:r>
      <w:r>
        <w:rPr>
          <w:spacing w:val="-12"/>
        </w:rPr>
        <w:t> </w:t>
      </w:r>
      <w:r>
        <w:rPr/>
        <w:t>los</w:t>
      </w:r>
      <w:r>
        <w:rPr>
          <w:spacing w:val="-12"/>
        </w:rPr>
        <w:t> </w:t>
      </w:r>
      <w:r>
        <w:rPr/>
        <w:t>inversionistas</w:t>
      </w:r>
      <w:r>
        <w:rPr>
          <w:spacing w:val="-13"/>
        </w:rPr>
        <w:t> </w:t>
      </w:r>
      <w:r>
        <w:rPr/>
        <w:t>prefieren</w:t>
      </w:r>
      <w:r>
        <w:rPr>
          <w:spacing w:val="-13"/>
        </w:rPr>
        <w:t> </w:t>
      </w:r>
      <w:r>
        <w:rPr/>
        <w:t>cerrar</w:t>
      </w:r>
      <w:r>
        <w:rPr>
          <w:spacing w:val="-13"/>
        </w:rPr>
        <w:t> </w:t>
      </w:r>
      <w:r>
        <w:rPr/>
        <w:t>sus</w:t>
      </w:r>
      <w:r>
        <w:rPr>
          <w:spacing w:val="-13"/>
        </w:rPr>
        <w:t> </w:t>
      </w:r>
      <w:r>
        <w:rPr/>
        <w:t>posiciones</w:t>
      </w:r>
      <w:r>
        <w:rPr>
          <w:spacing w:val="-14"/>
        </w:rPr>
        <w:t> </w:t>
      </w:r>
      <w:r>
        <w:rPr/>
        <w:t>antes</w:t>
      </w:r>
      <w:r>
        <w:rPr>
          <w:spacing w:val="-13"/>
        </w:rPr>
        <w:t> </w:t>
      </w:r>
      <w:r>
        <w:rPr/>
        <w:t>de</w:t>
      </w:r>
      <w:r>
        <w:rPr>
          <w:spacing w:val="-12"/>
        </w:rPr>
        <w:t> </w:t>
      </w:r>
      <w:r>
        <w:rPr/>
        <w:t>la</w:t>
      </w:r>
      <w:r>
        <w:rPr>
          <w:spacing w:val="-13"/>
        </w:rPr>
        <w:t> </w:t>
      </w:r>
      <w:r>
        <w:rPr/>
        <w:t>fecha de</w:t>
      </w:r>
      <w:r>
        <w:rPr>
          <w:spacing w:val="-17"/>
        </w:rPr>
        <w:t> </w:t>
      </w:r>
      <w:r>
        <w:rPr/>
        <w:t>liquidación</w:t>
      </w:r>
      <w:r>
        <w:rPr>
          <w:spacing w:val="-19"/>
        </w:rPr>
        <w:t> </w:t>
      </w:r>
      <w:r>
        <w:rPr/>
        <w:t>especificada</w:t>
      </w:r>
      <w:r>
        <w:rPr>
          <w:spacing w:val="-19"/>
        </w:rPr>
        <w:t> </w:t>
      </w:r>
      <w:r>
        <w:rPr/>
        <w:t>en</w:t>
      </w:r>
      <w:r>
        <w:rPr>
          <w:spacing w:val="-19"/>
        </w:rPr>
        <w:t> </w:t>
      </w:r>
      <w:r>
        <w:rPr/>
        <w:t>el</w:t>
      </w:r>
      <w:r>
        <w:rPr>
          <w:spacing w:val="-20"/>
        </w:rPr>
        <w:t> </w:t>
      </w:r>
      <w:r>
        <w:rPr/>
        <w:t>Contrato.</w:t>
      </w:r>
      <w:r>
        <w:rPr>
          <w:spacing w:val="-19"/>
        </w:rPr>
        <w:t> </w:t>
      </w:r>
      <w:r>
        <w:rPr/>
        <w:t>Los</w:t>
      </w:r>
      <w:r>
        <w:rPr>
          <w:spacing w:val="-20"/>
        </w:rPr>
        <w:t> </w:t>
      </w:r>
      <w:r>
        <w:rPr/>
        <w:t>términos</w:t>
      </w:r>
      <w:r>
        <w:rPr>
          <w:spacing w:val="-20"/>
        </w:rPr>
        <w:t> </w:t>
      </w:r>
      <w:r>
        <w:rPr/>
        <w:t>del</w:t>
      </w:r>
      <w:r>
        <w:rPr>
          <w:spacing w:val="-20"/>
        </w:rPr>
        <w:t> </w:t>
      </w:r>
      <w:r>
        <w:rPr/>
        <w:t>contrato</w:t>
      </w:r>
      <w:r>
        <w:rPr>
          <w:spacing w:val="-18"/>
        </w:rPr>
        <w:t> </w:t>
      </w:r>
      <w:r>
        <w:rPr/>
        <w:t>son:</w:t>
      </w:r>
      <w:r>
        <w:rPr>
          <w:spacing w:val="-17"/>
        </w:rPr>
        <w:t> </w:t>
      </w:r>
      <w:r>
        <w:rPr/>
        <w:t>la</w:t>
      </w:r>
      <w:r>
        <w:rPr>
          <w:spacing w:val="-17"/>
        </w:rPr>
        <w:t> </w:t>
      </w:r>
      <w:r>
        <w:rPr/>
        <w:t>cantidad o tamaño del contrato, la fecha de vencimiento y el precio al cual se realizará el hecho o</w:t>
      </w:r>
      <w:r>
        <w:rPr>
          <w:spacing w:val="-30"/>
        </w:rPr>
        <w:t> </w:t>
      </w:r>
      <w:r>
        <w:rPr/>
        <w:t>intercambio.</w:t>
      </w:r>
    </w:p>
    <w:p>
      <w:pPr>
        <w:pStyle w:val="Heading3"/>
      </w:pPr>
      <w:r>
        <w:rPr/>
        <w:t>Valuación</w:t>
      </w:r>
    </w:p>
    <w:p>
      <w:pPr>
        <w:pStyle w:val="BodyText"/>
        <w:spacing w:line="360" w:lineRule="auto" w:before="62"/>
        <w:ind w:left="142" w:right="141" w:firstLine="707"/>
        <w:jc w:val="both"/>
      </w:pPr>
      <w:r>
        <w:rPr/>
        <w:t>La definición de los precios de futuros, como en todos los productos de la economía,</w:t>
      </w:r>
      <w:r>
        <w:rPr>
          <w:spacing w:val="-9"/>
        </w:rPr>
        <w:t> </w:t>
      </w:r>
      <w:r>
        <w:rPr/>
        <w:t>son</w:t>
      </w:r>
      <w:r>
        <w:rPr>
          <w:spacing w:val="-8"/>
        </w:rPr>
        <w:t> </w:t>
      </w:r>
      <w:r>
        <w:rPr/>
        <w:t>definidos</w:t>
      </w:r>
      <w:r>
        <w:rPr>
          <w:spacing w:val="-7"/>
        </w:rPr>
        <w:t> </w:t>
      </w:r>
      <w:r>
        <w:rPr/>
        <w:t>por</w:t>
      </w:r>
      <w:r>
        <w:rPr>
          <w:spacing w:val="-7"/>
        </w:rPr>
        <w:t> </w:t>
      </w:r>
      <w:r>
        <w:rPr/>
        <w:t>la</w:t>
      </w:r>
      <w:r>
        <w:rPr>
          <w:spacing w:val="-9"/>
        </w:rPr>
        <w:t> </w:t>
      </w:r>
      <w:r>
        <w:rPr/>
        <w:t>oferta</w:t>
      </w:r>
      <w:r>
        <w:rPr>
          <w:spacing w:val="-8"/>
        </w:rPr>
        <w:t> </w:t>
      </w:r>
      <w:r>
        <w:rPr/>
        <w:t>y</w:t>
      </w:r>
      <w:r>
        <w:rPr>
          <w:spacing w:val="-9"/>
        </w:rPr>
        <w:t> </w:t>
      </w:r>
      <w:r>
        <w:rPr/>
        <w:t>la</w:t>
      </w:r>
      <w:r>
        <w:rPr>
          <w:spacing w:val="-9"/>
        </w:rPr>
        <w:t> </w:t>
      </w:r>
      <w:r>
        <w:rPr/>
        <w:t>demanda,</w:t>
      </w:r>
      <w:r>
        <w:rPr>
          <w:spacing w:val="-9"/>
        </w:rPr>
        <w:t> </w:t>
      </w:r>
      <w:r>
        <w:rPr/>
        <w:t>sin</w:t>
      </w:r>
      <w:r>
        <w:rPr>
          <w:spacing w:val="-9"/>
        </w:rPr>
        <w:t> </w:t>
      </w:r>
      <w:r>
        <w:rPr/>
        <w:t>embargo</w:t>
      </w:r>
      <w:r>
        <w:rPr>
          <w:spacing w:val="-6"/>
        </w:rPr>
        <w:t> </w:t>
      </w:r>
      <w:r>
        <w:rPr/>
        <w:t>el</w:t>
      </w:r>
      <w:r>
        <w:rPr>
          <w:spacing w:val="-10"/>
        </w:rPr>
        <w:t> </w:t>
      </w:r>
      <w:r>
        <w:rPr/>
        <w:t>precio</w:t>
      </w:r>
      <w:r>
        <w:rPr>
          <w:spacing w:val="-8"/>
        </w:rPr>
        <w:t> </w:t>
      </w:r>
      <w:r>
        <w:rPr/>
        <w:t>al</w:t>
      </w:r>
      <w:r>
        <w:rPr>
          <w:spacing w:val="-10"/>
        </w:rPr>
        <w:t> </w:t>
      </w:r>
      <w:r>
        <w:rPr/>
        <w:t>que</w:t>
      </w:r>
      <w:r>
        <w:rPr>
          <w:spacing w:val="-8"/>
        </w:rPr>
        <w:t> </w:t>
      </w:r>
      <w:r>
        <w:rPr/>
        <w:t>se esta dispuesto a vender o comprar depende fundamentalmente del nivel de tasas de</w:t>
      </w:r>
      <w:r>
        <w:rPr>
          <w:spacing w:val="-5"/>
        </w:rPr>
        <w:t> </w:t>
      </w:r>
      <w:r>
        <w:rPr/>
        <w:t>interés</w:t>
      </w:r>
      <w:r>
        <w:rPr>
          <w:spacing w:val="-5"/>
        </w:rPr>
        <w:t> </w:t>
      </w:r>
      <w:r>
        <w:rPr/>
        <w:t>relevante.</w:t>
      </w:r>
      <w:r>
        <w:rPr>
          <w:spacing w:val="-7"/>
        </w:rPr>
        <w:t> </w:t>
      </w:r>
      <w:r>
        <w:rPr/>
        <w:t>La</w:t>
      </w:r>
      <w:r>
        <w:rPr>
          <w:spacing w:val="-5"/>
        </w:rPr>
        <w:t> </w:t>
      </w:r>
      <w:r>
        <w:rPr/>
        <w:t>tasa</w:t>
      </w:r>
      <w:r>
        <w:rPr>
          <w:spacing w:val="-7"/>
        </w:rPr>
        <w:t> </w:t>
      </w:r>
      <w:r>
        <w:rPr/>
        <w:t>de</w:t>
      </w:r>
      <w:r>
        <w:rPr>
          <w:spacing w:val="-5"/>
        </w:rPr>
        <w:t> </w:t>
      </w:r>
      <w:r>
        <w:rPr/>
        <w:t>interés</w:t>
      </w:r>
      <w:r>
        <w:rPr>
          <w:spacing w:val="-8"/>
        </w:rPr>
        <w:t> </w:t>
      </w:r>
      <w:r>
        <w:rPr/>
        <w:t>relevante</w:t>
      </w:r>
      <w:r>
        <w:rPr>
          <w:spacing w:val="-6"/>
        </w:rPr>
        <w:t> </w:t>
      </w:r>
      <w:r>
        <w:rPr/>
        <w:t>será</w:t>
      </w:r>
      <w:r>
        <w:rPr>
          <w:spacing w:val="-8"/>
        </w:rPr>
        <w:t> </w:t>
      </w:r>
      <w:r>
        <w:rPr/>
        <w:t>aquella</w:t>
      </w:r>
      <w:r>
        <w:rPr>
          <w:spacing w:val="-7"/>
        </w:rPr>
        <w:t> </w:t>
      </w:r>
      <w:r>
        <w:rPr/>
        <w:t>que</w:t>
      </w:r>
      <w:r>
        <w:rPr>
          <w:spacing w:val="-7"/>
        </w:rPr>
        <w:t> </w:t>
      </w:r>
      <w:r>
        <w:rPr/>
        <w:t>esta</w:t>
      </w:r>
      <w:r>
        <w:rPr>
          <w:spacing w:val="-4"/>
        </w:rPr>
        <w:t> </w:t>
      </w:r>
      <w:r>
        <w:rPr/>
        <w:t>relacionada al plazo del contrato del</w:t>
      </w:r>
      <w:r>
        <w:rPr>
          <w:spacing w:val="-13"/>
        </w:rPr>
        <w:t> </w:t>
      </w:r>
      <w:r>
        <w:rPr/>
        <w:t>futuro.</w:t>
      </w:r>
    </w:p>
    <w:p>
      <w:pPr>
        <w:pStyle w:val="BodyText"/>
        <w:spacing w:line="360" w:lineRule="auto" w:before="5"/>
        <w:ind w:left="142" w:right="141" w:firstLine="707"/>
        <w:jc w:val="both"/>
      </w:pPr>
      <w:r>
        <w:rPr/>
        <w:t>En</w:t>
      </w:r>
      <w:r>
        <w:rPr>
          <w:spacing w:val="-8"/>
        </w:rPr>
        <w:t> </w:t>
      </w:r>
      <w:r>
        <w:rPr/>
        <w:t>los</w:t>
      </w:r>
      <w:r>
        <w:rPr>
          <w:spacing w:val="-13"/>
        </w:rPr>
        <w:t> </w:t>
      </w:r>
      <w:r>
        <w:rPr/>
        <w:t>mercados</w:t>
      </w:r>
      <w:r>
        <w:rPr>
          <w:spacing w:val="-12"/>
        </w:rPr>
        <w:t> </w:t>
      </w:r>
      <w:r>
        <w:rPr/>
        <w:t>financieros</w:t>
      </w:r>
      <w:r>
        <w:rPr>
          <w:spacing w:val="-9"/>
        </w:rPr>
        <w:t> </w:t>
      </w:r>
      <w:r>
        <w:rPr/>
        <w:t>es</w:t>
      </w:r>
      <w:r>
        <w:rPr>
          <w:spacing w:val="-12"/>
        </w:rPr>
        <w:t> </w:t>
      </w:r>
      <w:r>
        <w:rPr/>
        <w:t>preciso</w:t>
      </w:r>
      <w:r>
        <w:rPr>
          <w:spacing w:val="-11"/>
        </w:rPr>
        <w:t> </w:t>
      </w:r>
      <w:r>
        <w:rPr/>
        <w:t>poder</w:t>
      </w:r>
      <w:r>
        <w:rPr>
          <w:spacing w:val="-10"/>
        </w:rPr>
        <w:t> </w:t>
      </w:r>
      <w:r>
        <w:rPr/>
        <w:t>reconocer</w:t>
      </w:r>
      <w:r>
        <w:rPr>
          <w:spacing w:val="-10"/>
        </w:rPr>
        <w:t> </w:t>
      </w:r>
      <w:r>
        <w:rPr/>
        <w:t>los</w:t>
      </w:r>
      <w:r>
        <w:rPr>
          <w:spacing w:val="-13"/>
        </w:rPr>
        <w:t> </w:t>
      </w:r>
      <w:r>
        <w:rPr/>
        <w:t>flujos</w:t>
      </w:r>
      <w:r>
        <w:rPr>
          <w:spacing w:val="-12"/>
        </w:rPr>
        <w:t> </w:t>
      </w:r>
      <w:r>
        <w:rPr/>
        <w:t>de</w:t>
      </w:r>
      <w:r>
        <w:rPr>
          <w:spacing w:val="-8"/>
        </w:rPr>
        <w:t> </w:t>
      </w:r>
      <w:r>
        <w:rPr/>
        <w:t>efectivo que suceden a lo largo del tiempo, y la relación entre dichos flujos. La toma de decisiones</w:t>
      </w:r>
      <w:r>
        <w:rPr>
          <w:spacing w:val="47"/>
        </w:rPr>
        <w:t> </w:t>
      </w:r>
      <w:r>
        <w:rPr/>
        <w:t>de</w:t>
      </w:r>
      <w:r>
        <w:rPr>
          <w:spacing w:val="-14"/>
        </w:rPr>
        <w:t> </w:t>
      </w:r>
      <w:r>
        <w:rPr/>
        <w:t>inversión</w:t>
      </w:r>
      <w:r>
        <w:rPr>
          <w:spacing w:val="-14"/>
        </w:rPr>
        <w:t> </w:t>
      </w:r>
      <w:r>
        <w:rPr/>
        <w:t>y</w:t>
      </w:r>
      <w:r>
        <w:rPr>
          <w:spacing w:val="-20"/>
        </w:rPr>
        <w:t> </w:t>
      </w:r>
      <w:r>
        <w:rPr/>
        <w:t>financiamiento</w:t>
      </w:r>
      <w:r>
        <w:rPr>
          <w:spacing w:val="-14"/>
        </w:rPr>
        <w:t> </w:t>
      </w:r>
      <w:r>
        <w:rPr/>
        <w:t>requiere</w:t>
      </w:r>
      <w:r>
        <w:rPr>
          <w:spacing w:val="-14"/>
        </w:rPr>
        <w:t> </w:t>
      </w:r>
      <w:r>
        <w:rPr/>
        <w:t>del</w:t>
      </w:r>
      <w:r>
        <w:rPr>
          <w:spacing w:val="-15"/>
        </w:rPr>
        <w:t> </w:t>
      </w:r>
      <w:r>
        <w:rPr/>
        <w:t>conocimiento</w:t>
      </w:r>
      <w:r>
        <w:rPr>
          <w:spacing w:val="-17"/>
        </w:rPr>
        <w:t> </w:t>
      </w:r>
      <w:r>
        <w:rPr/>
        <w:t>de</w:t>
      </w:r>
      <w:r>
        <w:rPr>
          <w:spacing w:val="-14"/>
        </w:rPr>
        <w:t> </w:t>
      </w:r>
      <w:r>
        <w:rPr/>
        <w:t>los</w:t>
      </w:r>
      <w:r>
        <w:rPr>
          <w:spacing w:val="-17"/>
        </w:rPr>
        <w:t> </w:t>
      </w:r>
      <w:r>
        <w:rPr/>
        <w:t>principios económicos básicos que sostienen a los</w:t>
      </w:r>
      <w:r>
        <w:rPr>
          <w:spacing w:val="-27"/>
        </w:rPr>
        <w:t> </w:t>
      </w:r>
      <w:r>
        <w:rPr/>
        <w:t>mercados.</w:t>
      </w:r>
    </w:p>
    <w:p>
      <w:pPr>
        <w:pStyle w:val="BodyText"/>
        <w:spacing w:line="360" w:lineRule="auto" w:before="5"/>
        <w:ind w:left="142" w:right="134" w:firstLine="707"/>
        <w:jc w:val="both"/>
      </w:pPr>
      <w:r>
        <w:rPr/>
        <w:t>Los mercados financieros permiten a los participantes ajustar sus patrones de consumo e inversión a lo largo del tiempo. Es fácil demostrar cómo la tasa de interés afecta a las decisiones de inversión y financiamiento, de ahorro y consumo. Los mercados financieros proporcionan una medida de comparación para tomar decisiones económicas.</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35" w:firstLine="707"/>
        <w:jc w:val="both"/>
      </w:pPr>
      <w:r>
        <w:rPr/>
        <w:t>Un proyecto de inversión vale la pena solamente si incrementa el rango de opciones ya presentes en los mercados financieros. Para que esto suceda, el proyecto necesariamente tiene que ser por lo menos tan deseable como las alternativas que ya existen en los mercados. Si el proyecto no fuese tan deseable como las alternativas existentes, los inversionistas simplemente utilizarían a los mercados financieros en lugar de realizar el proyecto. Este punto es clave para llevar a cabo cualquier decisión de inversión, es el primer principio de toma de decisiones de inversión, y es el fundamento sobre el cual todas las reglas de valuación se construyen y los futuros no son la excepción.</w:t>
      </w:r>
    </w:p>
    <w:p>
      <w:pPr>
        <w:pStyle w:val="BodyText"/>
        <w:spacing w:line="360" w:lineRule="auto" w:before="5"/>
        <w:ind w:left="142" w:right="138" w:firstLine="707"/>
        <w:jc w:val="both"/>
      </w:pPr>
      <w:r>
        <w:rPr/>
        <w:t>Dado</w:t>
      </w:r>
      <w:r>
        <w:rPr>
          <w:spacing w:val="-6"/>
        </w:rPr>
        <w:t> </w:t>
      </w:r>
      <w:r>
        <w:rPr/>
        <w:t>que</w:t>
      </w:r>
      <w:r>
        <w:rPr>
          <w:spacing w:val="-6"/>
        </w:rPr>
        <w:t> </w:t>
      </w:r>
      <w:r>
        <w:rPr/>
        <w:t>la</w:t>
      </w:r>
      <w:r>
        <w:rPr>
          <w:spacing w:val="-6"/>
        </w:rPr>
        <w:t> </w:t>
      </w:r>
      <w:r>
        <w:rPr/>
        <w:t>tasa</w:t>
      </w:r>
      <w:r>
        <w:rPr>
          <w:spacing w:val="-6"/>
        </w:rPr>
        <w:t> </w:t>
      </w:r>
      <w:r>
        <w:rPr/>
        <w:t>de</w:t>
      </w:r>
      <w:r>
        <w:rPr>
          <w:spacing w:val="-6"/>
        </w:rPr>
        <w:t> </w:t>
      </w:r>
      <w:r>
        <w:rPr/>
        <w:t>interés</w:t>
      </w:r>
      <w:r>
        <w:rPr>
          <w:spacing w:val="-7"/>
        </w:rPr>
        <w:t> </w:t>
      </w:r>
      <w:r>
        <w:rPr/>
        <w:t>refleja</w:t>
      </w:r>
      <w:r>
        <w:rPr>
          <w:spacing w:val="-6"/>
        </w:rPr>
        <w:t> </w:t>
      </w:r>
      <w:r>
        <w:rPr/>
        <w:t>el</w:t>
      </w:r>
      <w:r>
        <w:rPr>
          <w:spacing w:val="-7"/>
        </w:rPr>
        <w:t> </w:t>
      </w:r>
      <w:r>
        <w:rPr/>
        <w:t>costo</w:t>
      </w:r>
      <w:r>
        <w:rPr>
          <w:spacing w:val="-6"/>
        </w:rPr>
        <w:t> </w:t>
      </w:r>
      <w:r>
        <w:rPr/>
        <w:t>del</w:t>
      </w:r>
      <w:r>
        <w:rPr>
          <w:spacing w:val="-10"/>
        </w:rPr>
        <w:t> </w:t>
      </w:r>
      <w:r>
        <w:rPr/>
        <w:t>dinero</w:t>
      </w:r>
      <w:r>
        <w:rPr>
          <w:spacing w:val="-2"/>
        </w:rPr>
        <w:t> </w:t>
      </w:r>
      <w:r>
        <w:rPr/>
        <w:t>en</w:t>
      </w:r>
      <w:r>
        <w:rPr>
          <w:spacing w:val="-6"/>
        </w:rPr>
        <w:t> </w:t>
      </w:r>
      <w:r>
        <w:rPr/>
        <w:t>el</w:t>
      </w:r>
      <w:r>
        <w:rPr>
          <w:spacing w:val="-7"/>
        </w:rPr>
        <w:t> </w:t>
      </w:r>
      <w:r>
        <w:rPr/>
        <w:t>tiempo</w:t>
      </w:r>
      <w:r>
        <w:rPr>
          <w:spacing w:val="-6"/>
        </w:rPr>
        <w:t> </w:t>
      </w:r>
      <w:r>
        <w:rPr/>
        <w:t>es</w:t>
      </w:r>
      <w:r>
        <w:rPr>
          <w:spacing w:val="-9"/>
        </w:rPr>
        <w:t> </w:t>
      </w:r>
      <w:r>
        <w:rPr/>
        <w:t>posible suponer que un precio de cualquier activo en el futuro dependerá de la tasa de interés</w:t>
      </w:r>
      <w:r>
        <w:rPr>
          <w:spacing w:val="-37"/>
        </w:rPr>
        <w:t> </w:t>
      </w:r>
      <w:r>
        <w:rPr/>
        <w:t>relevante.</w:t>
      </w:r>
    </w:p>
    <w:p>
      <w:pPr>
        <w:pStyle w:val="Heading3"/>
        <w:spacing w:before="122"/>
      </w:pPr>
      <w:r>
        <w:rPr/>
        <w:t>Base</w:t>
      </w:r>
    </w:p>
    <w:p>
      <w:pPr>
        <w:pStyle w:val="BodyText"/>
        <w:spacing w:line="360" w:lineRule="auto" w:before="62"/>
        <w:ind w:left="142" w:right="137" w:firstLine="707"/>
        <w:jc w:val="both"/>
      </w:pPr>
      <w:r>
        <w:rPr/>
        <w:t>La base en una medida necesaria para establecer las pérdidas y ganancias diarias sobre tu posición de futuros. La base es la diferencia entre el precio del contrato del futuro y el precio spot del activo subyacente. Ésta puede ser positiva o negativa,</w:t>
      </w:r>
      <w:r>
        <w:rPr>
          <w:spacing w:val="-4"/>
        </w:rPr>
        <w:t> </w:t>
      </w:r>
      <w:r>
        <w:rPr/>
        <w:t>dependiendo</w:t>
      </w:r>
      <w:r>
        <w:rPr>
          <w:spacing w:val="-6"/>
        </w:rPr>
        <w:t> </w:t>
      </w:r>
      <w:r>
        <w:rPr/>
        <w:t>de</w:t>
      </w:r>
      <w:r>
        <w:rPr>
          <w:spacing w:val="-4"/>
        </w:rPr>
        <w:t> </w:t>
      </w:r>
      <w:r>
        <w:rPr/>
        <w:t>si</w:t>
      </w:r>
      <w:r>
        <w:rPr>
          <w:spacing w:val="-5"/>
        </w:rPr>
        <w:t> </w:t>
      </w:r>
      <w:r>
        <w:rPr/>
        <w:t>el</w:t>
      </w:r>
      <w:r>
        <w:rPr>
          <w:spacing w:val="-7"/>
        </w:rPr>
        <w:t> </w:t>
      </w:r>
      <w:r>
        <w:rPr/>
        <w:t>precio</w:t>
      </w:r>
      <w:r>
        <w:rPr>
          <w:spacing w:val="-6"/>
        </w:rPr>
        <w:t> </w:t>
      </w:r>
      <w:r>
        <w:rPr/>
        <w:t>del</w:t>
      </w:r>
      <w:r>
        <w:rPr>
          <w:spacing w:val="-7"/>
        </w:rPr>
        <w:t> </w:t>
      </w:r>
      <w:r>
        <w:rPr/>
        <w:t>futuro</w:t>
      </w:r>
      <w:r>
        <w:rPr>
          <w:spacing w:val="-4"/>
        </w:rPr>
        <w:t> </w:t>
      </w:r>
      <w:r>
        <w:rPr/>
        <w:t>es</w:t>
      </w:r>
      <w:r>
        <w:rPr>
          <w:spacing w:val="-4"/>
        </w:rPr>
        <w:t> </w:t>
      </w:r>
      <w:r>
        <w:rPr/>
        <w:t>mayor</w:t>
      </w:r>
      <w:r>
        <w:rPr>
          <w:spacing w:val="-5"/>
        </w:rPr>
        <w:t> </w:t>
      </w:r>
      <w:r>
        <w:rPr/>
        <w:t>o</w:t>
      </w:r>
      <w:r>
        <w:rPr>
          <w:spacing w:val="-4"/>
        </w:rPr>
        <w:t> </w:t>
      </w:r>
      <w:r>
        <w:rPr/>
        <w:t>menor</w:t>
      </w:r>
      <w:r>
        <w:rPr>
          <w:spacing w:val="-5"/>
        </w:rPr>
        <w:t> </w:t>
      </w:r>
      <w:r>
        <w:rPr/>
        <w:t>que</w:t>
      </w:r>
      <w:r>
        <w:rPr>
          <w:spacing w:val="-4"/>
        </w:rPr>
        <w:t> </w:t>
      </w:r>
      <w:r>
        <w:rPr/>
        <w:t>el</w:t>
      </w:r>
      <w:r>
        <w:rPr>
          <w:spacing w:val="-7"/>
        </w:rPr>
        <w:t> </w:t>
      </w:r>
      <w:r>
        <w:rPr/>
        <w:t>precio</w:t>
      </w:r>
      <w:r>
        <w:rPr>
          <w:spacing w:val="-4"/>
        </w:rPr>
        <w:t> </w:t>
      </w:r>
      <w:r>
        <w:rPr/>
        <w:t>del contado.</w:t>
      </w:r>
    </w:p>
    <w:p>
      <w:pPr>
        <w:pStyle w:val="BodyText"/>
        <w:spacing w:line="360" w:lineRule="auto" w:before="2"/>
        <w:ind w:left="142" w:right="138" w:firstLine="707"/>
        <w:jc w:val="both"/>
      </w:pPr>
      <w:r>
        <w:rPr/>
        <w:t>Cuando</w:t>
      </w:r>
      <w:r>
        <w:rPr>
          <w:spacing w:val="-5"/>
        </w:rPr>
        <w:t> </w:t>
      </w:r>
      <w:r>
        <w:rPr/>
        <w:t>el</w:t>
      </w:r>
      <w:r>
        <w:rPr>
          <w:spacing w:val="-6"/>
        </w:rPr>
        <w:t> </w:t>
      </w:r>
      <w:r>
        <w:rPr/>
        <w:t>precio</w:t>
      </w:r>
      <w:r>
        <w:rPr>
          <w:spacing w:val="-5"/>
        </w:rPr>
        <w:t> </w:t>
      </w:r>
      <w:r>
        <w:rPr/>
        <w:t>spot</w:t>
      </w:r>
      <w:r>
        <w:rPr>
          <w:spacing w:val="-8"/>
        </w:rPr>
        <w:t> </w:t>
      </w:r>
      <w:r>
        <w:rPr/>
        <w:t>sube</w:t>
      </w:r>
      <w:r>
        <w:rPr>
          <w:spacing w:val="-7"/>
        </w:rPr>
        <w:t> </w:t>
      </w:r>
      <w:r>
        <w:rPr/>
        <w:t>más</w:t>
      </w:r>
      <w:r>
        <w:rPr>
          <w:spacing w:val="-6"/>
        </w:rPr>
        <w:t> </w:t>
      </w:r>
      <w:r>
        <w:rPr/>
        <w:t>que</w:t>
      </w:r>
      <w:r>
        <w:rPr>
          <w:spacing w:val="-5"/>
        </w:rPr>
        <w:t> </w:t>
      </w:r>
      <w:r>
        <w:rPr/>
        <w:t>el</w:t>
      </w:r>
      <w:r>
        <w:rPr>
          <w:spacing w:val="-6"/>
        </w:rPr>
        <w:t> </w:t>
      </w:r>
      <w:r>
        <w:rPr/>
        <w:t>precio</w:t>
      </w:r>
      <w:r>
        <w:rPr>
          <w:spacing w:val="-3"/>
        </w:rPr>
        <w:t> </w:t>
      </w:r>
      <w:r>
        <w:rPr/>
        <w:t>del</w:t>
      </w:r>
      <w:r>
        <w:rPr>
          <w:spacing w:val="-4"/>
        </w:rPr>
        <w:t> </w:t>
      </w:r>
      <w:r>
        <w:rPr/>
        <w:t>contrato</w:t>
      </w:r>
      <w:r>
        <w:rPr>
          <w:spacing w:val="-4"/>
        </w:rPr>
        <w:t> </w:t>
      </w:r>
      <w:r>
        <w:rPr/>
        <w:t>del</w:t>
      </w:r>
      <w:r>
        <w:rPr>
          <w:spacing w:val="-9"/>
        </w:rPr>
        <w:t> </w:t>
      </w:r>
      <w:r>
        <w:rPr/>
        <w:t>futuro,</w:t>
      </w:r>
      <w:r>
        <w:rPr>
          <w:spacing w:val="-3"/>
        </w:rPr>
        <w:t> </w:t>
      </w:r>
      <w:r>
        <w:rPr/>
        <w:t>la</w:t>
      </w:r>
      <w:r>
        <w:rPr>
          <w:spacing w:val="-8"/>
        </w:rPr>
        <w:t> </w:t>
      </w:r>
      <w:r>
        <w:rPr/>
        <w:t>base se incrementa. A esto se le llama un reforzamiento de la base. En cambio, cuando el</w:t>
      </w:r>
      <w:r>
        <w:rPr>
          <w:spacing w:val="-5"/>
        </w:rPr>
        <w:t> </w:t>
      </w:r>
      <w:r>
        <w:rPr/>
        <w:t>precio</w:t>
      </w:r>
      <w:r>
        <w:rPr>
          <w:spacing w:val="-5"/>
        </w:rPr>
        <w:t> </w:t>
      </w:r>
      <w:r>
        <w:rPr/>
        <w:t>del</w:t>
      </w:r>
      <w:r>
        <w:rPr>
          <w:spacing w:val="-5"/>
        </w:rPr>
        <w:t> </w:t>
      </w:r>
      <w:r>
        <w:rPr/>
        <w:t>contrato</w:t>
      </w:r>
      <w:r>
        <w:rPr>
          <w:spacing w:val="-5"/>
        </w:rPr>
        <w:t> </w:t>
      </w:r>
      <w:r>
        <w:rPr/>
        <w:t>del</w:t>
      </w:r>
      <w:r>
        <w:rPr>
          <w:spacing w:val="-7"/>
        </w:rPr>
        <w:t> </w:t>
      </w:r>
      <w:r>
        <w:rPr/>
        <w:t>futuro</w:t>
      </w:r>
      <w:r>
        <w:rPr>
          <w:spacing w:val="-5"/>
        </w:rPr>
        <w:t> </w:t>
      </w:r>
      <w:r>
        <w:rPr/>
        <w:t>aumenta</w:t>
      </w:r>
      <w:r>
        <w:rPr>
          <w:spacing w:val="-5"/>
        </w:rPr>
        <w:t> </w:t>
      </w:r>
      <w:r>
        <w:rPr/>
        <w:t>más</w:t>
      </w:r>
      <w:r>
        <w:rPr>
          <w:spacing w:val="-7"/>
        </w:rPr>
        <w:t> </w:t>
      </w:r>
      <w:r>
        <w:rPr/>
        <w:t>que</w:t>
      </w:r>
      <w:r>
        <w:rPr>
          <w:spacing w:val="-5"/>
        </w:rPr>
        <w:t> </w:t>
      </w:r>
      <w:r>
        <w:rPr/>
        <w:t>el</w:t>
      </w:r>
      <w:r>
        <w:rPr>
          <w:spacing w:val="-5"/>
        </w:rPr>
        <w:t> </w:t>
      </w:r>
      <w:r>
        <w:rPr/>
        <w:t>precio</w:t>
      </w:r>
      <w:r>
        <w:rPr>
          <w:spacing w:val="-5"/>
        </w:rPr>
        <w:t> </w:t>
      </w:r>
      <w:r>
        <w:rPr/>
        <w:t>spot,</w:t>
      </w:r>
      <w:r>
        <w:rPr>
          <w:spacing w:val="-5"/>
        </w:rPr>
        <w:t> </w:t>
      </w:r>
      <w:r>
        <w:rPr/>
        <w:t>la</w:t>
      </w:r>
      <w:r>
        <w:rPr>
          <w:spacing w:val="-5"/>
        </w:rPr>
        <w:t> </w:t>
      </w:r>
      <w:r>
        <w:rPr/>
        <w:t>base</w:t>
      </w:r>
      <w:r>
        <w:rPr>
          <w:spacing w:val="-5"/>
        </w:rPr>
        <w:t> </w:t>
      </w:r>
      <w:r>
        <w:rPr/>
        <w:t>se</w:t>
      </w:r>
      <w:r>
        <w:rPr>
          <w:spacing w:val="-5"/>
        </w:rPr>
        <w:t> </w:t>
      </w:r>
      <w:r>
        <w:rPr/>
        <w:t>reduce. A esto se le llama un debilitamiento de la</w:t>
      </w:r>
      <w:r>
        <w:rPr>
          <w:spacing w:val="-37"/>
        </w:rPr>
        <w:t> </w:t>
      </w:r>
      <w:r>
        <w:rPr/>
        <w:t>base.</w:t>
      </w:r>
    </w:p>
    <w:p>
      <w:pPr>
        <w:pStyle w:val="Heading3"/>
      </w:pPr>
      <w:r>
        <w:rPr/>
        <w:t>Utilidad</w:t>
      </w:r>
    </w:p>
    <w:p>
      <w:pPr>
        <w:pStyle w:val="BodyText"/>
        <w:spacing w:line="360" w:lineRule="auto" w:before="62"/>
        <w:ind w:left="142" w:right="142" w:firstLine="707"/>
        <w:jc w:val="both"/>
      </w:pPr>
      <w:r>
        <w:rPr/>
        <w:t>La</w:t>
      </w:r>
      <w:r>
        <w:rPr>
          <w:spacing w:val="-16"/>
        </w:rPr>
        <w:t> </w:t>
      </w:r>
      <w:r>
        <w:rPr/>
        <w:t>principal</w:t>
      </w:r>
      <w:r>
        <w:rPr>
          <w:spacing w:val="-19"/>
        </w:rPr>
        <w:t> </w:t>
      </w:r>
      <w:r>
        <w:rPr/>
        <w:t>función</w:t>
      </w:r>
      <w:r>
        <w:rPr>
          <w:spacing w:val="-16"/>
        </w:rPr>
        <w:t> </w:t>
      </w:r>
      <w:r>
        <w:rPr/>
        <w:t>de</w:t>
      </w:r>
      <w:r>
        <w:rPr>
          <w:spacing w:val="-18"/>
        </w:rPr>
        <w:t> </w:t>
      </w:r>
      <w:r>
        <w:rPr/>
        <w:t>los</w:t>
      </w:r>
      <w:r>
        <w:rPr>
          <w:spacing w:val="-14"/>
        </w:rPr>
        <w:t> </w:t>
      </w:r>
      <w:r>
        <w:rPr/>
        <w:t>derivados</w:t>
      </w:r>
      <w:r>
        <w:rPr>
          <w:spacing w:val="-15"/>
        </w:rPr>
        <w:t> </w:t>
      </w:r>
      <w:r>
        <w:rPr/>
        <w:t>es</w:t>
      </w:r>
      <w:r>
        <w:rPr>
          <w:spacing w:val="-16"/>
        </w:rPr>
        <w:t> </w:t>
      </w:r>
      <w:r>
        <w:rPr/>
        <w:t>servir</w:t>
      </w:r>
      <w:r>
        <w:rPr>
          <w:spacing w:val="-16"/>
        </w:rPr>
        <w:t> </w:t>
      </w:r>
      <w:r>
        <w:rPr/>
        <w:t>de</w:t>
      </w:r>
      <w:r>
        <w:rPr>
          <w:spacing w:val="-14"/>
        </w:rPr>
        <w:t> </w:t>
      </w:r>
      <w:r>
        <w:rPr/>
        <w:t>cobertura</w:t>
      </w:r>
      <w:r>
        <w:rPr>
          <w:spacing w:val="-16"/>
        </w:rPr>
        <w:t> </w:t>
      </w:r>
      <w:r>
        <w:rPr/>
        <w:t>ante</w:t>
      </w:r>
      <w:r>
        <w:rPr>
          <w:spacing w:val="-16"/>
        </w:rPr>
        <w:t> </w:t>
      </w:r>
      <w:r>
        <w:rPr/>
        <w:t>fluctuaciones de precio de los subyacentes. Los beneficios de los productos derivados, como los Futuros, son especialmente aplicables en los casos</w:t>
      </w:r>
      <w:r>
        <w:rPr>
          <w:spacing w:val="-39"/>
        </w:rPr>
        <w:t> </w:t>
      </w:r>
      <w:r>
        <w:rPr/>
        <w:t>de:</w:t>
      </w:r>
    </w:p>
    <w:p>
      <w:pPr>
        <w:pStyle w:val="ListParagraph"/>
        <w:numPr>
          <w:ilvl w:val="2"/>
          <w:numId w:val="17"/>
        </w:numPr>
        <w:tabs>
          <w:tab w:pos="1275" w:val="left" w:leader="none"/>
        </w:tabs>
        <w:spacing w:line="355" w:lineRule="auto" w:before="5" w:after="0"/>
        <w:ind w:left="1274" w:right="141" w:hanging="357"/>
        <w:jc w:val="both"/>
        <w:rPr>
          <w:rFonts w:ascii="Symbol" w:hAnsi="Symbol"/>
          <w:sz w:val="24"/>
        </w:rPr>
      </w:pPr>
      <w:r>
        <w:rPr>
          <w:sz w:val="24"/>
        </w:rPr>
        <w:t>Inversionistas institucionales que requieran una estrategia para su cartera de inversión comprando futuros sobre Bonos para asegurar el costo de una tasa</w:t>
      </w:r>
      <w:r>
        <w:rPr>
          <w:spacing w:val="-11"/>
          <w:sz w:val="24"/>
        </w:rPr>
        <w:t> </w:t>
      </w:r>
      <w:r>
        <w:rPr>
          <w:sz w:val="24"/>
        </w:rPr>
        <w:t>implícta.</w:t>
      </w:r>
    </w:p>
    <w:p>
      <w:pPr>
        <w:spacing w:after="0" w:line="355" w:lineRule="auto"/>
        <w:jc w:val="both"/>
        <w:rPr>
          <w:rFonts w:ascii="Symbol" w:hAnsi="Symbol"/>
          <w:sz w:val="24"/>
        </w:rPr>
        <w:sectPr>
          <w:pgSz w:w="12240" w:h="15840"/>
          <w:pgMar w:header="731" w:footer="737" w:top="1180" w:bottom="920" w:left="1560" w:right="1560"/>
        </w:sectPr>
      </w:pPr>
    </w:p>
    <w:p>
      <w:pPr>
        <w:pStyle w:val="BodyText"/>
        <w:rPr>
          <w:sz w:val="20"/>
        </w:rPr>
      </w:pPr>
    </w:p>
    <w:p>
      <w:pPr>
        <w:pStyle w:val="BodyText"/>
        <w:spacing w:before="3"/>
        <w:rPr>
          <w:sz w:val="17"/>
        </w:rPr>
      </w:pPr>
    </w:p>
    <w:p>
      <w:pPr>
        <w:pStyle w:val="ListParagraph"/>
        <w:numPr>
          <w:ilvl w:val="2"/>
          <w:numId w:val="17"/>
        </w:numPr>
        <w:tabs>
          <w:tab w:pos="1275" w:val="left" w:leader="none"/>
        </w:tabs>
        <w:spacing w:line="350" w:lineRule="auto" w:before="56" w:after="0"/>
        <w:ind w:left="1274" w:right="145" w:hanging="357"/>
        <w:jc w:val="both"/>
        <w:rPr>
          <w:rFonts w:ascii="Symbol"/>
          <w:sz w:val="24"/>
        </w:rPr>
      </w:pPr>
      <w:r>
        <w:rPr>
          <w:sz w:val="24"/>
        </w:rPr>
        <w:t>Importadores que requieran dar cobertura a sus compromisos de pago </w:t>
      </w:r>
      <w:r>
        <w:rPr>
          <w:spacing w:val="2"/>
          <w:sz w:val="24"/>
        </w:rPr>
        <w:t>endivisas.</w:t>
      </w:r>
    </w:p>
    <w:p>
      <w:pPr>
        <w:pStyle w:val="ListParagraph"/>
        <w:numPr>
          <w:ilvl w:val="2"/>
          <w:numId w:val="17"/>
        </w:numPr>
        <w:tabs>
          <w:tab w:pos="1275" w:val="left" w:leader="none"/>
        </w:tabs>
        <w:spacing w:line="350" w:lineRule="auto" w:before="16" w:after="0"/>
        <w:ind w:left="1274" w:right="135" w:hanging="357"/>
        <w:jc w:val="both"/>
        <w:rPr>
          <w:rFonts w:ascii="Symbol" w:hAnsi="Symbol"/>
          <w:sz w:val="24"/>
        </w:rPr>
      </w:pPr>
      <w:r>
        <w:rPr>
          <w:sz w:val="24"/>
        </w:rPr>
        <w:t>Tesoreros de empresas que busquen protegerse de fluctuaciones adversas en las tasas de</w:t>
      </w:r>
      <w:r>
        <w:rPr>
          <w:spacing w:val="-18"/>
          <w:sz w:val="24"/>
        </w:rPr>
        <w:t> </w:t>
      </w:r>
      <w:r>
        <w:rPr>
          <w:sz w:val="24"/>
        </w:rPr>
        <w:t>interés.</w:t>
      </w:r>
    </w:p>
    <w:p>
      <w:pPr>
        <w:pStyle w:val="ListParagraph"/>
        <w:numPr>
          <w:ilvl w:val="2"/>
          <w:numId w:val="17"/>
        </w:numPr>
        <w:tabs>
          <w:tab w:pos="1275" w:val="left" w:leader="none"/>
        </w:tabs>
        <w:spacing w:line="350" w:lineRule="auto" w:before="16" w:after="0"/>
        <w:ind w:left="1274" w:right="145" w:hanging="357"/>
        <w:jc w:val="both"/>
        <w:rPr>
          <w:rFonts w:ascii="Symbol"/>
          <w:sz w:val="24"/>
        </w:rPr>
      </w:pPr>
      <w:r>
        <w:rPr>
          <w:sz w:val="24"/>
        </w:rPr>
        <w:t>Inversionistas que requieran proteger sus portafolios de acciones contra los efectos de la</w:t>
      </w:r>
      <w:r>
        <w:rPr>
          <w:spacing w:val="-17"/>
          <w:sz w:val="24"/>
        </w:rPr>
        <w:t> </w:t>
      </w:r>
      <w:r>
        <w:rPr>
          <w:sz w:val="24"/>
        </w:rPr>
        <w:t>volatilidad.</w:t>
      </w:r>
    </w:p>
    <w:p>
      <w:pPr>
        <w:pStyle w:val="ListParagraph"/>
        <w:numPr>
          <w:ilvl w:val="2"/>
          <w:numId w:val="17"/>
        </w:numPr>
        <w:tabs>
          <w:tab w:pos="1275" w:val="left" w:leader="none"/>
        </w:tabs>
        <w:spacing w:line="357" w:lineRule="auto" w:before="14" w:after="0"/>
        <w:ind w:left="1274" w:right="140" w:hanging="357"/>
        <w:jc w:val="both"/>
        <w:rPr>
          <w:rFonts w:ascii="Symbol" w:hAnsi="Symbol"/>
          <w:sz w:val="24"/>
        </w:rPr>
      </w:pPr>
      <w:r>
        <w:rPr>
          <w:sz w:val="24"/>
        </w:rPr>
        <w:t>Inversionistas institucionales como Aseguradoras, Afores, Rentas Vitalicias que requieren que el dinero invertido en su cartera mantenga su valor en el tiempo, garantizando la obtención de un rendimiento real conocido.</w:t>
      </w:r>
    </w:p>
    <w:p>
      <w:pPr>
        <w:pStyle w:val="BodyText"/>
      </w:pPr>
    </w:p>
    <w:p>
      <w:pPr>
        <w:pStyle w:val="ListParagraph"/>
        <w:numPr>
          <w:ilvl w:val="1"/>
          <w:numId w:val="17"/>
        </w:numPr>
        <w:tabs>
          <w:tab w:pos="594" w:val="left" w:leader="none"/>
        </w:tabs>
        <w:spacing w:line="240" w:lineRule="auto" w:before="210" w:after="0"/>
        <w:ind w:left="593" w:right="0" w:hanging="451"/>
        <w:jc w:val="left"/>
        <w:rPr>
          <w:b/>
          <w:sz w:val="22"/>
        </w:rPr>
      </w:pPr>
      <w:bookmarkStart w:name="_bookmark34" w:id="58"/>
      <w:bookmarkEnd w:id="58"/>
      <w:r>
        <w:rPr/>
      </w:r>
      <w:bookmarkStart w:name="_bookmark34" w:id="59"/>
      <w:bookmarkEnd w:id="59"/>
      <w:r>
        <w:rPr>
          <w:b/>
          <w:sz w:val="28"/>
        </w:rPr>
        <w:t>E</w:t>
      </w:r>
      <w:r>
        <w:rPr>
          <w:b/>
          <w:sz w:val="22"/>
        </w:rPr>
        <w:t>STRATEGIAS CON</w:t>
      </w:r>
      <w:r>
        <w:rPr>
          <w:b/>
          <w:spacing w:val="-19"/>
          <w:sz w:val="22"/>
        </w:rPr>
        <w:t> </w:t>
      </w:r>
      <w:r>
        <w:rPr>
          <w:b/>
          <w:sz w:val="28"/>
        </w:rPr>
        <w:t>F</w:t>
      </w:r>
      <w:r>
        <w:rPr>
          <w:b/>
          <w:sz w:val="22"/>
        </w:rPr>
        <w:t>UTUROS</w:t>
      </w:r>
    </w:p>
    <w:p>
      <w:pPr>
        <w:pStyle w:val="Heading3"/>
        <w:spacing w:before="238"/>
      </w:pPr>
      <w:r>
        <w:rPr/>
        <w:t>Cobertura</w:t>
      </w:r>
    </w:p>
    <w:p>
      <w:pPr>
        <w:pStyle w:val="BodyText"/>
        <w:spacing w:line="360" w:lineRule="auto" w:before="62"/>
        <w:ind w:left="142" w:right="144" w:firstLine="707"/>
        <w:jc w:val="both"/>
      </w:pPr>
      <w:r>
        <w:rPr/>
        <w:t>Las operaciones de cobertura surgen por la necesidad de reducir o eliminar el riesgo que se deriva de la fluctuación del precio del activo subyacente.</w:t>
      </w:r>
    </w:p>
    <w:p>
      <w:pPr>
        <w:pStyle w:val="BodyText"/>
        <w:spacing w:line="360" w:lineRule="auto" w:before="2"/>
        <w:ind w:left="142" w:right="136" w:firstLine="707"/>
        <w:jc w:val="right"/>
      </w:pPr>
      <w:r>
        <w:rPr/>
        <w:t>Como regla general, una posición compradora o "larga" en</w:t>
      </w:r>
      <w:r>
        <w:rPr>
          <w:spacing w:val="19"/>
        </w:rPr>
        <w:t> </w:t>
      </w:r>
      <w:r>
        <w:rPr/>
        <w:t>el</w:t>
      </w:r>
      <w:r>
        <w:rPr>
          <w:spacing w:val="24"/>
        </w:rPr>
        <w:t> </w:t>
      </w:r>
      <w:r>
        <w:rPr/>
        <w:t>activo</w:t>
      </w:r>
      <w:r>
        <w:rPr>
          <w:w w:val="99"/>
        </w:rPr>
        <w:t> </w:t>
      </w:r>
      <w:r>
        <w:rPr/>
        <w:t>subyacente</w:t>
      </w:r>
      <w:r>
        <w:rPr>
          <w:spacing w:val="-16"/>
        </w:rPr>
        <w:t> </w:t>
      </w:r>
      <w:r>
        <w:rPr/>
        <w:t>se</w:t>
      </w:r>
      <w:r>
        <w:rPr>
          <w:spacing w:val="-17"/>
        </w:rPr>
        <w:t> </w:t>
      </w:r>
      <w:r>
        <w:rPr/>
        <w:t>cubre</w:t>
      </w:r>
      <w:r>
        <w:rPr>
          <w:spacing w:val="-17"/>
        </w:rPr>
        <w:t> </w:t>
      </w:r>
      <w:r>
        <w:rPr/>
        <w:t>con</w:t>
      </w:r>
      <w:r>
        <w:rPr>
          <w:spacing w:val="-17"/>
        </w:rPr>
        <w:t> </w:t>
      </w:r>
      <w:r>
        <w:rPr/>
        <w:t>una</w:t>
      </w:r>
      <w:r>
        <w:rPr>
          <w:spacing w:val="-17"/>
        </w:rPr>
        <w:t> </w:t>
      </w:r>
      <w:r>
        <w:rPr/>
        <w:t>posición</w:t>
      </w:r>
      <w:r>
        <w:rPr>
          <w:spacing w:val="-17"/>
        </w:rPr>
        <w:t> </w:t>
      </w:r>
      <w:r>
        <w:rPr/>
        <w:t>vendedora</w:t>
      </w:r>
      <w:r>
        <w:rPr>
          <w:spacing w:val="-17"/>
        </w:rPr>
        <w:t> </w:t>
      </w:r>
      <w:r>
        <w:rPr/>
        <w:t>o</w:t>
      </w:r>
      <w:r>
        <w:rPr>
          <w:spacing w:val="-19"/>
        </w:rPr>
        <w:t> </w:t>
      </w:r>
      <w:r>
        <w:rPr/>
        <w:t>"corta"</w:t>
      </w:r>
      <w:r>
        <w:rPr>
          <w:spacing w:val="-16"/>
        </w:rPr>
        <w:t> </w:t>
      </w:r>
      <w:r>
        <w:rPr/>
        <w:t>en</w:t>
      </w:r>
      <w:r>
        <w:rPr>
          <w:spacing w:val="-17"/>
        </w:rPr>
        <w:t> </w:t>
      </w:r>
      <w:r>
        <w:rPr/>
        <w:t>el</w:t>
      </w:r>
      <w:r>
        <w:rPr>
          <w:spacing w:val="-18"/>
        </w:rPr>
        <w:t> </w:t>
      </w:r>
      <w:r>
        <w:rPr/>
        <w:t>mercado</w:t>
      </w:r>
      <w:r>
        <w:rPr>
          <w:spacing w:val="-17"/>
        </w:rPr>
        <w:t> </w:t>
      </w:r>
      <w:r>
        <w:rPr/>
        <w:t>de</w:t>
      </w:r>
      <w:r>
        <w:rPr>
          <w:spacing w:val="-33"/>
        </w:rPr>
        <w:t> </w:t>
      </w:r>
      <w:r>
        <w:rPr/>
        <w:t>futuros.</w:t>
      </w:r>
      <w:r>
        <w:rPr>
          <w:w w:val="100"/>
        </w:rPr>
        <w:t> </w:t>
      </w:r>
      <w:r>
        <w:rPr/>
        <w:t>La situación inversa, es decir, una posición "corta" en el activo </w:t>
      </w:r>
      <w:r>
        <w:rPr>
          <w:spacing w:val="53"/>
        </w:rPr>
        <w:t> </w:t>
      </w:r>
      <w:r>
        <w:rPr/>
        <w:t>subyacente,</w:t>
      </w:r>
    </w:p>
    <w:p>
      <w:pPr>
        <w:pStyle w:val="BodyText"/>
        <w:spacing w:before="5"/>
        <w:ind w:left="142" w:right="786"/>
      </w:pPr>
      <w:r>
        <w:rPr/>
        <w:t>se cubre con una posición compradora o "larga" en el mercado de futuros.</w:t>
      </w:r>
    </w:p>
    <w:p>
      <w:pPr>
        <w:pStyle w:val="BodyText"/>
        <w:spacing w:before="1"/>
        <w:rPr>
          <w:sz w:val="22"/>
        </w:rPr>
      </w:pPr>
    </w:p>
    <w:p>
      <w:pPr>
        <w:pStyle w:val="Heading3"/>
        <w:spacing w:before="0"/>
      </w:pPr>
      <w:r>
        <w:rPr/>
        <w:t>Especulación</w:t>
      </w:r>
    </w:p>
    <w:p>
      <w:pPr>
        <w:pStyle w:val="BodyText"/>
        <w:spacing w:line="360" w:lineRule="auto" w:before="62"/>
        <w:ind w:left="142" w:right="142" w:firstLine="707"/>
        <w:jc w:val="both"/>
      </w:pPr>
      <w:r>
        <w:rPr/>
        <w:t>Se</w:t>
      </w:r>
      <w:r>
        <w:rPr>
          <w:spacing w:val="-14"/>
        </w:rPr>
        <w:t> </w:t>
      </w:r>
      <w:r>
        <w:rPr/>
        <w:t>trata</w:t>
      </w:r>
      <w:r>
        <w:rPr>
          <w:spacing w:val="-14"/>
        </w:rPr>
        <w:t> </w:t>
      </w:r>
      <w:r>
        <w:rPr/>
        <w:t>de</w:t>
      </w:r>
      <w:r>
        <w:rPr>
          <w:spacing w:val="-14"/>
        </w:rPr>
        <w:t> </w:t>
      </w:r>
      <w:r>
        <w:rPr/>
        <w:t>una</w:t>
      </w:r>
      <w:r>
        <w:rPr>
          <w:spacing w:val="-14"/>
        </w:rPr>
        <w:t> </w:t>
      </w:r>
      <w:r>
        <w:rPr/>
        <w:t>actuación</w:t>
      </w:r>
      <w:r>
        <w:rPr>
          <w:spacing w:val="-14"/>
        </w:rPr>
        <w:t> </w:t>
      </w:r>
      <w:r>
        <w:rPr/>
        <w:t>que</w:t>
      </w:r>
      <w:r>
        <w:rPr>
          <w:spacing w:val="-17"/>
        </w:rPr>
        <w:t> </w:t>
      </w:r>
      <w:r>
        <w:rPr/>
        <w:t>pretende</w:t>
      </w:r>
      <w:r>
        <w:rPr>
          <w:spacing w:val="-16"/>
        </w:rPr>
        <w:t> </w:t>
      </w:r>
      <w:r>
        <w:rPr/>
        <w:t>obtener</w:t>
      </w:r>
      <w:r>
        <w:rPr>
          <w:spacing w:val="-16"/>
        </w:rPr>
        <w:t> </w:t>
      </w:r>
      <w:r>
        <w:rPr/>
        <w:t>beneficios</w:t>
      </w:r>
      <w:r>
        <w:rPr>
          <w:spacing w:val="-15"/>
        </w:rPr>
        <w:t> </w:t>
      </w:r>
      <w:r>
        <w:rPr/>
        <w:t>por</w:t>
      </w:r>
      <w:r>
        <w:rPr>
          <w:spacing w:val="-16"/>
        </w:rPr>
        <w:t> </w:t>
      </w:r>
      <w:r>
        <w:rPr/>
        <w:t>las</w:t>
      </w:r>
      <w:r>
        <w:rPr>
          <w:spacing w:val="-14"/>
        </w:rPr>
        <w:t> </w:t>
      </w:r>
      <w:r>
        <w:rPr/>
        <w:t>diferencias previstas en las cotizaciones, basándose en las posiciones tomadas según la tendencia esperada. El especulador pretende maximizar su beneficio en el menor tiempo posible, minimizando la aportación de fondos propios. Cuando se posee o se prevé detentar una posición firme de contado y no se adopta cobertura alguna, también se está especulando. Dicha actuación debe calificarse de especulación pasiva o estática, a diferencia de la anteriormente enunciada, que se refiere a especulación activa o</w:t>
      </w:r>
      <w:r>
        <w:rPr>
          <w:spacing w:val="-34"/>
        </w:rPr>
        <w:t> </w:t>
      </w:r>
      <w:r>
        <w:rPr/>
        <w:t>dinámica.</w:t>
      </w:r>
    </w:p>
    <w:p>
      <w:pPr>
        <w:pStyle w:val="BodyText"/>
        <w:spacing w:line="360" w:lineRule="auto" w:before="5"/>
        <w:ind w:left="142" w:right="142" w:firstLine="707"/>
        <w:jc w:val="both"/>
      </w:pPr>
      <w:r>
        <w:rPr/>
        <w:t>El elevado grado de apalancamiento financiero o "efecto leverage" que se consigue  en  los  contratos  de  futuros  hace  especialmente  atractiva  para      el</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38"/>
        <w:jc w:val="both"/>
      </w:pPr>
      <w:r>
        <w:rPr/>
        <w:t>especulador la participación en dichos mercados; por ello, quienes realizan operaciones de carácter especulativo dinámico saben que el importante efecto multiplicativo de las plusvalías va a resultar muy gratificante cuando se prevea correctamente la tendencia de las cotizaciones. Precisamente por el alto grado de apalancamiento que incorporan los contratos de futuros y por su evolución de carácter simétrico respecto a la generación de pérdidas y ganancias, los especuladores deben conocer que el mismo efecto multiplicativo, pero en sentido inverso,</w:t>
      </w:r>
      <w:r>
        <w:rPr>
          <w:spacing w:val="-12"/>
        </w:rPr>
        <w:t> </w:t>
      </w:r>
      <w:r>
        <w:rPr/>
        <w:t>se</w:t>
      </w:r>
      <w:r>
        <w:rPr>
          <w:spacing w:val="-14"/>
        </w:rPr>
        <w:t> </w:t>
      </w:r>
      <w:r>
        <w:rPr/>
        <w:t>produce</w:t>
      </w:r>
      <w:r>
        <w:rPr>
          <w:spacing w:val="-14"/>
        </w:rPr>
        <w:t> </w:t>
      </w:r>
      <w:r>
        <w:rPr/>
        <w:t>al</w:t>
      </w:r>
      <w:r>
        <w:rPr>
          <w:spacing w:val="-15"/>
        </w:rPr>
        <w:t> </w:t>
      </w:r>
      <w:r>
        <w:rPr/>
        <w:t>prever</w:t>
      </w:r>
      <w:r>
        <w:rPr>
          <w:spacing w:val="-13"/>
        </w:rPr>
        <w:t> </w:t>
      </w:r>
      <w:r>
        <w:rPr/>
        <w:t>erróneamente</w:t>
      </w:r>
      <w:r>
        <w:rPr>
          <w:spacing w:val="-14"/>
        </w:rPr>
        <w:t> </w:t>
      </w:r>
      <w:r>
        <w:rPr/>
        <w:t>la</w:t>
      </w:r>
      <w:r>
        <w:rPr>
          <w:spacing w:val="-12"/>
        </w:rPr>
        <w:t> </w:t>
      </w:r>
      <w:r>
        <w:rPr/>
        <w:t>tendencia</w:t>
      </w:r>
      <w:r>
        <w:rPr>
          <w:spacing w:val="-14"/>
        </w:rPr>
        <w:t> </w:t>
      </w:r>
      <w:r>
        <w:rPr/>
        <w:t>de</w:t>
      </w:r>
      <w:r>
        <w:rPr>
          <w:spacing w:val="-14"/>
        </w:rPr>
        <w:t> </w:t>
      </w:r>
      <w:r>
        <w:rPr/>
        <w:t>las</w:t>
      </w:r>
      <w:r>
        <w:rPr>
          <w:spacing w:val="-14"/>
        </w:rPr>
        <w:t> </w:t>
      </w:r>
      <w:r>
        <w:rPr/>
        <w:t>cotizaciones,</w:t>
      </w:r>
      <w:r>
        <w:rPr>
          <w:spacing w:val="-12"/>
        </w:rPr>
        <w:t> </w:t>
      </w:r>
      <w:r>
        <w:rPr/>
        <w:t>siendo por ello conveniente adoptar medidas de precaución como complemento de la operación</w:t>
      </w:r>
      <w:r>
        <w:rPr>
          <w:spacing w:val="-24"/>
        </w:rPr>
        <w:t> </w:t>
      </w:r>
      <w:r>
        <w:rPr/>
        <w:t>especulativa.</w:t>
      </w:r>
    </w:p>
    <w:p>
      <w:pPr>
        <w:pStyle w:val="BodyText"/>
      </w:pPr>
    </w:p>
    <w:p>
      <w:pPr>
        <w:pStyle w:val="ListParagraph"/>
        <w:numPr>
          <w:ilvl w:val="1"/>
          <w:numId w:val="17"/>
        </w:numPr>
        <w:tabs>
          <w:tab w:pos="594" w:val="left" w:leader="none"/>
        </w:tabs>
        <w:spacing w:line="240" w:lineRule="auto" w:before="205" w:after="0"/>
        <w:ind w:left="593" w:right="0" w:hanging="451"/>
        <w:jc w:val="both"/>
        <w:rPr>
          <w:b/>
          <w:sz w:val="22"/>
        </w:rPr>
      </w:pPr>
      <w:bookmarkStart w:name="_bookmark35" w:id="60"/>
      <w:bookmarkEnd w:id="60"/>
      <w:r>
        <w:rPr/>
      </w:r>
      <w:bookmarkStart w:name="_bookmark35" w:id="61"/>
      <w:bookmarkEnd w:id="61"/>
      <w:r>
        <w:rPr>
          <w:b/>
          <w:sz w:val="28"/>
        </w:rPr>
        <w:t>I</w:t>
      </w:r>
      <w:r>
        <w:rPr>
          <w:b/>
          <w:sz w:val="22"/>
        </w:rPr>
        <w:t>NDICADORES DE SENSIBILIDAD EN</w:t>
      </w:r>
      <w:r>
        <w:rPr>
          <w:b/>
          <w:spacing w:val="-15"/>
          <w:sz w:val="22"/>
        </w:rPr>
        <w:t> </w:t>
      </w:r>
      <w:r>
        <w:rPr>
          <w:b/>
          <w:sz w:val="28"/>
        </w:rPr>
        <w:t>F</w:t>
      </w:r>
      <w:r>
        <w:rPr>
          <w:b/>
          <w:sz w:val="22"/>
        </w:rPr>
        <w:t>UTUROS</w:t>
      </w:r>
    </w:p>
    <w:p>
      <w:pPr>
        <w:pStyle w:val="Heading3"/>
        <w:spacing w:before="238"/>
      </w:pPr>
      <w:r>
        <w:rPr/>
        <w:t>Duración</w:t>
      </w:r>
    </w:p>
    <w:p>
      <w:pPr>
        <w:pStyle w:val="BodyText"/>
        <w:spacing w:line="360" w:lineRule="auto" w:before="62"/>
        <w:ind w:left="142" w:right="143" w:firstLine="707"/>
        <w:jc w:val="both"/>
      </w:pPr>
      <w:r>
        <w:rPr/>
        <w:t>Duración</w:t>
      </w:r>
      <w:r>
        <w:rPr>
          <w:spacing w:val="-8"/>
        </w:rPr>
        <w:t> </w:t>
      </w:r>
      <w:r>
        <w:rPr/>
        <w:t>es</w:t>
      </w:r>
      <w:r>
        <w:rPr>
          <w:spacing w:val="-12"/>
        </w:rPr>
        <w:t> </w:t>
      </w:r>
      <w:r>
        <w:rPr/>
        <w:t>un</w:t>
      </w:r>
      <w:r>
        <w:rPr>
          <w:spacing w:val="-8"/>
        </w:rPr>
        <w:t> </w:t>
      </w:r>
      <w:r>
        <w:rPr/>
        <w:t>indicador</w:t>
      </w:r>
      <w:r>
        <w:rPr>
          <w:spacing w:val="-10"/>
        </w:rPr>
        <w:t> </w:t>
      </w:r>
      <w:r>
        <w:rPr/>
        <w:t>de</w:t>
      </w:r>
      <w:r>
        <w:rPr>
          <w:spacing w:val="-8"/>
        </w:rPr>
        <w:t> </w:t>
      </w:r>
      <w:r>
        <w:rPr/>
        <w:t>sensibilidad</w:t>
      </w:r>
      <w:r>
        <w:rPr>
          <w:spacing w:val="-11"/>
        </w:rPr>
        <w:t> </w:t>
      </w:r>
      <w:r>
        <w:rPr/>
        <w:t>de</w:t>
      </w:r>
      <w:r>
        <w:rPr>
          <w:spacing w:val="-11"/>
        </w:rPr>
        <w:t> </w:t>
      </w:r>
      <w:r>
        <w:rPr/>
        <w:t>primer</w:t>
      </w:r>
      <w:r>
        <w:rPr>
          <w:spacing w:val="-10"/>
        </w:rPr>
        <w:t> </w:t>
      </w:r>
      <w:r>
        <w:rPr/>
        <w:t>orden</w:t>
      </w:r>
      <w:r>
        <w:rPr>
          <w:spacing w:val="-8"/>
        </w:rPr>
        <w:t> </w:t>
      </w:r>
      <w:r>
        <w:rPr/>
        <w:t>que</w:t>
      </w:r>
      <w:r>
        <w:rPr>
          <w:spacing w:val="-11"/>
        </w:rPr>
        <w:t> </w:t>
      </w:r>
      <w:r>
        <w:rPr/>
        <w:t>mide</w:t>
      </w:r>
      <w:r>
        <w:rPr>
          <w:spacing w:val="-10"/>
        </w:rPr>
        <w:t> </w:t>
      </w:r>
      <w:r>
        <w:rPr/>
        <w:t>el</w:t>
      </w:r>
      <w:r>
        <w:rPr>
          <w:spacing w:val="-12"/>
        </w:rPr>
        <w:t> </w:t>
      </w:r>
      <w:r>
        <w:rPr/>
        <w:t>cambio en</w:t>
      </w:r>
      <w:r>
        <w:rPr>
          <w:spacing w:val="-2"/>
        </w:rPr>
        <w:t> </w:t>
      </w:r>
      <w:r>
        <w:rPr/>
        <w:t>el</w:t>
      </w:r>
      <w:r>
        <w:rPr>
          <w:spacing w:val="-5"/>
        </w:rPr>
        <w:t> </w:t>
      </w:r>
      <w:r>
        <w:rPr/>
        <w:t>precio</w:t>
      </w:r>
      <w:r>
        <w:rPr>
          <w:spacing w:val="-5"/>
        </w:rPr>
        <w:t> </w:t>
      </w:r>
      <w:r>
        <w:rPr/>
        <w:t>dado</w:t>
      </w:r>
      <w:r>
        <w:rPr>
          <w:spacing w:val="-8"/>
        </w:rPr>
        <w:t> </w:t>
      </w:r>
      <w:r>
        <w:rPr/>
        <w:t>un</w:t>
      </w:r>
      <w:r>
        <w:rPr>
          <w:spacing w:val="-8"/>
        </w:rPr>
        <w:t> </w:t>
      </w:r>
      <w:r>
        <w:rPr/>
        <w:t>cambio</w:t>
      </w:r>
      <w:r>
        <w:rPr>
          <w:spacing w:val="-5"/>
        </w:rPr>
        <w:t> </w:t>
      </w:r>
      <w:r>
        <w:rPr/>
        <w:t>en</w:t>
      </w:r>
      <w:r>
        <w:rPr>
          <w:spacing w:val="-6"/>
        </w:rPr>
        <w:t> </w:t>
      </w:r>
      <w:r>
        <w:rPr/>
        <w:t>la</w:t>
      </w:r>
      <w:r>
        <w:rPr>
          <w:spacing w:val="-8"/>
        </w:rPr>
        <w:t> </w:t>
      </w:r>
      <w:r>
        <w:rPr/>
        <w:t>tasa</w:t>
      </w:r>
      <w:r>
        <w:rPr>
          <w:spacing w:val="-8"/>
        </w:rPr>
        <w:t> </w:t>
      </w:r>
      <w:r>
        <w:rPr/>
        <w:t>relevante</w:t>
      </w:r>
      <w:r>
        <w:rPr>
          <w:spacing w:val="-7"/>
        </w:rPr>
        <w:t> </w:t>
      </w:r>
      <w:r>
        <w:rPr/>
        <w:t>para</w:t>
      </w:r>
      <w:r>
        <w:rPr>
          <w:spacing w:val="-6"/>
        </w:rPr>
        <w:t> </w:t>
      </w:r>
      <w:r>
        <w:rPr/>
        <w:t>descontar</w:t>
      </w:r>
      <w:r>
        <w:rPr>
          <w:spacing w:val="-7"/>
        </w:rPr>
        <w:t> </w:t>
      </w:r>
      <w:r>
        <w:rPr/>
        <w:t>los</w:t>
      </w:r>
      <w:r>
        <w:rPr>
          <w:spacing w:val="-9"/>
        </w:rPr>
        <w:t> </w:t>
      </w:r>
      <w:r>
        <w:rPr/>
        <w:t>flujos.</w:t>
      </w:r>
    </w:p>
    <w:p>
      <w:pPr>
        <w:pStyle w:val="BodyText"/>
        <w:spacing w:line="360" w:lineRule="auto" w:before="2"/>
        <w:ind w:left="142" w:right="141" w:firstLine="707"/>
        <w:jc w:val="both"/>
      </w:pPr>
      <w:r>
        <w:rPr/>
        <w:t>El concepto de duración es importante para el uso de coberturas en los contratos de futuros sobre tipos de interés. La duración de una obligación es una medida del tiempo que, en promedio, debe esperar el propietario de una</w:t>
      </w:r>
      <w:r>
        <w:rPr>
          <w:spacing w:val="-44"/>
        </w:rPr>
        <w:t> </w:t>
      </w:r>
      <w:r>
        <w:rPr/>
        <w:t>obligación hasta recibir sus liquidaciones en</w:t>
      </w:r>
      <w:r>
        <w:rPr>
          <w:spacing w:val="-15"/>
        </w:rPr>
        <w:t> </w:t>
      </w:r>
      <w:r>
        <w:rPr/>
        <w:t>metálico.</w:t>
      </w:r>
    </w:p>
    <w:p>
      <w:pPr>
        <w:pStyle w:val="BodyText"/>
        <w:spacing w:line="360" w:lineRule="auto" w:before="2"/>
        <w:ind w:left="142" w:right="141" w:firstLine="707"/>
        <w:jc w:val="both"/>
      </w:pPr>
      <w:r>
        <w:rPr/>
        <w:t>Sin</w:t>
      </w:r>
      <w:r>
        <w:rPr>
          <w:spacing w:val="-7"/>
        </w:rPr>
        <w:t> </w:t>
      </w:r>
      <w:r>
        <w:rPr/>
        <w:t>embargo,</w:t>
      </w:r>
      <w:r>
        <w:rPr>
          <w:spacing w:val="-10"/>
        </w:rPr>
        <w:t> </w:t>
      </w:r>
      <w:r>
        <w:rPr/>
        <w:t>el</w:t>
      </w:r>
      <w:r>
        <w:rPr>
          <w:spacing w:val="-8"/>
        </w:rPr>
        <w:t> </w:t>
      </w:r>
      <w:r>
        <w:rPr/>
        <w:t>esquema</w:t>
      </w:r>
      <w:r>
        <w:rPr>
          <w:spacing w:val="-9"/>
        </w:rPr>
        <w:t> </w:t>
      </w:r>
      <w:r>
        <w:rPr/>
        <w:t>de</w:t>
      </w:r>
      <w:r>
        <w:rPr>
          <w:spacing w:val="-9"/>
        </w:rPr>
        <w:t> </w:t>
      </w:r>
      <w:r>
        <w:rPr/>
        <w:t>cobertura</w:t>
      </w:r>
      <w:r>
        <w:rPr>
          <w:spacing w:val="-9"/>
        </w:rPr>
        <w:t> </w:t>
      </w:r>
      <w:r>
        <w:rPr/>
        <w:t>basado</w:t>
      </w:r>
      <w:r>
        <w:rPr>
          <w:spacing w:val="-7"/>
        </w:rPr>
        <w:t> </w:t>
      </w:r>
      <w:r>
        <w:rPr/>
        <w:t>en</w:t>
      </w:r>
      <w:r>
        <w:rPr>
          <w:spacing w:val="-7"/>
        </w:rPr>
        <w:t> </w:t>
      </w:r>
      <w:r>
        <w:rPr/>
        <w:t>la</w:t>
      </w:r>
      <w:r>
        <w:rPr>
          <w:spacing w:val="-10"/>
        </w:rPr>
        <w:t> </w:t>
      </w:r>
      <w:r>
        <w:rPr/>
        <w:t>duración</w:t>
      </w:r>
      <w:r>
        <w:rPr>
          <w:spacing w:val="-9"/>
        </w:rPr>
        <w:t> </w:t>
      </w:r>
      <w:r>
        <w:rPr/>
        <w:t>sólo</w:t>
      </w:r>
      <w:r>
        <w:rPr>
          <w:spacing w:val="-7"/>
        </w:rPr>
        <w:t> </w:t>
      </w:r>
      <w:r>
        <w:rPr/>
        <w:t>considera cambios paralelos en la curva de rendimientos. En la práctica, los cambios no son paralelos</w:t>
      </w:r>
      <w:r>
        <w:rPr>
          <w:spacing w:val="-6"/>
        </w:rPr>
        <w:t> </w:t>
      </w:r>
      <w:r>
        <w:rPr/>
        <w:t>en</w:t>
      </w:r>
      <w:r>
        <w:rPr>
          <w:spacing w:val="-6"/>
        </w:rPr>
        <w:t> </w:t>
      </w:r>
      <w:r>
        <w:rPr/>
        <w:t>toda</w:t>
      </w:r>
      <w:r>
        <w:rPr>
          <w:spacing w:val="-6"/>
        </w:rPr>
        <w:t> </w:t>
      </w:r>
      <w:r>
        <w:rPr/>
        <w:t>la</w:t>
      </w:r>
      <w:r>
        <w:rPr>
          <w:spacing w:val="-4"/>
        </w:rPr>
        <w:t> </w:t>
      </w:r>
      <w:r>
        <w:rPr/>
        <w:t>curva,</w:t>
      </w:r>
      <w:r>
        <w:rPr>
          <w:spacing w:val="-4"/>
        </w:rPr>
        <w:t> </w:t>
      </w:r>
      <w:r>
        <w:rPr/>
        <w:t>es</w:t>
      </w:r>
      <w:r>
        <w:rPr>
          <w:spacing w:val="-4"/>
        </w:rPr>
        <w:t> </w:t>
      </w:r>
      <w:r>
        <w:rPr/>
        <w:t>decir,</w:t>
      </w:r>
      <w:r>
        <w:rPr>
          <w:spacing w:val="-6"/>
        </w:rPr>
        <w:t> </w:t>
      </w:r>
      <w:r>
        <w:rPr/>
        <w:t>las</w:t>
      </w:r>
      <w:r>
        <w:rPr>
          <w:spacing w:val="-6"/>
        </w:rPr>
        <w:t> </w:t>
      </w:r>
      <w:r>
        <w:rPr/>
        <w:t>tasas</w:t>
      </w:r>
      <w:r>
        <w:rPr>
          <w:spacing w:val="-9"/>
        </w:rPr>
        <w:t> </w:t>
      </w:r>
      <w:r>
        <w:rPr/>
        <w:t>de</w:t>
      </w:r>
      <w:r>
        <w:rPr>
          <w:spacing w:val="-4"/>
        </w:rPr>
        <w:t> </w:t>
      </w:r>
      <w:r>
        <w:rPr/>
        <w:t>interés</w:t>
      </w:r>
      <w:r>
        <w:rPr>
          <w:spacing w:val="-7"/>
        </w:rPr>
        <w:t> </w:t>
      </w:r>
      <w:r>
        <w:rPr/>
        <w:t>a</w:t>
      </w:r>
      <w:r>
        <w:rPr>
          <w:spacing w:val="-6"/>
        </w:rPr>
        <w:t> </w:t>
      </w:r>
      <w:r>
        <w:rPr/>
        <w:t>corto</w:t>
      </w:r>
      <w:r>
        <w:rPr>
          <w:spacing w:val="-6"/>
        </w:rPr>
        <w:t> </w:t>
      </w:r>
      <w:r>
        <w:rPr/>
        <w:t>plazo</w:t>
      </w:r>
      <w:r>
        <w:rPr>
          <w:spacing w:val="-4"/>
        </w:rPr>
        <w:t> </w:t>
      </w:r>
      <w:r>
        <w:rPr/>
        <w:t>se</w:t>
      </w:r>
      <w:r>
        <w:rPr>
          <w:spacing w:val="-6"/>
        </w:rPr>
        <w:t> </w:t>
      </w:r>
      <w:r>
        <w:rPr/>
        <w:t>comportan de manera diferente a las de largo plazo (i.e, las tasas de corto plazo son generalmente más volátiles que los tasa de largo plazo). De esta manera, la duración</w:t>
      </w:r>
      <w:r>
        <w:rPr>
          <w:spacing w:val="-11"/>
        </w:rPr>
        <w:t> </w:t>
      </w:r>
      <w:r>
        <w:rPr/>
        <w:t>como</w:t>
      </w:r>
      <w:r>
        <w:rPr>
          <w:spacing w:val="-11"/>
        </w:rPr>
        <w:t> </w:t>
      </w:r>
      <w:r>
        <w:rPr/>
        <w:t>única</w:t>
      </w:r>
      <w:r>
        <w:rPr>
          <w:spacing w:val="-11"/>
        </w:rPr>
        <w:t> </w:t>
      </w:r>
      <w:r>
        <w:rPr/>
        <w:t>medida</w:t>
      </w:r>
      <w:r>
        <w:rPr>
          <w:spacing w:val="-11"/>
        </w:rPr>
        <w:t> </w:t>
      </w:r>
      <w:r>
        <w:rPr/>
        <w:t>para</w:t>
      </w:r>
      <w:r>
        <w:rPr>
          <w:spacing w:val="-11"/>
        </w:rPr>
        <w:t> </w:t>
      </w:r>
      <w:r>
        <w:rPr/>
        <w:t>definir</w:t>
      </w:r>
      <w:r>
        <w:rPr>
          <w:spacing w:val="-10"/>
        </w:rPr>
        <w:t> </w:t>
      </w:r>
      <w:r>
        <w:rPr/>
        <w:t>la</w:t>
      </w:r>
      <w:r>
        <w:rPr>
          <w:spacing w:val="-13"/>
        </w:rPr>
        <w:t> </w:t>
      </w:r>
      <w:r>
        <w:rPr/>
        <w:t>estrategia</w:t>
      </w:r>
      <w:r>
        <w:rPr>
          <w:spacing w:val="-9"/>
        </w:rPr>
        <w:t> </w:t>
      </w:r>
      <w:r>
        <w:rPr/>
        <w:t>de</w:t>
      </w:r>
      <w:r>
        <w:rPr>
          <w:spacing w:val="-8"/>
        </w:rPr>
        <w:t> </w:t>
      </w:r>
      <w:r>
        <w:rPr/>
        <w:t>cobertura</w:t>
      </w:r>
      <w:r>
        <w:rPr>
          <w:spacing w:val="-11"/>
        </w:rPr>
        <w:t> </w:t>
      </w:r>
      <w:r>
        <w:rPr/>
        <w:t>no</w:t>
      </w:r>
      <w:r>
        <w:rPr>
          <w:spacing w:val="-11"/>
        </w:rPr>
        <w:t> </w:t>
      </w:r>
      <w:r>
        <w:rPr/>
        <w:t>es</w:t>
      </w:r>
      <w:r>
        <w:rPr>
          <w:spacing w:val="-9"/>
        </w:rPr>
        <w:t> </w:t>
      </w:r>
      <w:r>
        <w:rPr/>
        <w:t>suficiente. Un</w:t>
      </w:r>
      <w:r>
        <w:rPr>
          <w:spacing w:val="-5"/>
        </w:rPr>
        <w:t> </w:t>
      </w:r>
      <w:r>
        <w:rPr/>
        <w:t>indicador</w:t>
      </w:r>
      <w:r>
        <w:rPr>
          <w:spacing w:val="-6"/>
        </w:rPr>
        <w:t> </w:t>
      </w:r>
      <w:r>
        <w:rPr/>
        <w:t>de</w:t>
      </w:r>
      <w:r>
        <w:rPr>
          <w:spacing w:val="-5"/>
        </w:rPr>
        <w:t> </w:t>
      </w:r>
      <w:r>
        <w:rPr/>
        <w:t>sensibilidad</w:t>
      </w:r>
      <w:r>
        <w:rPr>
          <w:spacing w:val="-5"/>
        </w:rPr>
        <w:t> </w:t>
      </w:r>
      <w:r>
        <w:rPr/>
        <w:t>que</w:t>
      </w:r>
      <w:r>
        <w:rPr>
          <w:spacing w:val="-5"/>
        </w:rPr>
        <w:t> </w:t>
      </w:r>
      <w:r>
        <w:rPr/>
        <w:t>refleja</w:t>
      </w:r>
      <w:r>
        <w:rPr>
          <w:spacing w:val="-4"/>
        </w:rPr>
        <w:t> </w:t>
      </w:r>
      <w:r>
        <w:rPr/>
        <w:t>un</w:t>
      </w:r>
      <w:r>
        <w:rPr>
          <w:spacing w:val="-5"/>
        </w:rPr>
        <w:t> </w:t>
      </w:r>
      <w:r>
        <w:rPr/>
        <w:t>comportamiento</w:t>
      </w:r>
      <w:r>
        <w:rPr>
          <w:spacing w:val="-7"/>
        </w:rPr>
        <w:t> </w:t>
      </w:r>
      <w:r>
        <w:rPr/>
        <w:t>más</w:t>
      </w:r>
      <w:r>
        <w:rPr>
          <w:spacing w:val="-5"/>
        </w:rPr>
        <w:t> </w:t>
      </w:r>
      <w:r>
        <w:rPr/>
        <w:t>real</w:t>
      </w:r>
      <w:r>
        <w:rPr>
          <w:spacing w:val="-6"/>
        </w:rPr>
        <w:t> </w:t>
      </w:r>
      <w:r>
        <w:rPr/>
        <w:t>de</w:t>
      </w:r>
      <w:r>
        <w:rPr>
          <w:spacing w:val="-5"/>
        </w:rPr>
        <w:t> </w:t>
      </w:r>
      <w:r>
        <w:rPr/>
        <w:t>la</w:t>
      </w:r>
      <w:r>
        <w:rPr>
          <w:spacing w:val="-5"/>
        </w:rPr>
        <w:t> </w:t>
      </w:r>
      <w:r>
        <w:rPr/>
        <w:t>curva</w:t>
      </w:r>
      <w:r>
        <w:rPr>
          <w:spacing w:val="-5"/>
        </w:rPr>
        <w:t> </w:t>
      </w:r>
      <w:r>
        <w:rPr/>
        <w:t>de rendimiento es la</w:t>
      </w:r>
      <w:r>
        <w:rPr>
          <w:spacing w:val="-20"/>
        </w:rPr>
        <w:t> </w:t>
      </w:r>
      <w:r>
        <w:rPr/>
        <w:t>convexidad.</w:t>
      </w:r>
    </w:p>
    <w:p>
      <w:pPr>
        <w:spacing w:after="0" w:line="360" w:lineRule="auto"/>
        <w:jc w:val="both"/>
        <w:sectPr>
          <w:pgSz w:w="12240" w:h="15840"/>
          <w:pgMar w:header="731" w:footer="737" w:top="1180" w:bottom="920" w:left="1560" w:right="1560"/>
        </w:sectPr>
      </w:pPr>
    </w:p>
    <w:p>
      <w:pPr>
        <w:pStyle w:val="BodyText"/>
        <w:rPr>
          <w:sz w:val="20"/>
        </w:rPr>
      </w:pPr>
    </w:p>
    <w:p>
      <w:pPr>
        <w:pStyle w:val="BodyText"/>
        <w:spacing w:before="9"/>
        <w:rPr>
          <w:sz w:val="15"/>
        </w:rPr>
      </w:pPr>
    </w:p>
    <w:p>
      <w:pPr>
        <w:pStyle w:val="Heading3"/>
        <w:spacing w:before="70"/>
      </w:pPr>
      <w:r>
        <w:rPr/>
        <w:t>Convexidad</w:t>
      </w:r>
    </w:p>
    <w:p>
      <w:pPr>
        <w:pStyle w:val="BodyText"/>
        <w:spacing w:line="360" w:lineRule="auto" w:before="62"/>
        <w:ind w:left="142" w:right="133" w:firstLine="707"/>
        <w:jc w:val="both"/>
      </w:pPr>
      <w:r>
        <w:rPr/>
        <w:t>Es un indicador se sensibilidad de segundo orden que mide el cambio en la duración dado un cambio en la tasa relevante para descontar los flujos futuros del instrumento.</w:t>
      </w:r>
    </w:p>
    <w:p>
      <w:pPr>
        <w:pStyle w:val="BodyText"/>
      </w:pPr>
    </w:p>
    <w:p>
      <w:pPr>
        <w:pStyle w:val="ListParagraph"/>
        <w:numPr>
          <w:ilvl w:val="1"/>
          <w:numId w:val="17"/>
        </w:numPr>
        <w:tabs>
          <w:tab w:pos="596" w:val="left" w:leader="none"/>
        </w:tabs>
        <w:spacing w:line="240" w:lineRule="auto" w:before="207" w:after="0"/>
        <w:ind w:left="595" w:right="0" w:hanging="453"/>
        <w:jc w:val="both"/>
        <w:rPr>
          <w:b/>
          <w:sz w:val="22"/>
        </w:rPr>
      </w:pPr>
      <w:bookmarkStart w:name="_bookmark36" w:id="62"/>
      <w:bookmarkEnd w:id="62"/>
      <w:r>
        <w:rPr/>
      </w:r>
      <w:bookmarkStart w:name="_bookmark36" w:id="63"/>
      <w:bookmarkEnd w:id="63"/>
      <w:r>
        <w:rPr>
          <w:b/>
          <w:sz w:val="28"/>
        </w:rPr>
        <w:t>F</w:t>
      </w:r>
      <w:r>
        <w:rPr>
          <w:b/>
          <w:sz w:val="22"/>
        </w:rPr>
        <w:t>UTUROS EN EL </w:t>
      </w:r>
      <w:r>
        <w:rPr>
          <w:b/>
          <w:sz w:val="28"/>
        </w:rPr>
        <w:t>M</w:t>
      </w:r>
      <w:r>
        <w:rPr>
          <w:b/>
          <w:sz w:val="22"/>
        </w:rPr>
        <w:t>ERCADO </w:t>
      </w:r>
      <w:r>
        <w:rPr>
          <w:b/>
          <w:sz w:val="28"/>
        </w:rPr>
        <w:t>M</w:t>
      </w:r>
      <w:r>
        <w:rPr>
          <w:b/>
          <w:sz w:val="22"/>
        </w:rPr>
        <w:t>EXICANO DE</w:t>
      </w:r>
      <w:r>
        <w:rPr>
          <w:b/>
          <w:spacing w:val="-24"/>
          <w:sz w:val="22"/>
        </w:rPr>
        <w:t> </w:t>
      </w:r>
      <w:r>
        <w:rPr>
          <w:b/>
          <w:sz w:val="28"/>
        </w:rPr>
        <w:t>D</w:t>
      </w:r>
      <w:r>
        <w:rPr>
          <w:b/>
          <w:sz w:val="22"/>
        </w:rPr>
        <w:t>ERIVADOS</w:t>
      </w:r>
    </w:p>
    <w:p>
      <w:pPr>
        <w:pStyle w:val="Heading3"/>
        <w:spacing w:before="238"/>
      </w:pPr>
      <w:r>
        <w:rPr/>
        <w:t>Futuros sobre Índice.</w:t>
      </w:r>
    </w:p>
    <w:p>
      <w:pPr>
        <w:pStyle w:val="BodyText"/>
        <w:spacing w:line="463" w:lineRule="auto" w:before="62"/>
        <w:ind w:left="142" w:right="887" w:firstLine="707"/>
      </w:pPr>
      <w:r>
        <w:rPr/>
        <w:t>Dentro de esta clasificación solo se encuentra el Futuro sobre el IPC. Futuro sobre IPC</w:t>
      </w:r>
    </w:p>
    <w:p>
      <w:pPr>
        <w:pStyle w:val="BodyText"/>
        <w:spacing w:line="226" w:lineRule="exact"/>
        <w:ind w:left="142" w:firstLine="707"/>
        <w:jc w:val="both"/>
      </w:pPr>
      <w:r>
        <w:rPr/>
        <w:t>El activo subyacente para este futuro es el Índice de Precios y Cotizaciones</w:t>
      </w:r>
    </w:p>
    <w:p>
      <w:pPr>
        <w:pStyle w:val="BodyText"/>
        <w:spacing w:line="360" w:lineRule="auto" w:before="137"/>
        <w:ind w:left="142" w:right="143"/>
        <w:jc w:val="both"/>
      </w:pPr>
      <w:r>
        <w:rPr/>
        <w:t>de la BMV-IPC siendo este el principal indicador del comportamiento del mercado accionario de la BMV, el cual expresa el rendimiento de este mercado tomando como</w:t>
      </w:r>
      <w:r>
        <w:rPr>
          <w:spacing w:val="-7"/>
        </w:rPr>
        <w:t> </w:t>
      </w:r>
      <w:r>
        <w:rPr/>
        <w:t>referencia</w:t>
      </w:r>
      <w:r>
        <w:rPr>
          <w:spacing w:val="-7"/>
        </w:rPr>
        <w:t> </w:t>
      </w:r>
      <w:r>
        <w:rPr/>
        <w:t>las</w:t>
      </w:r>
      <w:r>
        <w:rPr>
          <w:spacing w:val="-7"/>
        </w:rPr>
        <w:t> </w:t>
      </w:r>
      <w:r>
        <w:rPr/>
        <w:t>variaciones</w:t>
      </w:r>
      <w:r>
        <w:rPr>
          <w:spacing w:val="-8"/>
        </w:rPr>
        <w:t> </w:t>
      </w:r>
      <w:r>
        <w:rPr/>
        <w:t>de</w:t>
      </w:r>
      <w:r>
        <w:rPr>
          <w:spacing w:val="-7"/>
        </w:rPr>
        <w:t> </w:t>
      </w:r>
      <w:r>
        <w:rPr/>
        <w:t>precios</w:t>
      </w:r>
      <w:r>
        <w:rPr>
          <w:spacing w:val="-8"/>
        </w:rPr>
        <w:t> </w:t>
      </w:r>
      <w:r>
        <w:rPr/>
        <w:t>de</w:t>
      </w:r>
      <w:r>
        <w:rPr>
          <w:spacing w:val="-5"/>
        </w:rPr>
        <w:t> </w:t>
      </w:r>
      <w:r>
        <w:rPr/>
        <w:t>una</w:t>
      </w:r>
      <w:r>
        <w:rPr>
          <w:spacing w:val="-7"/>
        </w:rPr>
        <w:t> </w:t>
      </w:r>
      <w:r>
        <w:rPr/>
        <w:t>muestra</w:t>
      </w:r>
      <w:r>
        <w:rPr>
          <w:spacing w:val="-7"/>
        </w:rPr>
        <w:t> </w:t>
      </w:r>
      <w:r>
        <w:rPr/>
        <w:t>balanceada,</w:t>
      </w:r>
      <w:r>
        <w:rPr>
          <w:spacing w:val="-7"/>
        </w:rPr>
        <w:t> </w:t>
      </w:r>
      <w:r>
        <w:rPr/>
        <w:t>ponderada y representativa del total de los títulos accionarios cotizados en la</w:t>
      </w:r>
      <w:r>
        <w:rPr>
          <w:spacing w:val="-53"/>
        </w:rPr>
        <w:t> </w:t>
      </w:r>
      <w:r>
        <w:rPr/>
        <w:t>BMV.</w:t>
      </w:r>
    </w:p>
    <w:p>
      <w:pPr>
        <w:pStyle w:val="Heading3"/>
      </w:pPr>
      <w:r>
        <w:rPr/>
        <w:t>Futuros sobre Instrumentos de Deuda</w:t>
      </w:r>
    </w:p>
    <w:p>
      <w:pPr>
        <w:pStyle w:val="BodyText"/>
        <w:spacing w:line="360" w:lineRule="auto" w:before="62"/>
        <w:ind w:left="142" w:right="141" w:firstLine="707"/>
        <w:jc w:val="both"/>
      </w:pPr>
      <w:r>
        <w:rPr/>
        <w:t>Dentro de esta clasificación se encuentran los siguientes futuros: Futuro sobre</w:t>
      </w:r>
      <w:r>
        <w:rPr>
          <w:spacing w:val="-3"/>
        </w:rPr>
        <w:t> </w:t>
      </w:r>
      <w:r>
        <w:rPr/>
        <w:t>CETES</w:t>
      </w:r>
      <w:r>
        <w:rPr>
          <w:spacing w:val="-5"/>
        </w:rPr>
        <w:t> </w:t>
      </w:r>
      <w:r>
        <w:rPr/>
        <w:t>a</w:t>
      </w:r>
      <w:r>
        <w:rPr>
          <w:spacing w:val="-3"/>
        </w:rPr>
        <w:t> </w:t>
      </w:r>
      <w:r>
        <w:rPr/>
        <w:t>91</w:t>
      </w:r>
      <w:r>
        <w:rPr>
          <w:spacing w:val="-3"/>
        </w:rPr>
        <w:t> </w:t>
      </w:r>
      <w:r>
        <w:rPr/>
        <w:t>días,</w:t>
      </w:r>
      <w:r>
        <w:rPr>
          <w:spacing w:val="-3"/>
        </w:rPr>
        <w:t> </w:t>
      </w:r>
      <w:r>
        <w:rPr/>
        <w:t>Futuro</w:t>
      </w:r>
      <w:r>
        <w:rPr>
          <w:spacing w:val="-3"/>
        </w:rPr>
        <w:t> </w:t>
      </w:r>
      <w:r>
        <w:rPr/>
        <w:t>sobre</w:t>
      </w:r>
      <w:r>
        <w:rPr>
          <w:spacing w:val="-6"/>
        </w:rPr>
        <w:t> </w:t>
      </w:r>
      <w:r>
        <w:rPr/>
        <w:t>TIIE</w:t>
      </w:r>
      <w:r>
        <w:rPr>
          <w:spacing w:val="-3"/>
        </w:rPr>
        <w:t> </w:t>
      </w:r>
      <w:r>
        <w:rPr/>
        <w:t>a</w:t>
      </w:r>
      <w:r>
        <w:rPr>
          <w:spacing w:val="-5"/>
        </w:rPr>
        <w:t> </w:t>
      </w:r>
      <w:r>
        <w:rPr/>
        <w:t>28</w:t>
      </w:r>
      <w:r>
        <w:rPr>
          <w:spacing w:val="-3"/>
        </w:rPr>
        <w:t> </w:t>
      </w:r>
      <w:r>
        <w:rPr/>
        <w:t>días,</w:t>
      </w:r>
      <w:r>
        <w:rPr>
          <w:spacing w:val="-3"/>
        </w:rPr>
        <w:t> </w:t>
      </w:r>
      <w:r>
        <w:rPr/>
        <w:t>Futuro</w:t>
      </w:r>
      <w:r>
        <w:rPr>
          <w:spacing w:val="-3"/>
        </w:rPr>
        <w:t> </w:t>
      </w:r>
      <w:r>
        <w:rPr/>
        <w:t>sobre</w:t>
      </w:r>
      <w:r>
        <w:rPr>
          <w:spacing w:val="-6"/>
        </w:rPr>
        <w:t> </w:t>
      </w:r>
      <w:r>
        <w:rPr/>
        <w:t>Bono</w:t>
      </w:r>
      <w:r>
        <w:rPr>
          <w:spacing w:val="-5"/>
        </w:rPr>
        <w:t> </w:t>
      </w:r>
      <w:r>
        <w:rPr/>
        <w:t>a</w:t>
      </w:r>
      <w:r>
        <w:rPr>
          <w:spacing w:val="-3"/>
        </w:rPr>
        <w:t> </w:t>
      </w:r>
      <w:r>
        <w:rPr/>
        <w:t>3</w:t>
      </w:r>
      <w:r>
        <w:rPr>
          <w:spacing w:val="-5"/>
        </w:rPr>
        <w:t> </w:t>
      </w:r>
      <w:r>
        <w:rPr/>
        <w:t>años</w:t>
      </w:r>
      <w:r>
        <w:rPr>
          <w:spacing w:val="-3"/>
        </w:rPr>
        <w:t> </w:t>
      </w:r>
      <w:r>
        <w:rPr/>
        <w:t>y Futuro sobre Bono a 10</w:t>
      </w:r>
      <w:r>
        <w:rPr>
          <w:spacing w:val="-8"/>
        </w:rPr>
        <w:t> </w:t>
      </w:r>
      <w:r>
        <w:rPr/>
        <w:t>años.</w:t>
      </w:r>
    </w:p>
    <w:p>
      <w:pPr>
        <w:pStyle w:val="BodyText"/>
        <w:spacing w:before="125"/>
        <w:ind w:left="142"/>
        <w:jc w:val="both"/>
      </w:pPr>
      <w:r>
        <w:rPr/>
        <w:t>Futuro CE91</w:t>
      </w:r>
    </w:p>
    <w:p>
      <w:pPr>
        <w:pStyle w:val="BodyText"/>
        <w:spacing w:line="360" w:lineRule="auto" w:before="197"/>
        <w:ind w:left="142" w:right="141" w:firstLine="707"/>
        <w:jc w:val="both"/>
      </w:pPr>
      <w:r>
        <w:rPr/>
        <w:t>El activo subyacente para este futuro son los Certificados de la Tesorería de la Federación con un plazo de 91 días, son títulos de crédito al portador denominados en moneda nacional a cargo del Gobierno Federal. Estos títulos son colocados a descuento, conforme lo establece la Secretaría de Hacienda y Crédito Público. Los montos, rendimientos, plazos y condiciones de colocación, son determinados</w:t>
      </w:r>
      <w:r>
        <w:rPr>
          <w:spacing w:val="-10"/>
        </w:rPr>
        <w:t> </w:t>
      </w:r>
      <w:r>
        <w:rPr/>
        <w:t>por</w:t>
      </w:r>
      <w:r>
        <w:rPr>
          <w:spacing w:val="-11"/>
        </w:rPr>
        <w:t> </w:t>
      </w:r>
      <w:r>
        <w:rPr/>
        <w:t>la</w:t>
      </w:r>
      <w:r>
        <w:rPr>
          <w:spacing w:val="-10"/>
        </w:rPr>
        <w:t> </w:t>
      </w:r>
      <w:r>
        <w:rPr/>
        <w:t>Secretaría</w:t>
      </w:r>
      <w:r>
        <w:rPr>
          <w:spacing w:val="-9"/>
        </w:rPr>
        <w:t> </w:t>
      </w:r>
      <w:r>
        <w:rPr/>
        <w:t>de</w:t>
      </w:r>
      <w:r>
        <w:rPr>
          <w:spacing w:val="-9"/>
        </w:rPr>
        <w:t> </w:t>
      </w:r>
      <w:r>
        <w:rPr/>
        <w:t>Hacienda</w:t>
      </w:r>
      <w:r>
        <w:rPr>
          <w:spacing w:val="-12"/>
        </w:rPr>
        <w:t> </w:t>
      </w:r>
      <w:r>
        <w:rPr/>
        <w:t>y</w:t>
      </w:r>
      <w:r>
        <w:rPr>
          <w:spacing w:val="-13"/>
        </w:rPr>
        <w:t> </w:t>
      </w:r>
      <w:r>
        <w:rPr/>
        <w:t>Crédito</w:t>
      </w:r>
      <w:r>
        <w:rPr>
          <w:spacing w:val="-9"/>
        </w:rPr>
        <w:t> </w:t>
      </w:r>
      <w:r>
        <w:rPr/>
        <w:t>Público,</w:t>
      </w:r>
      <w:r>
        <w:rPr>
          <w:spacing w:val="-10"/>
        </w:rPr>
        <w:t> </w:t>
      </w:r>
      <w:r>
        <w:rPr/>
        <w:t>oyendo</w:t>
      </w:r>
      <w:r>
        <w:rPr>
          <w:spacing w:val="-9"/>
        </w:rPr>
        <w:t> </w:t>
      </w:r>
      <w:r>
        <w:rPr/>
        <w:t>previamente la</w:t>
      </w:r>
      <w:r>
        <w:rPr>
          <w:spacing w:val="-4"/>
        </w:rPr>
        <w:t> </w:t>
      </w:r>
      <w:r>
        <w:rPr/>
        <w:t>opinión</w:t>
      </w:r>
      <w:r>
        <w:rPr>
          <w:spacing w:val="-6"/>
        </w:rPr>
        <w:t> </w:t>
      </w:r>
      <w:r>
        <w:rPr/>
        <w:t>del</w:t>
      </w:r>
      <w:r>
        <w:rPr>
          <w:spacing w:val="-5"/>
        </w:rPr>
        <w:t> </w:t>
      </w:r>
      <w:r>
        <w:rPr/>
        <w:t>Banco</w:t>
      </w:r>
      <w:r>
        <w:rPr>
          <w:spacing w:val="-4"/>
        </w:rPr>
        <w:t> </w:t>
      </w:r>
      <w:r>
        <w:rPr/>
        <w:t>de</w:t>
      </w:r>
      <w:r>
        <w:rPr>
          <w:spacing w:val="-4"/>
        </w:rPr>
        <w:t> </w:t>
      </w:r>
      <w:r>
        <w:rPr/>
        <w:t>México.</w:t>
      </w:r>
      <w:r>
        <w:rPr>
          <w:spacing w:val="-4"/>
        </w:rPr>
        <w:t> </w:t>
      </w:r>
      <w:r>
        <w:rPr/>
        <w:t>El</w:t>
      </w:r>
      <w:r>
        <w:rPr>
          <w:spacing w:val="-5"/>
        </w:rPr>
        <w:t> </w:t>
      </w:r>
      <w:r>
        <w:rPr/>
        <w:t>Activo</w:t>
      </w:r>
      <w:r>
        <w:rPr>
          <w:spacing w:val="-4"/>
        </w:rPr>
        <w:t> </w:t>
      </w:r>
      <w:r>
        <w:rPr/>
        <w:t>Subyacente</w:t>
      </w:r>
      <w:r>
        <w:rPr>
          <w:spacing w:val="-3"/>
        </w:rPr>
        <w:t> </w:t>
      </w:r>
      <w:r>
        <w:rPr/>
        <w:t>del</w:t>
      </w:r>
      <w:r>
        <w:rPr>
          <w:spacing w:val="-5"/>
        </w:rPr>
        <w:t> </w:t>
      </w:r>
      <w:r>
        <w:rPr/>
        <w:t>Contrato</w:t>
      </w:r>
      <w:r>
        <w:rPr>
          <w:spacing w:val="-6"/>
        </w:rPr>
        <w:t> </w:t>
      </w:r>
      <w:r>
        <w:rPr/>
        <w:t>de</w:t>
      </w:r>
      <w:r>
        <w:rPr>
          <w:spacing w:val="-4"/>
        </w:rPr>
        <w:t> </w:t>
      </w:r>
      <w:r>
        <w:rPr/>
        <w:t>Futuro</w:t>
      </w:r>
      <w:r>
        <w:rPr>
          <w:spacing w:val="-4"/>
        </w:rPr>
        <w:t> </w:t>
      </w:r>
      <w:r>
        <w:rPr/>
        <w:t>sobre Cetes tiene un plazo homogéneo de 91 días, con independencia de que los Cetes de referencia puedan tener plazos distintos en caso de días</w:t>
      </w:r>
      <w:r>
        <w:rPr>
          <w:spacing w:val="-48"/>
        </w:rPr>
        <w:t> </w:t>
      </w:r>
      <w:r>
        <w:rPr/>
        <w:t>inhábiles.</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before="70"/>
        <w:ind w:left="142" w:right="786"/>
      </w:pPr>
      <w:r>
        <w:rPr/>
        <w:t>Futuro TE28</w:t>
      </w:r>
    </w:p>
    <w:p>
      <w:pPr>
        <w:pStyle w:val="BodyText"/>
        <w:spacing w:line="360" w:lineRule="auto" w:before="199"/>
        <w:ind w:left="142" w:right="137" w:firstLine="707"/>
        <w:jc w:val="both"/>
      </w:pPr>
      <w:r>
        <w:rPr/>
        <w:t>El activo subyacente para este futuro son los depósitos a 28 días que tienen como rendimiento a la Tasa de Interés Interbancaria de Equilibrio TIIE a 28 días, calculada por el Banco de México con base en cotizaciones presentadas por las instituciones de banca múltiple mediante un mecanismo diseñado para reflejar las condiciones</w:t>
      </w:r>
      <w:r>
        <w:rPr>
          <w:spacing w:val="-20"/>
        </w:rPr>
        <w:t> </w:t>
      </w:r>
      <w:r>
        <w:rPr/>
        <w:t>del</w:t>
      </w:r>
      <w:r>
        <w:rPr>
          <w:spacing w:val="-20"/>
        </w:rPr>
        <w:t> </w:t>
      </w:r>
      <w:r>
        <w:rPr/>
        <w:t>mercado</w:t>
      </w:r>
      <w:r>
        <w:rPr>
          <w:spacing w:val="-19"/>
        </w:rPr>
        <w:t> </w:t>
      </w:r>
      <w:r>
        <w:rPr/>
        <w:t>de</w:t>
      </w:r>
      <w:r>
        <w:rPr>
          <w:spacing w:val="-19"/>
        </w:rPr>
        <w:t> </w:t>
      </w:r>
      <w:r>
        <w:rPr/>
        <w:t>dinero</w:t>
      </w:r>
      <w:r>
        <w:rPr>
          <w:spacing w:val="-20"/>
        </w:rPr>
        <w:t> </w:t>
      </w:r>
      <w:r>
        <w:rPr/>
        <w:t>en</w:t>
      </w:r>
      <w:r>
        <w:rPr>
          <w:spacing w:val="-21"/>
        </w:rPr>
        <w:t> </w:t>
      </w:r>
      <w:r>
        <w:rPr/>
        <w:t>moneda</w:t>
      </w:r>
      <w:r>
        <w:rPr>
          <w:spacing w:val="-19"/>
        </w:rPr>
        <w:t> </w:t>
      </w:r>
      <w:r>
        <w:rPr/>
        <w:t>nacional.</w:t>
      </w:r>
      <w:r>
        <w:rPr>
          <w:spacing w:val="-20"/>
        </w:rPr>
        <w:t> </w:t>
      </w:r>
      <w:r>
        <w:rPr/>
        <w:t>El</w:t>
      </w:r>
      <w:r>
        <w:rPr>
          <w:spacing w:val="-23"/>
        </w:rPr>
        <w:t> </w:t>
      </w:r>
      <w:r>
        <w:rPr/>
        <w:t>procedimiento</w:t>
      </w:r>
      <w:r>
        <w:rPr>
          <w:spacing w:val="-21"/>
        </w:rPr>
        <w:t> </w:t>
      </w:r>
      <w:r>
        <w:rPr/>
        <w:t>de</w:t>
      </w:r>
      <w:r>
        <w:rPr>
          <w:spacing w:val="-19"/>
        </w:rPr>
        <w:t> </w:t>
      </w:r>
      <w:r>
        <w:rPr/>
        <w:t>cálculo de</w:t>
      </w:r>
      <w:r>
        <w:rPr>
          <w:spacing w:val="-2"/>
        </w:rPr>
        <w:t> </w:t>
      </w:r>
      <w:r>
        <w:rPr/>
        <w:t>la</w:t>
      </w:r>
      <w:r>
        <w:rPr>
          <w:spacing w:val="-5"/>
        </w:rPr>
        <w:t> </w:t>
      </w:r>
      <w:r>
        <w:rPr/>
        <w:t>tasa</w:t>
      </w:r>
      <w:r>
        <w:rPr>
          <w:spacing w:val="-6"/>
        </w:rPr>
        <w:t> </w:t>
      </w:r>
      <w:r>
        <w:rPr/>
        <w:t>se</w:t>
      </w:r>
      <w:r>
        <w:rPr>
          <w:spacing w:val="-8"/>
        </w:rPr>
        <w:t> </w:t>
      </w:r>
      <w:r>
        <w:rPr/>
        <w:t>establece</w:t>
      </w:r>
      <w:r>
        <w:rPr>
          <w:spacing w:val="-4"/>
        </w:rPr>
        <w:t> </w:t>
      </w:r>
      <w:r>
        <w:rPr/>
        <w:t>en</w:t>
      </w:r>
      <w:r>
        <w:rPr>
          <w:spacing w:val="-6"/>
        </w:rPr>
        <w:t> </w:t>
      </w:r>
      <w:r>
        <w:rPr/>
        <w:t>la</w:t>
      </w:r>
      <w:r>
        <w:rPr>
          <w:spacing w:val="-6"/>
        </w:rPr>
        <w:t> </w:t>
      </w:r>
      <w:r>
        <w:rPr/>
        <w:t>Circular</w:t>
      </w:r>
      <w:r>
        <w:rPr>
          <w:spacing w:val="-5"/>
        </w:rPr>
        <w:t> </w:t>
      </w:r>
      <w:r>
        <w:rPr/>
        <w:t>2019/95</w:t>
      </w:r>
      <w:r>
        <w:rPr>
          <w:spacing w:val="-7"/>
        </w:rPr>
        <w:t> </w:t>
      </w:r>
      <w:r>
        <w:rPr/>
        <w:t>emitida</w:t>
      </w:r>
      <w:r>
        <w:rPr>
          <w:spacing w:val="-5"/>
        </w:rPr>
        <w:t> </w:t>
      </w:r>
      <w:r>
        <w:rPr/>
        <w:t>por</w:t>
      </w:r>
      <w:r>
        <w:rPr>
          <w:spacing w:val="-7"/>
        </w:rPr>
        <w:t> </w:t>
      </w:r>
      <w:r>
        <w:rPr/>
        <w:t>el</w:t>
      </w:r>
      <w:r>
        <w:rPr>
          <w:spacing w:val="-7"/>
        </w:rPr>
        <w:t> </w:t>
      </w:r>
      <w:r>
        <w:rPr/>
        <w:t>Banco</w:t>
      </w:r>
      <w:r>
        <w:rPr>
          <w:spacing w:val="-5"/>
        </w:rPr>
        <w:t> </w:t>
      </w:r>
      <w:r>
        <w:rPr/>
        <w:t>de</w:t>
      </w:r>
      <w:r>
        <w:rPr>
          <w:spacing w:val="-5"/>
        </w:rPr>
        <w:t> </w:t>
      </w:r>
      <w:r>
        <w:rPr/>
        <w:t>México.</w:t>
      </w:r>
    </w:p>
    <w:p>
      <w:pPr>
        <w:pStyle w:val="BodyText"/>
        <w:spacing w:before="125"/>
        <w:ind w:left="142" w:right="786"/>
      </w:pPr>
      <w:r>
        <w:rPr/>
        <w:t>Futuro M3</w:t>
      </w:r>
    </w:p>
    <w:p>
      <w:pPr>
        <w:pStyle w:val="BodyText"/>
        <w:spacing w:line="360" w:lineRule="auto" w:before="197"/>
        <w:ind w:left="142" w:right="136" w:firstLine="707"/>
        <w:jc w:val="both"/>
      </w:pPr>
      <w:r>
        <w:rPr/>
        <w:t>El activo subyacente para este futuro es el Bono de Desarrollo del Gobierno Federal con Tasa de Interés Fija, emitido o a emitirse por el Gobierno Federal, por conducto de la Secretaría de Hacienda y Crédito Público, y colocado por el Banco de México, en su carácter de agente financiero del Gobierno Federal, a un valor nominal de 100 (cien pesos) y por un plazo de 3 (tres) años.</w:t>
      </w:r>
    </w:p>
    <w:p>
      <w:pPr>
        <w:pStyle w:val="BodyText"/>
        <w:spacing w:before="122"/>
        <w:ind w:left="142" w:right="786"/>
      </w:pPr>
      <w:r>
        <w:rPr/>
        <w:t>Futuro M10</w:t>
      </w:r>
    </w:p>
    <w:p>
      <w:pPr>
        <w:pStyle w:val="BodyText"/>
        <w:spacing w:line="360" w:lineRule="auto" w:before="199"/>
        <w:ind w:left="142" w:right="143" w:firstLine="707"/>
        <w:jc w:val="both"/>
      </w:pPr>
      <w:r>
        <w:rPr/>
        <w:t>El</w:t>
      </w:r>
      <w:r>
        <w:rPr>
          <w:spacing w:val="-5"/>
        </w:rPr>
        <w:t> </w:t>
      </w:r>
      <w:r>
        <w:rPr/>
        <w:t>Activo</w:t>
      </w:r>
      <w:r>
        <w:rPr>
          <w:spacing w:val="-4"/>
        </w:rPr>
        <w:t> </w:t>
      </w:r>
      <w:r>
        <w:rPr/>
        <w:t>Subyacente</w:t>
      </w:r>
      <w:r>
        <w:rPr>
          <w:spacing w:val="-6"/>
        </w:rPr>
        <w:t> </w:t>
      </w:r>
      <w:r>
        <w:rPr/>
        <w:t>para</w:t>
      </w:r>
      <w:r>
        <w:rPr>
          <w:spacing w:val="-4"/>
        </w:rPr>
        <w:t> </w:t>
      </w:r>
      <w:r>
        <w:rPr/>
        <w:t>este</w:t>
      </w:r>
      <w:r>
        <w:rPr>
          <w:spacing w:val="-6"/>
        </w:rPr>
        <w:t> </w:t>
      </w:r>
      <w:r>
        <w:rPr/>
        <w:t>futuro</w:t>
      </w:r>
      <w:r>
        <w:rPr>
          <w:spacing w:val="-4"/>
        </w:rPr>
        <w:t> </w:t>
      </w:r>
      <w:r>
        <w:rPr/>
        <w:t>es</w:t>
      </w:r>
      <w:r>
        <w:rPr>
          <w:spacing w:val="-7"/>
        </w:rPr>
        <w:t> </w:t>
      </w:r>
      <w:r>
        <w:rPr/>
        <w:t>el</w:t>
      </w:r>
      <w:r>
        <w:rPr>
          <w:spacing w:val="-7"/>
        </w:rPr>
        <w:t> </w:t>
      </w:r>
      <w:r>
        <w:rPr/>
        <w:t>Bono</w:t>
      </w:r>
      <w:r>
        <w:rPr>
          <w:spacing w:val="-6"/>
        </w:rPr>
        <w:t> </w:t>
      </w:r>
      <w:r>
        <w:rPr/>
        <w:t>de</w:t>
      </w:r>
      <w:r>
        <w:rPr>
          <w:spacing w:val="-4"/>
        </w:rPr>
        <w:t> </w:t>
      </w:r>
      <w:r>
        <w:rPr/>
        <w:t>Desarrollo</w:t>
      </w:r>
      <w:r>
        <w:rPr>
          <w:spacing w:val="-4"/>
        </w:rPr>
        <w:t> </w:t>
      </w:r>
      <w:r>
        <w:rPr/>
        <w:t>del</w:t>
      </w:r>
      <w:r>
        <w:rPr>
          <w:spacing w:val="-7"/>
        </w:rPr>
        <w:t> </w:t>
      </w:r>
      <w:r>
        <w:rPr/>
        <w:t>Gobierno Federal con Tasa de Interés Fija, emitido o a emitirse por el Gobierno Federal, por conducto de la Secretaría de Hacienda y Crédito Público, y colocado por el Banco de México, en su carácter de agente financiero del Gobierno Federal, a un valor nominal de 100 (cien pesos) y por un plazo de 10 (diez)</w:t>
      </w:r>
      <w:r>
        <w:rPr>
          <w:spacing w:val="-37"/>
        </w:rPr>
        <w:t> </w:t>
      </w:r>
      <w:r>
        <w:rPr/>
        <w:t>años.</w:t>
      </w:r>
    </w:p>
    <w:p>
      <w:pPr>
        <w:pStyle w:val="Heading3"/>
      </w:pPr>
      <w:r>
        <w:rPr/>
        <w:t>Futuros sobre Acciones</w:t>
      </w:r>
    </w:p>
    <w:p>
      <w:pPr>
        <w:pStyle w:val="BodyText"/>
        <w:spacing w:line="360" w:lineRule="auto" w:before="62"/>
        <w:ind w:left="142" w:right="139" w:firstLine="707"/>
        <w:jc w:val="both"/>
      </w:pPr>
      <w:r>
        <w:rPr/>
        <w:t>Dentro de esta clasificación se encuentran los siguientes futuros: Futuro sobre emisora Cemex CPO, Futuro sobre emisora Femsa UBD, Futuro sobre emisora</w:t>
      </w:r>
      <w:r>
        <w:rPr>
          <w:spacing w:val="-15"/>
        </w:rPr>
        <w:t> </w:t>
      </w:r>
      <w:r>
        <w:rPr/>
        <w:t>GCarso</w:t>
      </w:r>
      <w:r>
        <w:rPr>
          <w:spacing w:val="-15"/>
        </w:rPr>
        <w:t> </w:t>
      </w:r>
      <w:r>
        <w:rPr/>
        <w:t>A1,</w:t>
      </w:r>
      <w:r>
        <w:rPr>
          <w:spacing w:val="-15"/>
        </w:rPr>
        <w:t> </w:t>
      </w:r>
      <w:r>
        <w:rPr/>
        <w:t>Futuro</w:t>
      </w:r>
      <w:r>
        <w:rPr>
          <w:spacing w:val="-15"/>
        </w:rPr>
        <w:t> </w:t>
      </w:r>
      <w:r>
        <w:rPr/>
        <w:t>sobre</w:t>
      </w:r>
      <w:r>
        <w:rPr>
          <w:spacing w:val="-15"/>
        </w:rPr>
        <w:t> </w:t>
      </w:r>
      <w:r>
        <w:rPr/>
        <w:t>emisora</w:t>
      </w:r>
      <w:r>
        <w:rPr>
          <w:spacing w:val="-15"/>
        </w:rPr>
        <w:t> </w:t>
      </w:r>
      <w:r>
        <w:rPr/>
        <w:t>GFBB</w:t>
      </w:r>
      <w:r>
        <w:rPr>
          <w:spacing w:val="-14"/>
        </w:rPr>
        <w:t> </w:t>
      </w:r>
      <w:r>
        <w:rPr/>
        <w:t>O</w:t>
      </w:r>
      <w:r>
        <w:rPr>
          <w:spacing w:val="-15"/>
        </w:rPr>
        <w:t> </w:t>
      </w:r>
      <w:r>
        <w:rPr/>
        <w:t>y</w:t>
      </w:r>
      <w:r>
        <w:rPr>
          <w:spacing w:val="-18"/>
        </w:rPr>
        <w:t> </w:t>
      </w:r>
      <w:r>
        <w:rPr/>
        <w:t>Futuros</w:t>
      </w:r>
      <w:r>
        <w:rPr>
          <w:spacing w:val="-15"/>
        </w:rPr>
        <w:t> </w:t>
      </w:r>
      <w:r>
        <w:rPr/>
        <w:t>sobre</w:t>
      </w:r>
      <w:r>
        <w:rPr>
          <w:spacing w:val="-18"/>
        </w:rPr>
        <w:t> </w:t>
      </w:r>
      <w:r>
        <w:rPr/>
        <w:t>emisora</w:t>
      </w:r>
      <w:r>
        <w:rPr>
          <w:spacing w:val="-17"/>
        </w:rPr>
        <w:t> </w:t>
      </w:r>
      <w:r>
        <w:rPr/>
        <w:t>Telmex L.</w:t>
      </w:r>
    </w:p>
    <w:p>
      <w:pPr>
        <w:pStyle w:val="BodyText"/>
        <w:spacing w:before="122"/>
        <w:ind w:left="142" w:right="786"/>
      </w:pPr>
      <w:r>
        <w:rPr/>
        <w:t>Futuro CMXC</w:t>
      </w:r>
    </w:p>
    <w:p>
      <w:pPr>
        <w:pStyle w:val="BodyText"/>
        <w:spacing w:line="360" w:lineRule="auto" w:before="199"/>
        <w:ind w:left="142" w:right="139" w:firstLine="707"/>
        <w:jc w:val="both"/>
      </w:pPr>
      <w:r>
        <w:rPr/>
        <w:t>El Activo Subyacente para este futuro son los Certificados de Participación Ordinaria emitidos sobre acciones representativas del capital social de Cementos Mexicanos S.A. de C.V. Títulos listados en la Bolsa Mexicana de Valores.</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before="70"/>
        <w:ind w:left="142" w:right="786"/>
      </w:pPr>
      <w:r>
        <w:rPr/>
        <w:t>Futuro FEMD</w:t>
      </w:r>
    </w:p>
    <w:p>
      <w:pPr>
        <w:pStyle w:val="BodyText"/>
        <w:spacing w:before="6"/>
        <w:rPr>
          <w:sz w:val="22"/>
        </w:rPr>
      </w:pPr>
    </w:p>
    <w:p>
      <w:pPr>
        <w:pStyle w:val="BodyText"/>
        <w:spacing w:line="360" w:lineRule="auto"/>
        <w:ind w:left="142" w:right="85"/>
      </w:pPr>
      <w:r>
        <w:rPr/>
        <w:t>El Activo Subyacente para este futuro son las Unidades Vinculadas que representan 1 acción serie B y 4 acciones serie D representativas del capital social de Fomento Económico Mexicano S.A. de C.V. Títulos listados en la Bolsa Mexicana de Valores.</w:t>
      </w:r>
    </w:p>
    <w:p>
      <w:pPr>
        <w:pStyle w:val="BodyText"/>
        <w:spacing w:before="125"/>
        <w:ind w:left="142" w:right="786"/>
      </w:pPr>
      <w:r>
        <w:rPr/>
        <w:t>Futuro GCAA</w:t>
      </w:r>
    </w:p>
    <w:p>
      <w:pPr>
        <w:pStyle w:val="BodyText"/>
        <w:spacing w:line="360" w:lineRule="auto" w:before="197"/>
        <w:ind w:left="142" w:right="144" w:firstLine="707"/>
        <w:jc w:val="both"/>
      </w:pPr>
      <w:r>
        <w:rPr/>
        <w:t>El Activo Subyacente para este futuro son las acciones serie A1 representativas del capital social de Grupo Carso S.A. de C.V. Títulos accionarios listados en la Bolsa Mexicana de Valores.</w:t>
      </w:r>
    </w:p>
    <w:p>
      <w:pPr>
        <w:pStyle w:val="BodyText"/>
        <w:spacing w:before="125"/>
        <w:ind w:left="142" w:right="786"/>
      </w:pPr>
      <w:r>
        <w:rPr/>
        <w:t>Futuro GFBO</w:t>
      </w:r>
    </w:p>
    <w:p>
      <w:pPr>
        <w:pStyle w:val="BodyText"/>
        <w:spacing w:line="360" w:lineRule="auto" w:before="197"/>
        <w:ind w:left="142" w:right="138" w:firstLine="707"/>
        <w:jc w:val="both"/>
      </w:pPr>
      <w:r>
        <w:rPr/>
        <w:t>El Activo Subyacente para este futuro son las acciones serie O representativas</w:t>
      </w:r>
      <w:r>
        <w:rPr>
          <w:spacing w:val="-15"/>
        </w:rPr>
        <w:t> </w:t>
      </w:r>
      <w:r>
        <w:rPr/>
        <w:t>del</w:t>
      </w:r>
      <w:r>
        <w:rPr>
          <w:spacing w:val="-15"/>
        </w:rPr>
        <w:t> </w:t>
      </w:r>
      <w:r>
        <w:rPr/>
        <w:t>capital</w:t>
      </w:r>
      <w:r>
        <w:rPr>
          <w:spacing w:val="-15"/>
        </w:rPr>
        <w:t> </w:t>
      </w:r>
      <w:r>
        <w:rPr/>
        <w:t>social</w:t>
      </w:r>
      <w:r>
        <w:rPr>
          <w:spacing w:val="-17"/>
        </w:rPr>
        <w:t> </w:t>
      </w:r>
      <w:r>
        <w:rPr/>
        <w:t>de</w:t>
      </w:r>
      <w:r>
        <w:rPr>
          <w:spacing w:val="-16"/>
        </w:rPr>
        <w:t> </w:t>
      </w:r>
      <w:r>
        <w:rPr/>
        <w:t>Grupo</w:t>
      </w:r>
      <w:r>
        <w:rPr>
          <w:spacing w:val="-14"/>
        </w:rPr>
        <w:t> </w:t>
      </w:r>
      <w:r>
        <w:rPr/>
        <w:t>Financiero</w:t>
      </w:r>
      <w:r>
        <w:rPr>
          <w:spacing w:val="-13"/>
        </w:rPr>
        <w:t> </w:t>
      </w:r>
      <w:r>
        <w:rPr/>
        <w:t>BBVA</w:t>
      </w:r>
      <w:r>
        <w:rPr>
          <w:spacing w:val="-14"/>
        </w:rPr>
        <w:t> </w:t>
      </w:r>
      <w:r>
        <w:rPr/>
        <w:t>Bancomer</w:t>
      </w:r>
      <w:r>
        <w:rPr>
          <w:spacing w:val="-16"/>
        </w:rPr>
        <w:t> </w:t>
      </w:r>
      <w:r>
        <w:rPr/>
        <w:t>S.A.</w:t>
      </w:r>
      <w:r>
        <w:rPr>
          <w:spacing w:val="-17"/>
        </w:rPr>
        <w:t> </w:t>
      </w:r>
      <w:r>
        <w:rPr/>
        <w:t>de</w:t>
      </w:r>
      <w:r>
        <w:rPr>
          <w:spacing w:val="-14"/>
        </w:rPr>
        <w:t> </w:t>
      </w:r>
      <w:r>
        <w:rPr/>
        <w:t>C.V. Títulos accionarios listados en la Bolsa Mexicana de</w:t>
      </w:r>
      <w:r>
        <w:rPr>
          <w:spacing w:val="-39"/>
        </w:rPr>
        <w:t> </w:t>
      </w:r>
      <w:r>
        <w:rPr/>
        <w:t>Valores.</w:t>
      </w:r>
    </w:p>
    <w:p>
      <w:pPr>
        <w:pStyle w:val="BodyText"/>
        <w:spacing w:before="122"/>
        <w:ind w:left="142" w:right="786"/>
      </w:pPr>
      <w:r>
        <w:rPr/>
        <w:t>Futuro TMXL</w:t>
      </w:r>
    </w:p>
    <w:p>
      <w:pPr>
        <w:pStyle w:val="BodyText"/>
        <w:spacing w:line="360" w:lineRule="auto" w:before="199"/>
        <w:ind w:left="142" w:right="145" w:firstLine="707"/>
        <w:jc w:val="both"/>
      </w:pPr>
      <w:r>
        <w:rPr/>
        <w:t>El Activo Subyacente para este futuro son las acciones serie L representativas del capital social de Teléfonos de México S.A. de C.V. Títulos accionarios listados en la Bolsa Mexicana de Valores.</w:t>
      </w:r>
    </w:p>
    <w:p>
      <w:pPr>
        <w:pStyle w:val="Heading3"/>
      </w:pPr>
      <w:r>
        <w:rPr/>
        <w:t>Futuros sobre Divisas</w:t>
      </w:r>
    </w:p>
    <w:p>
      <w:pPr>
        <w:pStyle w:val="BodyText"/>
        <w:spacing w:line="360" w:lineRule="auto" w:before="62"/>
        <w:ind w:left="142" w:right="145" w:firstLine="707"/>
        <w:jc w:val="both"/>
      </w:pPr>
      <w:r>
        <w:rPr/>
        <w:t>Dentro</w:t>
      </w:r>
      <w:r>
        <w:rPr>
          <w:spacing w:val="-5"/>
        </w:rPr>
        <w:t> </w:t>
      </w:r>
      <w:r>
        <w:rPr/>
        <w:t>de</w:t>
      </w:r>
      <w:r>
        <w:rPr>
          <w:spacing w:val="-7"/>
        </w:rPr>
        <w:t> </w:t>
      </w:r>
      <w:r>
        <w:rPr/>
        <w:t>esta</w:t>
      </w:r>
      <w:r>
        <w:rPr>
          <w:spacing w:val="-5"/>
        </w:rPr>
        <w:t> </w:t>
      </w:r>
      <w:r>
        <w:rPr/>
        <w:t>clasificación</w:t>
      </w:r>
      <w:r>
        <w:rPr>
          <w:spacing w:val="-5"/>
        </w:rPr>
        <w:t> </w:t>
      </w:r>
      <w:r>
        <w:rPr/>
        <w:t>solo</w:t>
      </w:r>
      <w:r>
        <w:rPr>
          <w:spacing w:val="-5"/>
        </w:rPr>
        <w:t> </w:t>
      </w:r>
      <w:r>
        <w:rPr/>
        <w:t>se</w:t>
      </w:r>
      <w:r>
        <w:rPr>
          <w:spacing w:val="-7"/>
        </w:rPr>
        <w:t> </w:t>
      </w:r>
      <w:r>
        <w:rPr/>
        <w:t>encuentra</w:t>
      </w:r>
      <w:r>
        <w:rPr>
          <w:spacing w:val="-5"/>
        </w:rPr>
        <w:t> </w:t>
      </w:r>
      <w:r>
        <w:rPr/>
        <w:t>el</w:t>
      </w:r>
      <w:r>
        <w:rPr>
          <w:spacing w:val="-6"/>
        </w:rPr>
        <w:t> </w:t>
      </w:r>
      <w:r>
        <w:rPr/>
        <w:t>Futuro</w:t>
      </w:r>
      <w:r>
        <w:rPr>
          <w:spacing w:val="-6"/>
        </w:rPr>
        <w:t> </w:t>
      </w:r>
      <w:r>
        <w:rPr/>
        <w:t>sobre</w:t>
      </w:r>
      <w:r>
        <w:rPr>
          <w:spacing w:val="-6"/>
        </w:rPr>
        <w:t> </w:t>
      </w:r>
      <w:r>
        <w:rPr/>
        <w:t>el</w:t>
      </w:r>
      <w:r>
        <w:rPr>
          <w:spacing w:val="-6"/>
        </w:rPr>
        <w:t> </w:t>
      </w:r>
      <w:r>
        <w:rPr/>
        <w:t>Dólar</w:t>
      </w:r>
      <w:r>
        <w:rPr>
          <w:spacing w:val="-6"/>
        </w:rPr>
        <w:t> </w:t>
      </w:r>
      <w:r>
        <w:rPr/>
        <w:t>de</w:t>
      </w:r>
      <w:r>
        <w:rPr>
          <w:spacing w:val="-5"/>
        </w:rPr>
        <w:t> </w:t>
      </w:r>
      <w:r>
        <w:rPr/>
        <w:t>los Estados Unidos de</w:t>
      </w:r>
      <w:r>
        <w:rPr>
          <w:spacing w:val="-15"/>
        </w:rPr>
        <w:t> </w:t>
      </w:r>
      <w:r>
        <w:rPr/>
        <w:t>América.</w:t>
      </w:r>
    </w:p>
    <w:p>
      <w:pPr>
        <w:pStyle w:val="Heading3"/>
      </w:pPr>
      <w:r>
        <w:rPr/>
        <w:t>Futuro sobre DEUA</w:t>
      </w:r>
    </w:p>
    <w:p>
      <w:pPr>
        <w:pStyle w:val="BodyText"/>
        <w:spacing w:line="360" w:lineRule="auto" w:before="62"/>
        <w:ind w:left="142" w:right="135" w:firstLine="707"/>
        <w:jc w:val="both"/>
      </w:pPr>
      <w:r>
        <w:rPr/>
        <w:t>El activo subyacente para este futuro es Dólar de los Estados Unidos de América.</w:t>
      </w:r>
    </w:p>
    <w:p>
      <w:pPr>
        <w:spacing w:after="0" w:line="360" w:lineRule="auto"/>
        <w:jc w:val="both"/>
        <w:sectPr>
          <w:pgSz w:w="12240" w:h="15840"/>
          <w:pgMar w:header="731" w:footer="737" w:top="1180" w:bottom="920" w:left="1560" w:right="1560"/>
        </w:sectPr>
      </w:pPr>
    </w:p>
    <w:p>
      <w:pPr>
        <w:pStyle w:val="BodyText"/>
        <w:rPr>
          <w:sz w:val="20"/>
        </w:rPr>
      </w:pPr>
    </w:p>
    <w:p>
      <w:pPr>
        <w:pStyle w:val="BodyText"/>
        <w:spacing w:before="1"/>
        <w:rPr>
          <w:sz w:val="16"/>
        </w:rPr>
      </w:pPr>
    </w:p>
    <w:p>
      <w:pPr>
        <w:pStyle w:val="ListParagraph"/>
        <w:numPr>
          <w:ilvl w:val="1"/>
          <w:numId w:val="17"/>
        </w:numPr>
        <w:tabs>
          <w:tab w:pos="594" w:val="left" w:leader="none"/>
        </w:tabs>
        <w:spacing w:line="240" w:lineRule="auto" w:before="65" w:after="0"/>
        <w:ind w:left="593" w:right="0" w:hanging="451"/>
        <w:jc w:val="left"/>
        <w:rPr>
          <w:b/>
          <w:sz w:val="22"/>
        </w:rPr>
      </w:pPr>
      <w:bookmarkStart w:name="_bookmark37" w:id="64"/>
      <w:bookmarkEnd w:id="64"/>
      <w:r>
        <w:rPr/>
      </w:r>
      <w:bookmarkStart w:name="_bookmark37" w:id="65"/>
      <w:bookmarkEnd w:id="65"/>
      <w:r>
        <w:rPr>
          <w:b/>
          <w:sz w:val="28"/>
        </w:rPr>
        <w:t>O</w:t>
      </w:r>
      <w:r>
        <w:rPr>
          <w:b/>
          <w:sz w:val="22"/>
        </w:rPr>
        <w:t>PCIONES</w:t>
      </w:r>
    </w:p>
    <w:p>
      <w:pPr>
        <w:pStyle w:val="BodyText"/>
        <w:spacing w:line="360" w:lineRule="auto" w:before="243"/>
        <w:ind w:left="142" w:right="142" w:firstLine="707"/>
        <w:jc w:val="both"/>
      </w:pPr>
      <w:r>
        <w:rPr/>
        <w:t>Las Opciones son contratos en donde el comprador adquiere el derecho de comprar (CALL) o vender (PUT) cualquier Activo Subyacente a un precio previamente establecido (Precio de Ejercicio) en una fecha futura (Fecha de Vencimiento).</w:t>
      </w:r>
      <w:r>
        <w:rPr>
          <w:spacing w:val="-18"/>
        </w:rPr>
        <w:t> </w:t>
      </w:r>
      <w:r>
        <w:rPr/>
        <w:t>Dicho</w:t>
      </w:r>
      <w:r>
        <w:rPr>
          <w:spacing w:val="-19"/>
        </w:rPr>
        <w:t> </w:t>
      </w:r>
      <w:r>
        <w:rPr/>
        <w:t>derecho</w:t>
      </w:r>
      <w:r>
        <w:rPr>
          <w:spacing w:val="-19"/>
        </w:rPr>
        <w:t> </w:t>
      </w:r>
      <w:r>
        <w:rPr/>
        <w:t>puede</w:t>
      </w:r>
      <w:r>
        <w:rPr>
          <w:spacing w:val="-19"/>
        </w:rPr>
        <w:t> </w:t>
      </w:r>
      <w:r>
        <w:rPr/>
        <w:t>ser</w:t>
      </w:r>
      <w:r>
        <w:rPr>
          <w:spacing w:val="-18"/>
        </w:rPr>
        <w:t> </w:t>
      </w:r>
      <w:r>
        <w:rPr/>
        <w:t>ejercido</w:t>
      </w:r>
      <w:r>
        <w:rPr>
          <w:spacing w:val="-19"/>
        </w:rPr>
        <w:t> </w:t>
      </w:r>
      <w:r>
        <w:rPr/>
        <w:t>únicamente</w:t>
      </w:r>
      <w:r>
        <w:rPr>
          <w:spacing w:val="-21"/>
        </w:rPr>
        <w:t> </w:t>
      </w:r>
      <w:r>
        <w:rPr/>
        <w:t>al</w:t>
      </w:r>
      <w:r>
        <w:rPr>
          <w:spacing w:val="-18"/>
        </w:rPr>
        <w:t> </w:t>
      </w:r>
      <w:r>
        <w:rPr/>
        <w:t>Vencimiento</w:t>
      </w:r>
      <w:r>
        <w:rPr>
          <w:spacing w:val="-19"/>
        </w:rPr>
        <w:t> </w:t>
      </w:r>
      <w:r>
        <w:rPr/>
        <w:t>(Opción Estilo Europeo) o en cualquier momento durante la vida de la opción incluyendo la fecha de vencimiento (Opción Estilo</w:t>
      </w:r>
      <w:r>
        <w:rPr>
          <w:spacing w:val="-13"/>
        </w:rPr>
        <w:t> </w:t>
      </w:r>
      <w:r>
        <w:rPr/>
        <w:t>Americana).</w:t>
      </w:r>
    </w:p>
    <w:p>
      <w:pPr>
        <w:pStyle w:val="Heading3"/>
        <w:spacing w:before="121"/>
      </w:pPr>
      <w:r>
        <w:rPr/>
        <w:t>Call</w:t>
      </w:r>
    </w:p>
    <w:p>
      <w:pPr>
        <w:pStyle w:val="BodyText"/>
        <w:spacing w:line="360" w:lineRule="auto" w:before="62"/>
        <w:ind w:left="142" w:right="137" w:firstLine="707"/>
        <w:jc w:val="both"/>
      </w:pPr>
      <w:r>
        <w:rPr/>
        <w:t>Es el contrato de una opción que otorga al comprador el derecho a comprar el subyacente al precio de ejercicio durante un periodo (Americana) o en una</w:t>
      </w:r>
      <w:r>
        <w:rPr>
          <w:spacing w:val="-45"/>
        </w:rPr>
        <w:t> </w:t>
      </w:r>
      <w:r>
        <w:rPr/>
        <w:t>fecha específica</w:t>
      </w:r>
      <w:r>
        <w:rPr>
          <w:spacing w:val="-5"/>
        </w:rPr>
        <w:t> </w:t>
      </w:r>
      <w:r>
        <w:rPr/>
        <w:t>(Europea).</w:t>
      </w:r>
      <w:r>
        <w:rPr>
          <w:spacing w:val="-8"/>
        </w:rPr>
        <w:t> </w:t>
      </w:r>
      <w:r>
        <w:rPr/>
        <w:t>Para</w:t>
      </w:r>
      <w:r>
        <w:rPr>
          <w:spacing w:val="-5"/>
        </w:rPr>
        <w:t> </w:t>
      </w:r>
      <w:r>
        <w:rPr/>
        <w:t>el</w:t>
      </w:r>
      <w:r>
        <w:rPr>
          <w:spacing w:val="-6"/>
        </w:rPr>
        <w:t> </w:t>
      </w:r>
      <w:r>
        <w:rPr/>
        <w:t>vendedor</w:t>
      </w:r>
      <w:r>
        <w:rPr>
          <w:spacing w:val="-6"/>
        </w:rPr>
        <w:t> </w:t>
      </w:r>
      <w:r>
        <w:rPr/>
        <w:t>del</w:t>
      </w:r>
      <w:r>
        <w:rPr>
          <w:spacing w:val="-6"/>
        </w:rPr>
        <w:t> </w:t>
      </w:r>
      <w:r>
        <w:rPr/>
        <w:t>call,</w:t>
      </w:r>
      <w:r>
        <w:rPr>
          <w:spacing w:val="-5"/>
        </w:rPr>
        <w:t> </w:t>
      </w:r>
      <w:r>
        <w:rPr/>
        <w:t>el</w:t>
      </w:r>
      <w:r>
        <w:rPr>
          <w:spacing w:val="-6"/>
        </w:rPr>
        <w:t> </w:t>
      </w:r>
      <w:r>
        <w:rPr/>
        <w:t>contrato</w:t>
      </w:r>
      <w:r>
        <w:rPr>
          <w:spacing w:val="-4"/>
        </w:rPr>
        <w:t> </w:t>
      </w:r>
      <w:r>
        <w:rPr/>
        <w:t>representa</w:t>
      </w:r>
      <w:r>
        <w:rPr>
          <w:spacing w:val="-4"/>
        </w:rPr>
        <w:t> </w:t>
      </w:r>
      <w:r>
        <w:rPr/>
        <w:t>la</w:t>
      </w:r>
      <w:r>
        <w:rPr>
          <w:spacing w:val="-7"/>
        </w:rPr>
        <w:t> </w:t>
      </w:r>
      <w:r>
        <w:rPr/>
        <w:t>obligación a vender el activo</w:t>
      </w:r>
      <w:r>
        <w:rPr>
          <w:spacing w:val="-13"/>
        </w:rPr>
        <w:t> </w:t>
      </w:r>
      <w:r>
        <w:rPr/>
        <w:t>subyacente.</w:t>
      </w:r>
    </w:p>
    <w:p>
      <w:pPr>
        <w:pStyle w:val="Heading3"/>
      </w:pPr>
      <w:r>
        <w:rPr/>
        <w:t>Put</w:t>
      </w:r>
    </w:p>
    <w:p>
      <w:pPr>
        <w:pStyle w:val="BodyText"/>
        <w:spacing w:line="360" w:lineRule="auto" w:before="62"/>
        <w:ind w:left="142" w:right="141" w:firstLine="707"/>
        <w:jc w:val="both"/>
      </w:pPr>
      <w:r>
        <w:rPr/>
        <w:t>Es el contrato de una opción que otorga al comprador el derecho de vender el</w:t>
      </w:r>
      <w:r>
        <w:rPr>
          <w:spacing w:val="-7"/>
        </w:rPr>
        <w:t> </w:t>
      </w:r>
      <w:r>
        <w:rPr/>
        <w:t>activo</w:t>
      </w:r>
      <w:r>
        <w:rPr>
          <w:spacing w:val="-6"/>
        </w:rPr>
        <w:t> </w:t>
      </w:r>
      <w:r>
        <w:rPr/>
        <w:t>subyacente</w:t>
      </w:r>
      <w:r>
        <w:rPr>
          <w:spacing w:val="-6"/>
        </w:rPr>
        <w:t> </w:t>
      </w:r>
      <w:r>
        <w:rPr/>
        <w:t>al</w:t>
      </w:r>
      <w:r>
        <w:rPr>
          <w:spacing w:val="-10"/>
        </w:rPr>
        <w:t> </w:t>
      </w:r>
      <w:r>
        <w:rPr/>
        <w:t>precio</w:t>
      </w:r>
      <w:r>
        <w:rPr>
          <w:spacing w:val="-6"/>
        </w:rPr>
        <w:t> </w:t>
      </w:r>
      <w:r>
        <w:rPr/>
        <w:t>de</w:t>
      </w:r>
      <w:r>
        <w:rPr>
          <w:spacing w:val="-6"/>
        </w:rPr>
        <w:t> </w:t>
      </w:r>
      <w:r>
        <w:rPr/>
        <w:t>ejercicio</w:t>
      </w:r>
      <w:r>
        <w:rPr>
          <w:spacing w:val="-6"/>
        </w:rPr>
        <w:t> </w:t>
      </w:r>
      <w:r>
        <w:rPr/>
        <w:t>durante</w:t>
      </w:r>
      <w:r>
        <w:rPr>
          <w:spacing w:val="-6"/>
        </w:rPr>
        <w:t> </w:t>
      </w:r>
      <w:r>
        <w:rPr/>
        <w:t>un</w:t>
      </w:r>
      <w:r>
        <w:rPr>
          <w:spacing w:val="-6"/>
        </w:rPr>
        <w:t> </w:t>
      </w:r>
      <w:r>
        <w:rPr/>
        <w:t>periodo</w:t>
      </w:r>
      <w:r>
        <w:rPr>
          <w:spacing w:val="-6"/>
        </w:rPr>
        <w:t> </w:t>
      </w:r>
      <w:r>
        <w:rPr/>
        <w:t>(Americana)</w:t>
      </w:r>
      <w:r>
        <w:rPr>
          <w:spacing w:val="-7"/>
        </w:rPr>
        <w:t> </w:t>
      </w:r>
      <w:r>
        <w:rPr/>
        <w:t>o</w:t>
      </w:r>
      <w:r>
        <w:rPr>
          <w:spacing w:val="-6"/>
        </w:rPr>
        <w:t> </w:t>
      </w:r>
      <w:r>
        <w:rPr/>
        <w:t>en</w:t>
      </w:r>
      <w:r>
        <w:rPr>
          <w:spacing w:val="-8"/>
        </w:rPr>
        <w:t> </w:t>
      </w:r>
      <w:r>
        <w:rPr/>
        <w:t>una fecha específica (Europea). Para el vendedor del put, el contrato representa una obligación a comprar el activo</w:t>
      </w:r>
      <w:r>
        <w:rPr>
          <w:spacing w:val="-13"/>
        </w:rPr>
        <w:t> </w:t>
      </w:r>
      <w:r>
        <w:rPr/>
        <w:t>subyacente.</w:t>
      </w:r>
    </w:p>
    <w:p>
      <w:pPr>
        <w:pStyle w:val="Heading3"/>
      </w:pPr>
      <w:r>
        <w:rPr/>
        <w:t>Beneficios de operar Opciones.</w:t>
      </w:r>
    </w:p>
    <w:p>
      <w:pPr>
        <w:pStyle w:val="BodyText"/>
        <w:spacing w:line="360" w:lineRule="auto" w:before="62"/>
        <w:ind w:left="142" w:right="136" w:firstLine="707"/>
        <w:jc w:val="both"/>
      </w:pPr>
      <w:r>
        <w:rPr/>
        <w:t>El</w:t>
      </w:r>
      <w:r>
        <w:rPr>
          <w:spacing w:val="-12"/>
        </w:rPr>
        <w:t> </w:t>
      </w:r>
      <w:r>
        <w:rPr/>
        <w:t>mayor</w:t>
      </w:r>
      <w:r>
        <w:rPr>
          <w:spacing w:val="-12"/>
        </w:rPr>
        <w:t> </w:t>
      </w:r>
      <w:r>
        <w:rPr/>
        <w:t>beneficio</w:t>
      </w:r>
      <w:r>
        <w:rPr>
          <w:spacing w:val="-11"/>
        </w:rPr>
        <w:t> </w:t>
      </w:r>
      <w:r>
        <w:rPr/>
        <w:t>que</w:t>
      </w:r>
      <w:r>
        <w:rPr>
          <w:spacing w:val="-13"/>
        </w:rPr>
        <w:t> </w:t>
      </w:r>
      <w:r>
        <w:rPr/>
        <w:t>te</w:t>
      </w:r>
      <w:r>
        <w:rPr>
          <w:spacing w:val="-13"/>
        </w:rPr>
        <w:t> </w:t>
      </w:r>
      <w:r>
        <w:rPr/>
        <w:t>dan</w:t>
      </w:r>
      <w:r>
        <w:rPr>
          <w:spacing w:val="-13"/>
        </w:rPr>
        <w:t> </w:t>
      </w:r>
      <w:r>
        <w:rPr/>
        <w:t>las</w:t>
      </w:r>
      <w:r>
        <w:rPr>
          <w:spacing w:val="-13"/>
        </w:rPr>
        <w:t> </w:t>
      </w:r>
      <w:r>
        <w:rPr/>
        <w:t>opciones</w:t>
      </w:r>
      <w:r>
        <w:rPr>
          <w:spacing w:val="-14"/>
        </w:rPr>
        <w:t> </w:t>
      </w:r>
      <w:r>
        <w:rPr/>
        <w:t>es</w:t>
      </w:r>
      <w:r>
        <w:rPr>
          <w:spacing w:val="-14"/>
        </w:rPr>
        <w:t> </w:t>
      </w:r>
      <w:r>
        <w:rPr/>
        <w:t>su</w:t>
      </w:r>
      <w:r>
        <w:rPr>
          <w:spacing w:val="-11"/>
        </w:rPr>
        <w:t> </w:t>
      </w:r>
      <w:r>
        <w:rPr/>
        <w:t>versatilidad.</w:t>
      </w:r>
      <w:r>
        <w:rPr>
          <w:spacing w:val="-13"/>
        </w:rPr>
        <w:t> </w:t>
      </w:r>
      <w:r>
        <w:rPr/>
        <w:t>Pueden</w:t>
      </w:r>
      <w:r>
        <w:rPr>
          <w:spacing w:val="-11"/>
        </w:rPr>
        <w:t> </w:t>
      </w:r>
      <w:r>
        <w:rPr/>
        <w:t>ser</w:t>
      </w:r>
      <w:r>
        <w:rPr>
          <w:spacing w:val="-12"/>
        </w:rPr>
        <w:t> </w:t>
      </w:r>
      <w:r>
        <w:rPr/>
        <w:t>tan conservadoras o tan especulativas como la estrategia de inversión sugiera. Las opciones permiten diseñar las posiciones de acuerdo a las necesidades o circunstancias del</w:t>
      </w:r>
      <w:r>
        <w:rPr>
          <w:spacing w:val="-9"/>
        </w:rPr>
        <w:t> </w:t>
      </w:r>
      <w:r>
        <w:rPr/>
        <w:t>inversionista.</w:t>
      </w:r>
    </w:p>
    <w:p>
      <w:pPr>
        <w:pStyle w:val="BodyText"/>
        <w:spacing w:line="360" w:lineRule="auto" w:before="2"/>
        <w:ind w:left="142" w:right="137" w:firstLine="707"/>
        <w:jc w:val="both"/>
      </w:pPr>
      <w:r>
        <w:rPr/>
        <w:t>Como</w:t>
      </w:r>
      <w:r>
        <w:rPr>
          <w:spacing w:val="-15"/>
        </w:rPr>
        <w:t> </w:t>
      </w:r>
      <w:r>
        <w:rPr/>
        <w:t>las</w:t>
      </w:r>
      <w:r>
        <w:rPr>
          <w:spacing w:val="-16"/>
        </w:rPr>
        <w:t> </w:t>
      </w:r>
      <w:r>
        <w:rPr/>
        <w:t>acciones,</w:t>
      </w:r>
      <w:r>
        <w:rPr>
          <w:spacing w:val="-16"/>
        </w:rPr>
        <w:t> </w:t>
      </w:r>
      <w:r>
        <w:rPr/>
        <w:t>las</w:t>
      </w:r>
      <w:r>
        <w:rPr>
          <w:spacing w:val="-16"/>
        </w:rPr>
        <w:t> </w:t>
      </w:r>
      <w:r>
        <w:rPr/>
        <w:t>opciones</w:t>
      </w:r>
      <w:r>
        <w:rPr>
          <w:spacing w:val="-16"/>
        </w:rPr>
        <w:t> </w:t>
      </w:r>
      <w:r>
        <w:rPr/>
        <w:t>pueden</w:t>
      </w:r>
      <w:r>
        <w:rPr>
          <w:spacing w:val="-15"/>
        </w:rPr>
        <w:t> </w:t>
      </w:r>
      <w:r>
        <w:rPr/>
        <w:t>ser</w:t>
      </w:r>
      <w:r>
        <w:rPr>
          <w:spacing w:val="-17"/>
        </w:rPr>
        <w:t> </w:t>
      </w:r>
      <w:r>
        <w:rPr/>
        <w:t>utilizadas</w:t>
      </w:r>
      <w:r>
        <w:rPr>
          <w:spacing w:val="-14"/>
        </w:rPr>
        <w:t> </w:t>
      </w:r>
      <w:r>
        <w:rPr/>
        <w:t>para</w:t>
      </w:r>
      <w:r>
        <w:rPr>
          <w:spacing w:val="-16"/>
        </w:rPr>
        <w:t> </w:t>
      </w:r>
      <w:r>
        <w:rPr/>
        <w:t>tomar</w:t>
      </w:r>
      <w:r>
        <w:rPr>
          <w:spacing w:val="-17"/>
        </w:rPr>
        <w:t> </w:t>
      </w:r>
      <w:r>
        <w:rPr/>
        <w:t>posiciones en el mercado para capitalizar un alza del mercado. Sin embargo, a diferencia de invertir en acciones, la inversión en opciones también puede </w:t>
      </w:r>
      <w:r>
        <w:rPr>
          <w:spacing w:val="3"/>
        </w:rPr>
        <w:t>ser </w:t>
      </w:r>
      <w:r>
        <w:rPr/>
        <w:t>utilizada para aprovechar una baja del mercado. Al mismo tiempo, las pérdidas de los compradores de opciones están limitadas al monto de la prima, por lo que el</w:t>
      </w:r>
      <w:r>
        <w:rPr>
          <w:spacing w:val="-41"/>
        </w:rPr>
        <w:t> </w:t>
      </w:r>
      <w:r>
        <w:rPr/>
        <w:t>riesgo de comprar una opción es menor al de invertir en acciones. En cambio, los vendedores de las opciones asumen un riesgo significativo en caso de no tener cubierta su</w:t>
      </w:r>
      <w:r>
        <w:rPr>
          <w:spacing w:val="-27"/>
        </w:rPr>
        <w:t> </w:t>
      </w:r>
      <w:r>
        <w:rPr/>
        <w:t>posición.</w:t>
      </w:r>
    </w:p>
    <w:p>
      <w:pPr>
        <w:spacing w:after="0" w:line="360" w:lineRule="auto"/>
        <w:jc w:val="both"/>
        <w:sectPr>
          <w:pgSz w:w="12240" w:h="15840"/>
          <w:pgMar w:header="731" w:footer="737" w:top="1180" w:bottom="920" w:left="1560" w:right="1560"/>
        </w:sectPr>
      </w:pPr>
    </w:p>
    <w:p>
      <w:pPr>
        <w:pStyle w:val="BodyText"/>
        <w:rPr>
          <w:sz w:val="20"/>
        </w:rPr>
      </w:pPr>
    </w:p>
    <w:p>
      <w:pPr>
        <w:pStyle w:val="BodyText"/>
        <w:spacing w:before="3"/>
        <w:rPr>
          <w:sz w:val="16"/>
        </w:rPr>
      </w:pPr>
    </w:p>
    <w:p>
      <w:pPr>
        <w:pStyle w:val="ListParagraph"/>
        <w:numPr>
          <w:ilvl w:val="1"/>
          <w:numId w:val="17"/>
        </w:numPr>
        <w:tabs>
          <w:tab w:pos="594" w:val="left" w:leader="none"/>
        </w:tabs>
        <w:spacing w:line="240" w:lineRule="auto" w:before="65" w:after="0"/>
        <w:ind w:left="593" w:right="0" w:hanging="451"/>
        <w:jc w:val="left"/>
        <w:rPr>
          <w:b/>
          <w:sz w:val="22"/>
        </w:rPr>
      </w:pPr>
      <w:bookmarkStart w:name="_bookmark38" w:id="66"/>
      <w:bookmarkEnd w:id="66"/>
      <w:r>
        <w:rPr/>
      </w:r>
      <w:bookmarkStart w:name="_bookmark38" w:id="67"/>
      <w:bookmarkEnd w:id="67"/>
      <w:r>
        <w:rPr>
          <w:b/>
          <w:sz w:val="28"/>
        </w:rPr>
        <w:t>P</w:t>
      </w:r>
      <w:r>
        <w:rPr>
          <w:b/>
          <w:sz w:val="22"/>
        </w:rPr>
        <w:t>RIMA</w:t>
      </w:r>
    </w:p>
    <w:p>
      <w:pPr>
        <w:pStyle w:val="BodyText"/>
        <w:spacing w:line="360" w:lineRule="auto" w:before="241"/>
        <w:ind w:left="142" w:right="145" w:firstLine="707"/>
        <w:jc w:val="both"/>
      </w:pPr>
      <w:r>
        <w:rPr/>
        <w:t>En el mercado de opciones el precio de la opción se llama prima. Como cualquier otro precio en la economía, el precio de la opción lo determina la oferta y la demanda. Sin embargo, el precio al que se esta dispuesto a comprar o vender depende fundamentalmente de seis factores.</w:t>
      </w:r>
    </w:p>
    <w:p>
      <w:pPr>
        <w:pStyle w:val="Heading3"/>
        <w:numPr>
          <w:ilvl w:val="0"/>
          <w:numId w:val="18"/>
        </w:numPr>
        <w:tabs>
          <w:tab w:pos="702" w:val="left" w:leader="none"/>
        </w:tabs>
        <w:spacing w:line="240" w:lineRule="auto" w:before="120" w:after="0"/>
        <w:ind w:left="701" w:right="0" w:hanging="202"/>
        <w:jc w:val="left"/>
      </w:pPr>
      <w:r>
        <w:rPr/>
        <w:t>Precio</w:t>
      </w:r>
      <w:r>
        <w:rPr>
          <w:spacing w:val="-2"/>
        </w:rPr>
        <w:t> </w:t>
      </w:r>
      <w:r>
        <w:rPr/>
        <w:t>Spot</w:t>
      </w:r>
    </w:p>
    <w:p>
      <w:pPr>
        <w:pStyle w:val="BodyText"/>
        <w:spacing w:line="360" w:lineRule="auto" w:before="62"/>
        <w:ind w:left="142" w:right="140" w:firstLine="707"/>
        <w:jc w:val="both"/>
      </w:pPr>
      <w:r>
        <w:rPr/>
        <w:t>Existe una relación directa entre el precio del subyacente y la prima de la opción. Las variaciones en el precio del subyacente suponen variaciones en la prima. Estos cambios en el precio tienen efectos opuestos en Calls y Puts.</w:t>
      </w:r>
    </w:p>
    <w:p>
      <w:pPr>
        <w:pStyle w:val="BodyText"/>
        <w:spacing w:line="360" w:lineRule="auto" w:before="5"/>
        <w:ind w:left="142" w:right="145" w:firstLine="707"/>
        <w:jc w:val="both"/>
      </w:pPr>
      <w:r>
        <w:rPr/>
        <w:t>En términos generales, una subida en la cotización del subyacente incrementa el precio del Call y disminuye el del Put, y una baja en el precio del subyacente disminuye el  precio del Call y aumenta el del Put.</w:t>
      </w:r>
    </w:p>
    <w:p>
      <w:pPr>
        <w:pStyle w:val="Heading3"/>
        <w:numPr>
          <w:ilvl w:val="0"/>
          <w:numId w:val="18"/>
        </w:numPr>
        <w:tabs>
          <w:tab w:pos="702" w:val="left" w:leader="none"/>
        </w:tabs>
        <w:spacing w:line="240" w:lineRule="auto" w:before="120" w:after="0"/>
        <w:ind w:left="701" w:right="0" w:hanging="202"/>
        <w:jc w:val="left"/>
      </w:pPr>
      <w:r>
        <w:rPr/>
        <w:t>Precio de</w:t>
      </w:r>
      <w:r>
        <w:rPr>
          <w:spacing w:val="-8"/>
        </w:rPr>
        <w:t> </w:t>
      </w:r>
      <w:r>
        <w:rPr/>
        <w:t>Ejercicio</w:t>
      </w:r>
    </w:p>
    <w:p>
      <w:pPr>
        <w:pStyle w:val="BodyText"/>
        <w:spacing w:line="360" w:lineRule="auto" w:before="62"/>
        <w:ind w:left="142" w:right="142" w:firstLine="707"/>
        <w:jc w:val="both"/>
      </w:pPr>
      <w:r>
        <w:rPr/>
        <w:t>El precio de ejercicio determina si es que una opción tiene valor intrínseco. Se dice que una opción de compra tiene valor intrínseco (Dentro del Dinero) si el precio</w:t>
      </w:r>
      <w:r>
        <w:rPr>
          <w:spacing w:val="-5"/>
        </w:rPr>
        <w:t> </w:t>
      </w:r>
      <w:r>
        <w:rPr/>
        <w:t>de</w:t>
      </w:r>
      <w:r>
        <w:rPr>
          <w:spacing w:val="-7"/>
        </w:rPr>
        <w:t> </w:t>
      </w:r>
      <w:r>
        <w:rPr/>
        <w:t>ejercicio</w:t>
      </w:r>
      <w:r>
        <w:rPr>
          <w:spacing w:val="-5"/>
        </w:rPr>
        <w:t> </w:t>
      </w:r>
      <w:r>
        <w:rPr/>
        <w:t>es</w:t>
      </w:r>
      <w:r>
        <w:rPr>
          <w:spacing w:val="-8"/>
        </w:rPr>
        <w:t> </w:t>
      </w:r>
      <w:r>
        <w:rPr/>
        <w:t>menor</w:t>
      </w:r>
      <w:r>
        <w:rPr>
          <w:spacing w:val="-6"/>
        </w:rPr>
        <w:t> </w:t>
      </w:r>
      <w:r>
        <w:rPr/>
        <w:t>que</w:t>
      </w:r>
      <w:r>
        <w:rPr>
          <w:spacing w:val="-5"/>
        </w:rPr>
        <w:t> </w:t>
      </w:r>
      <w:r>
        <w:rPr/>
        <w:t>el</w:t>
      </w:r>
      <w:r>
        <w:rPr>
          <w:spacing w:val="-6"/>
        </w:rPr>
        <w:t> </w:t>
      </w:r>
      <w:r>
        <w:rPr/>
        <w:t>precio</w:t>
      </w:r>
      <w:r>
        <w:rPr>
          <w:spacing w:val="-7"/>
        </w:rPr>
        <w:t> </w:t>
      </w:r>
      <w:r>
        <w:rPr/>
        <w:t>de</w:t>
      </w:r>
      <w:r>
        <w:rPr>
          <w:spacing w:val="-7"/>
        </w:rPr>
        <w:t> </w:t>
      </w:r>
      <w:r>
        <w:rPr/>
        <w:t>la</w:t>
      </w:r>
      <w:r>
        <w:rPr>
          <w:spacing w:val="-5"/>
        </w:rPr>
        <w:t> </w:t>
      </w:r>
      <w:r>
        <w:rPr/>
        <w:t>acción.</w:t>
      </w:r>
      <w:r>
        <w:rPr>
          <w:spacing w:val="-8"/>
        </w:rPr>
        <w:t> </w:t>
      </w:r>
      <w:r>
        <w:rPr/>
        <w:t>Por</w:t>
      </w:r>
      <w:r>
        <w:rPr>
          <w:spacing w:val="-6"/>
        </w:rPr>
        <w:t> </w:t>
      </w:r>
      <w:r>
        <w:rPr/>
        <w:t>otro</w:t>
      </w:r>
      <w:r>
        <w:rPr>
          <w:spacing w:val="-5"/>
        </w:rPr>
        <w:t> </w:t>
      </w:r>
      <w:r>
        <w:rPr/>
        <w:t>lado,</w:t>
      </w:r>
      <w:r>
        <w:rPr>
          <w:spacing w:val="-5"/>
        </w:rPr>
        <w:t> </w:t>
      </w:r>
      <w:r>
        <w:rPr/>
        <w:t>si</w:t>
      </w:r>
      <w:r>
        <w:rPr>
          <w:spacing w:val="-6"/>
        </w:rPr>
        <w:t> </w:t>
      </w:r>
      <w:r>
        <w:rPr/>
        <w:t>el</w:t>
      </w:r>
      <w:r>
        <w:rPr>
          <w:spacing w:val="-6"/>
        </w:rPr>
        <w:t> </w:t>
      </w:r>
      <w:r>
        <w:rPr/>
        <w:t>precio</w:t>
      </w:r>
      <w:r>
        <w:rPr>
          <w:spacing w:val="-8"/>
        </w:rPr>
        <w:t> </w:t>
      </w:r>
      <w:r>
        <w:rPr/>
        <w:t>de ejercicio es mayor que el de la acción, entonces decimos que la opción compra no tiene valor intrínseco o está fuera del dinero. Finalmente, si estos dos precios son iguales,</w:t>
      </w:r>
      <w:r>
        <w:rPr>
          <w:spacing w:val="-16"/>
        </w:rPr>
        <w:t> </w:t>
      </w:r>
      <w:r>
        <w:rPr/>
        <w:t>entonces</w:t>
      </w:r>
      <w:r>
        <w:rPr>
          <w:spacing w:val="-16"/>
        </w:rPr>
        <w:t> </w:t>
      </w:r>
      <w:r>
        <w:rPr/>
        <w:t>la</w:t>
      </w:r>
      <w:r>
        <w:rPr>
          <w:spacing w:val="-16"/>
        </w:rPr>
        <w:t> </w:t>
      </w:r>
      <w:r>
        <w:rPr/>
        <w:t>opción</w:t>
      </w:r>
      <w:r>
        <w:rPr>
          <w:spacing w:val="-15"/>
        </w:rPr>
        <w:t> </w:t>
      </w:r>
      <w:r>
        <w:rPr/>
        <w:t>compra</w:t>
      </w:r>
      <w:r>
        <w:rPr>
          <w:spacing w:val="-16"/>
        </w:rPr>
        <w:t> </w:t>
      </w:r>
      <w:r>
        <w:rPr/>
        <w:t>está</w:t>
      </w:r>
      <w:r>
        <w:rPr>
          <w:spacing w:val="-15"/>
        </w:rPr>
        <w:t> </w:t>
      </w:r>
      <w:r>
        <w:rPr/>
        <w:t>exactamente</w:t>
      </w:r>
      <w:r>
        <w:rPr>
          <w:spacing w:val="-18"/>
        </w:rPr>
        <w:t> </w:t>
      </w:r>
      <w:r>
        <w:rPr/>
        <w:t>en</w:t>
      </w:r>
      <w:r>
        <w:rPr>
          <w:spacing w:val="-18"/>
        </w:rPr>
        <w:t> </w:t>
      </w:r>
      <w:r>
        <w:rPr/>
        <w:t>el</w:t>
      </w:r>
      <w:r>
        <w:rPr>
          <w:spacing w:val="-17"/>
        </w:rPr>
        <w:t> </w:t>
      </w:r>
      <w:r>
        <w:rPr/>
        <w:t>dinero.</w:t>
      </w:r>
      <w:r>
        <w:rPr>
          <w:spacing w:val="-16"/>
        </w:rPr>
        <w:t> </w:t>
      </w:r>
      <w:r>
        <w:rPr/>
        <w:t>El</w:t>
      </w:r>
      <w:r>
        <w:rPr>
          <w:spacing w:val="-19"/>
        </w:rPr>
        <w:t> </w:t>
      </w:r>
      <w:r>
        <w:rPr/>
        <w:t>motivo</w:t>
      </w:r>
      <w:r>
        <w:rPr>
          <w:spacing w:val="-16"/>
        </w:rPr>
        <w:t> </w:t>
      </w:r>
      <w:r>
        <w:rPr/>
        <w:t>de</w:t>
      </w:r>
      <w:r>
        <w:rPr>
          <w:spacing w:val="-18"/>
        </w:rPr>
        <w:t> </w:t>
      </w:r>
      <w:r>
        <w:rPr/>
        <w:t>esto es simple, si una Opción se encuentra dentro del dinero, es porque tiene un valor positivo si es que se quiere vender. Si, por el contrario, se encuentra fuera del dinero, nadie querrá</w:t>
      </w:r>
      <w:r>
        <w:rPr>
          <w:spacing w:val="-13"/>
        </w:rPr>
        <w:t> </w:t>
      </w:r>
      <w:r>
        <w:rPr/>
        <w:t>comprarla.</w:t>
      </w:r>
    </w:p>
    <w:p>
      <w:pPr>
        <w:pStyle w:val="BodyText"/>
        <w:spacing w:line="360" w:lineRule="auto" w:before="5"/>
        <w:ind w:left="142" w:right="144" w:firstLine="707"/>
        <w:jc w:val="both"/>
      </w:pPr>
      <w:r>
        <w:rPr/>
        <w:t>Para una opción de venta, sucede lo contrario. Si el precio de ejercicio es mayor que el precio de la acción entonces la opción de venta se encuentra dentro del dinero. Por el contrario, si el precio de la acción es mayor que el de ejercicio, la opción venta se encuentra fuera del dinero. Finalmente, si los dos precios son iguales, la opción venta está exactamente en el dinero.</w:t>
      </w:r>
    </w:p>
    <w:p>
      <w:pPr>
        <w:pStyle w:val="BodyText"/>
        <w:spacing w:line="360" w:lineRule="auto" w:before="5"/>
        <w:ind w:left="142" w:right="135" w:firstLine="707"/>
        <w:jc w:val="both"/>
      </w:pPr>
      <w:r>
        <w:rPr/>
        <w:t>Para un determinado precio del subyacente, las opciones Call con Precio de Ejercicio</w:t>
      </w:r>
      <w:r>
        <w:rPr>
          <w:spacing w:val="-8"/>
        </w:rPr>
        <w:t> </w:t>
      </w:r>
      <w:r>
        <w:rPr/>
        <w:t>más</w:t>
      </w:r>
      <w:r>
        <w:rPr>
          <w:spacing w:val="-8"/>
        </w:rPr>
        <w:t> </w:t>
      </w:r>
      <w:r>
        <w:rPr/>
        <w:t>alto</w:t>
      </w:r>
      <w:r>
        <w:rPr>
          <w:spacing w:val="-7"/>
        </w:rPr>
        <w:t> </w:t>
      </w:r>
      <w:r>
        <w:rPr/>
        <w:t>valen</w:t>
      </w:r>
      <w:r>
        <w:rPr>
          <w:spacing w:val="-7"/>
        </w:rPr>
        <w:t> </w:t>
      </w:r>
      <w:r>
        <w:rPr/>
        <w:t>menos</w:t>
      </w:r>
      <w:r>
        <w:rPr>
          <w:spacing w:val="-8"/>
        </w:rPr>
        <w:t> </w:t>
      </w:r>
      <w:r>
        <w:rPr/>
        <w:t>que</w:t>
      </w:r>
      <w:r>
        <w:rPr>
          <w:spacing w:val="-7"/>
        </w:rPr>
        <w:t> </w:t>
      </w:r>
      <w:r>
        <w:rPr/>
        <w:t>las</w:t>
      </w:r>
      <w:r>
        <w:rPr>
          <w:spacing w:val="-8"/>
        </w:rPr>
        <w:t> </w:t>
      </w:r>
      <w:r>
        <w:rPr/>
        <w:t>de</w:t>
      </w:r>
      <w:r>
        <w:rPr>
          <w:spacing w:val="-10"/>
        </w:rPr>
        <w:t> </w:t>
      </w:r>
      <w:r>
        <w:rPr/>
        <w:t>Precio</w:t>
      </w:r>
      <w:r>
        <w:rPr>
          <w:spacing w:val="-8"/>
        </w:rPr>
        <w:t> </w:t>
      </w:r>
      <w:r>
        <w:rPr/>
        <w:t>de</w:t>
      </w:r>
      <w:r>
        <w:rPr>
          <w:spacing w:val="-7"/>
        </w:rPr>
        <w:t> </w:t>
      </w:r>
      <w:r>
        <w:rPr/>
        <w:t>Ejercicio</w:t>
      </w:r>
      <w:r>
        <w:rPr>
          <w:spacing w:val="-8"/>
        </w:rPr>
        <w:t> </w:t>
      </w:r>
      <w:r>
        <w:rPr/>
        <w:t>más</w:t>
      </w:r>
      <w:r>
        <w:rPr>
          <w:spacing w:val="-8"/>
        </w:rPr>
        <w:t> </w:t>
      </w:r>
      <w:r>
        <w:rPr/>
        <w:t>bajo</w:t>
      </w:r>
      <w:r>
        <w:rPr>
          <w:spacing w:val="-8"/>
        </w:rPr>
        <w:t> </w:t>
      </w:r>
      <w:r>
        <w:rPr/>
        <w:t>(porque</w:t>
      </w:r>
      <w:r>
        <w:rPr>
          <w:spacing w:val="-7"/>
        </w:rPr>
        <w:t> </w:t>
      </w:r>
      <w:r>
        <w:rPr/>
        <w:t>hay menos  probabilidad  de  obtener  beneficios);  y  las  opciones  Put  con  Precio</w:t>
      </w:r>
      <w:r>
        <w:rPr>
          <w:spacing w:val="-14"/>
        </w:rPr>
        <w:t> </w:t>
      </w:r>
      <w:r>
        <w:rPr/>
        <w:t>de</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57"/>
      </w:pPr>
      <w:r>
        <w:rPr/>
        <w:t>Ejercicio más alto valen más que las de Precio de Ejercicio más bajo, (también porque hay menos probabilidad de obtener beneficios).</w:t>
      </w:r>
    </w:p>
    <w:p>
      <w:pPr>
        <w:pStyle w:val="Heading3"/>
        <w:numPr>
          <w:ilvl w:val="0"/>
          <w:numId w:val="18"/>
        </w:numPr>
        <w:tabs>
          <w:tab w:pos="702" w:val="left" w:leader="none"/>
        </w:tabs>
        <w:spacing w:line="240" w:lineRule="auto" w:before="120" w:after="0"/>
        <w:ind w:left="701" w:right="0" w:hanging="202"/>
        <w:jc w:val="left"/>
      </w:pPr>
      <w:r>
        <w:rPr/>
        <w:t>Tiempo de</w:t>
      </w:r>
      <w:r>
        <w:rPr>
          <w:spacing w:val="-6"/>
        </w:rPr>
        <w:t> </w:t>
      </w:r>
      <w:r>
        <w:rPr/>
        <w:t>vencimiento</w:t>
      </w:r>
    </w:p>
    <w:p>
      <w:pPr>
        <w:pStyle w:val="BodyText"/>
        <w:spacing w:line="360" w:lineRule="auto" w:before="62"/>
        <w:ind w:left="142" w:right="146" w:firstLine="707"/>
        <w:jc w:val="both"/>
      </w:pPr>
      <w:r>
        <w:rPr/>
        <w:t>El tiempo es una variable muy importante en el valor de las opciones. Las opciones pierden valor conforme pasa el tiempo, de manera que si ninguna otra variable cambia, sólo con el paso de los días el valor de una opción disminuye.</w:t>
      </w:r>
    </w:p>
    <w:p>
      <w:pPr>
        <w:pStyle w:val="BodyText"/>
        <w:spacing w:line="360" w:lineRule="auto" w:before="5"/>
        <w:ind w:left="142" w:right="138" w:firstLine="707"/>
        <w:jc w:val="both"/>
      </w:pPr>
      <w:r>
        <w:rPr/>
        <w:t>Esto dado que, cuánto más lejana esté la fecha de vencimiento de una opción, mayor incertidumbre habrá sobre los movimientos del precio del subyacente, y en consecuencia, mayor probabilidad de que el comprador obtenga beneficios</w:t>
      </w:r>
      <w:r>
        <w:rPr>
          <w:spacing w:val="-9"/>
        </w:rPr>
        <w:t> </w:t>
      </w:r>
      <w:r>
        <w:rPr/>
        <w:t>(dado</w:t>
      </w:r>
      <w:r>
        <w:rPr>
          <w:spacing w:val="-11"/>
        </w:rPr>
        <w:t> </w:t>
      </w:r>
      <w:r>
        <w:rPr/>
        <w:t>que</w:t>
      </w:r>
      <w:r>
        <w:rPr>
          <w:spacing w:val="-9"/>
        </w:rPr>
        <w:t> </w:t>
      </w:r>
      <w:r>
        <w:rPr/>
        <w:t>las</w:t>
      </w:r>
      <w:r>
        <w:rPr>
          <w:spacing w:val="-9"/>
        </w:rPr>
        <w:t> </w:t>
      </w:r>
      <w:r>
        <w:rPr/>
        <w:t>pérdidas</w:t>
      </w:r>
      <w:r>
        <w:rPr>
          <w:spacing w:val="-12"/>
        </w:rPr>
        <w:t> </w:t>
      </w:r>
      <w:r>
        <w:rPr/>
        <w:t>están</w:t>
      </w:r>
      <w:r>
        <w:rPr>
          <w:spacing w:val="-9"/>
        </w:rPr>
        <w:t> </w:t>
      </w:r>
      <w:r>
        <w:rPr/>
        <w:t>limitadas</w:t>
      </w:r>
      <w:r>
        <w:rPr>
          <w:spacing w:val="-12"/>
        </w:rPr>
        <w:t> </w:t>
      </w:r>
      <w:r>
        <w:rPr/>
        <w:t>y</w:t>
      </w:r>
      <w:r>
        <w:rPr>
          <w:spacing w:val="-12"/>
        </w:rPr>
        <w:t> </w:t>
      </w:r>
      <w:r>
        <w:rPr/>
        <w:t>las</w:t>
      </w:r>
      <w:r>
        <w:rPr>
          <w:spacing w:val="-9"/>
        </w:rPr>
        <w:t> </w:t>
      </w:r>
      <w:r>
        <w:rPr/>
        <w:t>ganancias</w:t>
      </w:r>
      <w:r>
        <w:rPr>
          <w:spacing w:val="-11"/>
        </w:rPr>
        <w:t> </w:t>
      </w:r>
      <w:r>
        <w:rPr/>
        <w:t>no).</w:t>
      </w:r>
      <w:r>
        <w:rPr>
          <w:spacing w:val="-9"/>
        </w:rPr>
        <w:t> </w:t>
      </w:r>
      <w:r>
        <w:rPr/>
        <w:t>Dado</w:t>
      </w:r>
      <w:r>
        <w:rPr>
          <w:spacing w:val="-9"/>
        </w:rPr>
        <w:t> </w:t>
      </w:r>
      <w:r>
        <w:rPr/>
        <w:t>que</w:t>
      </w:r>
      <w:r>
        <w:rPr>
          <w:spacing w:val="-11"/>
        </w:rPr>
        <w:t> </w:t>
      </w:r>
      <w:r>
        <w:rPr/>
        <w:t>las opciones, son un juego de suma cero (lo que gano uno lo pierde otro), el vendedor tiene más probabilidades de perder en cuanto más tiempo exista a vencimiento</w:t>
      </w:r>
      <w:r>
        <w:rPr>
          <w:spacing w:val="-34"/>
        </w:rPr>
        <w:t> </w:t>
      </w:r>
      <w:r>
        <w:rPr/>
        <w:t>por lo que exigirá una prima mayor para asumir el riesgo. </w:t>
      </w:r>
      <w:r>
        <w:rPr>
          <w:spacing w:val="4"/>
        </w:rPr>
        <w:t>Lo </w:t>
      </w:r>
      <w:r>
        <w:rPr/>
        <w:t>contrario sucede cuando el vencimiento se acerca, las probabilidad de ganar para el comprador disminuyen por lo que para tener incentivos para comprar, el precio tiene que ser lo suficientemente</w:t>
      </w:r>
      <w:r>
        <w:rPr>
          <w:spacing w:val="-8"/>
        </w:rPr>
        <w:t> </w:t>
      </w:r>
      <w:r>
        <w:rPr/>
        <w:t>bajo.</w:t>
      </w:r>
    </w:p>
    <w:p>
      <w:pPr>
        <w:pStyle w:val="Heading3"/>
        <w:numPr>
          <w:ilvl w:val="0"/>
          <w:numId w:val="18"/>
        </w:numPr>
        <w:tabs>
          <w:tab w:pos="702" w:val="left" w:leader="none"/>
        </w:tabs>
        <w:spacing w:line="240" w:lineRule="auto" w:before="120" w:after="0"/>
        <w:ind w:left="701" w:right="0" w:hanging="202"/>
        <w:jc w:val="left"/>
      </w:pPr>
      <w:r>
        <w:rPr/>
        <w:t>Dividendos</w:t>
      </w:r>
    </w:p>
    <w:p>
      <w:pPr>
        <w:pStyle w:val="BodyText"/>
        <w:spacing w:line="360" w:lineRule="auto" w:before="62"/>
        <w:ind w:left="142" w:right="140" w:firstLine="707"/>
        <w:jc w:val="both"/>
      </w:pPr>
      <w:r>
        <w:rPr/>
        <w:t>Los dividendos se pagan a los accionistas, pero no a los inversionistas de opciones sobre acciones. Sin embargo, dado que el precio de subyacente (en este caso</w:t>
      </w:r>
      <w:r>
        <w:rPr>
          <w:spacing w:val="-8"/>
        </w:rPr>
        <w:t> </w:t>
      </w:r>
      <w:r>
        <w:rPr/>
        <w:t>acciones)</w:t>
      </w:r>
      <w:r>
        <w:rPr>
          <w:spacing w:val="-10"/>
        </w:rPr>
        <w:t> </w:t>
      </w:r>
      <w:r>
        <w:rPr/>
        <w:t>es</w:t>
      </w:r>
      <w:r>
        <w:rPr>
          <w:spacing w:val="-12"/>
        </w:rPr>
        <w:t> </w:t>
      </w:r>
      <w:r>
        <w:rPr/>
        <w:t>afectado</w:t>
      </w:r>
      <w:r>
        <w:rPr>
          <w:spacing w:val="-11"/>
        </w:rPr>
        <w:t> </w:t>
      </w:r>
      <w:r>
        <w:rPr/>
        <w:t>por</w:t>
      </w:r>
      <w:r>
        <w:rPr>
          <w:spacing w:val="-10"/>
        </w:rPr>
        <w:t> </w:t>
      </w:r>
      <w:r>
        <w:rPr/>
        <w:t>el</w:t>
      </w:r>
      <w:r>
        <w:rPr>
          <w:spacing w:val="-10"/>
        </w:rPr>
        <w:t> </w:t>
      </w:r>
      <w:r>
        <w:rPr/>
        <w:t>pago</w:t>
      </w:r>
      <w:r>
        <w:rPr>
          <w:spacing w:val="-8"/>
        </w:rPr>
        <w:t> </w:t>
      </w:r>
      <w:r>
        <w:rPr/>
        <w:t>del</w:t>
      </w:r>
      <w:r>
        <w:rPr>
          <w:spacing w:val="-10"/>
        </w:rPr>
        <w:t> </w:t>
      </w:r>
      <w:r>
        <w:rPr/>
        <w:t>dividendo</w:t>
      </w:r>
      <w:r>
        <w:rPr>
          <w:spacing w:val="-8"/>
        </w:rPr>
        <w:t> </w:t>
      </w:r>
      <w:r>
        <w:rPr/>
        <w:t>y</w:t>
      </w:r>
      <w:r>
        <w:rPr>
          <w:spacing w:val="-12"/>
        </w:rPr>
        <w:t> </w:t>
      </w:r>
      <w:r>
        <w:rPr/>
        <w:t>como</w:t>
      </w:r>
      <w:r>
        <w:rPr>
          <w:spacing w:val="-8"/>
        </w:rPr>
        <w:t> </w:t>
      </w:r>
      <w:r>
        <w:rPr/>
        <w:t>ya</w:t>
      </w:r>
      <w:r>
        <w:rPr>
          <w:spacing w:val="-8"/>
        </w:rPr>
        <w:t> </w:t>
      </w:r>
      <w:r>
        <w:rPr/>
        <w:t>vimos,</w:t>
      </w:r>
      <w:r>
        <w:rPr>
          <w:spacing w:val="-9"/>
        </w:rPr>
        <w:t> </w:t>
      </w:r>
      <w:r>
        <w:rPr/>
        <w:t>el</w:t>
      </w:r>
      <w:r>
        <w:rPr>
          <w:spacing w:val="-10"/>
        </w:rPr>
        <w:t> </w:t>
      </w:r>
      <w:r>
        <w:rPr/>
        <w:t>precio</w:t>
      </w:r>
      <w:r>
        <w:rPr>
          <w:spacing w:val="-11"/>
        </w:rPr>
        <w:t> </w:t>
      </w:r>
      <w:r>
        <w:rPr/>
        <w:t>del subyacente afecta la prima; los dividendos afectan el valor de las</w:t>
      </w:r>
      <w:r>
        <w:rPr>
          <w:spacing w:val="-21"/>
        </w:rPr>
        <w:t> </w:t>
      </w:r>
      <w:r>
        <w:rPr/>
        <w:t>opciones.</w:t>
      </w:r>
    </w:p>
    <w:p>
      <w:pPr>
        <w:pStyle w:val="Heading3"/>
        <w:numPr>
          <w:ilvl w:val="0"/>
          <w:numId w:val="18"/>
        </w:numPr>
        <w:tabs>
          <w:tab w:pos="702" w:val="left" w:leader="none"/>
        </w:tabs>
        <w:spacing w:line="240" w:lineRule="auto" w:before="120" w:after="0"/>
        <w:ind w:left="701" w:right="0" w:hanging="202"/>
        <w:jc w:val="left"/>
      </w:pPr>
      <w:r>
        <w:rPr/>
        <w:t>Volatilidad</w:t>
      </w:r>
    </w:p>
    <w:p>
      <w:pPr>
        <w:pStyle w:val="BodyText"/>
        <w:spacing w:line="360" w:lineRule="auto" w:before="62"/>
        <w:ind w:left="142" w:right="136" w:firstLine="707"/>
        <w:jc w:val="both"/>
      </w:pPr>
      <w:r>
        <w:rPr/>
        <w:t>La volatilidad de un activo, por ejemplo de una acción, es una medida de la variabilidad de las cotizaciones de dicha acción, a mayor variabilidad mayor volatilidad. Una acción cuya cotización fuese siempre la misma tendría volatilidad cero.</w:t>
      </w:r>
      <w:r>
        <w:rPr>
          <w:spacing w:val="-4"/>
        </w:rPr>
        <w:t> </w:t>
      </w:r>
      <w:r>
        <w:rPr/>
        <w:t>Sin</w:t>
      </w:r>
      <w:r>
        <w:rPr>
          <w:spacing w:val="-4"/>
        </w:rPr>
        <w:t> </w:t>
      </w:r>
      <w:r>
        <w:rPr/>
        <w:t>embargo,</w:t>
      </w:r>
      <w:r>
        <w:rPr>
          <w:spacing w:val="-4"/>
        </w:rPr>
        <w:t> </w:t>
      </w:r>
      <w:r>
        <w:rPr/>
        <w:t>la</w:t>
      </w:r>
      <w:r>
        <w:rPr>
          <w:spacing w:val="-4"/>
        </w:rPr>
        <w:t> </w:t>
      </w:r>
      <w:r>
        <w:rPr/>
        <w:t>volatilidad</w:t>
      </w:r>
      <w:r>
        <w:rPr>
          <w:spacing w:val="-4"/>
        </w:rPr>
        <w:t> </w:t>
      </w:r>
      <w:r>
        <w:rPr/>
        <w:t>de</w:t>
      </w:r>
      <w:r>
        <w:rPr>
          <w:spacing w:val="-4"/>
        </w:rPr>
        <w:t> </w:t>
      </w:r>
      <w:r>
        <w:rPr/>
        <w:t>un</w:t>
      </w:r>
      <w:r>
        <w:rPr>
          <w:spacing w:val="-4"/>
        </w:rPr>
        <w:t> </w:t>
      </w:r>
      <w:r>
        <w:rPr/>
        <w:t>activo</w:t>
      </w:r>
      <w:r>
        <w:rPr>
          <w:spacing w:val="-4"/>
        </w:rPr>
        <w:t> </w:t>
      </w:r>
      <w:r>
        <w:rPr/>
        <w:t>varía</w:t>
      </w:r>
      <w:r>
        <w:rPr>
          <w:spacing w:val="-4"/>
        </w:rPr>
        <w:t> </w:t>
      </w:r>
      <w:r>
        <w:rPr/>
        <w:t>en</w:t>
      </w:r>
      <w:r>
        <w:rPr>
          <w:spacing w:val="-4"/>
        </w:rPr>
        <w:t> </w:t>
      </w:r>
      <w:r>
        <w:rPr/>
        <w:t>el</w:t>
      </w:r>
      <w:r>
        <w:rPr>
          <w:spacing w:val="-5"/>
        </w:rPr>
        <w:t> </w:t>
      </w:r>
      <w:r>
        <w:rPr/>
        <w:t>tiempo.</w:t>
      </w:r>
      <w:r>
        <w:rPr>
          <w:spacing w:val="-4"/>
        </w:rPr>
        <w:t> </w:t>
      </w:r>
      <w:r>
        <w:rPr/>
        <w:t>La</w:t>
      </w:r>
      <w:r>
        <w:rPr>
          <w:spacing w:val="-6"/>
        </w:rPr>
        <w:t> </w:t>
      </w:r>
      <w:r>
        <w:rPr/>
        <w:t>volatilidad</w:t>
      </w:r>
      <w:r>
        <w:rPr>
          <w:spacing w:val="-4"/>
        </w:rPr>
        <w:t> </w:t>
      </w:r>
      <w:r>
        <w:rPr/>
        <w:t>es</w:t>
      </w:r>
      <w:r>
        <w:rPr>
          <w:spacing w:val="-4"/>
        </w:rPr>
        <w:t> </w:t>
      </w:r>
      <w:r>
        <w:rPr/>
        <w:t>el parámetro que más influye en la determinación del precio de una opción, puesto que marca la probabilidad de que el precio spot se acerque o sobrepase el precio de</w:t>
      </w:r>
      <w:r>
        <w:rPr>
          <w:spacing w:val="-5"/>
        </w:rPr>
        <w:t> </w:t>
      </w:r>
      <w:r>
        <w:rPr/>
        <w:t>ejercicio.</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45" w:firstLine="707"/>
        <w:jc w:val="both"/>
      </w:pPr>
      <w:r>
        <w:rPr/>
        <w:t>Sabemos que al medir la volatilidad, está no marca tendencias, sino que determina movimientos, los cuales pueden ser positivos o negativos. También sabemos que las pérdidas en opciones están limitadas y las ganancias no, por lo que al contar con una volatilidad alta la probabilidad de ganancia es mayor, auque la volatilidad pueda moverse en tu contra. En consecuencia a mayor volatilidad, manteniendo las otras variables constantes, mayor el precio de la opción.</w:t>
      </w:r>
    </w:p>
    <w:p>
      <w:pPr>
        <w:pStyle w:val="BodyText"/>
        <w:spacing w:line="360" w:lineRule="auto" w:before="2"/>
        <w:ind w:left="142" w:right="136" w:firstLine="707"/>
        <w:jc w:val="both"/>
      </w:pPr>
      <w:r>
        <w:rPr/>
        <w:t>Consideremos el caso en que la volatilidad es alta, entonces sabemos que es muy probable que el precio del subyacente suba sustancialmente o baje, igualmente, de manera importante (dado que existe la misma probabilidad de que suba o baje). En el escenario alcista el comprador de un call ganaría mucho, en cambio, en el escenario contrario perdería únicamente el valor de la prima. Para el caso</w:t>
      </w:r>
      <w:r>
        <w:rPr>
          <w:spacing w:val="-14"/>
        </w:rPr>
        <w:t> </w:t>
      </w:r>
      <w:r>
        <w:rPr/>
        <w:t>de</w:t>
      </w:r>
      <w:r>
        <w:rPr>
          <w:spacing w:val="-14"/>
        </w:rPr>
        <w:t> </w:t>
      </w:r>
      <w:r>
        <w:rPr/>
        <w:t>un</w:t>
      </w:r>
      <w:r>
        <w:rPr>
          <w:spacing w:val="-14"/>
        </w:rPr>
        <w:t> </w:t>
      </w:r>
      <w:r>
        <w:rPr/>
        <w:t>comprador</w:t>
      </w:r>
      <w:r>
        <w:rPr>
          <w:spacing w:val="-16"/>
        </w:rPr>
        <w:t> </w:t>
      </w:r>
      <w:r>
        <w:rPr/>
        <w:t>de</w:t>
      </w:r>
      <w:r>
        <w:rPr>
          <w:spacing w:val="-14"/>
        </w:rPr>
        <w:t> </w:t>
      </w:r>
      <w:r>
        <w:rPr/>
        <w:t>una</w:t>
      </w:r>
      <w:r>
        <w:rPr>
          <w:spacing w:val="-14"/>
        </w:rPr>
        <w:t> </w:t>
      </w:r>
      <w:r>
        <w:rPr/>
        <w:t>opción</w:t>
      </w:r>
      <w:r>
        <w:rPr>
          <w:spacing w:val="-14"/>
        </w:rPr>
        <w:t> </w:t>
      </w:r>
      <w:r>
        <w:rPr/>
        <w:t>Put,</w:t>
      </w:r>
      <w:r>
        <w:rPr>
          <w:spacing w:val="-14"/>
        </w:rPr>
        <w:t> </w:t>
      </w:r>
      <w:r>
        <w:rPr/>
        <w:t>se</w:t>
      </w:r>
      <w:r>
        <w:rPr>
          <w:spacing w:val="-14"/>
        </w:rPr>
        <w:t> </w:t>
      </w:r>
      <w:r>
        <w:rPr/>
        <w:t>beneficia</w:t>
      </w:r>
      <w:r>
        <w:rPr>
          <w:spacing w:val="-14"/>
        </w:rPr>
        <w:t> </w:t>
      </w:r>
      <w:r>
        <w:rPr/>
        <w:t>igualmente</w:t>
      </w:r>
      <w:r>
        <w:rPr>
          <w:spacing w:val="-14"/>
        </w:rPr>
        <w:t> </w:t>
      </w:r>
      <w:r>
        <w:rPr/>
        <w:t>de</w:t>
      </w:r>
      <w:r>
        <w:rPr>
          <w:spacing w:val="-14"/>
        </w:rPr>
        <w:t> </w:t>
      </w:r>
      <w:r>
        <w:rPr/>
        <w:t>una</w:t>
      </w:r>
      <w:r>
        <w:rPr>
          <w:spacing w:val="-14"/>
        </w:rPr>
        <w:t> </w:t>
      </w:r>
      <w:r>
        <w:rPr/>
        <w:t>volatilidad alta,</w:t>
      </w:r>
      <w:r>
        <w:rPr>
          <w:spacing w:val="-13"/>
        </w:rPr>
        <w:t> </w:t>
      </w:r>
      <w:r>
        <w:rPr/>
        <w:t>puesto</w:t>
      </w:r>
      <w:r>
        <w:rPr>
          <w:spacing w:val="-13"/>
        </w:rPr>
        <w:t> </w:t>
      </w:r>
      <w:r>
        <w:rPr/>
        <w:t>que</w:t>
      </w:r>
      <w:r>
        <w:rPr>
          <w:spacing w:val="-13"/>
        </w:rPr>
        <w:t> </w:t>
      </w:r>
      <w:r>
        <w:rPr/>
        <w:t>en</w:t>
      </w:r>
      <w:r>
        <w:rPr>
          <w:spacing w:val="-13"/>
        </w:rPr>
        <w:t> </w:t>
      </w:r>
      <w:r>
        <w:rPr/>
        <w:t>el</w:t>
      </w:r>
      <w:r>
        <w:rPr>
          <w:spacing w:val="-14"/>
        </w:rPr>
        <w:t> </w:t>
      </w:r>
      <w:r>
        <w:rPr/>
        <w:t>escenario</w:t>
      </w:r>
      <w:r>
        <w:rPr>
          <w:spacing w:val="-13"/>
        </w:rPr>
        <w:t> </w:t>
      </w:r>
      <w:r>
        <w:rPr/>
        <w:t>alcista</w:t>
      </w:r>
      <w:r>
        <w:rPr>
          <w:spacing w:val="-15"/>
        </w:rPr>
        <w:t> </w:t>
      </w:r>
      <w:r>
        <w:rPr/>
        <w:t>únicamente</w:t>
      </w:r>
      <w:r>
        <w:rPr>
          <w:spacing w:val="-13"/>
        </w:rPr>
        <w:t> </w:t>
      </w:r>
      <w:r>
        <w:rPr/>
        <w:t>pierde</w:t>
      </w:r>
      <w:r>
        <w:rPr>
          <w:spacing w:val="-13"/>
        </w:rPr>
        <w:t> </w:t>
      </w:r>
      <w:r>
        <w:rPr/>
        <w:t>la</w:t>
      </w:r>
      <w:r>
        <w:rPr>
          <w:spacing w:val="-13"/>
        </w:rPr>
        <w:t> </w:t>
      </w:r>
      <w:r>
        <w:rPr/>
        <w:t>prima</w:t>
      </w:r>
      <w:r>
        <w:rPr>
          <w:spacing w:val="-13"/>
        </w:rPr>
        <w:t> </w:t>
      </w:r>
      <w:r>
        <w:rPr/>
        <w:t>y</w:t>
      </w:r>
      <w:r>
        <w:rPr>
          <w:spacing w:val="-16"/>
        </w:rPr>
        <w:t> </w:t>
      </w:r>
      <w:r>
        <w:rPr/>
        <w:t>en</w:t>
      </w:r>
      <w:r>
        <w:rPr>
          <w:spacing w:val="-13"/>
        </w:rPr>
        <w:t> </w:t>
      </w:r>
      <w:r>
        <w:rPr/>
        <w:t>el</w:t>
      </w:r>
      <w:r>
        <w:rPr>
          <w:spacing w:val="-14"/>
        </w:rPr>
        <w:t> </w:t>
      </w:r>
      <w:r>
        <w:rPr/>
        <w:t>escenario a la baja tendría ganancias considerables. Por lo tanto, una volatilidad es conveniente para el comprador de la opción (Put o Call) y afecta al vendedor. Así, el comprador estará dispuesto a pagar un precio alto y el vendedor no aceptará un precio bajo. En consecuencia, a mayor volatilidad mayor precio de la</w:t>
      </w:r>
      <w:r>
        <w:rPr>
          <w:spacing w:val="-28"/>
        </w:rPr>
        <w:t> </w:t>
      </w:r>
      <w:r>
        <w:rPr/>
        <w:t>opción.</w:t>
      </w:r>
    </w:p>
    <w:p>
      <w:pPr>
        <w:pStyle w:val="BodyText"/>
        <w:spacing w:line="360" w:lineRule="auto" w:before="2"/>
        <w:ind w:left="142" w:right="145" w:firstLine="707"/>
        <w:jc w:val="both"/>
      </w:pPr>
      <w:r>
        <w:rPr/>
        <w:t>El valor de los otros cinco factores que afectan el precio de la opción son únicos y conocidos, sin embargo, para la volatilidad no existe un valor único. Es necesario que su valor se estime y existen varias formas de hacerlo, algunas de ellas son las siguientes:</w:t>
      </w:r>
    </w:p>
    <w:p>
      <w:pPr>
        <w:pStyle w:val="ListParagraph"/>
        <w:numPr>
          <w:ilvl w:val="1"/>
          <w:numId w:val="18"/>
        </w:numPr>
        <w:tabs>
          <w:tab w:pos="1275" w:val="left" w:leader="none"/>
        </w:tabs>
        <w:spacing w:line="355" w:lineRule="auto" w:before="3" w:after="0"/>
        <w:ind w:left="1274" w:right="146" w:hanging="357"/>
        <w:jc w:val="both"/>
        <w:rPr>
          <w:sz w:val="24"/>
        </w:rPr>
      </w:pPr>
      <w:r>
        <w:rPr>
          <w:sz w:val="24"/>
        </w:rPr>
        <w:t>Volatilidad Histórica: Es la volatilidad obtenida por medio de series históricas del subyacente. Aquí el es supuesto es que el pasado puede repetirse.</w:t>
      </w:r>
    </w:p>
    <w:p>
      <w:pPr>
        <w:pStyle w:val="ListParagraph"/>
        <w:numPr>
          <w:ilvl w:val="1"/>
          <w:numId w:val="18"/>
        </w:numPr>
        <w:tabs>
          <w:tab w:pos="1275" w:val="left" w:leader="none"/>
        </w:tabs>
        <w:spacing w:line="357" w:lineRule="auto" w:before="11" w:after="0"/>
        <w:ind w:left="1274" w:right="142" w:hanging="357"/>
        <w:jc w:val="both"/>
        <w:rPr>
          <w:sz w:val="24"/>
        </w:rPr>
      </w:pPr>
      <w:r>
        <w:rPr>
          <w:sz w:val="24"/>
        </w:rPr>
        <w:t>Volatilidad</w:t>
      </w:r>
      <w:r>
        <w:rPr>
          <w:spacing w:val="-10"/>
          <w:sz w:val="24"/>
        </w:rPr>
        <w:t> </w:t>
      </w:r>
      <w:r>
        <w:rPr>
          <w:sz w:val="24"/>
        </w:rPr>
        <w:t>Implícita:</w:t>
      </w:r>
      <w:r>
        <w:rPr>
          <w:spacing w:val="-14"/>
          <w:sz w:val="24"/>
        </w:rPr>
        <w:t> </w:t>
      </w:r>
      <w:r>
        <w:rPr>
          <w:sz w:val="24"/>
        </w:rPr>
        <w:t>La</w:t>
      </w:r>
      <w:r>
        <w:rPr>
          <w:spacing w:val="-14"/>
          <w:sz w:val="24"/>
        </w:rPr>
        <w:t> </w:t>
      </w:r>
      <w:r>
        <w:rPr>
          <w:sz w:val="24"/>
        </w:rPr>
        <w:t>volatilidad</w:t>
      </w:r>
      <w:r>
        <w:rPr>
          <w:spacing w:val="-12"/>
          <w:sz w:val="24"/>
        </w:rPr>
        <w:t> </w:t>
      </w:r>
      <w:r>
        <w:rPr>
          <w:sz w:val="24"/>
        </w:rPr>
        <w:t>implícita</w:t>
      </w:r>
      <w:r>
        <w:rPr>
          <w:spacing w:val="-12"/>
          <w:sz w:val="24"/>
        </w:rPr>
        <w:t> </w:t>
      </w:r>
      <w:r>
        <w:rPr>
          <w:sz w:val="24"/>
        </w:rPr>
        <w:t>es,</w:t>
      </w:r>
      <w:r>
        <w:rPr>
          <w:spacing w:val="-14"/>
          <w:sz w:val="24"/>
        </w:rPr>
        <w:t> </w:t>
      </w:r>
      <w:r>
        <w:rPr>
          <w:sz w:val="24"/>
        </w:rPr>
        <w:t>como</w:t>
      </w:r>
      <w:r>
        <w:rPr>
          <w:spacing w:val="-12"/>
          <w:sz w:val="24"/>
        </w:rPr>
        <w:t> </w:t>
      </w:r>
      <w:r>
        <w:rPr>
          <w:sz w:val="24"/>
        </w:rPr>
        <w:t>su</w:t>
      </w:r>
      <w:r>
        <w:rPr>
          <w:spacing w:val="-12"/>
          <w:sz w:val="24"/>
        </w:rPr>
        <w:t> </w:t>
      </w:r>
      <w:r>
        <w:rPr>
          <w:sz w:val="24"/>
        </w:rPr>
        <w:t>nombre</w:t>
      </w:r>
      <w:r>
        <w:rPr>
          <w:spacing w:val="-12"/>
          <w:sz w:val="24"/>
        </w:rPr>
        <w:t> </w:t>
      </w:r>
      <w:r>
        <w:rPr>
          <w:sz w:val="24"/>
        </w:rPr>
        <w:t>lo</w:t>
      </w:r>
      <w:r>
        <w:rPr>
          <w:spacing w:val="-14"/>
          <w:sz w:val="24"/>
        </w:rPr>
        <w:t> </w:t>
      </w:r>
      <w:r>
        <w:rPr>
          <w:sz w:val="24"/>
        </w:rPr>
        <w:t>indica, la volatilidad que está implícita en el precio de una opción siendo conocidos el resto de los factores que intervienen en la valuación de las opciones.</w:t>
      </w:r>
    </w:p>
    <w:p>
      <w:pPr>
        <w:pStyle w:val="BodyText"/>
        <w:spacing w:line="360" w:lineRule="auto" w:before="5"/>
        <w:ind w:left="142" w:right="142" w:firstLine="707"/>
        <w:jc w:val="both"/>
      </w:pPr>
      <w:r>
        <w:rPr/>
        <w:t>En un momento determinado podemos decir que la volatilidad es alta si la volatilidad implícita es superior a la volatilidad histórica. Y por el contrario diremos que</w:t>
      </w:r>
      <w:r>
        <w:rPr>
          <w:spacing w:val="-9"/>
        </w:rPr>
        <w:t> </w:t>
      </w:r>
      <w:r>
        <w:rPr/>
        <w:t>la</w:t>
      </w:r>
      <w:r>
        <w:rPr>
          <w:spacing w:val="-10"/>
        </w:rPr>
        <w:t> </w:t>
      </w:r>
      <w:r>
        <w:rPr/>
        <w:t>volatilidad</w:t>
      </w:r>
      <w:r>
        <w:rPr>
          <w:spacing w:val="-9"/>
        </w:rPr>
        <w:t> </w:t>
      </w:r>
      <w:r>
        <w:rPr/>
        <w:t>es</w:t>
      </w:r>
      <w:r>
        <w:rPr>
          <w:spacing w:val="-13"/>
        </w:rPr>
        <w:t> </w:t>
      </w:r>
      <w:r>
        <w:rPr/>
        <w:t>baja</w:t>
      </w:r>
      <w:r>
        <w:rPr>
          <w:spacing w:val="-10"/>
        </w:rPr>
        <w:t> </w:t>
      </w:r>
      <w:r>
        <w:rPr/>
        <w:t>si</w:t>
      </w:r>
      <w:r>
        <w:rPr>
          <w:spacing w:val="-11"/>
        </w:rPr>
        <w:t> </w:t>
      </w:r>
      <w:r>
        <w:rPr/>
        <w:t>la</w:t>
      </w:r>
      <w:r>
        <w:rPr>
          <w:spacing w:val="-10"/>
        </w:rPr>
        <w:t> </w:t>
      </w:r>
      <w:r>
        <w:rPr/>
        <w:t>volatilidad</w:t>
      </w:r>
      <w:r>
        <w:rPr>
          <w:spacing w:val="-9"/>
        </w:rPr>
        <w:t> </w:t>
      </w:r>
      <w:r>
        <w:rPr/>
        <w:t>implícita</w:t>
      </w:r>
      <w:r>
        <w:rPr>
          <w:spacing w:val="-9"/>
        </w:rPr>
        <w:t> </w:t>
      </w:r>
      <w:r>
        <w:rPr/>
        <w:t>es</w:t>
      </w:r>
      <w:r>
        <w:rPr>
          <w:spacing w:val="-10"/>
        </w:rPr>
        <w:t> </w:t>
      </w:r>
      <w:r>
        <w:rPr/>
        <w:t>inferior</w:t>
      </w:r>
      <w:r>
        <w:rPr>
          <w:spacing w:val="-11"/>
        </w:rPr>
        <w:t> </w:t>
      </w:r>
      <w:r>
        <w:rPr/>
        <w:t>a</w:t>
      </w:r>
      <w:r>
        <w:rPr>
          <w:spacing w:val="-9"/>
        </w:rPr>
        <w:t> </w:t>
      </w:r>
      <w:r>
        <w:rPr/>
        <w:t>la</w:t>
      </w:r>
      <w:r>
        <w:rPr>
          <w:spacing w:val="-12"/>
        </w:rPr>
        <w:t> </w:t>
      </w:r>
      <w:r>
        <w:rPr/>
        <w:t>volatilidad</w:t>
      </w:r>
      <w:r>
        <w:rPr>
          <w:spacing w:val="-9"/>
        </w:rPr>
        <w:t> </w:t>
      </w:r>
      <w:r>
        <w:rPr/>
        <w:t>histórica.</w:t>
      </w:r>
    </w:p>
    <w:p>
      <w:pPr>
        <w:spacing w:after="0" w:line="360" w:lineRule="auto"/>
        <w:jc w:val="both"/>
        <w:sectPr>
          <w:pgSz w:w="12240" w:h="15840"/>
          <w:pgMar w:header="731" w:footer="737" w:top="1180" w:bottom="920" w:left="1560" w:right="1560"/>
        </w:sectPr>
      </w:pPr>
    </w:p>
    <w:p>
      <w:pPr>
        <w:pStyle w:val="BodyText"/>
        <w:rPr>
          <w:sz w:val="20"/>
        </w:rPr>
      </w:pPr>
    </w:p>
    <w:p>
      <w:pPr>
        <w:pStyle w:val="BodyText"/>
        <w:spacing w:before="9"/>
        <w:rPr>
          <w:sz w:val="15"/>
        </w:rPr>
      </w:pPr>
    </w:p>
    <w:p>
      <w:pPr>
        <w:pStyle w:val="Heading3"/>
        <w:numPr>
          <w:ilvl w:val="0"/>
          <w:numId w:val="18"/>
        </w:numPr>
        <w:tabs>
          <w:tab w:pos="702" w:val="left" w:leader="none"/>
        </w:tabs>
        <w:spacing w:line="240" w:lineRule="auto" w:before="70" w:after="0"/>
        <w:ind w:left="701" w:right="0" w:hanging="202"/>
        <w:jc w:val="left"/>
      </w:pPr>
      <w:r>
        <w:rPr/>
        <w:t>Tasa De</w:t>
      </w:r>
      <w:r>
        <w:rPr>
          <w:spacing w:val="-6"/>
        </w:rPr>
        <w:t> </w:t>
      </w:r>
      <w:r>
        <w:rPr/>
        <w:t>Interés</w:t>
      </w:r>
    </w:p>
    <w:p>
      <w:pPr>
        <w:pStyle w:val="BodyText"/>
        <w:spacing w:line="360" w:lineRule="auto" w:before="62"/>
        <w:ind w:left="142" w:right="141" w:firstLine="707"/>
        <w:jc w:val="both"/>
      </w:pPr>
      <w:r>
        <w:rPr/>
        <w:t>La</w:t>
      </w:r>
      <w:r>
        <w:rPr>
          <w:spacing w:val="-16"/>
        </w:rPr>
        <w:t> </w:t>
      </w:r>
      <w:r>
        <w:rPr/>
        <w:t>tasa</w:t>
      </w:r>
      <w:r>
        <w:rPr>
          <w:spacing w:val="-18"/>
        </w:rPr>
        <w:t> </w:t>
      </w:r>
      <w:r>
        <w:rPr/>
        <w:t>de</w:t>
      </w:r>
      <w:r>
        <w:rPr>
          <w:spacing w:val="-18"/>
        </w:rPr>
        <w:t> </w:t>
      </w:r>
      <w:r>
        <w:rPr/>
        <w:t>interés</w:t>
      </w:r>
      <w:r>
        <w:rPr>
          <w:spacing w:val="-16"/>
        </w:rPr>
        <w:t> </w:t>
      </w:r>
      <w:r>
        <w:rPr/>
        <w:t>libre</w:t>
      </w:r>
      <w:r>
        <w:rPr>
          <w:spacing w:val="-19"/>
        </w:rPr>
        <w:t> </w:t>
      </w:r>
      <w:r>
        <w:rPr/>
        <w:t>de</w:t>
      </w:r>
      <w:r>
        <w:rPr>
          <w:spacing w:val="-16"/>
        </w:rPr>
        <w:t> </w:t>
      </w:r>
      <w:r>
        <w:rPr/>
        <w:t>riesgo</w:t>
      </w:r>
      <w:r>
        <w:rPr>
          <w:spacing w:val="-16"/>
        </w:rPr>
        <w:t> </w:t>
      </w:r>
      <w:r>
        <w:rPr/>
        <w:t>(la</w:t>
      </w:r>
      <w:r>
        <w:rPr>
          <w:spacing w:val="-18"/>
        </w:rPr>
        <w:t> </w:t>
      </w:r>
      <w:r>
        <w:rPr/>
        <w:t>tasa</w:t>
      </w:r>
      <w:r>
        <w:rPr>
          <w:spacing w:val="-18"/>
        </w:rPr>
        <w:t> </w:t>
      </w:r>
      <w:r>
        <w:rPr/>
        <w:t>de</w:t>
      </w:r>
      <w:r>
        <w:rPr>
          <w:spacing w:val="-18"/>
        </w:rPr>
        <w:t> </w:t>
      </w:r>
      <w:r>
        <w:rPr/>
        <w:t>CETES</w:t>
      </w:r>
      <w:r>
        <w:rPr>
          <w:spacing w:val="-18"/>
        </w:rPr>
        <w:t> </w:t>
      </w:r>
      <w:r>
        <w:rPr/>
        <w:t>a</w:t>
      </w:r>
      <w:r>
        <w:rPr>
          <w:spacing w:val="-16"/>
        </w:rPr>
        <w:t> </w:t>
      </w:r>
      <w:r>
        <w:rPr/>
        <w:t>28</w:t>
      </w:r>
      <w:r>
        <w:rPr>
          <w:spacing w:val="-16"/>
        </w:rPr>
        <w:t> </w:t>
      </w:r>
      <w:r>
        <w:rPr/>
        <w:t>días)</w:t>
      </w:r>
      <w:r>
        <w:rPr>
          <w:spacing w:val="-17"/>
        </w:rPr>
        <w:t> </w:t>
      </w:r>
      <w:r>
        <w:rPr/>
        <w:t>afecta</w:t>
      </w:r>
      <w:r>
        <w:rPr>
          <w:spacing w:val="-18"/>
        </w:rPr>
        <w:t> </w:t>
      </w:r>
      <w:r>
        <w:rPr/>
        <w:t>al</w:t>
      </w:r>
      <w:r>
        <w:rPr>
          <w:spacing w:val="-17"/>
        </w:rPr>
        <w:t> </w:t>
      </w:r>
      <w:r>
        <w:rPr/>
        <w:t>precio de</w:t>
      </w:r>
      <w:r>
        <w:rPr>
          <w:spacing w:val="-5"/>
        </w:rPr>
        <w:t> </w:t>
      </w:r>
      <w:r>
        <w:rPr/>
        <w:t>una</w:t>
      </w:r>
      <w:r>
        <w:rPr>
          <w:spacing w:val="-7"/>
        </w:rPr>
        <w:t> </w:t>
      </w:r>
      <w:r>
        <w:rPr/>
        <w:t>opción,</w:t>
      </w:r>
      <w:r>
        <w:rPr>
          <w:spacing w:val="-5"/>
        </w:rPr>
        <w:t> </w:t>
      </w:r>
      <w:r>
        <w:rPr/>
        <w:t>de</w:t>
      </w:r>
      <w:r>
        <w:rPr>
          <w:spacing w:val="-7"/>
        </w:rPr>
        <w:t> </w:t>
      </w:r>
      <w:r>
        <w:rPr/>
        <w:t>forma</w:t>
      </w:r>
      <w:r>
        <w:rPr>
          <w:spacing w:val="-5"/>
        </w:rPr>
        <w:t> </w:t>
      </w:r>
      <w:r>
        <w:rPr/>
        <w:t>que</w:t>
      </w:r>
      <w:r>
        <w:rPr>
          <w:spacing w:val="-5"/>
        </w:rPr>
        <w:t> </w:t>
      </w:r>
      <w:r>
        <w:rPr/>
        <w:t>cuanto</w:t>
      </w:r>
      <w:r>
        <w:rPr>
          <w:spacing w:val="-5"/>
        </w:rPr>
        <w:t> </w:t>
      </w:r>
      <w:r>
        <w:rPr/>
        <w:t>mayor</w:t>
      </w:r>
      <w:r>
        <w:rPr>
          <w:spacing w:val="-6"/>
        </w:rPr>
        <w:t> </w:t>
      </w:r>
      <w:r>
        <w:rPr/>
        <w:t>sea</w:t>
      </w:r>
      <w:r>
        <w:rPr>
          <w:spacing w:val="-5"/>
        </w:rPr>
        <w:t> </w:t>
      </w:r>
      <w:r>
        <w:rPr/>
        <w:t>el</w:t>
      </w:r>
      <w:r>
        <w:rPr>
          <w:spacing w:val="-6"/>
        </w:rPr>
        <w:t> </w:t>
      </w:r>
      <w:r>
        <w:rPr/>
        <w:t>tasa,</w:t>
      </w:r>
      <w:r>
        <w:rPr>
          <w:spacing w:val="-7"/>
        </w:rPr>
        <w:t> </w:t>
      </w:r>
      <w:r>
        <w:rPr/>
        <w:t>por</w:t>
      </w:r>
      <w:r>
        <w:rPr>
          <w:spacing w:val="-6"/>
        </w:rPr>
        <w:t> </w:t>
      </w:r>
      <w:r>
        <w:rPr/>
        <w:t>lo</w:t>
      </w:r>
      <w:r>
        <w:rPr>
          <w:spacing w:val="-5"/>
        </w:rPr>
        <w:t> </w:t>
      </w:r>
      <w:r>
        <w:rPr/>
        <w:t>general,</w:t>
      </w:r>
      <w:r>
        <w:rPr>
          <w:spacing w:val="-5"/>
        </w:rPr>
        <w:t> </w:t>
      </w:r>
      <w:r>
        <w:rPr/>
        <w:t>las</w:t>
      </w:r>
      <w:r>
        <w:rPr>
          <w:spacing w:val="-5"/>
        </w:rPr>
        <w:t> </w:t>
      </w:r>
      <w:r>
        <w:rPr/>
        <w:t>opciones Call valen más y las opciones Put valen menos. Sin embargo, los cambios en este factor tienen un efecto pequeño sobre el precio de la</w:t>
      </w:r>
      <w:r>
        <w:rPr>
          <w:spacing w:val="-16"/>
        </w:rPr>
        <w:t> </w:t>
      </w:r>
      <w:r>
        <w:rPr/>
        <w:t>opción.</w:t>
      </w:r>
    </w:p>
    <w:p>
      <w:pPr>
        <w:pStyle w:val="BodyText"/>
      </w:pPr>
    </w:p>
    <w:p>
      <w:pPr>
        <w:pStyle w:val="ListParagraph"/>
        <w:numPr>
          <w:ilvl w:val="1"/>
          <w:numId w:val="17"/>
        </w:numPr>
        <w:tabs>
          <w:tab w:pos="594" w:val="left" w:leader="none"/>
        </w:tabs>
        <w:spacing w:line="240" w:lineRule="auto" w:before="205" w:after="0"/>
        <w:ind w:left="593" w:right="0" w:hanging="451"/>
        <w:jc w:val="left"/>
        <w:rPr>
          <w:b/>
          <w:sz w:val="22"/>
        </w:rPr>
      </w:pPr>
      <w:bookmarkStart w:name="_bookmark39" w:id="68"/>
      <w:bookmarkEnd w:id="68"/>
      <w:r>
        <w:rPr/>
      </w:r>
      <w:bookmarkStart w:name="_bookmark39" w:id="69"/>
      <w:bookmarkEnd w:id="69"/>
      <w:r>
        <w:rPr>
          <w:b/>
          <w:sz w:val="28"/>
        </w:rPr>
        <w:t>I</w:t>
      </w:r>
      <w:r>
        <w:rPr>
          <w:b/>
          <w:sz w:val="22"/>
        </w:rPr>
        <w:t>NDICADORES DE SENSIBILIDAD PARA LAS</w:t>
      </w:r>
      <w:r>
        <w:rPr>
          <w:b/>
          <w:spacing w:val="-18"/>
          <w:sz w:val="22"/>
        </w:rPr>
        <w:t> </w:t>
      </w:r>
      <w:r>
        <w:rPr>
          <w:b/>
          <w:sz w:val="28"/>
        </w:rPr>
        <w:t>O</w:t>
      </w:r>
      <w:r>
        <w:rPr>
          <w:b/>
          <w:sz w:val="22"/>
        </w:rPr>
        <w:t>PCIONES</w:t>
      </w:r>
    </w:p>
    <w:p>
      <w:pPr>
        <w:pStyle w:val="BodyText"/>
        <w:spacing w:line="360" w:lineRule="auto" w:before="241"/>
        <w:ind w:left="142" w:right="143" w:firstLine="707"/>
        <w:jc w:val="both"/>
      </w:pPr>
      <w:r>
        <w:rPr/>
        <w:t>Los indicadores de sensibilidad son aquellos que miden los efectos que existen sobre la prima de la opción ante los cambios de los diferentes factores que la determinan. Estos factores incluyen el precio del valor subyacente, la volatilidad del precio de éste, la tasa de interés y el tiempo.</w:t>
      </w:r>
    </w:p>
    <w:p>
      <w:pPr>
        <w:pStyle w:val="Heading3"/>
      </w:pPr>
      <w:r>
        <w:rPr/>
        <w:t>Delta</w:t>
      </w:r>
    </w:p>
    <w:p>
      <w:pPr>
        <w:pStyle w:val="BodyText"/>
        <w:spacing w:line="360" w:lineRule="auto" w:before="65"/>
        <w:ind w:left="142" w:right="137" w:firstLine="707"/>
        <w:jc w:val="both"/>
      </w:pPr>
      <w:r>
        <w:rPr/>
        <w:t>La</w:t>
      </w:r>
      <w:r>
        <w:rPr>
          <w:spacing w:val="-8"/>
        </w:rPr>
        <w:t> </w:t>
      </w:r>
      <w:r>
        <w:rPr/>
        <w:t>delta</w:t>
      </w:r>
      <w:r>
        <w:rPr>
          <w:spacing w:val="-11"/>
        </w:rPr>
        <w:t> </w:t>
      </w:r>
      <w:r>
        <w:rPr/>
        <w:t>de</w:t>
      </w:r>
      <w:r>
        <w:rPr>
          <w:spacing w:val="-8"/>
        </w:rPr>
        <w:t> </w:t>
      </w:r>
      <w:r>
        <w:rPr/>
        <w:t>una</w:t>
      </w:r>
      <w:r>
        <w:rPr>
          <w:spacing w:val="-11"/>
        </w:rPr>
        <w:t> </w:t>
      </w:r>
      <w:r>
        <w:rPr/>
        <w:t>opción</w:t>
      </w:r>
      <w:r>
        <w:rPr>
          <w:spacing w:val="-8"/>
        </w:rPr>
        <w:t> </w:t>
      </w:r>
      <w:r>
        <w:rPr>
          <w:rFonts w:ascii="Georgia" w:hAnsi="Georgia"/>
        </w:rPr>
        <w:t>δ</w:t>
      </w:r>
      <w:r>
        <w:rPr/>
        <w:t>,</w:t>
      </w:r>
      <w:r>
        <w:rPr>
          <w:spacing w:val="-9"/>
        </w:rPr>
        <w:t> </w:t>
      </w:r>
      <w:r>
        <w:rPr/>
        <w:t>se</w:t>
      </w:r>
      <w:r>
        <w:rPr>
          <w:spacing w:val="-8"/>
        </w:rPr>
        <w:t> </w:t>
      </w:r>
      <w:r>
        <w:rPr/>
        <w:t>define</w:t>
      </w:r>
      <w:r>
        <w:rPr>
          <w:spacing w:val="-8"/>
        </w:rPr>
        <w:t> </w:t>
      </w:r>
      <w:r>
        <w:rPr/>
        <w:t>como</w:t>
      </w:r>
      <w:r>
        <w:rPr>
          <w:spacing w:val="-8"/>
        </w:rPr>
        <w:t> </w:t>
      </w:r>
      <w:r>
        <w:rPr/>
        <w:t>la</w:t>
      </w:r>
      <w:r>
        <w:rPr>
          <w:spacing w:val="-8"/>
        </w:rPr>
        <w:t> </w:t>
      </w:r>
      <w:r>
        <w:rPr/>
        <w:t>tasa</w:t>
      </w:r>
      <w:r>
        <w:rPr>
          <w:spacing w:val="-8"/>
        </w:rPr>
        <w:t> </w:t>
      </w:r>
      <w:r>
        <w:rPr/>
        <w:t>de</w:t>
      </w:r>
      <w:r>
        <w:rPr>
          <w:spacing w:val="-8"/>
        </w:rPr>
        <w:t> </w:t>
      </w:r>
      <w:r>
        <w:rPr/>
        <w:t>cambio</w:t>
      </w:r>
      <w:r>
        <w:rPr>
          <w:spacing w:val="-11"/>
        </w:rPr>
        <w:t> </w:t>
      </w:r>
      <w:r>
        <w:rPr/>
        <w:t>del</w:t>
      </w:r>
      <w:r>
        <w:rPr>
          <w:spacing w:val="-10"/>
        </w:rPr>
        <w:t> </w:t>
      </w:r>
      <w:r>
        <w:rPr/>
        <w:t>precio</w:t>
      </w:r>
      <w:r>
        <w:rPr>
          <w:spacing w:val="-8"/>
        </w:rPr>
        <w:t> </w:t>
      </w:r>
      <w:r>
        <w:rPr/>
        <w:t>de</w:t>
      </w:r>
      <w:r>
        <w:rPr>
          <w:spacing w:val="-11"/>
        </w:rPr>
        <w:t> </w:t>
      </w:r>
      <w:r>
        <w:rPr/>
        <w:t>una opción con respecto al precio de la opción. Generalmente se le da tres interpretaciones: 1) es la sensibilidad de la prima a las variaciones del precio del subyacente, 2) es el equivalente en el subyacente de la opción y, 3) es la probabilidad de que la opción sea ejercida o acabe dentro del</w:t>
      </w:r>
      <w:r>
        <w:rPr>
          <w:spacing w:val="-38"/>
        </w:rPr>
        <w:t> </w:t>
      </w:r>
      <w:r>
        <w:rPr/>
        <w:t>dinero.</w:t>
      </w:r>
    </w:p>
    <w:p>
      <w:pPr>
        <w:pStyle w:val="Heading3"/>
      </w:pPr>
      <w:r>
        <w:rPr/>
        <w:t>Gama</w:t>
      </w:r>
    </w:p>
    <w:p>
      <w:pPr>
        <w:pStyle w:val="BodyText"/>
        <w:spacing w:line="360" w:lineRule="auto" w:before="65"/>
        <w:ind w:left="142" w:right="138" w:firstLine="707"/>
        <w:jc w:val="both"/>
      </w:pPr>
      <w:r>
        <w:rPr/>
        <w:t>La gama </w:t>
      </w:r>
      <w:r>
        <w:rPr>
          <w:rFonts w:ascii="Georgia" w:hAnsi="Georgia"/>
        </w:rPr>
        <w:t>γ</w:t>
      </w:r>
      <w:r>
        <w:rPr/>
        <w:t>, a veces se define como la delta de la delta. Es decir, es la sensibilidad de la delta a los cambios de los precios del activo subyacente. En términos algebraicos es la razón de los cambios en la delta entre un cambio en el precio del subyacente. Lo que nos indica es el riesgo inherente en la delta o la velocidad</w:t>
      </w:r>
      <w:r>
        <w:rPr>
          <w:spacing w:val="-13"/>
        </w:rPr>
        <w:t> </w:t>
      </w:r>
      <w:r>
        <w:rPr/>
        <w:t>de</w:t>
      </w:r>
      <w:r>
        <w:rPr>
          <w:spacing w:val="-13"/>
        </w:rPr>
        <w:t> </w:t>
      </w:r>
      <w:r>
        <w:rPr/>
        <w:t>los</w:t>
      </w:r>
      <w:r>
        <w:rPr>
          <w:spacing w:val="-13"/>
        </w:rPr>
        <w:t> </w:t>
      </w:r>
      <w:r>
        <w:rPr/>
        <w:t>ajustes</w:t>
      </w:r>
      <w:r>
        <w:rPr>
          <w:spacing w:val="-14"/>
        </w:rPr>
        <w:t> </w:t>
      </w:r>
      <w:r>
        <w:rPr/>
        <w:t>para</w:t>
      </w:r>
      <w:r>
        <w:rPr>
          <w:spacing w:val="-14"/>
        </w:rPr>
        <w:t> </w:t>
      </w:r>
      <w:r>
        <w:rPr/>
        <w:t>las</w:t>
      </w:r>
      <w:r>
        <w:rPr>
          <w:spacing w:val="-13"/>
        </w:rPr>
        <w:t> </w:t>
      </w:r>
      <w:r>
        <w:rPr/>
        <w:t>posiciones</w:t>
      </w:r>
      <w:r>
        <w:rPr>
          <w:spacing w:val="40"/>
        </w:rPr>
        <w:t> </w:t>
      </w:r>
      <w:r>
        <w:rPr/>
        <w:t>de</w:t>
      </w:r>
      <w:r>
        <w:rPr>
          <w:spacing w:val="-13"/>
        </w:rPr>
        <w:t> </w:t>
      </w:r>
      <w:r>
        <w:rPr/>
        <w:t>delta-neutral.</w:t>
      </w:r>
      <w:r>
        <w:rPr>
          <w:spacing w:val="-14"/>
        </w:rPr>
        <w:t> </w:t>
      </w:r>
      <w:r>
        <w:rPr/>
        <w:t>Dicho</w:t>
      </w:r>
      <w:r>
        <w:rPr>
          <w:spacing w:val="-13"/>
        </w:rPr>
        <w:t> </w:t>
      </w:r>
      <w:r>
        <w:rPr/>
        <w:t>de</w:t>
      </w:r>
      <w:r>
        <w:rPr>
          <w:spacing w:val="-13"/>
        </w:rPr>
        <w:t> </w:t>
      </w:r>
      <w:r>
        <w:rPr/>
        <w:t>otra</w:t>
      </w:r>
      <w:r>
        <w:rPr>
          <w:spacing w:val="-13"/>
        </w:rPr>
        <w:t> </w:t>
      </w:r>
      <w:r>
        <w:rPr/>
        <w:t>manera, el valor de la gama nos indica lo que aumenta o disminuye la delta de la opción si el precio de la acción subyacente cambia. Si la </w:t>
      </w:r>
      <w:r>
        <w:rPr>
          <w:rFonts w:ascii="Georgia" w:hAnsi="Georgia"/>
        </w:rPr>
        <w:t>γ </w:t>
      </w:r>
      <w:r>
        <w:rPr/>
        <w:t>es pequeña, entonces la delta cambia</w:t>
      </w:r>
      <w:r>
        <w:rPr>
          <w:spacing w:val="-7"/>
        </w:rPr>
        <w:t> </w:t>
      </w:r>
      <w:r>
        <w:rPr/>
        <w:t>muy</w:t>
      </w:r>
      <w:r>
        <w:rPr>
          <w:spacing w:val="-10"/>
        </w:rPr>
        <w:t> </w:t>
      </w:r>
      <w:r>
        <w:rPr/>
        <w:t>poco</w:t>
      </w:r>
      <w:r>
        <w:rPr>
          <w:spacing w:val="-7"/>
        </w:rPr>
        <w:t> </w:t>
      </w:r>
      <w:r>
        <w:rPr/>
        <w:t>y</w:t>
      </w:r>
      <w:r>
        <w:rPr>
          <w:spacing w:val="-10"/>
        </w:rPr>
        <w:t> </w:t>
      </w:r>
      <w:r>
        <w:rPr/>
        <w:t>los</w:t>
      </w:r>
      <w:r>
        <w:rPr>
          <w:spacing w:val="-5"/>
        </w:rPr>
        <w:t> </w:t>
      </w:r>
      <w:r>
        <w:rPr/>
        <w:t>ajustes</w:t>
      </w:r>
      <w:r>
        <w:rPr>
          <w:spacing w:val="-8"/>
        </w:rPr>
        <w:t> </w:t>
      </w:r>
      <w:r>
        <w:rPr/>
        <w:t>necesarios</w:t>
      </w:r>
      <w:r>
        <w:rPr>
          <w:spacing w:val="-8"/>
        </w:rPr>
        <w:t> </w:t>
      </w:r>
      <w:r>
        <w:rPr/>
        <w:t>para</w:t>
      </w:r>
      <w:r>
        <w:rPr>
          <w:spacing w:val="-7"/>
        </w:rPr>
        <w:t> </w:t>
      </w:r>
      <w:r>
        <w:rPr/>
        <w:t>rebalancear</w:t>
      </w:r>
      <w:r>
        <w:rPr>
          <w:spacing w:val="-8"/>
        </w:rPr>
        <w:t> </w:t>
      </w:r>
      <w:r>
        <w:rPr/>
        <w:t>una</w:t>
      </w:r>
      <w:r>
        <w:rPr>
          <w:spacing w:val="-7"/>
        </w:rPr>
        <w:t> </w:t>
      </w:r>
      <w:r>
        <w:rPr/>
        <w:t>estrategia</w:t>
      </w:r>
      <w:r>
        <w:rPr>
          <w:spacing w:val="-7"/>
        </w:rPr>
        <w:t> </w:t>
      </w:r>
      <w:r>
        <w:rPr/>
        <w:t>de</w:t>
      </w:r>
      <w:r>
        <w:rPr>
          <w:spacing w:val="-7"/>
        </w:rPr>
        <w:t> </w:t>
      </w:r>
      <w:r>
        <w:rPr/>
        <w:t>delta neutral</w:t>
      </w:r>
      <w:r>
        <w:rPr>
          <w:spacing w:val="-5"/>
        </w:rPr>
        <w:t> </w:t>
      </w:r>
      <w:r>
        <w:rPr/>
        <w:t>será</w:t>
      </w:r>
      <w:r>
        <w:rPr>
          <w:spacing w:val="-4"/>
        </w:rPr>
        <w:t> </w:t>
      </w:r>
      <w:r>
        <w:rPr/>
        <w:t>muy</w:t>
      </w:r>
      <w:r>
        <w:rPr>
          <w:spacing w:val="-7"/>
        </w:rPr>
        <w:t> </w:t>
      </w:r>
      <w:r>
        <w:rPr/>
        <w:t>poco</w:t>
      </w:r>
      <w:r>
        <w:rPr>
          <w:spacing w:val="-6"/>
        </w:rPr>
        <w:t> </w:t>
      </w:r>
      <w:r>
        <w:rPr/>
        <w:t>frecuente.</w:t>
      </w:r>
      <w:r>
        <w:rPr>
          <w:spacing w:val="-4"/>
        </w:rPr>
        <w:t> </w:t>
      </w:r>
      <w:r>
        <w:rPr/>
        <w:t>Por</w:t>
      </w:r>
      <w:r>
        <w:rPr>
          <w:spacing w:val="-5"/>
        </w:rPr>
        <w:t> </w:t>
      </w:r>
      <w:r>
        <w:rPr/>
        <w:t>su</w:t>
      </w:r>
      <w:r>
        <w:rPr>
          <w:spacing w:val="-4"/>
        </w:rPr>
        <w:t> </w:t>
      </w:r>
      <w:r>
        <w:rPr/>
        <w:t>parte,</w:t>
      </w:r>
      <w:r>
        <w:rPr>
          <w:spacing w:val="-4"/>
        </w:rPr>
        <w:t> </w:t>
      </w:r>
      <w:r>
        <w:rPr/>
        <w:t>si </w:t>
      </w:r>
      <w:r>
        <w:rPr>
          <w:rFonts w:ascii="Georgia" w:hAnsi="Georgia"/>
        </w:rPr>
        <w:t>γ</w:t>
      </w:r>
      <w:r>
        <w:rPr>
          <w:rFonts w:ascii="Georgia" w:hAnsi="Georgia"/>
          <w:spacing w:val="-5"/>
        </w:rPr>
        <w:t> </w:t>
      </w:r>
      <w:r>
        <w:rPr/>
        <w:t>es</w:t>
      </w:r>
      <w:r>
        <w:rPr>
          <w:spacing w:val="-4"/>
        </w:rPr>
        <w:t> </w:t>
      </w:r>
      <w:r>
        <w:rPr/>
        <w:t>muy</w:t>
      </w:r>
      <w:r>
        <w:rPr>
          <w:spacing w:val="-7"/>
        </w:rPr>
        <w:t> </w:t>
      </w:r>
      <w:r>
        <w:rPr/>
        <w:t>alta</w:t>
      </w:r>
      <w:r>
        <w:rPr>
          <w:spacing w:val="-4"/>
        </w:rPr>
        <w:t> </w:t>
      </w:r>
      <w:r>
        <w:rPr/>
        <w:t>entonces</w:t>
      </w:r>
      <w:r>
        <w:rPr>
          <w:spacing w:val="-4"/>
        </w:rPr>
        <w:t> </w:t>
      </w:r>
      <w:r>
        <w:rPr/>
        <w:t>la</w:t>
      </w:r>
      <w:r>
        <w:rPr>
          <w:spacing w:val="-4"/>
        </w:rPr>
        <w:t> </w:t>
      </w:r>
      <w:r>
        <w:rPr/>
        <w:t>delta</w:t>
      </w:r>
      <w:r>
        <w:rPr>
          <w:spacing w:val="-4"/>
        </w:rPr>
        <w:t> </w:t>
      </w:r>
      <w:r>
        <w:rPr/>
        <w:t>es muy sensible al precio de la acción por lo que es muy riesgoso dejar un portafolio delta neutral sin cambios o rebalanceos por un periodo de tiempo largo. Por consiguiente,</w:t>
      </w:r>
      <w:r>
        <w:rPr>
          <w:spacing w:val="19"/>
        </w:rPr>
        <w:t> </w:t>
      </w:r>
      <w:r>
        <w:rPr/>
        <w:t>la</w:t>
      </w:r>
      <w:r>
        <w:rPr>
          <w:spacing w:val="19"/>
        </w:rPr>
        <w:t> </w:t>
      </w:r>
      <w:r>
        <w:rPr/>
        <w:t>gama</w:t>
      </w:r>
      <w:r>
        <w:rPr>
          <w:spacing w:val="17"/>
        </w:rPr>
        <w:t> </w:t>
      </w:r>
      <w:r>
        <w:rPr/>
        <w:t>sirve</w:t>
      </w:r>
      <w:r>
        <w:rPr>
          <w:spacing w:val="19"/>
        </w:rPr>
        <w:t> </w:t>
      </w:r>
      <w:r>
        <w:rPr/>
        <w:t>pare</w:t>
      </w:r>
      <w:r>
        <w:rPr>
          <w:spacing w:val="19"/>
        </w:rPr>
        <w:t> </w:t>
      </w:r>
      <w:r>
        <w:rPr/>
        <w:t>medir</w:t>
      </w:r>
      <w:r>
        <w:rPr>
          <w:spacing w:val="17"/>
        </w:rPr>
        <w:t> </w:t>
      </w:r>
      <w:r>
        <w:rPr/>
        <w:t>la</w:t>
      </w:r>
      <w:r>
        <w:rPr>
          <w:spacing w:val="17"/>
        </w:rPr>
        <w:t> </w:t>
      </w:r>
      <w:r>
        <w:rPr/>
        <w:t>frecuencia</w:t>
      </w:r>
      <w:r>
        <w:rPr>
          <w:spacing w:val="19"/>
        </w:rPr>
        <w:t> </w:t>
      </w:r>
      <w:r>
        <w:rPr/>
        <w:t>con</w:t>
      </w:r>
      <w:r>
        <w:rPr>
          <w:spacing w:val="19"/>
        </w:rPr>
        <w:t> </w:t>
      </w:r>
      <w:r>
        <w:rPr/>
        <w:t>la</w:t>
      </w:r>
      <w:r>
        <w:rPr>
          <w:spacing w:val="19"/>
        </w:rPr>
        <w:t> </w:t>
      </w:r>
      <w:r>
        <w:rPr/>
        <w:t>que</w:t>
      </w:r>
      <w:r>
        <w:rPr>
          <w:spacing w:val="17"/>
        </w:rPr>
        <w:t> </w:t>
      </w:r>
      <w:r>
        <w:rPr/>
        <w:t>deberá</w:t>
      </w:r>
      <w:r>
        <w:rPr>
          <w:spacing w:val="17"/>
        </w:rPr>
        <w:t> </w:t>
      </w:r>
      <w:r>
        <w:rPr/>
        <w:t>ajustarse</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57"/>
      </w:pPr>
      <w:r>
        <w:rPr/>
        <w:t>una cobertura delta neutral. Por esto, algunos denominan a la gama como la curvatura de la opción.</w:t>
      </w:r>
    </w:p>
    <w:p>
      <w:pPr>
        <w:pStyle w:val="Heading3"/>
      </w:pPr>
      <w:r>
        <w:rPr/>
        <w:t>Teta</w:t>
      </w:r>
    </w:p>
    <w:p>
      <w:pPr>
        <w:pStyle w:val="BodyText"/>
        <w:spacing w:line="360" w:lineRule="auto" w:before="65"/>
        <w:ind w:left="142" w:right="145" w:firstLine="707"/>
        <w:jc w:val="both"/>
      </w:pPr>
      <w:r>
        <w:rPr/>
        <w:t>La teta </w:t>
      </w:r>
      <w:r>
        <w:rPr>
          <w:rFonts w:ascii="Georgia" w:hAnsi="Georgia"/>
        </w:rPr>
        <w:t>θ </w:t>
      </w:r>
      <w:r>
        <w:rPr/>
        <w:t>de una opción mide la sensibilidad del precio de la opción al paso del tiempo hasta que la opción expire. Entre mayor sea el valor absoluto de teta, mayor será la pérdida por día del valor de la opción proveniente de mantener una opción debido al decaimiento del tiempo de la opción.</w:t>
      </w:r>
    </w:p>
    <w:p>
      <w:pPr>
        <w:pStyle w:val="Heading3"/>
        <w:spacing w:before="122"/>
      </w:pPr>
      <w:r>
        <w:rPr/>
        <w:t>Vega</w:t>
      </w:r>
    </w:p>
    <w:p>
      <w:pPr>
        <w:pStyle w:val="BodyText"/>
        <w:spacing w:line="360" w:lineRule="auto" w:before="63"/>
        <w:ind w:left="142" w:right="141" w:firstLine="707"/>
        <w:jc w:val="both"/>
      </w:pPr>
      <w:r>
        <w:rPr/>
        <w:t>Como</w:t>
      </w:r>
      <w:r>
        <w:rPr>
          <w:spacing w:val="-11"/>
        </w:rPr>
        <w:t> </w:t>
      </w:r>
      <w:r>
        <w:rPr/>
        <w:t>se</w:t>
      </w:r>
      <w:r>
        <w:rPr>
          <w:spacing w:val="-11"/>
        </w:rPr>
        <w:t> </w:t>
      </w:r>
      <w:r>
        <w:rPr/>
        <w:t>recuerda,</w:t>
      </w:r>
      <w:r>
        <w:rPr>
          <w:spacing w:val="-11"/>
        </w:rPr>
        <w:t> </w:t>
      </w:r>
      <w:r>
        <w:rPr/>
        <w:t>los</w:t>
      </w:r>
      <w:r>
        <w:rPr>
          <w:spacing w:val="-13"/>
        </w:rPr>
        <w:t> </w:t>
      </w:r>
      <w:r>
        <w:rPr/>
        <w:t>precios</w:t>
      </w:r>
      <w:r>
        <w:rPr>
          <w:spacing w:val="-12"/>
        </w:rPr>
        <w:t> </w:t>
      </w:r>
      <w:r>
        <w:rPr/>
        <w:t>de</w:t>
      </w:r>
      <w:r>
        <w:rPr>
          <w:spacing w:val="-11"/>
        </w:rPr>
        <w:t> </w:t>
      </w:r>
      <w:r>
        <w:rPr/>
        <w:t>las</w:t>
      </w:r>
      <w:r>
        <w:rPr>
          <w:spacing w:val="-11"/>
        </w:rPr>
        <w:t> </w:t>
      </w:r>
      <w:r>
        <w:rPr/>
        <w:t>opciones</w:t>
      </w:r>
      <w:r>
        <w:rPr>
          <w:spacing w:val="-9"/>
        </w:rPr>
        <w:t> </w:t>
      </w:r>
      <w:r>
        <w:rPr/>
        <w:t>dependen</w:t>
      </w:r>
      <w:r>
        <w:rPr>
          <w:spacing w:val="-11"/>
        </w:rPr>
        <w:t> </w:t>
      </w:r>
      <w:r>
        <w:rPr/>
        <w:t>de</w:t>
      </w:r>
      <w:r>
        <w:rPr>
          <w:spacing w:val="-11"/>
        </w:rPr>
        <w:t> </w:t>
      </w:r>
      <w:r>
        <w:rPr/>
        <w:t>las</w:t>
      </w:r>
      <w:r>
        <w:rPr>
          <w:spacing w:val="-9"/>
        </w:rPr>
        <w:t> </w:t>
      </w:r>
      <w:r>
        <w:rPr/>
        <w:t>volatilidades del precio subyacente. Como sabemos el precio de las opciones cambiará sensiblemente ante un cambio en la volatilidad. En particular, un cambio relativamente pequeño en la desviación estándar anual causa un cambio relativamente grande en el precio de la opción, especialmente para opciones de larga vida. La vega </w:t>
      </w:r>
      <w:r>
        <w:rPr>
          <w:rFonts w:ascii="Georgia" w:hAnsi="Georgia"/>
        </w:rPr>
        <w:t>√</w:t>
      </w:r>
      <w:r>
        <w:rPr/>
        <w:t>, mide el cambio en el precio de la opción ante un cambio en la volatilidad de la</w:t>
      </w:r>
      <w:r>
        <w:rPr>
          <w:spacing w:val="-39"/>
        </w:rPr>
        <w:t> </w:t>
      </w:r>
      <w:r>
        <w:rPr/>
        <w:t>opción.</w:t>
      </w:r>
    </w:p>
    <w:p>
      <w:pPr>
        <w:pStyle w:val="Heading3"/>
        <w:spacing w:before="122"/>
      </w:pPr>
      <w:r>
        <w:rPr/>
        <w:t>Rho</w:t>
      </w:r>
    </w:p>
    <w:p>
      <w:pPr>
        <w:pStyle w:val="BodyText"/>
        <w:spacing w:line="360" w:lineRule="auto" w:before="63"/>
        <w:ind w:left="142" w:right="143" w:firstLine="707"/>
        <w:jc w:val="both"/>
      </w:pPr>
      <w:r>
        <w:rPr/>
        <w:t>La</w:t>
      </w:r>
      <w:r>
        <w:rPr>
          <w:spacing w:val="-4"/>
        </w:rPr>
        <w:t> </w:t>
      </w:r>
      <w:r>
        <w:rPr/>
        <w:t>rho</w:t>
      </w:r>
      <w:r>
        <w:rPr>
          <w:spacing w:val="-6"/>
        </w:rPr>
        <w:t> </w:t>
      </w:r>
      <w:r>
        <w:rPr/>
        <w:t>mide</w:t>
      </w:r>
      <w:r>
        <w:rPr>
          <w:spacing w:val="-4"/>
        </w:rPr>
        <w:t> </w:t>
      </w:r>
      <w:r>
        <w:rPr/>
        <w:t>el</w:t>
      </w:r>
      <w:r>
        <w:rPr>
          <w:spacing w:val="-5"/>
        </w:rPr>
        <w:t> </w:t>
      </w:r>
      <w:r>
        <w:rPr/>
        <w:t>cambio</w:t>
      </w:r>
      <w:r>
        <w:rPr>
          <w:spacing w:val="-6"/>
        </w:rPr>
        <w:t> </w:t>
      </w:r>
      <w:r>
        <w:rPr/>
        <w:t>del</w:t>
      </w:r>
      <w:r>
        <w:rPr>
          <w:spacing w:val="-5"/>
        </w:rPr>
        <w:t> </w:t>
      </w:r>
      <w:r>
        <w:rPr/>
        <w:t>precio</w:t>
      </w:r>
      <w:r>
        <w:rPr>
          <w:spacing w:val="-6"/>
        </w:rPr>
        <w:t> </w:t>
      </w:r>
      <w:r>
        <w:rPr/>
        <w:t>de</w:t>
      </w:r>
      <w:r>
        <w:rPr>
          <w:spacing w:val="-4"/>
        </w:rPr>
        <w:t> </w:t>
      </w:r>
      <w:r>
        <w:rPr/>
        <w:t>la</w:t>
      </w:r>
      <w:r>
        <w:rPr>
          <w:spacing w:val="-4"/>
        </w:rPr>
        <w:t> </w:t>
      </w:r>
      <w:r>
        <w:rPr/>
        <w:t>opción</w:t>
      </w:r>
      <w:r>
        <w:rPr>
          <w:spacing w:val="-6"/>
        </w:rPr>
        <w:t> </w:t>
      </w:r>
      <w:r>
        <w:rPr/>
        <w:t>ante</w:t>
      </w:r>
      <w:r>
        <w:rPr>
          <w:spacing w:val="-4"/>
        </w:rPr>
        <w:t> </w:t>
      </w:r>
      <w:r>
        <w:rPr/>
        <w:t>un</w:t>
      </w:r>
      <w:r>
        <w:rPr>
          <w:spacing w:val="-6"/>
        </w:rPr>
        <w:t> </w:t>
      </w:r>
      <w:r>
        <w:rPr/>
        <w:t>cambio</w:t>
      </w:r>
      <w:r>
        <w:rPr>
          <w:spacing w:val="-6"/>
        </w:rPr>
        <w:t> </w:t>
      </w:r>
      <w:r>
        <w:rPr/>
        <w:t>en</w:t>
      </w:r>
      <w:r>
        <w:rPr>
          <w:spacing w:val="-4"/>
        </w:rPr>
        <w:t> </w:t>
      </w:r>
      <w:r>
        <w:rPr/>
        <w:t>la</w:t>
      </w:r>
      <w:r>
        <w:rPr>
          <w:spacing w:val="-6"/>
        </w:rPr>
        <w:t> </w:t>
      </w:r>
      <w:r>
        <w:rPr/>
        <w:t>tasa</w:t>
      </w:r>
      <w:r>
        <w:rPr>
          <w:spacing w:val="-4"/>
        </w:rPr>
        <w:t> </w:t>
      </w:r>
      <w:r>
        <w:rPr/>
        <w:t>libre de riesgo. Sin embargo, la sensibilidad es</w:t>
      </w:r>
      <w:r>
        <w:rPr>
          <w:spacing w:val="-42"/>
        </w:rPr>
        <w:t> </w:t>
      </w:r>
      <w:r>
        <w:rPr/>
        <w:t>poca.</w:t>
      </w:r>
    </w:p>
    <w:p>
      <w:pPr>
        <w:spacing w:after="0" w:line="360" w:lineRule="auto"/>
        <w:jc w:val="both"/>
        <w:sectPr>
          <w:pgSz w:w="12240" w:h="15840"/>
          <w:pgMar w:header="731" w:footer="737" w:top="1180" w:bottom="920" w:left="1560" w:right="1560"/>
        </w:sectPr>
      </w:pPr>
    </w:p>
    <w:p>
      <w:pPr>
        <w:pStyle w:val="BodyText"/>
        <w:rPr>
          <w:sz w:val="20"/>
        </w:rPr>
      </w:pPr>
    </w:p>
    <w:p>
      <w:pPr>
        <w:pStyle w:val="BodyText"/>
        <w:spacing w:before="6"/>
        <w:rPr>
          <w:sz w:val="16"/>
        </w:rPr>
      </w:pPr>
    </w:p>
    <w:p>
      <w:pPr>
        <w:pStyle w:val="Heading1"/>
        <w:ind w:right="786"/>
      </w:pPr>
      <w:bookmarkStart w:name="_bookmark40" w:id="70"/>
      <w:bookmarkEnd w:id="70"/>
      <w:r>
        <w:rPr>
          <w:b w:val="0"/>
        </w:rPr>
      </w:r>
      <w:r>
        <w:rPr>
          <w:sz w:val="32"/>
        </w:rPr>
        <w:t>Í</w:t>
      </w:r>
      <w:r>
        <w:rPr/>
        <w:t>NDICE DE TABLAS Y FIGURAS</w:t>
      </w:r>
    </w:p>
    <w:p>
      <w:pPr>
        <w:pStyle w:val="BodyText"/>
        <w:rPr>
          <w:b/>
          <w:sz w:val="42"/>
        </w:rPr>
      </w:pPr>
    </w:p>
    <w:p>
      <w:pPr>
        <w:spacing w:before="0"/>
        <w:ind w:left="142" w:right="786" w:firstLine="0"/>
        <w:jc w:val="left"/>
        <w:rPr>
          <w:b/>
          <w:sz w:val="22"/>
        </w:rPr>
      </w:pPr>
      <w:bookmarkStart w:name="_bookmark41" w:id="71"/>
      <w:bookmarkEnd w:id="71"/>
      <w:r>
        <w:rPr/>
      </w:r>
      <w:r>
        <w:rPr>
          <w:b/>
          <w:sz w:val="28"/>
        </w:rPr>
        <w:t>T</w:t>
      </w:r>
      <w:r>
        <w:rPr>
          <w:b/>
          <w:sz w:val="22"/>
        </w:rPr>
        <w:t>ABLAS</w:t>
      </w:r>
    </w:p>
    <w:p>
      <w:pPr>
        <w:tabs>
          <w:tab w:pos="8968" w:val="right" w:leader="dot"/>
        </w:tabs>
        <w:spacing w:line="229" w:lineRule="exact" w:before="242"/>
        <w:ind w:left="142" w:right="0" w:firstLine="0"/>
        <w:jc w:val="left"/>
        <w:rPr>
          <w:sz w:val="20"/>
        </w:rPr>
      </w:pPr>
      <w:hyperlink w:history="true" w:anchor="_bookmark9">
        <w:r>
          <w:rPr>
            <w:sz w:val="20"/>
          </w:rPr>
          <w:t>Tabla 01. Pérdidas con derivados: dos</w:t>
        </w:r>
        <w:r>
          <w:rPr>
            <w:spacing w:val="-1"/>
            <w:sz w:val="20"/>
          </w:rPr>
          <w:t> </w:t>
        </w:r>
        <w:r>
          <w:rPr>
            <w:sz w:val="20"/>
          </w:rPr>
          <w:t>eventos</w:t>
        </w:r>
        <w:r>
          <w:rPr>
            <w:spacing w:val="-1"/>
            <w:sz w:val="20"/>
          </w:rPr>
          <w:t> </w:t>
        </w:r>
        <w:r>
          <w:rPr>
            <w:sz w:val="20"/>
          </w:rPr>
          <w:t>relevantes</w:t>
          <w:tab/>
          <w:t>10</w:t>
        </w:r>
      </w:hyperlink>
    </w:p>
    <w:p>
      <w:pPr>
        <w:tabs>
          <w:tab w:pos="8968" w:val="right" w:leader="dot"/>
        </w:tabs>
        <w:spacing w:line="229" w:lineRule="exact" w:before="0"/>
        <w:ind w:left="142" w:right="0" w:firstLine="0"/>
        <w:jc w:val="left"/>
        <w:rPr>
          <w:sz w:val="20"/>
        </w:rPr>
      </w:pPr>
      <w:hyperlink w:history="true" w:anchor="_bookmark13">
        <w:r>
          <w:rPr>
            <w:sz w:val="20"/>
          </w:rPr>
          <w:t>Tabla 02. Rendimientos diarios</w:t>
        </w:r>
        <w:r>
          <w:rPr>
            <w:spacing w:val="-1"/>
            <w:sz w:val="20"/>
          </w:rPr>
          <w:t> </w:t>
        </w:r>
        <w:r>
          <w:rPr>
            <w:sz w:val="20"/>
          </w:rPr>
          <w:t>del</w:t>
        </w:r>
        <w:r>
          <w:rPr>
            <w:spacing w:val="-3"/>
            <w:sz w:val="20"/>
          </w:rPr>
          <w:t> </w:t>
        </w:r>
        <w:r>
          <w:rPr>
            <w:sz w:val="20"/>
          </w:rPr>
          <w:t>IPC</w:t>
          <w:tab/>
          <w:t>20</w:t>
        </w:r>
      </w:hyperlink>
    </w:p>
    <w:p>
      <w:pPr>
        <w:tabs>
          <w:tab w:pos="8968" w:val="right" w:leader="dot"/>
        </w:tabs>
        <w:spacing w:before="0"/>
        <w:ind w:left="142" w:right="0" w:firstLine="0"/>
        <w:jc w:val="left"/>
        <w:rPr>
          <w:sz w:val="20"/>
        </w:rPr>
      </w:pPr>
      <w:hyperlink w:history="true" w:anchor="_bookmark23">
        <w:r>
          <w:rPr>
            <w:sz w:val="20"/>
          </w:rPr>
          <w:t>Tabla 03. Betas del mercado</w:t>
        </w:r>
        <w:r>
          <w:rPr>
            <w:spacing w:val="-4"/>
            <w:sz w:val="20"/>
          </w:rPr>
          <w:t> </w:t>
        </w:r>
        <w:r>
          <w:rPr>
            <w:sz w:val="20"/>
          </w:rPr>
          <w:t>del</w:t>
        </w:r>
        <w:r>
          <w:rPr>
            <w:spacing w:val="-3"/>
            <w:sz w:val="20"/>
          </w:rPr>
          <w:t> </w:t>
        </w:r>
        <w:r>
          <w:rPr>
            <w:sz w:val="20"/>
          </w:rPr>
          <w:t>(BMV-IPC)</w:t>
          <w:tab/>
          <w:t>44</w:t>
        </w:r>
      </w:hyperlink>
    </w:p>
    <w:p>
      <w:pPr>
        <w:tabs>
          <w:tab w:pos="8968" w:val="right" w:leader="dot"/>
        </w:tabs>
        <w:spacing w:before="0"/>
        <w:ind w:left="142" w:right="0" w:firstLine="0"/>
        <w:jc w:val="left"/>
        <w:rPr>
          <w:sz w:val="20"/>
        </w:rPr>
      </w:pPr>
      <w:hyperlink w:history="true" w:anchor="_bookmark27">
        <w:r>
          <w:rPr>
            <w:sz w:val="20"/>
          </w:rPr>
          <w:t>Tabla 04 Diferencias de operación de contratos en mercados organizados y</w:t>
        </w:r>
        <w:r>
          <w:rPr>
            <w:spacing w:val="-12"/>
            <w:sz w:val="20"/>
          </w:rPr>
          <w:t> </w:t>
        </w:r>
        <w:r>
          <w:rPr>
            <w:sz w:val="20"/>
          </w:rPr>
          <w:t>no</w:t>
        </w:r>
        <w:r>
          <w:rPr>
            <w:spacing w:val="-1"/>
            <w:sz w:val="20"/>
          </w:rPr>
          <w:t> </w:t>
        </w:r>
        <w:r>
          <w:rPr>
            <w:sz w:val="20"/>
          </w:rPr>
          <w:t>organizados</w:t>
          <w:tab/>
          <w:t>52</w:t>
        </w:r>
      </w:hyperlink>
    </w:p>
    <w:p>
      <w:pPr>
        <w:spacing w:before="479"/>
        <w:ind w:left="142" w:right="786" w:firstLine="0"/>
        <w:jc w:val="left"/>
        <w:rPr>
          <w:b/>
          <w:sz w:val="22"/>
        </w:rPr>
      </w:pPr>
      <w:bookmarkStart w:name="_bookmark42" w:id="72"/>
      <w:bookmarkEnd w:id="72"/>
      <w:r>
        <w:rPr/>
      </w:r>
      <w:r>
        <w:rPr>
          <w:b/>
          <w:sz w:val="28"/>
        </w:rPr>
        <w:t>F</w:t>
      </w:r>
      <w:r>
        <w:rPr>
          <w:b/>
          <w:sz w:val="22"/>
        </w:rPr>
        <w:t>IGURAS</w:t>
      </w:r>
    </w:p>
    <w:p>
      <w:pPr>
        <w:tabs>
          <w:tab w:pos="8968" w:val="right" w:leader="dot"/>
        </w:tabs>
        <w:spacing w:before="241"/>
        <w:ind w:left="142" w:right="0" w:firstLine="0"/>
        <w:jc w:val="left"/>
        <w:rPr>
          <w:sz w:val="20"/>
        </w:rPr>
      </w:pPr>
      <w:hyperlink w:history="true" w:anchor="_bookmark14">
        <w:r>
          <w:rPr>
            <w:sz w:val="20"/>
          </w:rPr>
          <w:t>Figura 01. Variación relativa del</w:t>
        </w:r>
        <w:r>
          <w:rPr>
            <w:spacing w:val="-3"/>
            <w:sz w:val="20"/>
          </w:rPr>
          <w:t> </w:t>
        </w:r>
        <w:r>
          <w:rPr>
            <w:sz w:val="20"/>
          </w:rPr>
          <w:t>IPC</w:t>
        </w:r>
        <w:r>
          <w:rPr>
            <w:spacing w:val="-2"/>
            <w:sz w:val="20"/>
          </w:rPr>
          <w:t> </w:t>
        </w:r>
        <w:r>
          <w:rPr>
            <w:sz w:val="20"/>
          </w:rPr>
          <w:t>2012</w:t>
          <w:tab/>
          <w:t>20</w:t>
        </w:r>
      </w:hyperlink>
    </w:p>
    <w:p>
      <w:pPr>
        <w:tabs>
          <w:tab w:pos="8968" w:val="right" w:leader="dot"/>
        </w:tabs>
        <w:spacing w:before="0"/>
        <w:ind w:left="142" w:right="0" w:firstLine="0"/>
        <w:jc w:val="left"/>
        <w:rPr>
          <w:sz w:val="20"/>
        </w:rPr>
      </w:pPr>
      <w:hyperlink w:history="true" w:anchor="_bookmark15">
        <w:r>
          <w:rPr>
            <w:sz w:val="20"/>
          </w:rPr>
          <w:t>Figura 02. Distribución normal del rendimiento de los precios de</w:t>
        </w:r>
        <w:r>
          <w:rPr>
            <w:spacing w:val="-5"/>
            <w:sz w:val="20"/>
          </w:rPr>
          <w:t> </w:t>
        </w:r>
        <w:r>
          <w:rPr>
            <w:sz w:val="20"/>
          </w:rPr>
          <w:t>las</w:t>
        </w:r>
        <w:r>
          <w:rPr>
            <w:spacing w:val="-1"/>
            <w:sz w:val="20"/>
          </w:rPr>
          <w:t> </w:t>
        </w:r>
        <w:r>
          <w:rPr>
            <w:sz w:val="20"/>
          </w:rPr>
          <w:t>acciones</w:t>
          <w:tab/>
          <w:t>22</w:t>
        </w:r>
      </w:hyperlink>
    </w:p>
    <w:p>
      <w:pPr>
        <w:tabs>
          <w:tab w:pos="8968" w:val="right" w:leader="dot"/>
        </w:tabs>
        <w:spacing w:before="0"/>
        <w:ind w:left="142" w:right="0" w:firstLine="0"/>
        <w:jc w:val="left"/>
        <w:rPr>
          <w:sz w:val="20"/>
        </w:rPr>
      </w:pPr>
      <w:hyperlink w:history="true" w:anchor="_bookmark17">
        <w:r>
          <w:rPr>
            <w:sz w:val="20"/>
          </w:rPr>
          <w:t>Figura 03.</w:t>
        </w:r>
        <w:r>
          <w:rPr>
            <w:spacing w:val="1"/>
            <w:sz w:val="20"/>
          </w:rPr>
          <w:t> </w:t>
        </w:r>
        <w:r>
          <w:rPr>
            <w:sz w:val="20"/>
          </w:rPr>
          <w:t>Correlación</w:t>
        </w:r>
        <w:r>
          <w:rPr>
            <w:spacing w:val="-2"/>
            <w:sz w:val="20"/>
          </w:rPr>
          <w:t> </w:t>
        </w:r>
        <w:r>
          <w:rPr>
            <w:sz w:val="20"/>
          </w:rPr>
          <w:t>positiva</w:t>
          <w:tab/>
          <w:t>31</w:t>
        </w:r>
      </w:hyperlink>
    </w:p>
    <w:p>
      <w:pPr>
        <w:tabs>
          <w:tab w:pos="8968" w:val="right" w:leader="dot"/>
        </w:tabs>
        <w:spacing w:line="229" w:lineRule="exact" w:before="0"/>
        <w:ind w:left="142" w:right="0" w:firstLine="0"/>
        <w:jc w:val="left"/>
        <w:rPr>
          <w:sz w:val="20"/>
        </w:rPr>
      </w:pPr>
      <w:hyperlink w:history="true" w:anchor="_bookmark18">
        <w:r>
          <w:rPr>
            <w:sz w:val="20"/>
          </w:rPr>
          <w:t>Figura 04.</w:t>
        </w:r>
        <w:r>
          <w:rPr>
            <w:spacing w:val="1"/>
            <w:sz w:val="20"/>
          </w:rPr>
          <w:t> </w:t>
        </w:r>
        <w:r>
          <w:rPr>
            <w:sz w:val="20"/>
          </w:rPr>
          <w:t>Correlación</w:t>
        </w:r>
        <w:r>
          <w:rPr>
            <w:spacing w:val="-2"/>
            <w:sz w:val="20"/>
          </w:rPr>
          <w:t> </w:t>
        </w:r>
        <w:r>
          <w:rPr>
            <w:sz w:val="20"/>
          </w:rPr>
          <w:t>negativa</w:t>
          <w:tab/>
          <w:t>32</w:t>
        </w:r>
      </w:hyperlink>
    </w:p>
    <w:p>
      <w:pPr>
        <w:tabs>
          <w:tab w:pos="8968" w:val="right" w:leader="dot"/>
        </w:tabs>
        <w:spacing w:line="229" w:lineRule="exact" w:before="0"/>
        <w:ind w:left="142" w:right="0" w:firstLine="0"/>
        <w:jc w:val="left"/>
        <w:rPr>
          <w:sz w:val="20"/>
        </w:rPr>
      </w:pPr>
      <w:hyperlink w:history="true" w:anchor="_bookmark19">
        <w:r>
          <w:rPr>
            <w:sz w:val="20"/>
          </w:rPr>
          <w:t>Figura 05.</w:t>
        </w:r>
        <w:r>
          <w:rPr>
            <w:spacing w:val="1"/>
            <w:sz w:val="20"/>
          </w:rPr>
          <w:t> </w:t>
        </w:r>
        <w:r>
          <w:rPr>
            <w:sz w:val="20"/>
          </w:rPr>
          <w:t>Correlación</w:t>
        </w:r>
        <w:r>
          <w:rPr>
            <w:spacing w:val="-2"/>
            <w:sz w:val="20"/>
          </w:rPr>
          <w:t> </w:t>
        </w:r>
        <w:r>
          <w:rPr>
            <w:sz w:val="20"/>
          </w:rPr>
          <w:t>nula</w:t>
          <w:tab/>
          <w:t>32</w:t>
        </w:r>
      </w:hyperlink>
    </w:p>
    <w:p>
      <w:pPr>
        <w:tabs>
          <w:tab w:pos="8968" w:val="right" w:leader="dot"/>
        </w:tabs>
        <w:spacing w:before="0"/>
        <w:ind w:left="142" w:right="0" w:firstLine="0"/>
        <w:jc w:val="left"/>
        <w:rPr>
          <w:sz w:val="20"/>
        </w:rPr>
      </w:pPr>
      <w:hyperlink w:history="true" w:anchor="_bookmark21">
        <w:r>
          <w:rPr>
            <w:sz w:val="20"/>
          </w:rPr>
          <w:t>Figura 06 Combinación óptima de</w:t>
        </w:r>
        <w:r>
          <w:rPr>
            <w:spacing w:val="-5"/>
            <w:sz w:val="20"/>
          </w:rPr>
          <w:t> </w:t>
        </w:r>
        <w:r>
          <w:rPr>
            <w:sz w:val="20"/>
          </w:rPr>
          <w:t>activos</w:t>
        </w:r>
        <w:r>
          <w:rPr>
            <w:spacing w:val="-1"/>
            <w:sz w:val="20"/>
          </w:rPr>
          <w:t> </w:t>
        </w:r>
        <w:r>
          <w:rPr>
            <w:sz w:val="20"/>
          </w:rPr>
          <w:t>riesgosos</w:t>
          <w:tab/>
          <w:t>39</w:t>
        </w:r>
      </w:hyperlink>
    </w:p>
    <w:p>
      <w:pPr>
        <w:tabs>
          <w:tab w:pos="8968" w:val="right" w:leader="dot"/>
        </w:tabs>
        <w:spacing w:before="0"/>
        <w:ind w:left="142" w:right="0" w:firstLine="0"/>
        <w:jc w:val="left"/>
        <w:rPr>
          <w:sz w:val="20"/>
        </w:rPr>
      </w:pPr>
      <w:hyperlink w:history="true" w:anchor="_bookmark22">
        <w:r>
          <w:rPr>
            <w:sz w:val="20"/>
          </w:rPr>
          <w:t>Figura 07 Optimización de</w:t>
        </w:r>
        <w:r>
          <w:rPr>
            <w:spacing w:val="-3"/>
            <w:sz w:val="20"/>
          </w:rPr>
          <w:t> </w:t>
        </w:r>
        <w:r>
          <w:rPr>
            <w:sz w:val="20"/>
          </w:rPr>
          <w:t>la</w:t>
        </w:r>
        <w:r>
          <w:rPr>
            <w:spacing w:val="-2"/>
            <w:sz w:val="20"/>
          </w:rPr>
          <w:t> </w:t>
        </w:r>
        <w:r>
          <w:rPr>
            <w:sz w:val="20"/>
          </w:rPr>
          <w:t>cartera</w:t>
          <w:tab/>
          <w:t>41</w:t>
        </w:r>
      </w:hyperlink>
    </w:p>
    <w:p>
      <w:pPr>
        <w:spacing w:after="0"/>
        <w:jc w:val="left"/>
        <w:rPr>
          <w:sz w:val="20"/>
        </w:rPr>
        <w:sectPr>
          <w:pgSz w:w="12240" w:h="15840"/>
          <w:pgMar w:header="731" w:footer="737" w:top="1180" w:bottom="920" w:left="1560" w:right="1560"/>
        </w:sectPr>
      </w:pPr>
    </w:p>
    <w:p>
      <w:pPr>
        <w:pStyle w:val="BodyText"/>
        <w:spacing w:before="9"/>
        <w:rPr>
          <w:sz w:val="41"/>
        </w:rPr>
      </w:pPr>
    </w:p>
    <w:p>
      <w:pPr>
        <w:pStyle w:val="Heading1"/>
        <w:spacing w:before="0"/>
        <w:ind w:right="786"/>
      </w:pPr>
      <w:bookmarkStart w:name="_bookmark43" w:id="73"/>
      <w:bookmarkEnd w:id="73"/>
      <w:r>
        <w:rPr>
          <w:b w:val="0"/>
        </w:rPr>
      </w:r>
      <w:r>
        <w:rPr>
          <w:sz w:val="32"/>
        </w:rPr>
        <w:t>B</w:t>
      </w:r>
      <w:r>
        <w:rPr/>
        <w:t>IBLIOGRAFÍA BASE PARA LA COMPILACIÓN</w:t>
      </w:r>
    </w:p>
    <w:p>
      <w:pPr>
        <w:pStyle w:val="BodyText"/>
        <w:spacing w:line="275" w:lineRule="exact" w:before="240"/>
        <w:ind w:left="142" w:right="157"/>
      </w:pPr>
      <w:r>
        <w:rPr/>
        <w:t>Anderson, D. R., Sweeney, D. J., Williams, T. A., &amp; González Pozo, V. (2008).</w:t>
      </w:r>
    </w:p>
    <w:p>
      <w:pPr>
        <w:spacing w:line="275" w:lineRule="exact" w:before="0"/>
        <w:ind w:left="142" w:right="0" w:firstLine="707"/>
        <w:jc w:val="left"/>
        <w:rPr>
          <w:sz w:val="24"/>
        </w:rPr>
      </w:pPr>
      <w:r>
        <w:rPr>
          <w:i/>
          <w:sz w:val="24"/>
        </w:rPr>
        <w:t>Estadística para administración y economía</w:t>
      </w:r>
      <w:r>
        <w:rPr>
          <w:sz w:val="24"/>
        </w:rPr>
        <w:t>. México: International Thomson.</w:t>
      </w:r>
    </w:p>
    <w:p>
      <w:pPr>
        <w:pStyle w:val="BodyText"/>
        <w:spacing w:before="120"/>
        <w:ind w:left="850" w:right="157" w:hanging="708"/>
      </w:pPr>
      <w:r>
        <w:rPr/>
        <w:t>Berk, J. B., De Marzo, P., Enríquez, B. J., &amp; Valencia, H. H. (2008). </w:t>
      </w:r>
      <w:r>
        <w:rPr>
          <w:i/>
        </w:rPr>
        <w:t>Finanzas </w:t>
      </w:r>
      <w:r>
        <w:rPr>
          <w:i/>
        </w:rPr>
        <w:t>corporativas</w:t>
      </w:r>
      <w:r>
        <w:rPr/>
        <w:t>. México: Pearson Educación.</w:t>
      </w:r>
    </w:p>
    <w:p>
      <w:pPr>
        <w:pStyle w:val="BodyText"/>
        <w:spacing w:before="122"/>
        <w:ind w:left="142" w:right="786"/>
      </w:pPr>
      <w:r>
        <w:rPr/>
        <w:t>BMV-Educación, Administración de riesgos.</w:t>
      </w:r>
    </w:p>
    <w:p>
      <w:pPr>
        <w:pStyle w:val="BodyText"/>
        <w:spacing w:before="117"/>
        <w:ind w:left="142" w:right="786"/>
      </w:pPr>
      <w:r>
        <w:rPr/>
        <w:t>Bodie, Z., &amp; Merton, R. C. (2010). </w:t>
      </w:r>
      <w:r>
        <w:rPr>
          <w:i/>
        </w:rPr>
        <w:t>Finanzas</w:t>
      </w:r>
      <w:r>
        <w:rPr/>
        <w:t>. México: Pearson Educación.</w:t>
      </w:r>
    </w:p>
    <w:p>
      <w:pPr>
        <w:spacing w:before="120"/>
        <w:ind w:left="142" w:right="0" w:firstLine="0"/>
        <w:jc w:val="left"/>
        <w:rPr>
          <w:sz w:val="24"/>
        </w:rPr>
      </w:pPr>
      <w:r>
        <w:rPr>
          <w:sz w:val="24"/>
        </w:rPr>
        <w:t>Brealey, R. A., Myers, S. C., &amp; Allen, F. (2006). </w:t>
      </w:r>
      <w:r>
        <w:rPr>
          <w:i/>
          <w:sz w:val="24"/>
        </w:rPr>
        <w:t>Principios de finanzas corporativas</w:t>
      </w:r>
      <w:r>
        <w:rPr>
          <w:sz w:val="24"/>
        </w:rPr>
        <w:t>.</w:t>
      </w:r>
    </w:p>
    <w:p>
      <w:pPr>
        <w:pStyle w:val="BodyText"/>
        <w:spacing w:before="2"/>
        <w:ind w:left="850" w:right="786"/>
      </w:pPr>
      <w:r>
        <w:rPr/>
        <w:t>Madrid, McGraw-Hill.</w:t>
      </w:r>
    </w:p>
    <w:p>
      <w:pPr>
        <w:spacing w:before="118"/>
        <w:ind w:left="142" w:right="786" w:firstLine="0"/>
        <w:jc w:val="left"/>
        <w:rPr>
          <w:sz w:val="24"/>
        </w:rPr>
      </w:pPr>
      <w:r>
        <w:rPr>
          <w:sz w:val="24"/>
        </w:rPr>
        <w:t>Jorion, P. (2010). </w:t>
      </w:r>
      <w:r>
        <w:rPr>
          <w:i/>
          <w:sz w:val="24"/>
        </w:rPr>
        <w:t>Valor en riesgo</w:t>
      </w:r>
      <w:r>
        <w:rPr>
          <w:sz w:val="24"/>
        </w:rPr>
        <w:t>. México: Limusa.</w:t>
      </w:r>
    </w:p>
    <w:p>
      <w:pPr>
        <w:spacing w:before="120"/>
        <w:ind w:left="142" w:right="0" w:firstLine="0"/>
        <w:jc w:val="left"/>
        <w:rPr>
          <w:sz w:val="24"/>
        </w:rPr>
      </w:pPr>
      <w:r>
        <w:rPr>
          <w:sz w:val="24"/>
        </w:rPr>
        <w:t>Kozikowski, Z. Z. (2007). </w:t>
      </w:r>
      <w:r>
        <w:rPr>
          <w:i/>
          <w:sz w:val="24"/>
        </w:rPr>
        <w:t>Matemáticas financieras: El valor del dinero en el tiempo</w:t>
      </w:r>
      <w:r>
        <w:rPr>
          <w:sz w:val="24"/>
        </w:rPr>
        <w:t>.</w:t>
      </w:r>
    </w:p>
    <w:p>
      <w:pPr>
        <w:pStyle w:val="BodyText"/>
        <w:spacing w:before="2"/>
        <w:ind w:left="850" w:right="786"/>
      </w:pPr>
      <w:r>
        <w:rPr/>
        <w:t>Mexico: McGraw-Hill Interamericana.</w:t>
      </w:r>
    </w:p>
    <w:p>
      <w:pPr>
        <w:spacing w:before="117"/>
        <w:ind w:left="142" w:right="0" w:firstLine="0"/>
        <w:jc w:val="left"/>
        <w:rPr>
          <w:sz w:val="24"/>
        </w:rPr>
      </w:pPr>
      <w:r>
        <w:rPr>
          <w:sz w:val="24"/>
        </w:rPr>
        <w:t>Lara Haro, A. D. (2010). </w:t>
      </w:r>
      <w:r>
        <w:rPr>
          <w:i/>
          <w:sz w:val="24"/>
        </w:rPr>
        <w:t>Medición y control de riesgos financieros</w:t>
      </w:r>
      <w:r>
        <w:rPr>
          <w:sz w:val="24"/>
        </w:rPr>
        <w:t>. Mexico, Limusa.</w:t>
      </w:r>
    </w:p>
    <w:p>
      <w:pPr>
        <w:spacing w:before="120"/>
        <w:ind w:left="850" w:right="157" w:hanging="708"/>
        <w:jc w:val="left"/>
        <w:rPr>
          <w:sz w:val="24"/>
        </w:rPr>
      </w:pPr>
      <w:r>
        <w:rPr>
          <w:sz w:val="24"/>
        </w:rPr>
        <w:t>Lind, D. A., Marchal, W. G., &amp; Wathen, S. A. (2008). </w:t>
      </w:r>
      <w:r>
        <w:rPr>
          <w:i/>
          <w:sz w:val="24"/>
        </w:rPr>
        <w:t>Estadística aplicada a los </w:t>
      </w:r>
      <w:r>
        <w:rPr>
          <w:i/>
          <w:sz w:val="24"/>
        </w:rPr>
        <w:t>negocios y la economía</w:t>
      </w:r>
      <w:r>
        <w:rPr>
          <w:sz w:val="24"/>
        </w:rPr>
        <w:t>. México, D. F: McGraw Hill.</w:t>
      </w:r>
    </w:p>
    <w:p>
      <w:pPr>
        <w:pStyle w:val="BodyText"/>
        <w:spacing w:before="120"/>
        <w:ind w:left="850" w:right="157" w:hanging="708"/>
      </w:pPr>
      <w:r>
        <w:rPr/>
        <w:t>Ross, S. A., Westerfield, R. W., Jaffe, J. F., &amp; Gómez, M. A. (2010). </w:t>
      </w:r>
      <w:r>
        <w:rPr>
          <w:i/>
        </w:rPr>
        <w:t>Finanzas </w:t>
      </w:r>
      <w:r>
        <w:rPr>
          <w:i/>
        </w:rPr>
        <w:t>corporativas</w:t>
      </w:r>
      <w:r>
        <w:rPr/>
        <w:t>. México: McGraw-Hill.</w:t>
      </w:r>
    </w:p>
    <w:p>
      <w:pPr>
        <w:spacing w:line="242" w:lineRule="auto" w:before="120"/>
        <w:ind w:left="850" w:right="137" w:hanging="708"/>
        <w:jc w:val="both"/>
        <w:rPr>
          <w:sz w:val="24"/>
        </w:rPr>
      </w:pPr>
      <w:r>
        <w:rPr>
          <w:sz w:val="24"/>
        </w:rPr>
        <w:t>Steiner, B., Arévalo, S. P., &amp; López, G. M. A. (2002). </w:t>
      </w:r>
      <w:r>
        <w:rPr>
          <w:i/>
          <w:sz w:val="24"/>
        </w:rPr>
        <w:t>Conceptos esenciales del </w:t>
      </w:r>
      <w:r>
        <w:rPr>
          <w:i/>
          <w:sz w:val="24"/>
        </w:rPr>
        <w:t>mercado financiero: 100 términos financieros desarrollados con ejemplos</w:t>
      </w:r>
      <w:r>
        <w:rPr>
          <w:sz w:val="24"/>
        </w:rPr>
        <w:t>. Madrid: Pearson Educación.</w:t>
      </w:r>
    </w:p>
    <w:p>
      <w:pPr>
        <w:spacing w:line="240" w:lineRule="auto" w:before="115"/>
        <w:ind w:left="850" w:right="136" w:hanging="708"/>
        <w:jc w:val="both"/>
        <w:rPr>
          <w:sz w:val="24"/>
        </w:rPr>
      </w:pPr>
      <w:r>
        <w:rPr>
          <w:sz w:val="24"/>
        </w:rPr>
        <w:t>Venegas</w:t>
      </w:r>
      <w:r>
        <w:rPr>
          <w:spacing w:val="-17"/>
          <w:sz w:val="24"/>
        </w:rPr>
        <w:t> </w:t>
      </w:r>
      <w:r>
        <w:rPr>
          <w:sz w:val="24"/>
        </w:rPr>
        <w:t>Martínez,</w:t>
      </w:r>
      <w:r>
        <w:rPr>
          <w:spacing w:val="-14"/>
          <w:sz w:val="24"/>
        </w:rPr>
        <w:t> </w:t>
      </w:r>
      <w:r>
        <w:rPr>
          <w:sz w:val="24"/>
        </w:rPr>
        <w:t>Francisco,</w:t>
      </w:r>
      <w:r>
        <w:rPr>
          <w:spacing w:val="-14"/>
          <w:sz w:val="24"/>
        </w:rPr>
        <w:t> </w:t>
      </w:r>
      <w:r>
        <w:rPr>
          <w:sz w:val="24"/>
        </w:rPr>
        <w:t>(2008).</w:t>
      </w:r>
      <w:r>
        <w:rPr>
          <w:spacing w:val="-11"/>
          <w:sz w:val="24"/>
        </w:rPr>
        <w:t> </w:t>
      </w:r>
      <w:r>
        <w:rPr>
          <w:i/>
          <w:sz w:val="24"/>
        </w:rPr>
        <w:t>Riesgos</w:t>
      </w:r>
      <w:r>
        <w:rPr>
          <w:i/>
          <w:spacing w:val="-15"/>
          <w:sz w:val="24"/>
        </w:rPr>
        <w:t> </w:t>
      </w:r>
      <w:r>
        <w:rPr>
          <w:i/>
          <w:sz w:val="24"/>
        </w:rPr>
        <w:t>financieros</w:t>
      </w:r>
      <w:r>
        <w:rPr>
          <w:i/>
          <w:spacing w:val="-17"/>
          <w:sz w:val="24"/>
        </w:rPr>
        <w:t> </w:t>
      </w:r>
      <w:r>
        <w:rPr>
          <w:i/>
          <w:sz w:val="24"/>
        </w:rPr>
        <w:t>y</w:t>
      </w:r>
      <w:r>
        <w:rPr>
          <w:i/>
          <w:spacing w:val="-17"/>
          <w:sz w:val="24"/>
        </w:rPr>
        <w:t> </w:t>
      </w:r>
      <w:r>
        <w:rPr>
          <w:i/>
          <w:sz w:val="24"/>
        </w:rPr>
        <w:t>económicos:</w:t>
      </w:r>
      <w:r>
        <w:rPr>
          <w:i/>
          <w:spacing w:val="-14"/>
          <w:sz w:val="24"/>
        </w:rPr>
        <w:t> </w:t>
      </w:r>
      <w:r>
        <w:rPr>
          <w:i/>
          <w:sz w:val="24"/>
        </w:rPr>
        <w:t>Productos </w:t>
      </w:r>
      <w:r>
        <w:rPr>
          <w:i/>
          <w:sz w:val="24"/>
        </w:rPr>
        <w:t>derivados y decisiones económicas bajo incertidumbre</w:t>
      </w:r>
      <w:r>
        <w:rPr>
          <w:sz w:val="24"/>
        </w:rPr>
        <w:t>. Cengage Learning Latin</w:t>
      </w:r>
      <w:r>
        <w:rPr>
          <w:spacing w:val="-6"/>
          <w:sz w:val="24"/>
        </w:rPr>
        <w:t> </w:t>
      </w:r>
      <w:r>
        <w:rPr>
          <w:sz w:val="24"/>
        </w:rPr>
        <w:t>América.</w:t>
      </w:r>
    </w:p>
    <w:p>
      <w:pPr>
        <w:spacing w:line="242" w:lineRule="auto" w:before="117"/>
        <w:ind w:left="850" w:right="46" w:hanging="708"/>
        <w:jc w:val="left"/>
        <w:rPr>
          <w:sz w:val="24"/>
        </w:rPr>
      </w:pPr>
      <w:r>
        <w:rPr>
          <w:sz w:val="24"/>
        </w:rPr>
        <w:t>Walpole, R. E. (2007). </w:t>
      </w:r>
      <w:r>
        <w:rPr>
          <w:i/>
          <w:sz w:val="24"/>
        </w:rPr>
        <w:t>Probabilidad y estadística para ingeniería y ciencias</w:t>
      </w:r>
      <w:r>
        <w:rPr>
          <w:sz w:val="24"/>
        </w:rPr>
        <w:t>. México: Pearson Educación.</w:t>
      </w:r>
    </w:p>
    <w:p>
      <w:pPr>
        <w:spacing w:after="0" w:line="242" w:lineRule="auto"/>
        <w:jc w:val="left"/>
        <w:rPr>
          <w:sz w:val="24"/>
        </w:rPr>
        <w:sectPr>
          <w:pgSz w:w="12240" w:h="15840"/>
          <w:pgMar w:header="731" w:footer="737" w:top="1180" w:bottom="920" w:left="1560" w:right="1560"/>
        </w:sectPr>
      </w:pPr>
    </w:p>
    <w:p>
      <w:pPr>
        <w:pStyle w:val="BodyText"/>
        <w:rPr>
          <w:sz w:val="20"/>
        </w:rPr>
      </w:pPr>
    </w:p>
    <w:p>
      <w:pPr>
        <w:pStyle w:val="BodyText"/>
        <w:spacing w:before="6"/>
        <w:rPr>
          <w:sz w:val="16"/>
        </w:rPr>
      </w:pPr>
    </w:p>
    <w:p>
      <w:pPr>
        <w:pStyle w:val="Heading1"/>
        <w:ind w:right="786"/>
      </w:pPr>
      <w:bookmarkStart w:name="_bookmark44" w:id="74"/>
      <w:bookmarkEnd w:id="74"/>
      <w:r>
        <w:rPr>
          <w:b w:val="0"/>
        </w:rPr>
      </w:r>
      <w:r>
        <w:rPr>
          <w:sz w:val="32"/>
        </w:rPr>
        <w:t>A</w:t>
      </w:r>
      <w:r>
        <w:rPr/>
        <w:t>PÉNDICES</w:t>
      </w:r>
    </w:p>
    <w:p>
      <w:pPr>
        <w:pStyle w:val="BodyText"/>
        <w:spacing w:before="5"/>
        <w:rPr>
          <w:b/>
          <w:sz w:val="41"/>
        </w:rPr>
      </w:pPr>
    </w:p>
    <w:p>
      <w:pPr>
        <w:spacing w:before="0"/>
        <w:ind w:left="142" w:right="786" w:firstLine="0"/>
        <w:jc w:val="left"/>
        <w:rPr>
          <w:sz w:val="18"/>
        </w:rPr>
      </w:pPr>
      <w:bookmarkStart w:name="_bookmark45" w:id="75"/>
      <w:bookmarkEnd w:id="75"/>
      <w:r>
        <w:rPr/>
      </w:r>
      <w:r>
        <w:rPr>
          <w:b/>
          <w:sz w:val="28"/>
        </w:rPr>
        <w:t>A</w:t>
      </w:r>
      <w:r>
        <w:rPr>
          <w:b/>
          <w:sz w:val="22"/>
        </w:rPr>
        <w:t>PÉNDICE </w:t>
      </w:r>
      <w:r>
        <w:rPr>
          <w:b/>
          <w:sz w:val="28"/>
        </w:rPr>
        <w:t>1. D</w:t>
      </w:r>
      <w:r>
        <w:rPr>
          <w:b/>
          <w:sz w:val="22"/>
        </w:rPr>
        <w:t>ESASTRES FINANCIEROS</w:t>
      </w:r>
      <w:r>
        <w:rPr>
          <w:position w:val="10"/>
          <w:sz w:val="18"/>
        </w:rPr>
        <w:t>60</w:t>
      </w:r>
    </w:p>
    <w:p>
      <w:pPr>
        <w:pStyle w:val="BodyText"/>
        <w:spacing w:line="360" w:lineRule="auto" w:before="243"/>
        <w:ind w:left="142" w:right="138" w:firstLine="707"/>
        <w:jc w:val="both"/>
        <w:rPr>
          <w:sz w:val="16"/>
        </w:rPr>
      </w:pPr>
      <w:r>
        <w:rPr/>
        <w:t>Se suele considerar al riesgo operacional como el principal riesgo que conlleva</w:t>
      </w:r>
      <w:r>
        <w:rPr>
          <w:spacing w:val="-18"/>
        </w:rPr>
        <w:t> </w:t>
      </w:r>
      <w:r>
        <w:rPr/>
        <w:t>el</w:t>
      </w:r>
      <w:r>
        <w:rPr>
          <w:spacing w:val="-19"/>
        </w:rPr>
        <w:t> </w:t>
      </w:r>
      <w:r>
        <w:rPr/>
        <w:t>uso</w:t>
      </w:r>
      <w:r>
        <w:rPr>
          <w:spacing w:val="-18"/>
        </w:rPr>
        <w:t> </w:t>
      </w:r>
      <w:r>
        <w:rPr/>
        <w:t>de</w:t>
      </w:r>
      <w:r>
        <w:rPr>
          <w:spacing w:val="-20"/>
        </w:rPr>
        <w:t> </w:t>
      </w:r>
      <w:r>
        <w:rPr/>
        <w:t>derivados</w:t>
      </w:r>
      <w:r>
        <w:rPr>
          <w:spacing w:val="-19"/>
        </w:rPr>
        <w:t> </w:t>
      </w:r>
      <w:r>
        <w:rPr/>
        <w:t>de</w:t>
      </w:r>
      <w:r>
        <w:rPr>
          <w:spacing w:val="-18"/>
        </w:rPr>
        <w:t> </w:t>
      </w:r>
      <w:r>
        <w:rPr/>
        <w:t>crédito.</w:t>
      </w:r>
      <w:r>
        <w:rPr>
          <w:spacing w:val="-18"/>
        </w:rPr>
        <w:t> </w:t>
      </w:r>
      <w:r>
        <w:rPr/>
        <w:t>Se</w:t>
      </w:r>
      <w:r>
        <w:rPr>
          <w:spacing w:val="-18"/>
        </w:rPr>
        <w:t> </w:t>
      </w:r>
      <w:r>
        <w:rPr/>
        <w:t>entiende</w:t>
      </w:r>
      <w:r>
        <w:rPr>
          <w:spacing w:val="-20"/>
        </w:rPr>
        <w:t> </w:t>
      </w:r>
      <w:r>
        <w:rPr/>
        <w:t>por</w:t>
      </w:r>
      <w:r>
        <w:rPr>
          <w:spacing w:val="-19"/>
        </w:rPr>
        <w:t> </w:t>
      </w:r>
      <w:r>
        <w:rPr/>
        <w:t>riesgo</w:t>
      </w:r>
      <w:r>
        <w:rPr>
          <w:spacing w:val="-18"/>
        </w:rPr>
        <w:t> </w:t>
      </w:r>
      <w:r>
        <w:rPr/>
        <w:t>operacional,</w:t>
      </w:r>
      <w:r>
        <w:rPr>
          <w:spacing w:val="-19"/>
        </w:rPr>
        <w:t> </w:t>
      </w:r>
      <w:r>
        <w:rPr/>
        <w:t>el</w:t>
      </w:r>
      <w:r>
        <w:rPr>
          <w:spacing w:val="-19"/>
        </w:rPr>
        <w:t> </w:t>
      </w:r>
      <w:r>
        <w:rPr/>
        <w:t>riesgo al que pueden incurrir los operadores al usar imprudentemente cualquier instrumento</w:t>
      </w:r>
      <w:r>
        <w:rPr>
          <w:spacing w:val="-6"/>
        </w:rPr>
        <w:t> </w:t>
      </w:r>
      <w:r>
        <w:rPr/>
        <w:t>derivado</w:t>
      </w:r>
      <w:r>
        <w:rPr>
          <w:spacing w:val="-5"/>
        </w:rPr>
        <w:t> </w:t>
      </w:r>
      <w:r>
        <w:rPr/>
        <w:t>para</w:t>
      </w:r>
      <w:r>
        <w:rPr>
          <w:spacing w:val="-5"/>
        </w:rPr>
        <w:t> </w:t>
      </w:r>
      <w:r>
        <w:rPr/>
        <w:t>la</w:t>
      </w:r>
      <w:r>
        <w:rPr>
          <w:spacing w:val="-7"/>
        </w:rPr>
        <w:t> </w:t>
      </w:r>
      <w:r>
        <w:rPr/>
        <w:t>especulación</w:t>
      </w:r>
      <w:r>
        <w:rPr>
          <w:spacing w:val="-7"/>
        </w:rPr>
        <w:t> </w:t>
      </w:r>
      <w:r>
        <w:rPr/>
        <w:t>en</w:t>
      </w:r>
      <w:r>
        <w:rPr>
          <w:spacing w:val="-9"/>
        </w:rPr>
        <w:t> </w:t>
      </w:r>
      <w:r>
        <w:rPr/>
        <w:t>lugar</w:t>
      </w:r>
      <w:r>
        <w:rPr>
          <w:spacing w:val="-6"/>
        </w:rPr>
        <w:t> </w:t>
      </w:r>
      <w:r>
        <w:rPr/>
        <w:t>de</w:t>
      </w:r>
      <w:r>
        <w:rPr>
          <w:spacing w:val="-7"/>
        </w:rPr>
        <w:t> </w:t>
      </w:r>
      <w:r>
        <w:rPr/>
        <w:t>hacerlo</w:t>
      </w:r>
      <w:r>
        <w:rPr>
          <w:spacing w:val="-5"/>
        </w:rPr>
        <w:t> </w:t>
      </w:r>
      <w:r>
        <w:rPr/>
        <w:t>como</w:t>
      </w:r>
      <w:r>
        <w:rPr>
          <w:spacing w:val="-9"/>
        </w:rPr>
        <w:t> </w:t>
      </w:r>
      <w:r>
        <w:rPr/>
        <w:t>cobertura.</w:t>
      </w:r>
      <w:r>
        <w:rPr>
          <w:spacing w:val="-7"/>
        </w:rPr>
        <w:t> </w:t>
      </w:r>
      <w:r>
        <w:rPr/>
        <w:t>Por ejemplo, las pérdidas injustificadas en operaciones de derivados causaron la disolución de Barings, un banco de inversión británico, y contribuyó también al impago del condado de Orange en</w:t>
      </w:r>
      <w:r>
        <w:rPr>
          <w:spacing w:val="-19"/>
        </w:rPr>
        <w:t> </w:t>
      </w:r>
      <w:r>
        <w:rPr/>
        <w:t>California.</w:t>
      </w:r>
      <w:r>
        <w:rPr>
          <w:position w:val="8"/>
          <w:sz w:val="16"/>
        </w:rPr>
        <w:t>61</w:t>
      </w:r>
    </w:p>
    <w:p>
      <w:pPr>
        <w:pStyle w:val="Heading3"/>
        <w:spacing w:before="111"/>
        <w:rPr>
          <w:sz w:val="16"/>
        </w:rPr>
      </w:pPr>
      <w:r>
        <w:rPr/>
        <w:t>Barings Bank</w:t>
      </w:r>
      <w:r>
        <w:rPr>
          <w:position w:val="8"/>
          <w:sz w:val="16"/>
        </w:rPr>
        <w:t>62</w:t>
      </w:r>
    </w:p>
    <w:p>
      <w:pPr>
        <w:pStyle w:val="BodyText"/>
        <w:spacing w:line="360" w:lineRule="auto" w:before="62"/>
        <w:ind w:left="142" w:right="134" w:firstLine="707"/>
        <w:jc w:val="both"/>
      </w:pPr>
      <w:r>
        <w:rPr/>
        <w:t>El 26 de febrero de 1995 se hizo público que el banco británico Barings se declaraba en bancarrota. Este colapso fue totalmente inesperado, pues este era el banco más antiguo de Inglaterra (y era el banco de la Reina) y lo que más llamó la atención</w:t>
      </w:r>
      <w:r>
        <w:rPr>
          <w:spacing w:val="-6"/>
        </w:rPr>
        <w:t> </w:t>
      </w:r>
      <w:r>
        <w:rPr/>
        <w:t>es</w:t>
      </w:r>
      <w:r>
        <w:rPr>
          <w:spacing w:val="-7"/>
        </w:rPr>
        <w:t> </w:t>
      </w:r>
      <w:r>
        <w:rPr/>
        <w:t>que</w:t>
      </w:r>
      <w:r>
        <w:rPr>
          <w:spacing w:val="-6"/>
        </w:rPr>
        <w:t> </w:t>
      </w:r>
      <w:r>
        <w:rPr/>
        <w:t>el</w:t>
      </w:r>
      <w:r>
        <w:rPr>
          <w:spacing w:val="-7"/>
        </w:rPr>
        <w:t> </w:t>
      </w:r>
      <w:r>
        <w:rPr/>
        <w:t>descalabro</w:t>
      </w:r>
      <w:r>
        <w:rPr>
          <w:spacing w:val="-9"/>
        </w:rPr>
        <w:t> </w:t>
      </w:r>
      <w:r>
        <w:rPr/>
        <w:t>fue</w:t>
      </w:r>
      <w:r>
        <w:rPr>
          <w:spacing w:val="-6"/>
        </w:rPr>
        <w:t> </w:t>
      </w:r>
      <w:r>
        <w:rPr/>
        <w:t>provocado</w:t>
      </w:r>
      <w:r>
        <w:rPr>
          <w:spacing w:val="-8"/>
        </w:rPr>
        <w:t> </w:t>
      </w:r>
      <w:r>
        <w:rPr/>
        <w:t>por</w:t>
      </w:r>
      <w:r>
        <w:rPr>
          <w:spacing w:val="-7"/>
        </w:rPr>
        <w:t> </w:t>
      </w:r>
      <w:r>
        <w:rPr/>
        <w:t>un</w:t>
      </w:r>
      <w:r>
        <w:rPr>
          <w:spacing w:val="-6"/>
        </w:rPr>
        <w:t> </w:t>
      </w:r>
      <w:r>
        <w:rPr/>
        <w:t>agente</w:t>
      </w:r>
      <w:r>
        <w:rPr>
          <w:spacing w:val="-6"/>
        </w:rPr>
        <w:t> </w:t>
      </w:r>
      <w:r>
        <w:rPr/>
        <w:t>de</w:t>
      </w:r>
      <w:r>
        <w:rPr>
          <w:spacing w:val="-8"/>
        </w:rPr>
        <w:t> </w:t>
      </w:r>
      <w:r>
        <w:rPr/>
        <w:t>una pequeña</w:t>
      </w:r>
      <w:r>
        <w:rPr>
          <w:spacing w:val="-6"/>
        </w:rPr>
        <w:t> </w:t>
      </w:r>
      <w:r>
        <w:rPr/>
        <w:t>oficina ubicada en Singapur. El operador se llamaba Nicholas</w:t>
      </w:r>
      <w:r>
        <w:rPr>
          <w:spacing w:val="-19"/>
        </w:rPr>
        <w:t> </w:t>
      </w:r>
      <w:r>
        <w:rPr/>
        <w:t>Leeson</w:t>
      </w:r>
      <w:r>
        <w:rPr>
          <w:position w:val="8"/>
          <w:sz w:val="16"/>
        </w:rPr>
        <w:t>63</w:t>
      </w:r>
      <w:r>
        <w:rPr/>
        <w:t>.</w:t>
      </w:r>
    </w:p>
    <w:p>
      <w:pPr>
        <w:pStyle w:val="BodyText"/>
        <w:spacing w:line="360" w:lineRule="auto"/>
        <w:ind w:left="142" w:right="137" w:firstLine="707"/>
        <w:jc w:val="both"/>
      </w:pPr>
      <w:r>
        <w:rPr/>
        <w:t>El Barings había mantenido una oficina en Singapur desde el año 1987 llamada originalmente Barings Securities Singapore (BSS). Ella estaba originalmente</w:t>
      </w:r>
      <w:r>
        <w:rPr>
          <w:spacing w:val="-9"/>
        </w:rPr>
        <w:t> </w:t>
      </w:r>
      <w:r>
        <w:rPr/>
        <w:t>enfocada</w:t>
      </w:r>
      <w:r>
        <w:rPr>
          <w:spacing w:val="-9"/>
        </w:rPr>
        <w:t> </w:t>
      </w:r>
      <w:r>
        <w:rPr/>
        <w:t>en</w:t>
      </w:r>
      <w:r>
        <w:rPr>
          <w:spacing w:val="-9"/>
        </w:rPr>
        <w:t> </w:t>
      </w:r>
      <w:r>
        <w:rPr/>
        <w:t>los</w:t>
      </w:r>
      <w:r>
        <w:rPr>
          <w:spacing w:val="-10"/>
        </w:rPr>
        <w:t> </w:t>
      </w:r>
      <w:r>
        <w:rPr/>
        <w:t>activos</w:t>
      </w:r>
      <w:r>
        <w:rPr>
          <w:spacing w:val="-10"/>
        </w:rPr>
        <w:t> </w:t>
      </w:r>
      <w:r>
        <w:rPr/>
        <w:t>de</w:t>
      </w:r>
      <w:r>
        <w:rPr>
          <w:spacing w:val="-9"/>
        </w:rPr>
        <w:t> </w:t>
      </w:r>
      <w:r>
        <w:rPr/>
        <w:t>capital,</w:t>
      </w:r>
      <w:r>
        <w:rPr>
          <w:spacing w:val="-10"/>
        </w:rPr>
        <w:t> </w:t>
      </w:r>
      <w:r>
        <w:rPr/>
        <w:t>pero</w:t>
      </w:r>
      <w:r>
        <w:rPr>
          <w:spacing w:val="-10"/>
        </w:rPr>
        <w:t> </w:t>
      </w:r>
      <w:r>
        <w:rPr/>
        <w:t>el</w:t>
      </w:r>
      <w:r>
        <w:rPr>
          <w:spacing w:val="-11"/>
        </w:rPr>
        <w:t> </w:t>
      </w:r>
      <w:r>
        <w:rPr/>
        <w:t>volumen</w:t>
      </w:r>
      <w:r>
        <w:rPr>
          <w:spacing w:val="-9"/>
        </w:rPr>
        <w:t> </w:t>
      </w:r>
      <w:r>
        <w:rPr/>
        <w:t>de</w:t>
      </w:r>
      <w:r>
        <w:rPr>
          <w:spacing w:val="-3"/>
        </w:rPr>
        <w:t> </w:t>
      </w:r>
      <w:r>
        <w:rPr/>
        <w:t>transacción</w:t>
      </w:r>
      <w:r>
        <w:rPr>
          <w:spacing w:val="-9"/>
        </w:rPr>
        <w:t> </w:t>
      </w:r>
      <w:r>
        <w:rPr/>
        <w:t>de futuros en el SIMEX (hoy, Singapore Exchange) era</w:t>
      </w:r>
      <w:r>
        <w:rPr>
          <w:spacing w:val="-20"/>
        </w:rPr>
        <w:t> </w:t>
      </w:r>
      <w:r>
        <w:rPr/>
        <w:t>creciente.</w:t>
      </w:r>
    </w:p>
    <w:p>
      <w:pPr>
        <w:pStyle w:val="BodyText"/>
        <w:spacing w:before="6"/>
        <w:rPr>
          <w:sz w:val="10"/>
        </w:rPr>
      </w:pPr>
      <w:r>
        <w:rPr/>
        <w:pict>
          <v:line style="position:absolute;mso-position-horizontal-relative:page;mso-position-vertical-relative:paragraph;z-index:4120;mso-wrap-distance-left:0;mso-wrap-distance-right:0" from="85.103996pt,8.333913pt" to="229.123996pt,8.333913pt" stroked="true" strokeweight=".599980pt" strokecolor="#000000">
            <w10:wrap type="topAndBottom"/>
          </v:line>
        </w:pict>
      </w:r>
    </w:p>
    <w:p>
      <w:pPr>
        <w:spacing w:before="78"/>
        <w:ind w:left="142" w:right="157" w:firstLine="0"/>
        <w:jc w:val="left"/>
        <w:rPr>
          <w:sz w:val="20"/>
        </w:rPr>
      </w:pPr>
      <w:r>
        <w:rPr>
          <w:position w:val="6"/>
          <w:sz w:val="13"/>
        </w:rPr>
        <w:t>60 </w:t>
      </w:r>
      <w:r>
        <w:rPr>
          <w:sz w:val="20"/>
        </w:rPr>
        <w:t>Fuente: </w:t>
      </w:r>
      <w:hyperlink r:id="rId10">
        <w:r>
          <w:rPr>
            <w:color w:val="0000FF"/>
            <w:sz w:val="20"/>
            <w:u w:val="single" w:color="0000FF"/>
          </w:rPr>
          <w:t>http://www.condusef.gob.mx/cultura_financiera/finanzas_personales/riesgos_fin.html</w:t>
        </w:r>
      </w:hyperlink>
    </w:p>
    <w:p>
      <w:pPr>
        <w:spacing w:before="0"/>
        <w:ind w:left="142" w:right="320" w:firstLine="0"/>
        <w:jc w:val="left"/>
        <w:rPr>
          <w:sz w:val="20"/>
        </w:rPr>
      </w:pPr>
      <w:r>
        <w:rPr>
          <w:position w:val="6"/>
          <w:sz w:val="13"/>
        </w:rPr>
        <w:t>61 </w:t>
      </w:r>
      <w:r>
        <w:rPr>
          <w:sz w:val="20"/>
        </w:rPr>
        <w:t>Fuente: Caparrós Ruipérez, Álvaro Miguel, Derivados de crédito, nuevos instrumentos financieros para el control del riesgo, Director del Departamento de Análisis y Riesgos, Eurobolsa Gestión de Valores </w:t>
      </w:r>
      <w:hyperlink r:id="rId61">
        <w:r>
          <w:rPr>
            <w:color w:val="0000FF"/>
            <w:sz w:val="20"/>
            <w:u w:val="single" w:color="0000FF"/>
          </w:rPr>
          <w:t>http://www.uclm.es/AB/fcee/D_trabajos/0-2002-1.pdf</w:t>
        </w:r>
      </w:hyperlink>
    </w:p>
    <w:p>
      <w:pPr>
        <w:spacing w:before="0"/>
        <w:ind w:left="142" w:right="157" w:firstLine="0"/>
        <w:jc w:val="left"/>
        <w:rPr>
          <w:sz w:val="20"/>
        </w:rPr>
      </w:pPr>
      <w:r>
        <w:rPr>
          <w:position w:val="6"/>
          <w:sz w:val="13"/>
        </w:rPr>
        <w:t>62 </w:t>
      </w:r>
      <w:r>
        <w:rPr>
          <w:sz w:val="20"/>
        </w:rPr>
        <w:t>Fuente: Carolina Queupil Quilamán, Las disposiciones de Basilea y su adopción en la industria bancaria chilena, Santiago, Chile, Diciembre 2004. </w:t>
      </w:r>
      <w:hyperlink r:id="rId62">
        <w:r>
          <w:rPr>
            <w:color w:val="0000FF"/>
            <w:sz w:val="20"/>
            <w:u w:val="single" w:color="0000FF"/>
          </w:rPr>
          <w:t>http://www.cybertesis.cl/tesis/uchile/2004/queupil_c/sources/queupil_c.pdf</w:t>
        </w:r>
      </w:hyperlink>
    </w:p>
    <w:p>
      <w:pPr>
        <w:spacing w:before="0"/>
        <w:ind w:left="142" w:right="1854" w:firstLine="0"/>
        <w:jc w:val="left"/>
        <w:rPr>
          <w:sz w:val="20"/>
        </w:rPr>
      </w:pPr>
      <w:r>
        <w:rPr>
          <w:sz w:val="20"/>
        </w:rPr>
        <w:t>También se recomienda consultar: </w:t>
      </w:r>
      <w:hyperlink r:id="rId16">
        <w:r>
          <w:rPr>
            <w:color w:val="0000FF"/>
            <w:sz w:val="20"/>
            <w:u w:val="single" w:color="0000FF"/>
          </w:rPr>
          <w:t>http://es.wikipedia.org/wiki/Baring_Brothers </w:t>
        </w:r>
      </w:hyperlink>
      <w:r>
        <w:rPr>
          <w:sz w:val="20"/>
        </w:rPr>
        <w:t>y </w:t>
      </w:r>
      <w:hyperlink r:id="rId17">
        <w:r>
          <w:rPr>
            <w:color w:val="0000FF"/>
            <w:sz w:val="20"/>
            <w:u w:val="single" w:color="0000FF"/>
          </w:rPr>
          <w:t>http://www.bbbsa.ch/Default.aspx?p=9</w:t>
        </w:r>
      </w:hyperlink>
    </w:p>
    <w:p>
      <w:pPr>
        <w:spacing w:before="0"/>
        <w:ind w:left="142" w:right="786" w:firstLine="0"/>
        <w:jc w:val="left"/>
        <w:rPr>
          <w:sz w:val="20"/>
        </w:rPr>
      </w:pPr>
      <w:r>
        <w:rPr>
          <w:position w:val="6"/>
          <w:sz w:val="13"/>
        </w:rPr>
        <w:t>63 </w:t>
      </w:r>
      <w:r>
        <w:rPr>
          <w:sz w:val="20"/>
        </w:rPr>
        <w:t>Ver:</w:t>
      </w:r>
    </w:p>
    <w:p>
      <w:pPr>
        <w:pStyle w:val="ListParagraph"/>
        <w:numPr>
          <w:ilvl w:val="2"/>
          <w:numId w:val="17"/>
        </w:numPr>
        <w:tabs>
          <w:tab w:pos="861" w:val="left" w:leader="none"/>
          <w:tab w:pos="862" w:val="left" w:leader="none"/>
        </w:tabs>
        <w:spacing w:line="244" w:lineRule="exact" w:before="1" w:after="0"/>
        <w:ind w:left="862" w:right="0" w:hanging="360"/>
        <w:jc w:val="left"/>
        <w:rPr>
          <w:rFonts w:ascii="Symbol"/>
          <w:sz w:val="20"/>
        </w:rPr>
      </w:pPr>
      <w:hyperlink r:id="rId11">
        <w:r>
          <w:rPr>
            <w:color w:val="0000FF"/>
            <w:sz w:val="20"/>
            <w:u w:val="single" w:color="0000FF"/>
          </w:rPr>
          <w:t>http://www.nickleeson.com/</w:t>
        </w:r>
      </w:hyperlink>
    </w:p>
    <w:p>
      <w:pPr>
        <w:pStyle w:val="ListParagraph"/>
        <w:numPr>
          <w:ilvl w:val="2"/>
          <w:numId w:val="17"/>
        </w:numPr>
        <w:tabs>
          <w:tab w:pos="861" w:val="left" w:leader="none"/>
          <w:tab w:pos="862" w:val="left" w:leader="none"/>
        </w:tabs>
        <w:spacing w:line="240" w:lineRule="auto" w:before="0" w:after="0"/>
        <w:ind w:left="862" w:right="3132" w:hanging="360"/>
        <w:jc w:val="left"/>
        <w:rPr>
          <w:rFonts w:ascii="Symbol"/>
          <w:sz w:val="20"/>
        </w:rPr>
      </w:pPr>
      <w:r>
        <w:rPr>
          <w:sz w:val="20"/>
        </w:rPr>
        <w:t>El Capitalismo en la cuerda floja, Mario Vargas Llosa; </w:t>
      </w:r>
      <w:hyperlink r:id="rId12">
        <w:r>
          <w:rPr>
            <w:color w:val="0000FF"/>
            <w:sz w:val="20"/>
            <w:u w:val="single" w:color="0000FF"/>
          </w:rPr>
          <w:t>http://www.galeon.com/froblesortega/elcapitalismoen.html</w:t>
        </w:r>
      </w:hyperlink>
    </w:p>
    <w:p>
      <w:pPr>
        <w:pStyle w:val="ListParagraph"/>
        <w:numPr>
          <w:ilvl w:val="2"/>
          <w:numId w:val="17"/>
        </w:numPr>
        <w:tabs>
          <w:tab w:pos="861" w:val="left" w:leader="none"/>
          <w:tab w:pos="862" w:val="left" w:leader="none"/>
        </w:tabs>
        <w:spacing w:line="244" w:lineRule="exact" w:before="0" w:after="0"/>
        <w:ind w:left="862" w:right="0" w:hanging="360"/>
        <w:jc w:val="left"/>
        <w:rPr>
          <w:rFonts w:ascii="Symbol"/>
          <w:sz w:val="20"/>
        </w:rPr>
      </w:pPr>
      <w:r>
        <w:rPr>
          <w:sz w:val="20"/>
        </w:rPr>
        <w:t>El fracaso del Banco Baring;</w:t>
      </w:r>
      <w:r>
        <w:rPr>
          <w:spacing w:val="-17"/>
          <w:sz w:val="20"/>
        </w:rPr>
        <w:t> </w:t>
      </w:r>
      <w:hyperlink r:id="rId13">
        <w:r>
          <w:rPr>
            <w:color w:val="0000FF"/>
            <w:sz w:val="20"/>
            <w:u w:val="single" w:color="0000FF"/>
          </w:rPr>
          <w:t>http://www.doeda.com/barings.spanish.html</w:t>
        </w:r>
      </w:hyperlink>
    </w:p>
    <w:p>
      <w:pPr>
        <w:pStyle w:val="ListParagraph"/>
        <w:numPr>
          <w:ilvl w:val="2"/>
          <w:numId w:val="17"/>
        </w:numPr>
        <w:tabs>
          <w:tab w:pos="861" w:val="left" w:leader="none"/>
          <w:tab w:pos="862" w:val="left" w:leader="none"/>
        </w:tabs>
        <w:spacing w:line="228" w:lineRule="exact" w:before="18" w:after="0"/>
        <w:ind w:left="862" w:right="648" w:hanging="360"/>
        <w:jc w:val="left"/>
        <w:rPr>
          <w:rFonts w:ascii="Symbol" w:hAnsi="Symbol"/>
          <w:sz w:val="20"/>
        </w:rPr>
      </w:pPr>
      <w:r>
        <w:rPr>
          <w:sz w:val="20"/>
        </w:rPr>
        <w:t>La Cuenta Secreta, Nicholas Leeson, Editorial Sudamericana, 1996 (en inglés,</w:t>
      </w:r>
      <w:r>
        <w:rPr>
          <w:spacing w:val="-26"/>
          <w:sz w:val="20"/>
        </w:rPr>
        <w:t> </w:t>
      </w:r>
      <w:r>
        <w:rPr>
          <w:sz w:val="20"/>
        </w:rPr>
        <w:t>Rouge Trader),</w:t>
      </w:r>
      <w:r>
        <w:rPr>
          <w:spacing w:val="-18"/>
          <w:sz w:val="20"/>
        </w:rPr>
        <w:t> </w:t>
      </w:r>
      <w:hyperlink r:id="rId14">
        <w:r>
          <w:rPr>
            <w:color w:val="0000FF"/>
            <w:sz w:val="20"/>
            <w:u w:val="single" w:color="0000FF"/>
          </w:rPr>
          <w:t>http://www.amazon.com/88888-Cuenta-Secreta-Nick-Leeson/dp/9500711206</w:t>
        </w:r>
      </w:hyperlink>
    </w:p>
    <w:p>
      <w:pPr>
        <w:pStyle w:val="ListParagraph"/>
        <w:numPr>
          <w:ilvl w:val="2"/>
          <w:numId w:val="17"/>
        </w:numPr>
        <w:tabs>
          <w:tab w:pos="861" w:val="left" w:leader="none"/>
          <w:tab w:pos="862" w:val="left" w:leader="none"/>
        </w:tabs>
        <w:spacing w:line="243" w:lineRule="exact" w:before="0" w:after="0"/>
        <w:ind w:left="862" w:right="0" w:hanging="360"/>
        <w:jc w:val="left"/>
        <w:rPr>
          <w:rFonts w:ascii="Symbol"/>
          <w:sz w:val="20"/>
        </w:rPr>
      </w:pPr>
      <w:r>
        <w:rPr>
          <w:sz w:val="20"/>
        </w:rPr>
        <w:t>Roguer trade (DVD);</w:t>
      </w:r>
      <w:r>
        <w:rPr>
          <w:spacing w:val="-24"/>
          <w:sz w:val="20"/>
        </w:rPr>
        <w:t> </w:t>
      </w:r>
      <w:hyperlink r:id="rId15">
        <w:r>
          <w:rPr>
            <w:color w:val="0000FF"/>
            <w:sz w:val="20"/>
            <w:u w:val="single" w:color="0000FF"/>
          </w:rPr>
          <w:t>http://www.dvdempire.com/Exec/v4_item.asp?userid=&amp;item_id=9141</w:t>
        </w:r>
      </w:hyperlink>
    </w:p>
    <w:p>
      <w:pPr>
        <w:spacing w:after="0" w:line="243" w:lineRule="exact"/>
        <w:jc w:val="left"/>
        <w:rPr>
          <w:rFonts w:ascii="Symbol"/>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45" w:firstLine="707"/>
        <w:jc w:val="both"/>
      </w:pPr>
      <w:r>
        <w:rPr/>
        <w:t>Sin un puesto en la Bolsa de Comercio, el BSS tenía que pagar comisiones por todas sus transacciones. Así, el siguiente paso era comprar un puesto en la Bolsa y luego contratar operadores.</w:t>
      </w:r>
    </w:p>
    <w:p>
      <w:pPr>
        <w:pStyle w:val="BodyText"/>
        <w:spacing w:line="360" w:lineRule="auto" w:before="5"/>
        <w:ind w:left="142" w:right="134" w:firstLine="707"/>
        <w:jc w:val="both"/>
      </w:pPr>
      <w:r>
        <w:rPr/>
        <w:t>Hacía 1992 Leeson solicitó un puesto en BSS, y dado el buen desempeño que</w:t>
      </w:r>
      <w:r>
        <w:rPr>
          <w:spacing w:val="-11"/>
        </w:rPr>
        <w:t> </w:t>
      </w:r>
      <w:r>
        <w:rPr/>
        <w:t>tenía,</w:t>
      </w:r>
      <w:r>
        <w:rPr>
          <w:spacing w:val="-17"/>
        </w:rPr>
        <w:t> </w:t>
      </w:r>
      <w:r>
        <w:rPr/>
        <w:t>fue</w:t>
      </w:r>
      <w:r>
        <w:rPr>
          <w:spacing w:val="-12"/>
        </w:rPr>
        <w:t> </w:t>
      </w:r>
      <w:r>
        <w:rPr/>
        <w:t>aceptado</w:t>
      </w:r>
      <w:r>
        <w:rPr>
          <w:spacing w:val="-12"/>
        </w:rPr>
        <w:t> </w:t>
      </w:r>
      <w:r>
        <w:rPr/>
        <w:t>y,</w:t>
      </w:r>
      <w:r>
        <w:rPr>
          <w:spacing w:val="-12"/>
        </w:rPr>
        <w:t> </w:t>
      </w:r>
      <w:r>
        <w:rPr/>
        <w:t>más</w:t>
      </w:r>
      <w:r>
        <w:rPr>
          <w:spacing w:val="-15"/>
        </w:rPr>
        <w:t> </w:t>
      </w:r>
      <w:r>
        <w:rPr/>
        <w:t>aún,</w:t>
      </w:r>
      <w:r>
        <w:rPr>
          <w:spacing w:val="-14"/>
        </w:rPr>
        <w:t> </w:t>
      </w:r>
      <w:r>
        <w:rPr/>
        <w:t>fue</w:t>
      </w:r>
      <w:r>
        <w:rPr>
          <w:spacing w:val="-14"/>
        </w:rPr>
        <w:t> </w:t>
      </w:r>
      <w:r>
        <w:rPr/>
        <w:t>nombrado</w:t>
      </w:r>
      <w:r>
        <w:rPr>
          <w:spacing w:val="-14"/>
        </w:rPr>
        <w:t> </w:t>
      </w:r>
      <w:r>
        <w:rPr/>
        <w:t>gerente</w:t>
      </w:r>
      <w:r>
        <w:rPr>
          <w:spacing w:val="-14"/>
        </w:rPr>
        <w:t> </w:t>
      </w:r>
      <w:r>
        <w:rPr/>
        <w:t>general,</w:t>
      </w:r>
      <w:r>
        <w:rPr>
          <w:spacing w:val="-15"/>
        </w:rPr>
        <w:t> </w:t>
      </w:r>
      <w:r>
        <w:rPr/>
        <w:t>con</w:t>
      </w:r>
      <w:r>
        <w:rPr>
          <w:spacing w:val="-12"/>
        </w:rPr>
        <w:t> </w:t>
      </w:r>
      <w:r>
        <w:rPr/>
        <w:t>la</w:t>
      </w:r>
      <w:r>
        <w:rPr>
          <w:spacing w:val="-12"/>
        </w:rPr>
        <w:t> </w:t>
      </w:r>
      <w:r>
        <w:rPr/>
        <w:t>autoridad tanto para contratar operadores como al personal de oficina (back-office). Así, Leeson llegó a BSS en 1992 y comenzó a contratar personal local. Leeson era el Gerente</w:t>
      </w:r>
      <w:r>
        <w:rPr>
          <w:spacing w:val="-5"/>
        </w:rPr>
        <w:t> </w:t>
      </w:r>
      <w:r>
        <w:rPr/>
        <w:t>general,</w:t>
      </w:r>
      <w:r>
        <w:rPr>
          <w:spacing w:val="-8"/>
        </w:rPr>
        <w:t> </w:t>
      </w:r>
      <w:r>
        <w:rPr/>
        <w:t>encabezaba</w:t>
      </w:r>
      <w:r>
        <w:rPr>
          <w:spacing w:val="-5"/>
        </w:rPr>
        <w:t> </w:t>
      </w:r>
      <w:r>
        <w:rPr/>
        <w:t>a</w:t>
      </w:r>
      <w:r>
        <w:rPr>
          <w:spacing w:val="-5"/>
        </w:rPr>
        <w:t> </w:t>
      </w:r>
      <w:r>
        <w:rPr/>
        <w:t>los</w:t>
      </w:r>
      <w:r>
        <w:rPr>
          <w:spacing w:val="-7"/>
        </w:rPr>
        <w:t> </w:t>
      </w:r>
      <w:r>
        <w:rPr/>
        <w:t>operadores</w:t>
      </w:r>
      <w:r>
        <w:rPr>
          <w:spacing w:val="-5"/>
        </w:rPr>
        <w:t> </w:t>
      </w:r>
      <w:r>
        <w:rPr/>
        <w:t>(traders)</w:t>
      </w:r>
      <w:r>
        <w:rPr>
          <w:spacing w:val="-7"/>
        </w:rPr>
        <w:t> </w:t>
      </w:r>
      <w:r>
        <w:rPr/>
        <w:t>y,</w:t>
      </w:r>
      <w:r>
        <w:rPr>
          <w:spacing w:val="-5"/>
        </w:rPr>
        <w:t> </w:t>
      </w:r>
      <w:r>
        <w:rPr/>
        <w:t>debido</w:t>
      </w:r>
      <w:r>
        <w:rPr>
          <w:spacing w:val="-7"/>
        </w:rPr>
        <w:t> </w:t>
      </w:r>
      <w:r>
        <w:rPr/>
        <w:t>a</w:t>
      </w:r>
      <w:r>
        <w:rPr>
          <w:spacing w:val="-5"/>
        </w:rPr>
        <w:t> </w:t>
      </w:r>
      <w:r>
        <w:rPr/>
        <w:t>su</w:t>
      </w:r>
      <w:r>
        <w:rPr>
          <w:spacing w:val="2"/>
        </w:rPr>
        <w:t> </w:t>
      </w:r>
      <w:r>
        <w:rPr/>
        <w:t>experiencia en el área de operaciones, lideraba el back-office. Claramente, estaba sonando la alarma del potencial (más bien real) conflicto de</w:t>
      </w:r>
      <w:r>
        <w:rPr>
          <w:spacing w:val="-18"/>
        </w:rPr>
        <w:t> </w:t>
      </w:r>
      <w:r>
        <w:rPr/>
        <w:t>intereses.</w:t>
      </w:r>
    </w:p>
    <w:p>
      <w:pPr>
        <w:pStyle w:val="BodyText"/>
        <w:spacing w:line="360" w:lineRule="auto" w:before="2"/>
        <w:ind w:left="142" w:right="138" w:firstLine="707"/>
        <w:jc w:val="both"/>
      </w:pPr>
      <w:r>
        <w:rPr/>
        <w:t>Leeson y sus operadores tenían autorización para realizar dos tipos de negocios:</w:t>
      </w:r>
    </w:p>
    <w:p>
      <w:pPr>
        <w:pStyle w:val="ListParagraph"/>
        <w:numPr>
          <w:ilvl w:val="3"/>
          <w:numId w:val="17"/>
        </w:numPr>
        <w:tabs>
          <w:tab w:pos="1274" w:val="left" w:leader="none"/>
          <w:tab w:pos="1275" w:val="left" w:leader="none"/>
        </w:tabs>
        <w:spacing w:line="350" w:lineRule="auto" w:before="5" w:after="0"/>
        <w:ind w:left="1274" w:right="146" w:hanging="357"/>
        <w:jc w:val="left"/>
        <w:rPr>
          <w:sz w:val="24"/>
        </w:rPr>
      </w:pPr>
      <w:r>
        <w:rPr>
          <w:sz w:val="24"/>
        </w:rPr>
        <w:t>Llevar a cabo órdenes de futuros y opciones para clientes o para otras empresas que formaban parte de la organización del Barings,</w:t>
      </w:r>
      <w:r>
        <w:rPr>
          <w:spacing w:val="-25"/>
          <w:sz w:val="24"/>
        </w:rPr>
        <w:t> </w:t>
      </w:r>
      <w:r>
        <w:rPr>
          <w:sz w:val="24"/>
        </w:rPr>
        <w:t>y</w:t>
      </w:r>
    </w:p>
    <w:p>
      <w:pPr>
        <w:pStyle w:val="ListParagraph"/>
        <w:numPr>
          <w:ilvl w:val="3"/>
          <w:numId w:val="17"/>
        </w:numPr>
        <w:tabs>
          <w:tab w:pos="1274" w:val="left" w:leader="none"/>
          <w:tab w:pos="1275" w:val="left" w:leader="none"/>
        </w:tabs>
        <w:spacing w:line="350" w:lineRule="auto" w:before="16" w:after="0"/>
        <w:ind w:left="1274" w:right="143" w:hanging="357"/>
        <w:jc w:val="left"/>
        <w:rPr>
          <w:sz w:val="24"/>
        </w:rPr>
      </w:pPr>
      <w:r>
        <w:rPr>
          <w:sz w:val="24"/>
        </w:rPr>
        <w:t>Arbitrar diferencias de precios entre futuros del Nikkei transados en el SIMEX y la Osaka Exchange de</w:t>
      </w:r>
      <w:r>
        <w:rPr>
          <w:spacing w:val="-11"/>
          <w:sz w:val="24"/>
        </w:rPr>
        <w:t> </w:t>
      </w:r>
      <w:r>
        <w:rPr>
          <w:sz w:val="24"/>
        </w:rPr>
        <w:t>Japón.</w:t>
      </w:r>
    </w:p>
    <w:p>
      <w:pPr>
        <w:pStyle w:val="BodyText"/>
        <w:spacing w:line="360" w:lineRule="auto" w:before="14"/>
        <w:ind w:left="142" w:right="135" w:firstLine="707"/>
        <w:jc w:val="both"/>
      </w:pPr>
      <w:r>
        <w:rPr/>
        <w:t>Leeson comenzó a tomar posiciones no autorizadas principalmente en futuros ligados al Nikkei 225 y a bonos del gobierno japonés (JGB), así como también opciones sobre el Nikkei. El astuto operador y gerente escondió estas operaciones</w:t>
      </w:r>
      <w:r>
        <w:rPr>
          <w:spacing w:val="-10"/>
        </w:rPr>
        <w:t> </w:t>
      </w:r>
      <w:r>
        <w:rPr/>
        <w:t>en</w:t>
      </w:r>
      <w:r>
        <w:rPr>
          <w:spacing w:val="-7"/>
        </w:rPr>
        <w:t> </w:t>
      </w:r>
      <w:r>
        <w:rPr/>
        <w:t>una</w:t>
      </w:r>
      <w:r>
        <w:rPr>
          <w:spacing w:val="-9"/>
        </w:rPr>
        <w:t> </w:t>
      </w:r>
      <w:r>
        <w:rPr/>
        <w:t>cuenta</w:t>
      </w:r>
      <w:r>
        <w:rPr>
          <w:spacing w:val="-9"/>
        </w:rPr>
        <w:t> </w:t>
      </w:r>
      <w:r>
        <w:rPr/>
        <w:t>no</w:t>
      </w:r>
      <w:r>
        <w:rPr>
          <w:spacing w:val="-9"/>
        </w:rPr>
        <w:t> </w:t>
      </w:r>
      <w:r>
        <w:rPr/>
        <w:t>usada</w:t>
      </w:r>
      <w:r>
        <w:rPr>
          <w:spacing w:val="-9"/>
        </w:rPr>
        <w:t> </w:t>
      </w:r>
      <w:r>
        <w:rPr/>
        <w:t>de</w:t>
      </w:r>
      <w:r>
        <w:rPr>
          <w:spacing w:val="-9"/>
        </w:rPr>
        <w:t> </w:t>
      </w:r>
      <w:r>
        <w:rPr/>
        <w:t>error</w:t>
      </w:r>
      <w:r>
        <w:rPr>
          <w:spacing w:val="-11"/>
        </w:rPr>
        <w:t> </w:t>
      </w:r>
      <w:r>
        <w:rPr/>
        <w:t>del</w:t>
      </w:r>
      <w:r>
        <w:rPr>
          <w:spacing w:val="-11"/>
        </w:rPr>
        <w:t> </w:t>
      </w:r>
      <w:r>
        <w:rPr/>
        <w:t>Barings,</w:t>
      </w:r>
      <w:r>
        <w:rPr>
          <w:spacing w:val="-10"/>
        </w:rPr>
        <w:t> </w:t>
      </w:r>
      <w:r>
        <w:rPr/>
        <w:t>la</w:t>
      </w:r>
      <w:r>
        <w:rPr>
          <w:spacing w:val="-7"/>
        </w:rPr>
        <w:t> </w:t>
      </w:r>
      <w:r>
        <w:rPr/>
        <w:t>cuenta</w:t>
      </w:r>
      <w:r>
        <w:rPr>
          <w:spacing w:val="-11"/>
        </w:rPr>
        <w:t> </w:t>
      </w:r>
      <w:r>
        <w:rPr/>
        <w:t>número</w:t>
      </w:r>
      <w:r>
        <w:rPr>
          <w:spacing w:val="-4"/>
        </w:rPr>
        <w:t> </w:t>
      </w:r>
      <w:r>
        <w:rPr/>
        <w:t>88888. Cuando tuvo que declarar, Leeson argumentó que usó esta cuenta para cubrir los errores en que habían incurrido sus operadores. No obstante, Leeson había comenzado a usar activamente esta cuenta casi tan pronto como llegó a Singapur. El operador perdió dinero desde el principio de su gestión. Hacia fines de 1992, la cuenta 88888 contaba con 2MM de GBP, un año después 23MM y hacia fines de 1994, 208MM. En febrero de 1995, el monto llegaba a los</w:t>
      </w:r>
      <w:r>
        <w:rPr>
          <w:spacing w:val="-22"/>
        </w:rPr>
        <w:t> </w:t>
      </w:r>
      <w:r>
        <w:rPr/>
        <w:t>827MM.</w:t>
      </w:r>
    </w:p>
    <w:p>
      <w:pPr>
        <w:pStyle w:val="BodyText"/>
        <w:spacing w:line="360" w:lineRule="auto" w:before="2"/>
        <w:ind w:left="142" w:right="136" w:firstLine="707"/>
        <w:jc w:val="both"/>
      </w:pPr>
      <w:r>
        <w:rPr/>
        <w:t>Los</w:t>
      </w:r>
      <w:r>
        <w:rPr>
          <w:spacing w:val="-17"/>
        </w:rPr>
        <w:t> </w:t>
      </w:r>
      <w:r>
        <w:rPr/>
        <w:t>operadores</w:t>
      </w:r>
      <w:r>
        <w:rPr>
          <w:spacing w:val="-20"/>
        </w:rPr>
        <w:t> </w:t>
      </w:r>
      <w:r>
        <w:rPr/>
        <w:t>a</w:t>
      </w:r>
      <w:r>
        <w:rPr>
          <w:spacing w:val="-17"/>
        </w:rPr>
        <w:t> </w:t>
      </w:r>
      <w:r>
        <w:rPr/>
        <w:t>veces</w:t>
      </w:r>
      <w:r>
        <w:rPr>
          <w:spacing w:val="-17"/>
        </w:rPr>
        <w:t> </w:t>
      </w:r>
      <w:r>
        <w:rPr/>
        <w:t>especulan</w:t>
      </w:r>
      <w:r>
        <w:rPr>
          <w:spacing w:val="-16"/>
        </w:rPr>
        <w:t> </w:t>
      </w:r>
      <w:r>
        <w:rPr/>
        <w:t>sin</w:t>
      </w:r>
      <w:r>
        <w:rPr>
          <w:spacing w:val="-17"/>
        </w:rPr>
        <w:t> </w:t>
      </w:r>
      <w:r>
        <w:rPr/>
        <w:t>autorización.</w:t>
      </w:r>
      <w:r>
        <w:rPr>
          <w:spacing w:val="-17"/>
        </w:rPr>
        <w:t> </w:t>
      </w:r>
      <w:r>
        <w:rPr/>
        <w:t>Unos</w:t>
      </w:r>
      <w:r>
        <w:rPr>
          <w:spacing w:val="-17"/>
        </w:rPr>
        <w:t> </w:t>
      </w:r>
      <w:r>
        <w:rPr/>
        <w:t>pocos</w:t>
      </w:r>
      <w:r>
        <w:rPr>
          <w:spacing w:val="-17"/>
        </w:rPr>
        <w:t> </w:t>
      </w:r>
      <w:r>
        <w:rPr/>
        <w:t>son</w:t>
      </w:r>
      <w:r>
        <w:rPr>
          <w:spacing w:val="-19"/>
        </w:rPr>
        <w:t> </w:t>
      </w:r>
      <w:r>
        <w:rPr/>
        <w:t>capaces de</w:t>
      </w:r>
      <w:r>
        <w:rPr>
          <w:spacing w:val="-5"/>
        </w:rPr>
        <w:t> </w:t>
      </w:r>
      <w:r>
        <w:rPr/>
        <w:t>cubrir</w:t>
      </w:r>
      <w:r>
        <w:rPr>
          <w:spacing w:val="-6"/>
        </w:rPr>
        <w:t> </w:t>
      </w:r>
      <w:r>
        <w:rPr/>
        <w:t>sus</w:t>
      </w:r>
      <w:r>
        <w:rPr>
          <w:spacing w:val="-8"/>
        </w:rPr>
        <w:t> </w:t>
      </w:r>
      <w:r>
        <w:rPr/>
        <w:t>huellas.</w:t>
      </w:r>
      <w:r>
        <w:rPr>
          <w:spacing w:val="-7"/>
        </w:rPr>
        <w:t> </w:t>
      </w:r>
      <w:r>
        <w:rPr/>
        <w:t>Otros</w:t>
      </w:r>
      <w:r>
        <w:rPr>
          <w:spacing w:val="-5"/>
        </w:rPr>
        <w:t> </w:t>
      </w:r>
      <w:r>
        <w:rPr/>
        <w:t>son</w:t>
      </w:r>
      <w:r>
        <w:rPr>
          <w:spacing w:val="-7"/>
        </w:rPr>
        <w:t> </w:t>
      </w:r>
      <w:r>
        <w:rPr/>
        <w:t>atrapados,</w:t>
      </w:r>
      <w:r>
        <w:rPr>
          <w:spacing w:val="-5"/>
        </w:rPr>
        <w:t> </w:t>
      </w:r>
      <w:r>
        <w:rPr/>
        <w:t>despedidos</w:t>
      </w:r>
      <w:r>
        <w:rPr>
          <w:spacing w:val="-8"/>
        </w:rPr>
        <w:t> </w:t>
      </w:r>
      <w:r>
        <w:rPr/>
        <w:t>y</w:t>
      </w:r>
      <w:r>
        <w:rPr>
          <w:spacing w:val="-8"/>
        </w:rPr>
        <w:t> </w:t>
      </w:r>
      <w:r>
        <w:rPr/>
        <w:t>sus</w:t>
      </w:r>
      <w:r>
        <w:rPr>
          <w:spacing w:val="-5"/>
        </w:rPr>
        <w:t> </w:t>
      </w:r>
      <w:r>
        <w:rPr/>
        <w:t>empleadores asumen las</w:t>
      </w:r>
      <w:r>
        <w:rPr>
          <w:spacing w:val="-7"/>
        </w:rPr>
        <w:t> </w:t>
      </w:r>
      <w:r>
        <w:rPr/>
        <w:t>pérdidas,</w:t>
      </w:r>
      <w:r>
        <w:rPr>
          <w:spacing w:val="-10"/>
        </w:rPr>
        <w:t> </w:t>
      </w:r>
      <w:r>
        <w:rPr/>
        <w:t>usualmente</w:t>
      </w:r>
      <w:r>
        <w:rPr>
          <w:spacing w:val="-9"/>
        </w:rPr>
        <w:t> </w:t>
      </w:r>
      <w:r>
        <w:rPr/>
        <w:t>ni</w:t>
      </w:r>
      <w:r>
        <w:rPr>
          <w:spacing w:val="-11"/>
        </w:rPr>
        <w:t> </w:t>
      </w:r>
      <w:r>
        <w:rPr/>
        <w:t>el</w:t>
      </w:r>
      <w:r>
        <w:rPr>
          <w:spacing w:val="-8"/>
        </w:rPr>
        <w:t> </w:t>
      </w:r>
      <w:r>
        <w:rPr/>
        <w:t>empleador</w:t>
      </w:r>
      <w:r>
        <w:rPr>
          <w:spacing w:val="-8"/>
        </w:rPr>
        <w:t> </w:t>
      </w:r>
      <w:r>
        <w:rPr/>
        <w:t>ni</w:t>
      </w:r>
      <w:r>
        <w:rPr>
          <w:spacing w:val="-13"/>
        </w:rPr>
        <w:t> </w:t>
      </w:r>
      <w:r>
        <w:rPr/>
        <w:t>el</w:t>
      </w:r>
      <w:r>
        <w:rPr>
          <w:spacing w:val="-8"/>
        </w:rPr>
        <w:t> </w:t>
      </w:r>
      <w:r>
        <w:rPr/>
        <w:t>operador</w:t>
      </w:r>
      <w:r>
        <w:rPr>
          <w:spacing w:val="-8"/>
        </w:rPr>
        <w:t> </w:t>
      </w:r>
      <w:r>
        <w:rPr/>
        <w:t>tienen</w:t>
      </w:r>
      <w:r>
        <w:rPr>
          <w:spacing w:val="-7"/>
        </w:rPr>
        <w:t> </w:t>
      </w:r>
      <w:r>
        <w:rPr/>
        <w:t>interés</w:t>
      </w:r>
      <w:r>
        <w:rPr>
          <w:spacing w:val="-1"/>
        </w:rPr>
        <w:t> </w:t>
      </w:r>
      <w:r>
        <w:rPr/>
        <w:t>en</w:t>
      </w:r>
      <w:r>
        <w:rPr>
          <w:spacing w:val="-9"/>
        </w:rPr>
        <w:t> </w:t>
      </w:r>
      <w:r>
        <w:rPr/>
        <w:t>publicar</w:t>
      </w:r>
      <w:r>
        <w:rPr>
          <w:spacing w:val="-11"/>
        </w:rPr>
        <w:t> </w:t>
      </w:r>
      <w:r>
        <w:rPr/>
        <w:t>el incidente. Leeson hizo noticia porque fue descubierto y con ello llevó a la quiebra a su</w:t>
      </w:r>
      <w:r>
        <w:rPr>
          <w:spacing w:val="-3"/>
        </w:rPr>
        <w:t> </w:t>
      </w:r>
      <w:r>
        <w:rPr/>
        <w:t>empleador.</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16"/>
        </w:rPr>
      </w:pPr>
    </w:p>
    <w:p>
      <w:pPr>
        <w:pStyle w:val="BodyText"/>
        <w:tabs>
          <w:tab w:pos="645" w:val="left" w:leader="none"/>
          <w:tab w:pos="782" w:val="left" w:leader="none"/>
          <w:tab w:pos="1290" w:val="left" w:leader="none"/>
          <w:tab w:pos="1784" w:val="left" w:leader="none"/>
          <w:tab w:pos="2462" w:val="left" w:leader="none"/>
          <w:tab w:pos="3112" w:val="left" w:leader="none"/>
          <w:tab w:pos="3155" w:val="left" w:leader="none"/>
          <w:tab w:pos="3616" w:val="left" w:leader="none"/>
          <w:tab w:pos="3877" w:val="left" w:leader="none"/>
          <w:tab w:pos="4155" w:val="left" w:leader="none"/>
          <w:tab w:pos="4982" w:val="left" w:leader="none"/>
          <w:tab w:pos="5230" w:val="left" w:leader="none"/>
          <w:tab w:pos="5692" w:val="left" w:leader="none"/>
          <w:tab w:pos="5733" w:val="left" w:leader="none"/>
          <w:tab w:pos="6452" w:val="left" w:leader="none"/>
          <w:tab w:pos="6833" w:val="left" w:leader="none"/>
          <w:tab w:pos="6960" w:val="left" w:leader="none"/>
          <w:tab w:pos="8063" w:val="left" w:leader="none"/>
          <w:tab w:pos="8252" w:val="left" w:leader="none"/>
        </w:tabs>
        <w:spacing w:line="360" w:lineRule="auto" w:before="70"/>
        <w:ind w:left="142" w:right="134" w:firstLine="707"/>
        <w:jc w:val="right"/>
      </w:pPr>
      <w:r>
        <w:rPr/>
        <w:t>La primera pregunta que surge ante una situación tan escandalosa</w:t>
      </w:r>
      <w:r>
        <w:rPr>
          <w:spacing w:val="20"/>
        </w:rPr>
        <w:t> </w:t>
      </w:r>
      <w:r>
        <w:rPr/>
        <w:t>es</w:t>
      </w:r>
      <w:r>
        <w:rPr>
          <w:spacing w:val="31"/>
        </w:rPr>
        <w:t> </w:t>
      </w:r>
      <w:r>
        <w:rPr/>
        <w:t>por</w:t>
      </w:r>
      <w:r>
        <w:rPr>
          <w:w w:val="99"/>
        </w:rPr>
        <w:t> </w:t>
      </w:r>
      <w:r>
        <w:rPr/>
        <w:t>qué</w:t>
        <w:tab/>
        <w:tab/>
        <w:t>no</w:t>
        <w:tab/>
        <w:t>se</w:t>
        <w:tab/>
        <w:t>hizo</w:t>
        <w:tab/>
        <w:t>algo</w:t>
        <w:tab/>
        <w:tab/>
        <w:t>para</w:t>
        <w:tab/>
        <w:t>prevenir</w:t>
        <w:tab/>
        <w:t>todo</w:t>
        <w:tab/>
        <w:t>esto.</w:t>
        <w:tab/>
        <w:t>La</w:t>
        <w:tab/>
        <w:tab/>
        <w:t>respuesta</w:t>
        <w:tab/>
        <w:tab/>
      </w:r>
      <w:r>
        <w:rPr>
          <w:spacing w:val="-1"/>
        </w:rPr>
        <w:t>resulta </w:t>
      </w:r>
      <w:r>
        <w:rPr/>
        <w:t>desagradablemente sencilla. Leeson era toda una celebridad dentro</w:t>
      </w:r>
      <w:r>
        <w:rPr>
          <w:spacing w:val="65"/>
        </w:rPr>
        <w:t> </w:t>
      </w:r>
      <w:r>
        <w:rPr/>
        <w:t>del</w:t>
      </w:r>
      <w:r>
        <w:rPr>
          <w:spacing w:val="29"/>
        </w:rPr>
        <w:t> </w:t>
      </w:r>
      <w:r>
        <w:rPr/>
        <w:t>Barings.</w:t>
      </w:r>
      <w:r>
        <w:rPr>
          <w:w w:val="100"/>
        </w:rPr>
        <w:t> </w:t>
      </w:r>
      <w:r>
        <w:rPr/>
        <w:t>Mientras secretamente acumulaba pérdidas en la cuenta</w:t>
      </w:r>
      <w:r>
        <w:rPr>
          <w:spacing w:val="29"/>
        </w:rPr>
        <w:t> </w:t>
      </w:r>
      <w:r>
        <w:rPr/>
        <w:t>88888,</w:t>
      </w:r>
      <w:r>
        <w:rPr>
          <w:spacing w:val="48"/>
        </w:rPr>
        <w:t> </w:t>
      </w:r>
      <w:r>
        <w:rPr/>
        <w:t>publicaba</w:t>
      </w:r>
      <w:r>
        <w:rPr>
          <w:w w:val="99"/>
        </w:rPr>
        <w:t> </w:t>
      </w:r>
      <w:r>
        <w:rPr/>
        <w:t>ganancias en otras tres cuentas de operaciones de arbitraje. Esto se</w:t>
      </w:r>
      <w:r>
        <w:rPr>
          <w:spacing w:val="40"/>
        </w:rPr>
        <w:t> </w:t>
      </w:r>
      <w:r>
        <w:rPr/>
        <w:t>realizaba</w:t>
      </w:r>
      <w:r>
        <w:rPr>
          <w:spacing w:val="20"/>
        </w:rPr>
        <w:t> </w:t>
      </w:r>
      <w:r>
        <w:rPr/>
        <w:t>a</w:t>
      </w:r>
      <w:r>
        <w:rPr>
          <w:w w:val="99"/>
        </w:rPr>
        <w:t> </w:t>
      </w:r>
      <w:r>
        <w:rPr/>
        <w:t>través de operaciones cruzadas con la cuenta 88888. Mientras</w:t>
      </w:r>
      <w:r>
        <w:rPr>
          <w:spacing w:val="20"/>
        </w:rPr>
        <w:t> </w:t>
      </w:r>
      <w:r>
        <w:rPr/>
        <w:t>mostraba</w:t>
      </w:r>
      <w:r>
        <w:rPr>
          <w:spacing w:val="2"/>
        </w:rPr>
        <w:t> </w:t>
      </w:r>
      <w:r>
        <w:rPr/>
        <w:t>las transacciones</w:t>
      </w:r>
      <w:r>
        <w:rPr>
          <w:spacing w:val="-14"/>
        </w:rPr>
        <w:t> </w:t>
      </w:r>
      <w:r>
        <w:rPr/>
        <w:t>de</w:t>
      </w:r>
      <w:r>
        <w:rPr>
          <w:spacing w:val="-15"/>
        </w:rPr>
        <w:t> </w:t>
      </w:r>
      <w:r>
        <w:rPr/>
        <w:t>futuros</w:t>
      </w:r>
      <w:r>
        <w:rPr>
          <w:spacing w:val="-12"/>
        </w:rPr>
        <w:t> </w:t>
      </w:r>
      <w:r>
        <w:rPr/>
        <w:t>a</w:t>
      </w:r>
      <w:r>
        <w:rPr>
          <w:spacing w:val="-13"/>
        </w:rPr>
        <w:t> </w:t>
      </w:r>
      <w:r>
        <w:rPr/>
        <w:t>precios</w:t>
      </w:r>
      <w:r>
        <w:rPr>
          <w:spacing w:val="-16"/>
        </w:rPr>
        <w:t> </w:t>
      </w:r>
      <w:r>
        <w:rPr/>
        <w:t>fuera</w:t>
      </w:r>
      <w:r>
        <w:rPr>
          <w:spacing w:val="-14"/>
        </w:rPr>
        <w:t> </w:t>
      </w:r>
      <w:r>
        <w:rPr/>
        <w:t>de</w:t>
      </w:r>
      <w:r>
        <w:rPr>
          <w:spacing w:val="-15"/>
        </w:rPr>
        <w:t> </w:t>
      </w:r>
      <w:r>
        <w:rPr/>
        <w:t>mercado</w:t>
      </w:r>
      <w:r>
        <w:rPr>
          <w:spacing w:val="-11"/>
        </w:rPr>
        <w:t> </w:t>
      </w:r>
      <w:r>
        <w:rPr/>
        <w:t>(off-market),</w:t>
      </w:r>
      <w:r>
        <w:rPr>
          <w:spacing w:val="-14"/>
        </w:rPr>
        <w:t> </w:t>
      </w:r>
      <w:r>
        <w:rPr/>
        <w:t>Leeson</w:t>
      </w:r>
      <w:r>
        <w:rPr>
          <w:spacing w:val="-13"/>
        </w:rPr>
        <w:t> </w:t>
      </w:r>
      <w:r>
        <w:rPr/>
        <w:t>era</w:t>
      </w:r>
      <w:r>
        <w:rPr>
          <w:spacing w:val="-11"/>
        </w:rPr>
        <w:t> </w:t>
      </w:r>
      <w:r>
        <w:rPr/>
        <w:t>capaz de</w:t>
        <w:tab/>
        <w:t>alcanzar</w:t>
        <w:tab/>
        <w:t>ganancias</w:t>
        <w:tab/>
        <w:t>en</w:t>
        <w:tab/>
        <w:t>las</w:t>
        <w:tab/>
        <w:t>cuentas</w:t>
        <w:tab/>
        <w:t>de</w:t>
        <w:tab/>
        <w:tab/>
        <w:t>arbitraje</w:t>
        <w:tab/>
        <w:t>poniendo</w:t>
        <w:tab/>
      </w:r>
      <w:r>
        <w:rPr>
          <w:spacing w:val="-1"/>
        </w:rPr>
        <w:t>pérdidas </w:t>
      </w:r>
      <w:r>
        <w:rPr/>
        <w:t>compensadoras en la cuenta 88888. De esta forma, se aseguró</w:t>
      </w:r>
      <w:r>
        <w:rPr>
          <w:spacing w:val="-46"/>
        </w:rPr>
        <w:t> </w:t>
      </w:r>
      <w:r>
        <w:rPr/>
        <w:t>que los</w:t>
      </w:r>
      <w:r>
        <w:rPr>
          <w:spacing w:val="-5"/>
        </w:rPr>
        <w:t> </w:t>
      </w:r>
      <w:r>
        <w:rPr/>
        <w:t>empleados del Barings ganaran bonos debido al buen desempeño que tenía su</w:t>
      </w:r>
      <w:r>
        <w:rPr>
          <w:spacing w:val="23"/>
        </w:rPr>
        <w:t> </w:t>
      </w:r>
      <w:r>
        <w:rPr/>
        <w:t>división</w:t>
      </w:r>
      <w:r>
        <w:rPr>
          <w:spacing w:val="30"/>
        </w:rPr>
        <w:t> </w:t>
      </w:r>
      <w:r>
        <w:rPr/>
        <w:t>en</w:t>
      </w:r>
      <w:r>
        <w:rPr>
          <w:w w:val="99"/>
        </w:rPr>
        <w:t> </w:t>
      </w:r>
      <w:r>
        <w:rPr/>
        <w:t>Singapur, lo que provocaba pocos cuestionamientos por parte de los</w:t>
      </w:r>
      <w:r>
        <w:rPr>
          <w:spacing w:val="-25"/>
        </w:rPr>
        <w:t> </w:t>
      </w:r>
      <w:r>
        <w:rPr/>
        <w:t>empleados</w:t>
      </w:r>
      <w:r>
        <w:rPr>
          <w:position w:val="8"/>
          <w:sz w:val="16"/>
        </w:rPr>
        <w:t>64</w:t>
      </w:r>
      <w:r>
        <w:rPr/>
        <w:t>.</w:t>
      </w:r>
    </w:p>
    <w:p>
      <w:pPr>
        <w:pStyle w:val="BodyText"/>
        <w:spacing w:line="360" w:lineRule="auto"/>
        <w:ind w:left="142" w:right="135" w:firstLine="707"/>
        <w:jc w:val="both"/>
      </w:pPr>
      <w:r>
        <w:rPr/>
        <w:t>Como</w:t>
      </w:r>
      <w:r>
        <w:rPr>
          <w:spacing w:val="-12"/>
        </w:rPr>
        <w:t> </w:t>
      </w:r>
      <w:r>
        <w:rPr/>
        <w:t>Leeson</w:t>
      </w:r>
      <w:r>
        <w:rPr>
          <w:spacing w:val="-12"/>
        </w:rPr>
        <w:t> </w:t>
      </w:r>
      <w:r>
        <w:rPr/>
        <w:t>estaba</w:t>
      </w:r>
      <w:r>
        <w:rPr>
          <w:spacing w:val="-14"/>
        </w:rPr>
        <w:t> </w:t>
      </w:r>
      <w:r>
        <w:rPr/>
        <w:t>operando</w:t>
      </w:r>
      <w:r>
        <w:rPr>
          <w:spacing w:val="-12"/>
        </w:rPr>
        <w:t> </w:t>
      </w:r>
      <w:r>
        <w:rPr/>
        <w:t>en</w:t>
      </w:r>
      <w:r>
        <w:rPr>
          <w:spacing w:val="-14"/>
        </w:rPr>
        <w:t> </w:t>
      </w:r>
      <w:r>
        <w:rPr/>
        <w:t>mercados</w:t>
      </w:r>
      <w:r>
        <w:rPr>
          <w:spacing w:val="-15"/>
        </w:rPr>
        <w:t> </w:t>
      </w:r>
      <w:r>
        <w:rPr/>
        <w:t>organizados,</w:t>
      </w:r>
      <w:r>
        <w:rPr>
          <w:spacing w:val="-12"/>
        </w:rPr>
        <w:t> </w:t>
      </w:r>
      <w:r>
        <w:rPr/>
        <w:t>tenía</w:t>
      </w:r>
      <w:r>
        <w:rPr>
          <w:spacing w:val="-12"/>
        </w:rPr>
        <w:t> </w:t>
      </w:r>
      <w:r>
        <w:rPr/>
        <w:t>que</w:t>
      </w:r>
      <w:r>
        <w:rPr>
          <w:spacing w:val="-14"/>
        </w:rPr>
        <w:t> </w:t>
      </w:r>
      <w:r>
        <w:rPr/>
        <w:t>proveer un margen de garantía, pero al no existir oficialmente la operación, decidió vender opciones para financiarlas. El 23 de febrero de 1995, al no poder cubrir los márgenes que los otros brokers le estaban solicitando para hacer frente a sus pérdidas, Leeson decidió huir de Singapur y dejó sus posiciones</w:t>
      </w:r>
      <w:r>
        <w:rPr>
          <w:spacing w:val="-23"/>
        </w:rPr>
        <w:t> </w:t>
      </w:r>
      <w:r>
        <w:rPr/>
        <w:t>abiertas.</w:t>
      </w:r>
    </w:p>
    <w:p>
      <w:pPr>
        <w:pStyle w:val="Heading3"/>
        <w:spacing w:before="118"/>
        <w:rPr>
          <w:sz w:val="16"/>
        </w:rPr>
      </w:pPr>
      <w:r>
        <w:rPr/>
        <w:t>Orange County</w:t>
      </w:r>
      <w:r>
        <w:rPr>
          <w:position w:val="8"/>
          <w:sz w:val="16"/>
        </w:rPr>
        <w:t>65</w:t>
      </w:r>
    </w:p>
    <w:p>
      <w:pPr>
        <w:pStyle w:val="BodyText"/>
        <w:spacing w:line="360" w:lineRule="auto" w:before="62"/>
        <w:ind w:left="142" w:right="136" w:firstLine="707"/>
        <w:jc w:val="both"/>
      </w:pPr>
      <w:r>
        <w:rPr/>
        <w:t>En diciembre de 1994, después de sufrir pérdidas asombrosas en los mercados financieros, el Orange County se vio forzado a declarar su quiebra. El fondo de inversión del Condado había sufrido una pérdida de 1600 millones de dólares. Esta era la pérdida más grande alguna vez registrada por un fondo de inversión de administración local.</w:t>
      </w:r>
    </w:p>
    <w:p>
      <w:pPr>
        <w:pStyle w:val="BodyText"/>
        <w:spacing w:line="360" w:lineRule="auto" w:before="2"/>
        <w:ind w:left="142" w:right="135" w:firstLine="707"/>
        <w:jc w:val="both"/>
      </w:pPr>
      <w:r>
        <w:rPr/>
        <w:t>Esta pérdida era el resultado de varios factores. Principalmente, se debió a la</w:t>
      </w:r>
      <w:r>
        <w:rPr>
          <w:spacing w:val="-14"/>
        </w:rPr>
        <w:t> </w:t>
      </w:r>
      <w:r>
        <w:rPr/>
        <w:t>actividad</w:t>
      </w:r>
      <w:r>
        <w:rPr>
          <w:spacing w:val="-14"/>
        </w:rPr>
        <w:t> </w:t>
      </w:r>
      <w:r>
        <w:rPr/>
        <w:t>no</w:t>
      </w:r>
      <w:r>
        <w:rPr>
          <w:spacing w:val="-14"/>
        </w:rPr>
        <w:t> </w:t>
      </w:r>
      <w:r>
        <w:rPr/>
        <w:t>supervisada</w:t>
      </w:r>
      <w:r>
        <w:rPr>
          <w:spacing w:val="-16"/>
        </w:rPr>
        <w:t> </w:t>
      </w:r>
      <w:r>
        <w:rPr/>
        <w:t>de</w:t>
      </w:r>
      <w:r>
        <w:rPr>
          <w:spacing w:val="-14"/>
        </w:rPr>
        <w:t> </w:t>
      </w:r>
      <w:r>
        <w:rPr/>
        <w:t>las</w:t>
      </w:r>
      <w:r>
        <w:rPr>
          <w:spacing w:val="-14"/>
        </w:rPr>
        <w:t> </w:t>
      </w:r>
      <w:r>
        <w:rPr/>
        <w:t>inversiones</w:t>
      </w:r>
      <w:r>
        <w:rPr>
          <w:spacing w:val="-14"/>
        </w:rPr>
        <w:t> </w:t>
      </w:r>
      <w:r>
        <w:rPr/>
        <w:t>hechas</w:t>
      </w:r>
      <w:r>
        <w:rPr>
          <w:spacing w:val="-14"/>
        </w:rPr>
        <w:t> </w:t>
      </w:r>
      <w:r>
        <w:rPr/>
        <w:t>por</w:t>
      </w:r>
      <w:r>
        <w:rPr>
          <w:spacing w:val="-15"/>
        </w:rPr>
        <w:t> </w:t>
      </w:r>
      <w:r>
        <w:rPr/>
        <w:t>Robert</w:t>
      </w:r>
      <w:r>
        <w:rPr>
          <w:spacing w:val="-14"/>
        </w:rPr>
        <w:t> </w:t>
      </w:r>
      <w:r>
        <w:rPr/>
        <w:t>Citron,</w:t>
      </w:r>
      <w:r>
        <w:rPr>
          <w:spacing w:val="-14"/>
        </w:rPr>
        <w:t> </w:t>
      </w:r>
      <w:r>
        <w:rPr/>
        <w:t>el</w:t>
      </w:r>
      <w:r>
        <w:rPr>
          <w:spacing w:val="-15"/>
        </w:rPr>
        <w:t> </w:t>
      </w:r>
      <w:r>
        <w:rPr/>
        <w:t>Tesorero del condado, al que se le confió una cartera de 7500 mil millones de dólares que pertenecían a las escuelas del condado, a las ciudades, a los distritos especiales y al</w:t>
      </w:r>
      <w:r>
        <w:rPr>
          <w:spacing w:val="-13"/>
        </w:rPr>
        <w:t> </w:t>
      </w:r>
      <w:r>
        <w:rPr/>
        <w:t>condado</w:t>
      </w:r>
      <w:r>
        <w:rPr>
          <w:spacing w:val="-14"/>
        </w:rPr>
        <w:t> </w:t>
      </w:r>
      <w:r>
        <w:rPr/>
        <w:t>en</w:t>
      </w:r>
      <w:r>
        <w:rPr>
          <w:spacing w:val="-14"/>
        </w:rPr>
        <w:t> </w:t>
      </w:r>
      <w:r>
        <w:rPr/>
        <w:t>sí</w:t>
      </w:r>
      <w:r>
        <w:rPr>
          <w:spacing w:val="-14"/>
        </w:rPr>
        <w:t> </w:t>
      </w:r>
      <w:r>
        <w:rPr/>
        <w:t>mismo.</w:t>
      </w:r>
      <w:r>
        <w:rPr>
          <w:spacing w:val="-14"/>
        </w:rPr>
        <w:t> </w:t>
      </w:r>
      <w:r>
        <w:rPr/>
        <w:t>Tradicionalmente,</w:t>
      </w:r>
      <w:r>
        <w:rPr>
          <w:spacing w:val="-14"/>
        </w:rPr>
        <w:t> </w:t>
      </w:r>
      <w:r>
        <w:rPr/>
        <w:t>los</w:t>
      </w:r>
      <w:r>
        <w:rPr>
          <w:spacing w:val="-15"/>
        </w:rPr>
        <w:t> </w:t>
      </w:r>
      <w:r>
        <w:rPr/>
        <w:t>fondos</w:t>
      </w:r>
      <w:r>
        <w:rPr>
          <w:spacing w:val="-9"/>
        </w:rPr>
        <w:t> </w:t>
      </w:r>
      <w:r>
        <w:rPr/>
        <w:t>municipales</w:t>
      </w:r>
      <w:r>
        <w:rPr>
          <w:spacing w:val="-12"/>
        </w:rPr>
        <w:t> </w:t>
      </w:r>
      <w:r>
        <w:rPr/>
        <w:t>son</w:t>
      </w:r>
      <w:r>
        <w:rPr>
          <w:spacing w:val="-12"/>
        </w:rPr>
        <w:t> </w:t>
      </w:r>
      <w:r>
        <w:rPr/>
        <w:t>invertidos</w:t>
      </w:r>
      <w:r>
        <w:rPr>
          <w:spacing w:val="-15"/>
        </w:rPr>
        <w:t> </w:t>
      </w:r>
      <w:r>
        <w:rPr/>
        <w:t>de manera  conservadora  para  proporcionar  ingresos   estables,  modestos  a    </w:t>
      </w:r>
      <w:r>
        <w:rPr>
          <w:spacing w:val="33"/>
        </w:rPr>
        <w:t> </w:t>
      </w:r>
      <w:r>
        <w:rPr/>
        <w:t>las</w:t>
      </w:r>
    </w:p>
    <w:p>
      <w:pPr>
        <w:pStyle w:val="BodyText"/>
        <w:spacing w:before="1"/>
        <w:rPr>
          <w:sz w:val="23"/>
        </w:rPr>
      </w:pPr>
      <w:r>
        <w:rPr/>
        <w:pict>
          <v:line style="position:absolute;mso-position-horizontal-relative:page;mso-position-vertical-relative:paragraph;z-index:4144;mso-wrap-distance-left:0;mso-wrap-distance-right:0" from="85.103996pt,15.533916pt" to="229.123996pt,15.533916pt" stroked="true" strokeweight=".599980pt" strokecolor="#000000">
            <w10:wrap type="topAndBottom"/>
          </v:line>
        </w:pict>
      </w:r>
    </w:p>
    <w:p>
      <w:pPr>
        <w:spacing w:before="78"/>
        <w:ind w:left="142" w:right="193" w:firstLine="0"/>
        <w:jc w:val="left"/>
        <w:rPr>
          <w:rFonts w:ascii="Times New Roman" w:hAnsi="Times New Roman"/>
          <w:sz w:val="19"/>
        </w:rPr>
      </w:pPr>
      <w:r>
        <w:rPr>
          <w:position w:val="6"/>
          <w:sz w:val="13"/>
        </w:rPr>
        <w:t>64 </w:t>
      </w:r>
      <w:r>
        <w:rPr>
          <w:sz w:val="20"/>
        </w:rPr>
        <w:t>Toda esta operatoria fue posible debido a que Leeson tenía el control tanto de la mesa de dinero (front </w:t>
      </w:r>
      <w:r>
        <w:rPr>
          <w:rFonts w:ascii="Times New Roman" w:hAnsi="Times New Roman"/>
          <w:sz w:val="19"/>
        </w:rPr>
        <w:t>office) como del back-office que contabilizaba tales operaciones.</w:t>
      </w:r>
    </w:p>
    <w:p>
      <w:pPr>
        <w:spacing w:before="0"/>
        <w:ind w:left="142" w:right="786" w:firstLine="0"/>
        <w:jc w:val="left"/>
        <w:rPr>
          <w:rFonts w:ascii="Times New Roman"/>
          <w:sz w:val="19"/>
        </w:rPr>
      </w:pPr>
      <w:r>
        <w:rPr>
          <w:position w:val="6"/>
          <w:sz w:val="13"/>
        </w:rPr>
        <w:t>65 </w:t>
      </w:r>
      <w:r>
        <w:rPr>
          <w:sz w:val="20"/>
        </w:rPr>
        <w:t>Fuente: </w:t>
      </w:r>
      <w:r>
        <w:rPr>
          <w:rFonts w:ascii="Times New Roman"/>
          <w:sz w:val="19"/>
        </w:rPr>
        <w:t>The Orange County Bankrupcy, </w:t>
      </w:r>
      <w:hyperlink r:id="rId63">
        <w:r>
          <w:rPr>
            <w:rFonts w:ascii="Times New Roman"/>
            <w:color w:val="0000FF"/>
            <w:sz w:val="19"/>
            <w:u w:val="single" w:color="0000FF"/>
          </w:rPr>
          <w:t>www.rajuabju.com</w:t>
        </w:r>
      </w:hyperlink>
    </w:p>
    <w:p>
      <w:pPr>
        <w:spacing w:after="0"/>
        <w:jc w:val="left"/>
        <w:rPr>
          <w:rFonts w:ascii="Times New Roman"/>
          <w:sz w:val="19"/>
        </w:rPr>
        <w:sectPr>
          <w:pgSz w:w="12240" w:h="15840"/>
          <w:pgMar w:header="731" w:footer="737" w:top="1180" w:bottom="920" w:left="1560" w:right="1560"/>
        </w:sectPr>
      </w:pPr>
    </w:p>
    <w:p>
      <w:pPr>
        <w:pStyle w:val="BodyText"/>
        <w:rPr>
          <w:rFonts w:ascii="Times New Roman"/>
          <w:sz w:val="20"/>
        </w:rPr>
      </w:pPr>
    </w:p>
    <w:p>
      <w:pPr>
        <w:pStyle w:val="BodyText"/>
        <w:rPr>
          <w:rFonts w:ascii="Times New Roman"/>
          <w:sz w:val="16"/>
        </w:rPr>
      </w:pPr>
    </w:p>
    <w:p>
      <w:pPr>
        <w:pStyle w:val="BodyText"/>
        <w:spacing w:line="360" w:lineRule="auto" w:before="70"/>
        <w:ind w:left="142" w:right="140"/>
        <w:jc w:val="both"/>
      </w:pPr>
      <w:r>
        <w:rPr/>
        <w:t>administraciones locales. Sin embargo, Citron, después del consejo de agentes de bolsa</w:t>
      </w:r>
      <w:r>
        <w:rPr>
          <w:spacing w:val="-10"/>
        </w:rPr>
        <w:t> </w:t>
      </w:r>
      <w:r>
        <w:rPr/>
        <w:t>de</w:t>
      </w:r>
      <w:r>
        <w:rPr>
          <w:spacing w:val="-9"/>
        </w:rPr>
        <w:t> </w:t>
      </w:r>
      <w:r>
        <w:rPr/>
        <w:t>inversión</w:t>
      </w:r>
      <w:r>
        <w:rPr>
          <w:spacing w:val="-9"/>
        </w:rPr>
        <w:t> </w:t>
      </w:r>
      <w:r>
        <w:rPr/>
        <w:t>de</w:t>
      </w:r>
      <w:r>
        <w:rPr>
          <w:spacing w:val="-9"/>
        </w:rPr>
        <w:t> </w:t>
      </w:r>
      <w:r>
        <w:rPr/>
        <w:t>Merill</w:t>
      </w:r>
      <w:r>
        <w:rPr>
          <w:spacing w:val="-11"/>
        </w:rPr>
        <w:t> </w:t>
      </w:r>
      <w:r>
        <w:rPr/>
        <w:t>Lynch,</w:t>
      </w:r>
      <w:r>
        <w:rPr>
          <w:spacing w:val="-10"/>
        </w:rPr>
        <w:t> </w:t>
      </w:r>
      <w:r>
        <w:rPr/>
        <w:t>venía</w:t>
      </w:r>
      <w:r>
        <w:rPr>
          <w:spacing w:val="-5"/>
        </w:rPr>
        <w:t> </w:t>
      </w:r>
      <w:r>
        <w:rPr/>
        <w:t>durante</w:t>
      </w:r>
      <w:r>
        <w:rPr>
          <w:spacing w:val="-11"/>
        </w:rPr>
        <w:t> </w:t>
      </w:r>
      <w:r>
        <w:rPr/>
        <w:t>años</w:t>
      </w:r>
      <w:r>
        <w:rPr>
          <w:spacing w:val="-10"/>
        </w:rPr>
        <w:t> </w:t>
      </w:r>
      <w:r>
        <w:rPr/>
        <w:t>comprometiendo</w:t>
      </w:r>
      <w:r>
        <w:rPr>
          <w:spacing w:val="-9"/>
        </w:rPr>
        <w:t> </w:t>
      </w:r>
      <w:r>
        <w:rPr/>
        <w:t>el</w:t>
      </w:r>
      <w:r>
        <w:rPr>
          <w:spacing w:val="-11"/>
        </w:rPr>
        <w:t> </w:t>
      </w:r>
      <w:r>
        <w:rPr/>
        <w:t>fondo</w:t>
      </w:r>
      <w:r>
        <w:rPr>
          <w:spacing w:val="-9"/>
        </w:rPr>
        <w:t> </w:t>
      </w:r>
      <w:r>
        <w:rPr/>
        <w:t>en valores de alto riesgo que rendían las más altas</w:t>
      </w:r>
      <w:r>
        <w:rPr>
          <w:spacing w:val="-17"/>
        </w:rPr>
        <w:t> </w:t>
      </w:r>
      <w:r>
        <w:rPr/>
        <w:t>ganancias.</w:t>
      </w:r>
    </w:p>
    <w:p>
      <w:pPr>
        <w:pStyle w:val="BodyText"/>
        <w:spacing w:line="360" w:lineRule="auto" w:before="5"/>
        <w:ind w:left="142" w:right="135" w:firstLine="707"/>
        <w:jc w:val="both"/>
      </w:pPr>
      <w:r>
        <w:rPr/>
        <w:t>Las inversiones de Citron ganaban bien si las tasas de interés se mantenían bajas,</w:t>
      </w:r>
      <w:r>
        <w:rPr>
          <w:spacing w:val="-6"/>
        </w:rPr>
        <w:t> </w:t>
      </w:r>
      <w:r>
        <w:rPr/>
        <w:t>pero</w:t>
      </w:r>
      <w:r>
        <w:rPr>
          <w:spacing w:val="-7"/>
        </w:rPr>
        <w:t> </w:t>
      </w:r>
      <w:r>
        <w:rPr/>
        <w:t>perdían</w:t>
      </w:r>
      <w:r>
        <w:rPr>
          <w:spacing w:val="-6"/>
        </w:rPr>
        <w:t> </w:t>
      </w:r>
      <w:r>
        <w:rPr/>
        <w:t>dinero</w:t>
      </w:r>
      <w:r>
        <w:rPr>
          <w:spacing w:val="-7"/>
        </w:rPr>
        <w:t> </w:t>
      </w:r>
      <w:r>
        <w:rPr/>
        <w:t>si</w:t>
      </w:r>
      <w:r>
        <w:rPr>
          <w:spacing w:val="-7"/>
        </w:rPr>
        <w:t> </w:t>
      </w:r>
      <w:r>
        <w:rPr/>
        <w:t>se</w:t>
      </w:r>
      <w:r>
        <w:rPr>
          <w:spacing w:val="-6"/>
        </w:rPr>
        <w:t> </w:t>
      </w:r>
      <w:r>
        <w:rPr/>
        <w:t>elevaban.</w:t>
      </w:r>
      <w:r>
        <w:rPr>
          <w:spacing w:val="-6"/>
        </w:rPr>
        <w:t> </w:t>
      </w:r>
      <w:r>
        <w:rPr/>
        <w:t>Durante</w:t>
      </w:r>
      <w:r>
        <w:rPr>
          <w:spacing w:val="-6"/>
        </w:rPr>
        <w:t> </w:t>
      </w:r>
      <w:r>
        <w:rPr/>
        <w:t>varios</w:t>
      </w:r>
      <w:r>
        <w:rPr>
          <w:spacing w:val="-7"/>
        </w:rPr>
        <w:t> </w:t>
      </w:r>
      <w:r>
        <w:rPr/>
        <w:t>años,</w:t>
      </w:r>
      <w:r>
        <w:rPr>
          <w:spacing w:val="-6"/>
        </w:rPr>
        <w:t> </w:t>
      </w:r>
      <w:r>
        <w:rPr/>
        <w:t>las</w:t>
      </w:r>
      <w:r>
        <w:rPr>
          <w:spacing w:val="-6"/>
        </w:rPr>
        <w:t> </w:t>
      </w:r>
      <w:r>
        <w:rPr/>
        <w:t>tasas</w:t>
      </w:r>
      <w:r>
        <w:rPr>
          <w:spacing w:val="-7"/>
        </w:rPr>
        <w:t> </w:t>
      </w:r>
      <w:r>
        <w:rPr/>
        <w:t>de</w:t>
      </w:r>
      <w:r>
        <w:rPr>
          <w:spacing w:val="1"/>
        </w:rPr>
        <w:t> </w:t>
      </w:r>
      <w:r>
        <w:rPr/>
        <w:t>interés fueron</w:t>
      </w:r>
      <w:r>
        <w:rPr>
          <w:spacing w:val="-11"/>
        </w:rPr>
        <w:t> </w:t>
      </w:r>
      <w:r>
        <w:rPr/>
        <w:t>bajas</w:t>
      </w:r>
      <w:r>
        <w:rPr>
          <w:spacing w:val="-9"/>
        </w:rPr>
        <w:t> </w:t>
      </w:r>
      <w:r>
        <w:rPr/>
        <w:t>y</w:t>
      </w:r>
      <w:r>
        <w:rPr>
          <w:spacing w:val="-12"/>
        </w:rPr>
        <w:t> </w:t>
      </w:r>
      <w:r>
        <w:rPr/>
        <w:t>los</w:t>
      </w:r>
      <w:r>
        <w:rPr>
          <w:spacing w:val="-9"/>
        </w:rPr>
        <w:t> </w:t>
      </w:r>
      <w:r>
        <w:rPr/>
        <w:t>inversionistas</w:t>
      </w:r>
      <w:r>
        <w:rPr>
          <w:spacing w:val="-9"/>
        </w:rPr>
        <w:t> </w:t>
      </w:r>
      <w:r>
        <w:rPr/>
        <w:t>del</w:t>
      </w:r>
      <w:r>
        <w:rPr>
          <w:spacing w:val="-12"/>
        </w:rPr>
        <w:t> </w:t>
      </w:r>
      <w:r>
        <w:rPr/>
        <w:t>fondo</w:t>
      </w:r>
      <w:r>
        <w:rPr>
          <w:spacing w:val="-8"/>
        </w:rPr>
        <w:t> </w:t>
      </w:r>
      <w:r>
        <w:rPr/>
        <w:t>sacaron</w:t>
      </w:r>
      <w:r>
        <w:rPr>
          <w:spacing w:val="-8"/>
        </w:rPr>
        <w:t> </w:t>
      </w:r>
      <w:r>
        <w:rPr/>
        <w:t>ganancia.</w:t>
      </w:r>
      <w:r>
        <w:rPr>
          <w:spacing w:val="-8"/>
        </w:rPr>
        <w:t> </w:t>
      </w:r>
      <w:r>
        <w:rPr/>
        <w:t>Citron</w:t>
      </w:r>
      <w:r>
        <w:rPr>
          <w:spacing w:val="-8"/>
        </w:rPr>
        <w:t> </w:t>
      </w:r>
      <w:r>
        <w:rPr/>
        <w:t>además</w:t>
      </w:r>
      <w:r>
        <w:rPr>
          <w:spacing w:val="-12"/>
        </w:rPr>
        <w:t> </w:t>
      </w:r>
      <w:r>
        <w:rPr/>
        <w:t>mejoró los ingresos tomando prestado más de 12 mil millones de dólares en tasas de interés</w:t>
      </w:r>
      <w:r>
        <w:rPr>
          <w:spacing w:val="-14"/>
        </w:rPr>
        <w:t> </w:t>
      </w:r>
      <w:r>
        <w:rPr/>
        <w:t>bajas</w:t>
      </w:r>
      <w:r>
        <w:rPr>
          <w:spacing w:val="-13"/>
        </w:rPr>
        <w:t> </w:t>
      </w:r>
      <w:r>
        <w:rPr/>
        <w:t>(usando</w:t>
      </w:r>
      <w:r>
        <w:rPr>
          <w:spacing w:val="-13"/>
        </w:rPr>
        <w:t> </w:t>
      </w:r>
      <w:r>
        <w:rPr/>
        <w:t>los</w:t>
      </w:r>
      <w:r>
        <w:rPr>
          <w:spacing w:val="-14"/>
        </w:rPr>
        <w:t> </w:t>
      </w:r>
      <w:r>
        <w:rPr/>
        <w:t>valores</w:t>
      </w:r>
      <w:r>
        <w:rPr>
          <w:spacing w:val="-14"/>
        </w:rPr>
        <w:t> </w:t>
      </w:r>
      <w:r>
        <w:rPr/>
        <w:t>del</w:t>
      </w:r>
      <w:r>
        <w:rPr>
          <w:spacing w:val="-17"/>
        </w:rPr>
        <w:t> </w:t>
      </w:r>
      <w:r>
        <w:rPr/>
        <w:t>fondo</w:t>
      </w:r>
      <w:r>
        <w:rPr>
          <w:spacing w:val="-13"/>
        </w:rPr>
        <w:t> </w:t>
      </w:r>
      <w:r>
        <w:rPr/>
        <w:t>como</w:t>
      </w:r>
      <w:r>
        <w:rPr>
          <w:spacing w:val="-13"/>
        </w:rPr>
        <w:t> </w:t>
      </w:r>
      <w:r>
        <w:rPr/>
        <w:t>la</w:t>
      </w:r>
      <w:r>
        <w:rPr>
          <w:spacing w:val="-18"/>
        </w:rPr>
        <w:t> </w:t>
      </w:r>
      <w:r>
        <w:rPr/>
        <w:t>fianza),</w:t>
      </w:r>
      <w:r>
        <w:rPr>
          <w:spacing w:val="-9"/>
        </w:rPr>
        <w:t> </w:t>
      </w:r>
      <w:r>
        <w:rPr/>
        <w:t>y</w:t>
      </w:r>
      <w:r>
        <w:rPr>
          <w:spacing w:val="-16"/>
        </w:rPr>
        <w:t> </w:t>
      </w:r>
      <w:r>
        <w:rPr/>
        <w:t>luego</w:t>
      </w:r>
      <w:r>
        <w:rPr>
          <w:spacing w:val="-13"/>
        </w:rPr>
        <w:t> </w:t>
      </w:r>
      <w:r>
        <w:rPr/>
        <w:t>invertía</w:t>
      </w:r>
      <w:r>
        <w:rPr>
          <w:spacing w:val="-13"/>
        </w:rPr>
        <w:t> </w:t>
      </w:r>
      <w:r>
        <w:rPr/>
        <w:t>el</w:t>
      </w:r>
      <w:r>
        <w:rPr>
          <w:spacing w:val="-14"/>
        </w:rPr>
        <w:t> </w:t>
      </w:r>
      <w:r>
        <w:rPr/>
        <w:t>dinero en valores de alto</w:t>
      </w:r>
      <w:r>
        <w:rPr>
          <w:spacing w:val="-11"/>
        </w:rPr>
        <w:t> </w:t>
      </w:r>
      <w:r>
        <w:rPr/>
        <w:t>rendimiento.</w:t>
      </w:r>
    </w:p>
    <w:p>
      <w:pPr>
        <w:pStyle w:val="BodyText"/>
        <w:spacing w:line="360" w:lineRule="auto" w:before="5"/>
        <w:ind w:left="142" w:right="134" w:firstLine="707"/>
        <w:jc w:val="both"/>
      </w:pPr>
      <w:r>
        <w:rPr/>
        <w:t>Citron fue capaz de aumentar los retornos del fondo invirtiendo en valores derivados y apalancando la cartera tanto como le fuera posible. El fondo tenía tal demanda debido a su registro que Citron tuvo que rechazar inversiones por agencias fuera del condado. Algunos distritos escolares locales y ciudades incluso emitieron papeles a corto plazo sujetos a impuestos para reinvertir en el fondo (aumentando aun más su apalancamiento). Esto a pesar de las advertencias públicas de que el fondo era demasiado arriesgado.</w:t>
      </w:r>
    </w:p>
    <w:p>
      <w:pPr>
        <w:pStyle w:val="BodyText"/>
        <w:spacing w:line="360" w:lineRule="auto" w:before="5"/>
        <w:ind w:left="142" w:right="135" w:firstLine="707"/>
        <w:jc w:val="both"/>
      </w:pPr>
      <w:r>
        <w:rPr/>
        <w:t>Pero en 1994 la estrategia arriesgada de inversiones de Citron colapsó. El Consejo de la Reserva Federal comenzó una serie rápida de alzas de tasa de interés para luchar contra la inflación. Esto causó pérdidas severas al valor papel del</w:t>
      </w:r>
      <w:r>
        <w:rPr>
          <w:spacing w:val="-14"/>
        </w:rPr>
        <w:t> </w:t>
      </w:r>
      <w:r>
        <w:rPr/>
        <w:t>fondo,</w:t>
      </w:r>
      <w:r>
        <w:rPr>
          <w:spacing w:val="-11"/>
        </w:rPr>
        <w:t> </w:t>
      </w:r>
      <w:r>
        <w:rPr/>
        <w:t>y</w:t>
      </w:r>
      <w:r>
        <w:rPr>
          <w:spacing w:val="-14"/>
        </w:rPr>
        <w:t> </w:t>
      </w:r>
      <w:r>
        <w:rPr/>
        <w:t>las</w:t>
      </w:r>
      <w:r>
        <w:rPr>
          <w:spacing w:val="-11"/>
        </w:rPr>
        <w:t> </w:t>
      </w:r>
      <w:r>
        <w:rPr/>
        <w:t>inversiones</w:t>
      </w:r>
      <w:r>
        <w:rPr>
          <w:spacing w:val="-14"/>
        </w:rPr>
        <w:t> </w:t>
      </w:r>
      <w:r>
        <w:rPr/>
        <w:t>del</w:t>
      </w:r>
      <w:r>
        <w:rPr>
          <w:spacing w:val="-12"/>
        </w:rPr>
        <w:t> </w:t>
      </w:r>
      <w:r>
        <w:rPr/>
        <w:t>Condado</w:t>
      </w:r>
      <w:r>
        <w:rPr>
          <w:spacing w:val="-11"/>
        </w:rPr>
        <w:t> </w:t>
      </w:r>
      <w:r>
        <w:rPr/>
        <w:t>sufrieron</w:t>
      </w:r>
      <w:r>
        <w:rPr>
          <w:spacing w:val="-11"/>
        </w:rPr>
        <w:t> </w:t>
      </w:r>
      <w:r>
        <w:rPr/>
        <w:t>grandes</w:t>
      </w:r>
      <w:r>
        <w:rPr>
          <w:spacing w:val="-12"/>
        </w:rPr>
        <w:t> </w:t>
      </w:r>
      <w:r>
        <w:rPr/>
        <w:t>pérdidas.</w:t>
      </w:r>
      <w:r>
        <w:rPr>
          <w:spacing w:val="-13"/>
        </w:rPr>
        <w:t> </w:t>
      </w:r>
      <w:r>
        <w:rPr/>
        <w:t>A</w:t>
      </w:r>
      <w:r>
        <w:rPr>
          <w:spacing w:val="-7"/>
        </w:rPr>
        <w:t> </w:t>
      </w:r>
      <w:r>
        <w:rPr/>
        <w:t>principios</w:t>
      </w:r>
      <w:r>
        <w:rPr>
          <w:spacing w:val="-16"/>
        </w:rPr>
        <w:t> </w:t>
      </w:r>
      <w:r>
        <w:rPr/>
        <w:t>de diciembre,</w:t>
      </w:r>
      <w:r>
        <w:rPr>
          <w:spacing w:val="-11"/>
        </w:rPr>
        <w:t> </w:t>
      </w:r>
      <w:r>
        <w:rPr/>
        <w:t>el</w:t>
      </w:r>
      <w:r>
        <w:rPr>
          <w:spacing w:val="-10"/>
        </w:rPr>
        <w:t> </w:t>
      </w:r>
      <w:r>
        <w:rPr/>
        <w:t>condado</w:t>
      </w:r>
      <w:r>
        <w:rPr>
          <w:spacing w:val="-13"/>
        </w:rPr>
        <w:t> </w:t>
      </w:r>
      <w:r>
        <w:rPr/>
        <w:t>era</w:t>
      </w:r>
      <w:r>
        <w:rPr>
          <w:spacing w:val="-9"/>
        </w:rPr>
        <w:t> </w:t>
      </w:r>
      <w:r>
        <w:rPr/>
        <w:t>incapaz</w:t>
      </w:r>
      <w:r>
        <w:rPr>
          <w:spacing w:val="-12"/>
        </w:rPr>
        <w:t> </w:t>
      </w:r>
      <w:r>
        <w:rPr/>
        <w:t>de</w:t>
      </w:r>
      <w:r>
        <w:rPr>
          <w:spacing w:val="-11"/>
        </w:rPr>
        <w:t> </w:t>
      </w:r>
      <w:r>
        <w:rPr/>
        <w:t>pagar</w:t>
      </w:r>
      <w:r>
        <w:rPr>
          <w:spacing w:val="-12"/>
        </w:rPr>
        <w:t> </w:t>
      </w:r>
      <w:r>
        <w:rPr/>
        <w:t>un</w:t>
      </w:r>
      <w:r>
        <w:rPr>
          <w:spacing w:val="-9"/>
        </w:rPr>
        <w:t> </w:t>
      </w:r>
      <w:r>
        <w:rPr/>
        <w:t>préstamo</w:t>
      </w:r>
      <w:r>
        <w:rPr>
          <w:spacing w:val="-11"/>
        </w:rPr>
        <w:t> </w:t>
      </w:r>
      <w:r>
        <w:rPr/>
        <w:t>de</w:t>
      </w:r>
      <w:r>
        <w:rPr>
          <w:spacing w:val="-11"/>
        </w:rPr>
        <w:t> </w:t>
      </w:r>
      <w:r>
        <w:rPr/>
        <w:t>1200</w:t>
      </w:r>
      <w:r>
        <w:rPr>
          <w:spacing w:val="-5"/>
        </w:rPr>
        <w:t> </w:t>
      </w:r>
      <w:r>
        <w:rPr/>
        <w:t>millones</w:t>
      </w:r>
      <w:r>
        <w:rPr>
          <w:spacing w:val="-12"/>
        </w:rPr>
        <w:t> </w:t>
      </w:r>
      <w:r>
        <w:rPr/>
        <w:t>a</w:t>
      </w:r>
      <w:r>
        <w:rPr>
          <w:spacing w:val="-11"/>
        </w:rPr>
        <w:t> </w:t>
      </w:r>
      <w:r>
        <w:rPr/>
        <w:t>uno</w:t>
      </w:r>
      <w:r>
        <w:rPr>
          <w:spacing w:val="-11"/>
        </w:rPr>
        <w:t> </w:t>
      </w:r>
      <w:r>
        <w:rPr/>
        <w:t>de sus</w:t>
      </w:r>
      <w:r>
        <w:rPr>
          <w:spacing w:val="-14"/>
        </w:rPr>
        <w:t> </w:t>
      </w:r>
      <w:r>
        <w:rPr/>
        <w:t>acreedores</w:t>
      </w:r>
      <w:r>
        <w:rPr>
          <w:spacing w:val="-16"/>
        </w:rPr>
        <w:t> </w:t>
      </w:r>
      <w:r>
        <w:rPr/>
        <w:t>del</w:t>
      </w:r>
      <w:r>
        <w:rPr>
          <w:spacing w:val="-22"/>
        </w:rPr>
        <w:t> </w:t>
      </w:r>
      <w:r>
        <w:rPr/>
        <w:t>Wall</w:t>
      </w:r>
      <w:r>
        <w:rPr>
          <w:spacing w:val="-15"/>
        </w:rPr>
        <w:t> </w:t>
      </w:r>
      <w:r>
        <w:rPr/>
        <w:t>Street,</w:t>
      </w:r>
      <w:r>
        <w:rPr>
          <w:spacing w:val="-13"/>
        </w:rPr>
        <w:t> </w:t>
      </w:r>
      <w:r>
        <w:rPr/>
        <w:t>que</w:t>
      </w:r>
      <w:r>
        <w:rPr>
          <w:spacing w:val="-13"/>
        </w:rPr>
        <w:t> </w:t>
      </w:r>
      <w:r>
        <w:rPr/>
        <w:t>rechazó</w:t>
      </w:r>
      <w:r>
        <w:rPr>
          <w:spacing w:val="-13"/>
        </w:rPr>
        <w:t> </w:t>
      </w:r>
      <w:r>
        <w:rPr/>
        <w:t>seguir</w:t>
      </w:r>
      <w:r>
        <w:rPr>
          <w:spacing w:val="-15"/>
        </w:rPr>
        <w:t> </w:t>
      </w:r>
      <w:r>
        <w:rPr/>
        <w:t>el</w:t>
      </w:r>
      <w:r>
        <w:rPr>
          <w:spacing w:val="-9"/>
        </w:rPr>
        <w:t> </w:t>
      </w:r>
      <w:r>
        <w:rPr/>
        <w:t>préstamo</w:t>
      </w:r>
      <w:r>
        <w:rPr>
          <w:spacing w:val="-13"/>
        </w:rPr>
        <w:t> </w:t>
      </w:r>
      <w:r>
        <w:rPr/>
        <w:t>y</w:t>
      </w:r>
      <w:r>
        <w:rPr>
          <w:spacing w:val="-16"/>
        </w:rPr>
        <w:t> </w:t>
      </w:r>
      <w:r>
        <w:rPr/>
        <w:t>comenzó</w:t>
      </w:r>
      <w:r>
        <w:rPr>
          <w:spacing w:val="-13"/>
        </w:rPr>
        <w:t> </w:t>
      </w:r>
      <w:r>
        <w:rPr/>
        <w:t>a</w:t>
      </w:r>
      <w:r>
        <w:rPr>
          <w:spacing w:val="-13"/>
        </w:rPr>
        <w:t> </w:t>
      </w:r>
      <w:r>
        <w:rPr/>
        <w:t>vender los valores del Orange County que se mantenían como colateral. Dentro de poco, el condado se declaró en quiebra y decidió liquidar la cartera, realizando la pérdida por los</w:t>
      </w:r>
      <w:r>
        <w:rPr>
          <w:spacing w:val="-5"/>
        </w:rPr>
        <w:t> </w:t>
      </w:r>
      <w:r>
        <w:rPr/>
        <w:t>papeles.</w:t>
      </w:r>
    </w:p>
    <w:p>
      <w:pPr>
        <w:pStyle w:val="BodyText"/>
        <w:spacing w:line="360" w:lineRule="auto" w:before="2"/>
        <w:ind w:left="142" w:right="136" w:firstLine="707"/>
        <w:jc w:val="both"/>
      </w:pPr>
      <w:r>
        <w:rPr/>
        <w:t>El</w:t>
      </w:r>
      <w:r>
        <w:rPr>
          <w:spacing w:val="-19"/>
        </w:rPr>
        <w:t> </w:t>
      </w:r>
      <w:r>
        <w:rPr/>
        <w:t>fiasco</w:t>
      </w:r>
      <w:r>
        <w:rPr>
          <w:spacing w:val="-18"/>
        </w:rPr>
        <w:t> </w:t>
      </w:r>
      <w:r>
        <w:rPr/>
        <w:t>del</w:t>
      </w:r>
      <w:r>
        <w:rPr>
          <w:spacing w:val="-19"/>
        </w:rPr>
        <w:t> </w:t>
      </w:r>
      <w:r>
        <w:rPr/>
        <w:t>Orange</w:t>
      </w:r>
      <w:r>
        <w:rPr>
          <w:spacing w:val="-18"/>
        </w:rPr>
        <w:t> </w:t>
      </w:r>
      <w:r>
        <w:rPr/>
        <w:t>County</w:t>
      </w:r>
      <w:r>
        <w:rPr>
          <w:spacing w:val="-18"/>
        </w:rPr>
        <w:t> </w:t>
      </w:r>
      <w:r>
        <w:rPr/>
        <w:t>involucra</w:t>
      </w:r>
      <w:r>
        <w:rPr>
          <w:spacing w:val="-18"/>
        </w:rPr>
        <w:t> </w:t>
      </w:r>
      <w:r>
        <w:rPr/>
        <w:t>la</w:t>
      </w:r>
      <w:r>
        <w:rPr>
          <w:spacing w:val="-16"/>
        </w:rPr>
        <w:t> </w:t>
      </w:r>
      <w:r>
        <w:rPr/>
        <w:t>irresponsabilidad</w:t>
      </w:r>
      <w:r>
        <w:rPr>
          <w:spacing w:val="-20"/>
        </w:rPr>
        <w:t> </w:t>
      </w:r>
      <w:r>
        <w:rPr/>
        <w:t>financiera</w:t>
      </w:r>
      <w:r>
        <w:rPr>
          <w:spacing w:val="-18"/>
        </w:rPr>
        <w:t> </w:t>
      </w:r>
      <w:r>
        <w:rPr/>
        <w:t>por</w:t>
      </w:r>
      <w:r>
        <w:rPr>
          <w:spacing w:val="-19"/>
        </w:rPr>
        <w:t> </w:t>
      </w:r>
      <w:r>
        <w:rPr/>
        <w:t>parte de Citron, y quizás también de parte del consejo de supervisores que dio la aprobación</w:t>
      </w:r>
      <w:r>
        <w:rPr>
          <w:spacing w:val="-13"/>
        </w:rPr>
        <w:t> </w:t>
      </w:r>
      <w:r>
        <w:rPr/>
        <w:t>a</w:t>
      </w:r>
      <w:r>
        <w:rPr>
          <w:spacing w:val="-11"/>
        </w:rPr>
        <w:t> </w:t>
      </w:r>
      <w:r>
        <w:rPr/>
        <w:t>las</w:t>
      </w:r>
      <w:r>
        <w:rPr>
          <w:spacing w:val="-11"/>
        </w:rPr>
        <w:t> </w:t>
      </w:r>
      <w:r>
        <w:rPr/>
        <w:t>inversiones</w:t>
      </w:r>
      <w:r>
        <w:rPr>
          <w:spacing w:val="-14"/>
        </w:rPr>
        <w:t> </w:t>
      </w:r>
      <w:r>
        <w:rPr/>
        <w:t>de</w:t>
      </w:r>
      <w:r>
        <w:rPr>
          <w:spacing w:val="-13"/>
        </w:rPr>
        <w:t> </w:t>
      </w:r>
      <w:r>
        <w:rPr/>
        <w:t>alto</w:t>
      </w:r>
      <w:r>
        <w:rPr>
          <w:spacing w:val="-11"/>
        </w:rPr>
        <w:t> </w:t>
      </w:r>
      <w:r>
        <w:rPr/>
        <w:t>riesgo</w:t>
      </w:r>
      <w:r>
        <w:rPr>
          <w:spacing w:val="-13"/>
        </w:rPr>
        <w:t> </w:t>
      </w:r>
      <w:r>
        <w:rPr/>
        <w:t>del</w:t>
      </w:r>
      <w:r>
        <w:rPr>
          <w:spacing w:val="-14"/>
        </w:rPr>
        <w:t> </w:t>
      </w:r>
      <w:r>
        <w:rPr/>
        <w:t>ex</w:t>
      </w:r>
      <w:r>
        <w:rPr>
          <w:spacing w:val="-14"/>
        </w:rPr>
        <w:t> </w:t>
      </w:r>
      <w:r>
        <w:rPr/>
        <w:t>tesorero.</w:t>
      </w:r>
      <w:r>
        <w:rPr>
          <w:spacing w:val="-13"/>
        </w:rPr>
        <w:t> </w:t>
      </w:r>
      <w:r>
        <w:rPr/>
        <w:t>Citron</w:t>
      </w:r>
      <w:r>
        <w:rPr>
          <w:spacing w:val="-11"/>
        </w:rPr>
        <w:t> </w:t>
      </w:r>
      <w:r>
        <w:rPr/>
        <w:t>y</w:t>
      </w:r>
      <w:r>
        <w:rPr>
          <w:spacing w:val="-14"/>
        </w:rPr>
        <w:t> </w:t>
      </w:r>
      <w:r>
        <w:rPr/>
        <w:t>los</w:t>
      </w:r>
      <w:r>
        <w:rPr>
          <w:spacing w:val="-4"/>
        </w:rPr>
        <w:t> </w:t>
      </w:r>
      <w:r>
        <w:rPr/>
        <w:t>supervisores no hicieron caso de muchos signos de advertencia, y las demandas de los inversionistas del fondo no les dieron la advertencia suficiente de los</w:t>
      </w:r>
      <w:r>
        <w:rPr>
          <w:spacing w:val="-24"/>
        </w:rPr>
        <w:t> </w:t>
      </w:r>
      <w:r>
        <w:rPr/>
        <w:t>riesgos.</w:t>
      </w:r>
    </w:p>
    <w:p>
      <w:pPr>
        <w:spacing w:after="0" w:line="360" w:lineRule="auto"/>
        <w:jc w:val="both"/>
        <w:sectPr>
          <w:pgSz w:w="12240" w:h="15840"/>
          <w:pgMar w:header="731" w:footer="737" w:top="1180" w:bottom="920" w:left="1560" w:right="1560"/>
        </w:sectPr>
      </w:pPr>
    </w:p>
    <w:p>
      <w:pPr>
        <w:pStyle w:val="BodyText"/>
        <w:rPr>
          <w:sz w:val="20"/>
        </w:rPr>
      </w:pPr>
    </w:p>
    <w:p>
      <w:pPr>
        <w:pStyle w:val="BodyText"/>
        <w:rPr>
          <w:sz w:val="20"/>
        </w:rPr>
      </w:pPr>
    </w:p>
    <w:p>
      <w:pPr>
        <w:pStyle w:val="BodyText"/>
        <w:rPr>
          <w:sz w:val="20"/>
        </w:rPr>
      </w:pPr>
    </w:p>
    <w:p>
      <w:pPr>
        <w:pStyle w:val="BodyText"/>
        <w:spacing w:before="4"/>
        <w:rPr>
          <w:sz w:val="18"/>
        </w:rPr>
      </w:pPr>
    </w:p>
    <w:tbl>
      <w:tblPr>
        <w:tblW w:w="0" w:type="auto"/>
        <w:jc w:val="left"/>
        <w:tblInd w:w="1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06"/>
      </w:tblGrid>
      <w:tr>
        <w:trPr>
          <w:trHeight w:val="262" w:hRule="exact"/>
        </w:trPr>
        <w:tc>
          <w:tcPr>
            <w:tcW w:w="6806" w:type="dxa"/>
            <w:shd w:val="clear" w:color="auto" w:fill="E4E4E4"/>
          </w:tcPr>
          <w:p>
            <w:pPr>
              <w:pStyle w:val="TableParagraph"/>
              <w:spacing w:line="251" w:lineRule="exact"/>
              <w:ind w:left="3145" w:right="3146"/>
              <w:jc w:val="center"/>
              <w:rPr>
                <w:sz w:val="22"/>
              </w:rPr>
            </w:pPr>
            <w:r>
              <w:rPr>
                <w:sz w:val="22"/>
              </w:rPr>
              <w:t>Nota</w:t>
            </w:r>
          </w:p>
        </w:tc>
      </w:tr>
      <w:tr>
        <w:trPr>
          <w:trHeight w:val="2794" w:hRule="exact"/>
        </w:trPr>
        <w:tc>
          <w:tcPr>
            <w:tcW w:w="6806" w:type="dxa"/>
          </w:tcPr>
          <w:p>
            <w:pPr>
              <w:pStyle w:val="TableParagraph"/>
              <w:ind w:left="103" w:right="102"/>
              <w:jc w:val="both"/>
              <w:rPr>
                <w:sz w:val="22"/>
              </w:rPr>
            </w:pPr>
            <w:r>
              <w:rPr>
                <w:sz w:val="22"/>
              </w:rPr>
              <w:t>El Premio Ig Nobel 1995 en Economía se otorgó a Nick Leeson y sus superiores en el Banco Barings, y a Robert Citron, de Condado de</w:t>
            </w:r>
            <w:r>
              <w:rPr>
                <w:spacing w:val="-7"/>
                <w:sz w:val="22"/>
              </w:rPr>
              <w:t> </w:t>
            </w:r>
            <w:r>
              <w:rPr>
                <w:sz w:val="22"/>
              </w:rPr>
              <w:t>Orange,</w:t>
            </w:r>
            <w:r>
              <w:rPr>
                <w:spacing w:val="-4"/>
                <w:sz w:val="22"/>
              </w:rPr>
              <w:t> </w:t>
            </w:r>
            <w:r>
              <w:rPr>
                <w:sz w:val="22"/>
              </w:rPr>
              <w:t>California,</w:t>
            </w:r>
            <w:r>
              <w:rPr>
                <w:spacing w:val="-5"/>
                <w:sz w:val="22"/>
              </w:rPr>
              <w:t> </w:t>
            </w:r>
            <w:r>
              <w:rPr>
                <w:sz w:val="22"/>
              </w:rPr>
              <w:t>por</w:t>
            </w:r>
            <w:r>
              <w:rPr>
                <w:spacing w:val="-4"/>
                <w:sz w:val="22"/>
              </w:rPr>
              <w:t> </w:t>
            </w:r>
            <w:r>
              <w:rPr>
                <w:sz w:val="22"/>
              </w:rPr>
              <w:t>usar</w:t>
            </w:r>
            <w:r>
              <w:rPr>
                <w:spacing w:val="-5"/>
                <w:sz w:val="22"/>
              </w:rPr>
              <w:t> </w:t>
            </w:r>
            <w:r>
              <w:rPr>
                <w:sz w:val="22"/>
              </w:rPr>
              <w:t>el</w:t>
            </w:r>
            <w:r>
              <w:rPr>
                <w:spacing w:val="-5"/>
                <w:sz w:val="22"/>
              </w:rPr>
              <w:t> </w:t>
            </w:r>
            <w:r>
              <w:rPr>
                <w:sz w:val="22"/>
              </w:rPr>
              <w:t>cálculo</w:t>
            </w:r>
            <w:r>
              <w:rPr>
                <w:spacing w:val="-6"/>
                <w:sz w:val="22"/>
              </w:rPr>
              <w:t> </w:t>
            </w:r>
            <w:r>
              <w:rPr>
                <w:sz w:val="22"/>
              </w:rPr>
              <w:t>diferencial</w:t>
            </w:r>
            <w:r>
              <w:rPr>
                <w:spacing w:val="-5"/>
                <w:sz w:val="22"/>
              </w:rPr>
              <w:t> </w:t>
            </w:r>
            <w:r>
              <w:rPr>
                <w:sz w:val="22"/>
              </w:rPr>
              <w:t>para</w:t>
            </w:r>
            <w:r>
              <w:rPr>
                <w:spacing w:val="-6"/>
                <w:sz w:val="22"/>
              </w:rPr>
              <w:t> </w:t>
            </w:r>
            <w:r>
              <w:rPr>
                <w:sz w:val="22"/>
              </w:rPr>
              <w:t>demostrar que todas las entidades financieras tienen sus</w:t>
            </w:r>
            <w:r>
              <w:rPr>
                <w:spacing w:val="-15"/>
                <w:sz w:val="22"/>
              </w:rPr>
              <w:t> </w:t>
            </w:r>
            <w:r>
              <w:rPr>
                <w:sz w:val="22"/>
              </w:rPr>
              <w:t>límites".</w:t>
            </w:r>
          </w:p>
          <w:p>
            <w:pPr>
              <w:pStyle w:val="TableParagraph"/>
              <w:ind w:left="103" w:right="99"/>
              <w:jc w:val="both"/>
              <w:rPr>
                <w:sz w:val="14"/>
              </w:rPr>
            </w:pPr>
            <w:r>
              <w:rPr>
                <w:sz w:val="22"/>
              </w:rPr>
              <w:t>Los premios Ig Nobel son una parodia de los premio Nobel. Están organizados por la revista de humor científica </w:t>
            </w:r>
            <w:hyperlink r:id="rId64">
              <w:r>
                <w:rPr>
                  <w:color w:val="0000FF"/>
                  <w:sz w:val="22"/>
                  <w:u w:val="single" w:color="0000FF"/>
                </w:rPr>
                <w:t>Annals of Improbable</w:t>
              </w:r>
            </w:hyperlink>
            <w:r>
              <w:rPr>
                <w:color w:val="0000FF"/>
                <w:sz w:val="22"/>
                <w:u w:val="single" w:color="0000FF"/>
              </w:rPr>
              <w:t> </w:t>
            </w:r>
            <w:hyperlink r:id="rId64">
              <w:r>
                <w:rPr>
                  <w:color w:val="0000FF"/>
                  <w:sz w:val="22"/>
                  <w:u w:val="single" w:color="0000FF"/>
                </w:rPr>
                <w:t>Research</w:t>
              </w:r>
            </w:hyperlink>
            <w:r>
              <w:rPr>
                <w:color w:val="0000FF"/>
                <w:sz w:val="22"/>
                <w:u w:val="single" w:color="0000FF"/>
              </w:rPr>
              <w:t> </w:t>
            </w:r>
            <w:r>
              <w:rPr>
                <w:sz w:val="22"/>
              </w:rPr>
              <w:t>(AIR. Estos premios galardonan los logros de investigaciones que primero pueden provocar risas, pero después hacen</w:t>
            </w:r>
            <w:r>
              <w:rPr>
                <w:spacing w:val="-9"/>
                <w:sz w:val="22"/>
              </w:rPr>
              <w:t> </w:t>
            </w:r>
            <w:r>
              <w:rPr>
                <w:sz w:val="22"/>
              </w:rPr>
              <w:t>que</w:t>
            </w:r>
            <w:r>
              <w:rPr>
                <w:spacing w:val="-7"/>
                <w:sz w:val="22"/>
              </w:rPr>
              <w:t> </w:t>
            </w:r>
            <w:r>
              <w:rPr>
                <w:sz w:val="22"/>
              </w:rPr>
              <w:t>las</w:t>
            </w:r>
            <w:r>
              <w:rPr>
                <w:spacing w:val="-6"/>
                <w:sz w:val="22"/>
              </w:rPr>
              <w:t> </w:t>
            </w:r>
            <w:r>
              <w:rPr>
                <w:sz w:val="22"/>
              </w:rPr>
              <w:t>personas</w:t>
            </w:r>
            <w:r>
              <w:rPr>
                <w:spacing w:val="-10"/>
                <w:sz w:val="22"/>
              </w:rPr>
              <w:t> </w:t>
            </w:r>
            <w:r>
              <w:rPr>
                <w:sz w:val="22"/>
              </w:rPr>
              <w:t>piensen.</w:t>
            </w:r>
            <w:r>
              <w:rPr>
                <w:spacing w:val="-5"/>
                <w:sz w:val="22"/>
              </w:rPr>
              <w:t> </w:t>
            </w:r>
            <w:r>
              <w:rPr>
                <w:sz w:val="22"/>
              </w:rPr>
              <w:t>Los</w:t>
            </w:r>
            <w:r>
              <w:rPr>
                <w:spacing w:val="-6"/>
                <w:sz w:val="22"/>
              </w:rPr>
              <w:t> </w:t>
            </w:r>
            <w:r>
              <w:rPr>
                <w:sz w:val="22"/>
              </w:rPr>
              <w:t>premios</w:t>
            </w:r>
            <w:r>
              <w:rPr>
                <w:spacing w:val="-6"/>
                <w:sz w:val="22"/>
              </w:rPr>
              <w:t> </w:t>
            </w:r>
            <w:r>
              <w:rPr>
                <w:sz w:val="22"/>
              </w:rPr>
              <w:t>pretenden</w:t>
            </w:r>
            <w:r>
              <w:rPr>
                <w:spacing w:val="-6"/>
                <w:sz w:val="22"/>
              </w:rPr>
              <w:t> </w:t>
            </w:r>
            <w:r>
              <w:rPr>
                <w:sz w:val="22"/>
              </w:rPr>
              <w:t>celebrar</w:t>
            </w:r>
            <w:r>
              <w:rPr>
                <w:spacing w:val="-5"/>
                <w:sz w:val="22"/>
              </w:rPr>
              <w:t> </w:t>
            </w:r>
            <w:r>
              <w:rPr>
                <w:sz w:val="22"/>
              </w:rPr>
              <w:t>lo inusual, honrar lo imaginativo y estimular el interés de todos por la ciencia, la medicina, y la</w:t>
            </w:r>
            <w:r>
              <w:rPr>
                <w:spacing w:val="-14"/>
                <w:sz w:val="22"/>
              </w:rPr>
              <w:t> </w:t>
            </w:r>
            <w:r>
              <w:rPr>
                <w:sz w:val="22"/>
              </w:rPr>
              <w:t>tecnología.</w:t>
            </w:r>
            <w:r>
              <w:rPr>
                <w:position w:val="8"/>
                <w:sz w:val="14"/>
              </w:rPr>
              <w:t>66</w:t>
            </w:r>
          </w:p>
        </w:tc>
      </w:tr>
    </w:tbl>
    <w:p>
      <w:pPr>
        <w:pStyle w:val="BodyText"/>
        <w:rPr>
          <w:sz w:val="28"/>
        </w:rPr>
      </w:pPr>
    </w:p>
    <w:p>
      <w:pPr>
        <w:pStyle w:val="Heading3"/>
        <w:spacing w:before="69"/>
      </w:pPr>
      <w:r>
        <w:rPr/>
        <w:t>Otros eventos relevantes:</w:t>
      </w:r>
    </w:p>
    <w:p>
      <w:pPr>
        <w:pStyle w:val="ListParagraph"/>
        <w:numPr>
          <w:ilvl w:val="3"/>
          <w:numId w:val="17"/>
        </w:numPr>
        <w:tabs>
          <w:tab w:pos="1275" w:val="left" w:leader="none"/>
        </w:tabs>
        <w:spacing w:line="350" w:lineRule="auto" w:before="63" w:after="0"/>
        <w:ind w:left="1274" w:right="146" w:hanging="357"/>
        <w:jc w:val="both"/>
        <w:rPr>
          <w:sz w:val="24"/>
        </w:rPr>
      </w:pPr>
      <w:r>
        <w:rPr>
          <w:sz w:val="24"/>
        </w:rPr>
        <w:t>Toshihide Iguchi un operador que manejaba posiciones en mercado de dinero en Daiwa Bank perdió 1,100 millones de dólares en</w:t>
      </w:r>
      <w:r>
        <w:rPr>
          <w:spacing w:val="-27"/>
          <w:sz w:val="24"/>
        </w:rPr>
        <w:t> </w:t>
      </w:r>
      <w:r>
        <w:rPr>
          <w:sz w:val="24"/>
        </w:rPr>
        <w:t>1995.</w:t>
      </w:r>
    </w:p>
    <w:p>
      <w:pPr>
        <w:pStyle w:val="ListParagraph"/>
        <w:numPr>
          <w:ilvl w:val="3"/>
          <w:numId w:val="17"/>
        </w:numPr>
        <w:tabs>
          <w:tab w:pos="1275" w:val="left" w:leader="none"/>
        </w:tabs>
        <w:spacing w:line="350" w:lineRule="auto" w:before="16" w:after="0"/>
        <w:ind w:left="1274" w:right="140" w:hanging="357"/>
        <w:jc w:val="both"/>
        <w:rPr>
          <w:sz w:val="24"/>
        </w:rPr>
      </w:pPr>
      <w:r>
        <w:rPr>
          <w:sz w:val="24"/>
        </w:rPr>
        <w:t>Yasuo</w:t>
      </w:r>
      <w:r>
        <w:rPr>
          <w:spacing w:val="-16"/>
          <w:sz w:val="24"/>
        </w:rPr>
        <w:t> </w:t>
      </w:r>
      <w:r>
        <w:rPr>
          <w:sz w:val="24"/>
        </w:rPr>
        <w:t>Hamanaka,</w:t>
      </w:r>
      <w:r>
        <w:rPr>
          <w:spacing w:val="-18"/>
          <w:sz w:val="24"/>
        </w:rPr>
        <w:t> </w:t>
      </w:r>
      <w:r>
        <w:rPr>
          <w:sz w:val="24"/>
        </w:rPr>
        <w:t>un</w:t>
      </w:r>
      <w:r>
        <w:rPr>
          <w:spacing w:val="-20"/>
          <w:sz w:val="24"/>
        </w:rPr>
        <w:t> </w:t>
      </w:r>
      <w:r>
        <w:rPr>
          <w:sz w:val="24"/>
        </w:rPr>
        <w:t>operador</w:t>
      </w:r>
      <w:r>
        <w:rPr>
          <w:spacing w:val="-19"/>
          <w:sz w:val="24"/>
        </w:rPr>
        <w:t> </w:t>
      </w:r>
      <w:r>
        <w:rPr>
          <w:sz w:val="24"/>
        </w:rPr>
        <w:t>de</w:t>
      </w:r>
      <w:r>
        <w:rPr>
          <w:spacing w:val="-18"/>
          <w:sz w:val="24"/>
        </w:rPr>
        <w:t> </w:t>
      </w:r>
      <w:r>
        <w:rPr>
          <w:sz w:val="24"/>
        </w:rPr>
        <w:t>contratos</w:t>
      </w:r>
      <w:r>
        <w:rPr>
          <w:spacing w:val="-21"/>
          <w:sz w:val="24"/>
        </w:rPr>
        <w:t> </w:t>
      </w:r>
      <w:r>
        <w:rPr>
          <w:sz w:val="24"/>
        </w:rPr>
        <w:t>de</w:t>
      </w:r>
      <w:r>
        <w:rPr>
          <w:spacing w:val="-16"/>
          <w:sz w:val="24"/>
        </w:rPr>
        <w:t> </w:t>
      </w:r>
      <w:r>
        <w:rPr>
          <w:sz w:val="24"/>
        </w:rPr>
        <w:t>cobre</w:t>
      </w:r>
      <w:r>
        <w:rPr>
          <w:spacing w:val="-19"/>
          <w:sz w:val="24"/>
        </w:rPr>
        <w:t> </w:t>
      </w:r>
      <w:r>
        <w:rPr>
          <w:sz w:val="24"/>
        </w:rPr>
        <w:t>en</w:t>
      </w:r>
      <w:r>
        <w:rPr>
          <w:spacing w:val="-18"/>
          <w:sz w:val="24"/>
        </w:rPr>
        <w:t> </w:t>
      </w:r>
      <w:r>
        <w:rPr>
          <w:sz w:val="24"/>
        </w:rPr>
        <w:t>Sumitomo</w:t>
      </w:r>
      <w:r>
        <w:rPr>
          <w:spacing w:val="-20"/>
          <w:sz w:val="24"/>
        </w:rPr>
        <w:t> </w:t>
      </w:r>
      <w:r>
        <w:rPr>
          <w:sz w:val="24"/>
        </w:rPr>
        <w:t>Corp. perdió en junio de 1996, 1,800 millones de</w:t>
      </w:r>
      <w:r>
        <w:rPr>
          <w:spacing w:val="-23"/>
          <w:sz w:val="24"/>
        </w:rPr>
        <w:t> </w:t>
      </w:r>
      <w:r>
        <w:rPr>
          <w:sz w:val="24"/>
        </w:rPr>
        <w:t>dólares.</w:t>
      </w:r>
    </w:p>
    <w:p>
      <w:pPr>
        <w:pStyle w:val="ListParagraph"/>
        <w:numPr>
          <w:ilvl w:val="3"/>
          <w:numId w:val="17"/>
        </w:numPr>
        <w:tabs>
          <w:tab w:pos="1275" w:val="left" w:leader="none"/>
        </w:tabs>
        <w:spacing w:line="357" w:lineRule="auto" w:before="14" w:after="0"/>
        <w:ind w:left="1274" w:right="139" w:hanging="357"/>
        <w:jc w:val="both"/>
        <w:rPr>
          <w:sz w:val="24"/>
        </w:rPr>
      </w:pPr>
      <w:r>
        <w:rPr>
          <w:sz w:val="24"/>
        </w:rPr>
        <w:t>En diciembre de 1994, la devaluación del peso mexicano dejó al descubierto la fragilidad del sistema financiero, ya que en la totalidad de las Instituciones Financieras se presentaron fuertes pérdidas tanto por riesgos de mercado, como por riesgos de</w:t>
      </w:r>
      <w:r>
        <w:rPr>
          <w:spacing w:val="-15"/>
          <w:sz w:val="24"/>
        </w:rPr>
        <w:t> </w:t>
      </w:r>
      <w:r>
        <w:rPr>
          <w:sz w:val="24"/>
        </w:rPr>
        <w:t>crédito.</w:t>
      </w:r>
    </w:p>
    <w:p>
      <w:pPr>
        <w:pStyle w:val="BodyText"/>
        <w:spacing w:line="360" w:lineRule="auto" w:before="5"/>
        <w:ind w:left="142" w:right="143" w:firstLine="707"/>
        <w:jc w:val="both"/>
      </w:pPr>
      <w:r>
        <w:rPr/>
        <w:t>Los</w:t>
      </w:r>
      <w:r>
        <w:rPr>
          <w:spacing w:val="-15"/>
        </w:rPr>
        <w:t> </w:t>
      </w:r>
      <w:r>
        <w:rPr/>
        <w:t>eventos</w:t>
      </w:r>
      <w:r>
        <w:rPr>
          <w:spacing w:val="-15"/>
        </w:rPr>
        <w:t> </w:t>
      </w:r>
      <w:r>
        <w:rPr/>
        <w:t>arriba</w:t>
      </w:r>
      <w:r>
        <w:rPr>
          <w:spacing w:val="-14"/>
        </w:rPr>
        <w:t> </w:t>
      </w:r>
      <w:r>
        <w:rPr/>
        <w:t>descritos</w:t>
      </w:r>
      <w:r>
        <w:rPr>
          <w:spacing w:val="-15"/>
        </w:rPr>
        <w:t> </w:t>
      </w:r>
      <w:r>
        <w:rPr/>
        <w:t>encendieron</w:t>
      </w:r>
      <w:r>
        <w:rPr>
          <w:spacing w:val="-14"/>
        </w:rPr>
        <w:t> </w:t>
      </w:r>
      <w:r>
        <w:rPr/>
        <w:t>las</w:t>
      </w:r>
      <w:r>
        <w:rPr>
          <w:spacing w:val="-14"/>
        </w:rPr>
        <w:t> </w:t>
      </w:r>
      <w:r>
        <w:rPr/>
        <w:t>luces</w:t>
      </w:r>
      <w:r>
        <w:rPr>
          <w:spacing w:val="-15"/>
        </w:rPr>
        <w:t> </w:t>
      </w:r>
      <w:r>
        <w:rPr/>
        <w:t>de</w:t>
      </w:r>
      <w:r>
        <w:rPr>
          <w:spacing w:val="-14"/>
        </w:rPr>
        <w:t> </w:t>
      </w:r>
      <w:r>
        <w:rPr/>
        <w:t>alerta.</w:t>
      </w:r>
      <w:r>
        <w:rPr>
          <w:spacing w:val="-14"/>
        </w:rPr>
        <w:t> </w:t>
      </w:r>
      <w:r>
        <w:rPr/>
        <w:t>Los</w:t>
      </w:r>
      <w:r>
        <w:rPr>
          <w:spacing w:val="-15"/>
        </w:rPr>
        <w:t> </w:t>
      </w:r>
      <w:r>
        <w:rPr/>
        <w:t>reguladores e instituciones financieras han enfocado su atención en establecer las mejores prácticas para efectos de administrar los riesgos financieros. Los riesgos de mercado deben ser bien administrados, tanto por un asunto de eficiencia en un mercado competitivo, como por una cuestión de resguardo de la seguridad e integridad del sistema</w:t>
      </w:r>
      <w:r>
        <w:rPr>
          <w:spacing w:val="-11"/>
        </w:rPr>
        <w:t> </w:t>
      </w:r>
      <w:r>
        <w:rPr/>
        <w:t>financiero.</w:t>
      </w:r>
    </w:p>
    <w:p>
      <w:pPr>
        <w:pStyle w:val="BodyText"/>
        <w:spacing w:line="360" w:lineRule="auto" w:before="3"/>
        <w:ind w:left="142" w:right="135" w:firstLine="707"/>
        <w:jc w:val="both"/>
      </w:pPr>
      <w:r>
        <w:rPr/>
        <w:t>Problemas de conflictos de interés, el desconocimiento por parte de la alta gerencia de lo que son los riesgos, falta de análisis de qué pasaría si (análisis de distintos escenarios) y una creencia, muchas veces ciega, en ciertas instituciones que por lógica (reputación y calidad de su staff) no deberían quebrar, han sido los detonantes más recurrentes de los derrumbes de importantes instituciones. Es por</w:t>
      </w:r>
    </w:p>
    <w:p>
      <w:pPr>
        <w:pStyle w:val="BodyText"/>
        <w:spacing w:before="4"/>
        <w:rPr>
          <w:sz w:val="20"/>
        </w:rPr>
      </w:pPr>
      <w:r>
        <w:rPr/>
        <w:pict>
          <v:line style="position:absolute;mso-position-horizontal-relative:page;mso-position-vertical-relative:paragraph;z-index:4168;mso-wrap-distance-left:0;mso-wrap-distance-right:0" from="85.103996pt,13.969918pt" to="229.123996pt,13.969918pt" stroked="true" strokeweight=".599980pt" strokecolor="#000000">
            <w10:wrap type="topAndBottom"/>
          </v:line>
        </w:pict>
      </w:r>
    </w:p>
    <w:p>
      <w:pPr>
        <w:spacing w:before="78"/>
        <w:ind w:left="142" w:right="786" w:firstLine="0"/>
        <w:jc w:val="left"/>
        <w:rPr>
          <w:sz w:val="20"/>
        </w:rPr>
      </w:pPr>
      <w:r>
        <w:rPr>
          <w:position w:val="6"/>
          <w:sz w:val="13"/>
        </w:rPr>
        <w:t>66 </w:t>
      </w:r>
      <w:r>
        <w:rPr>
          <w:sz w:val="20"/>
        </w:rPr>
        <w:t>Consultar </w:t>
      </w:r>
      <w:hyperlink r:id="rId65">
        <w:r>
          <w:rPr>
            <w:sz w:val="20"/>
          </w:rPr>
          <w:t>http://es.wikipedia.org/wiki/Premio_Ig_Nobel#_note-35</w:t>
        </w:r>
      </w:hyperlink>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39"/>
        <w:jc w:val="both"/>
      </w:pPr>
      <w:r>
        <w:rPr/>
        <w:t>ello que cobran importancia los avances que distintos organismos internacionales han logrado con el objetivo de mantener un sistema financiero nacional e internacional sano.</w:t>
      </w:r>
    </w:p>
    <w:p>
      <w:pPr>
        <w:spacing w:after="0" w:line="360" w:lineRule="auto"/>
        <w:jc w:val="both"/>
        <w:sectPr>
          <w:pgSz w:w="12240" w:h="15840"/>
          <w:pgMar w:header="731" w:footer="737" w:top="1180" w:bottom="920" w:left="1560" w:right="1560"/>
        </w:sectPr>
      </w:pPr>
    </w:p>
    <w:p>
      <w:pPr>
        <w:pStyle w:val="BodyText"/>
        <w:rPr>
          <w:sz w:val="20"/>
        </w:rPr>
      </w:pPr>
    </w:p>
    <w:p>
      <w:pPr>
        <w:pStyle w:val="BodyText"/>
        <w:spacing w:before="1"/>
        <w:rPr>
          <w:sz w:val="16"/>
        </w:rPr>
      </w:pPr>
    </w:p>
    <w:p>
      <w:pPr>
        <w:spacing w:before="65"/>
        <w:ind w:left="142" w:right="786" w:firstLine="0"/>
        <w:jc w:val="left"/>
        <w:rPr>
          <w:b/>
          <w:sz w:val="22"/>
        </w:rPr>
      </w:pPr>
      <w:bookmarkStart w:name="_bookmark46" w:id="76"/>
      <w:bookmarkEnd w:id="76"/>
      <w:r>
        <w:rPr/>
      </w:r>
      <w:r>
        <w:rPr>
          <w:b/>
          <w:sz w:val="28"/>
        </w:rPr>
        <w:t>A</w:t>
      </w:r>
      <w:r>
        <w:rPr>
          <w:b/>
          <w:sz w:val="22"/>
        </w:rPr>
        <w:t>PÉNDICE </w:t>
      </w:r>
      <w:r>
        <w:rPr>
          <w:b/>
          <w:sz w:val="28"/>
        </w:rPr>
        <w:t>2. A</w:t>
      </w:r>
      <w:r>
        <w:rPr>
          <w:b/>
          <w:sz w:val="22"/>
        </w:rPr>
        <w:t>CUERDO DE </w:t>
      </w:r>
      <w:r>
        <w:rPr>
          <w:b/>
          <w:sz w:val="28"/>
        </w:rPr>
        <w:t>B</w:t>
      </w:r>
      <w:r>
        <w:rPr>
          <w:b/>
          <w:sz w:val="22"/>
        </w:rPr>
        <w:t>ASILEA</w:t>
      </w:r>
    </w:p>
    <w:p>
      <w:pPr>
        <w:pStyle w:val="BodyText"/>
        <w:spacing w:line="357" w:lineRule="auto" w:before="243"/>
        <w:ind w:left="142" w:right="136" w:firstLine="707"/>
        <w:jc w:val="both"/>
      </w:pPr>
      <w:r>
        <w:rPr/>
        <w:t>Lo anterior trajo una corriente importante para la medición de riesgos, además</w:t>
      </w:r>
      <w:r>
        <w:rPr>
          <w:spacing w:val="-19"/>
        </w:rPr>
        <w:t> </w:t>
      </w:r>
      <w:r>
        <w:rPr/>
        <w:t>del</w:t>
      </w:r>
      <w:r>
        <w:rPr>
          <w:spacing w:val="-19"/>
        </w:rPr>
        <w:t> </w:t>
      </w:r>
      <w:r>
        <w:rPr/>
        <w:t>modelo</w:t>
      </w:r>
      <w:r>
        <w:rPr>
          <w:spacing w:val="-18"/>
        </w:rPr>
        <w:t> </w:t>
      </w:r>
      <w:r>
        <w:rPr/>
        <w:t>Montecarlo</w:t>
      </w:r>
      <w:r>
        <w:rPr>
          <w:spacing w:val="-18"/>
        </w:rPr>
        <w:t> </w:t>
      </w:r>
      <w:r>
        <w:rPr/>
        <w:t>el</w:t>
      </w:r>
      <w:r>
        <w:rPr>
          <w:spacing w:val="-19"/>
        </w:rPr>
        <w:t> </w:t>
      </w:r>
      <w:r>
        <w:rPr/>
        <w:t>cual</w:t>
      </w:r>
      <w:r>
        <w:rPr>
          <w:spacing w:val="-19"/>
        </w:rPr>
        <w:t> </w:t>
      </w:r>
      <w:r>
        <w:rPr/>
        <w:t>es</w:t>
      </w:r>
      <w:r>
        <w:rPr>
          <w:spacing w:val="-19"/>
        </w:rPr>
        <w:t> </w:t>
      </w:r>
      <w:r>
        <w:rPr/>
        <w:t>creador</w:t>
      </w:r>
      <w:r>
        <w:rPr>
          <w:spacing w:val="-19"/>
        </w:rPr>
        <w:t> </w:t>
      </w:r>
      <w:r>
        <w:rPr/>
        <w:t>de</w:t>
      </w:r>
      <w:r>
        <w:rPr>
          <w:spacing w:val="-18"/>
        </w:rPr>
        <w:t> </w:t>
      </w:r>
      <w:r>
        <w:rPr/>
        <w:t>escenarios.</w:t>
      </w:r>
      <w:r>
        <w:rPr>
          <w:spacing w:val="-18"/>
        </w:rPr>
        <w:t> </w:t>
      </w:r>
      <w:r>
        <w:rPr/>
        <w:t>En</w:t>
      </w:r>
      <w:r>
        <w:rPr>
          <w:spacing w:val="-20"/>
        </w:rPr>
        <w:t> </w:t>
      </w:r>
      <w:r>
        <w:rPr/>
        <w:t>1988,</w:t>
      </w:r>
      <w:r>
        <w:rPr>
          <w:spacing w:val="-18"/>
        </w:rPr>
        <w:t> </w:t>
      </w:r>
      <w:r>
        <w:rPr/>
        <w:t>el</w:t>
      </w:r>
      <w:r>
        <w:rPr>
          <w:spacing w:val="-12"/>
        </w:rPr>
        <w:t> </w:t>
      </w:r>
      <w:r>
        <w:rPr/>
        <w:t>Comité de Supervisión Bancaria de Basilea</w:t>
      </w:r>
      <w:r>
        <w:rPr>
          <w:position w:val="8"/>
          <w:sz w:val="16"/>
        </w:rPr>
        <w:t>67</w:t>
      </w:r>
      <w:r>
        <w:rPr/>
        <w:t>, generó el Cook Ratio, el cual es el balance entre activos y pasivos de las instituciones financieras, ya que captan a un plazo y lo colocan a otro generando</w:t>
      </w:r>
      <w:r>
        <w:rPr>
          <w:spacing w:val="-13"/>
        </w:rPr>
        <w:t> </w:t>
      </w:r>
      <w:r>
        <w:rPr/>
        <w:t>huecos</w:t>
      </w:r>
      <w:r>
        <w:rPr>
          <w:position w:val="8"/>
          <w:sz w:val="16"/>
        </w:rPr>
        <w:t>68</w:t>
      </w:r>
      <w:r>
        <w:rPr/>
        <w:t>.</w:t>
      </w:r>
    </w:p>
    <w:p>
      <w:pPr>
        <w:pStyle w:val="BodyText"/>
        <w:spacing w:line="360" w:lineRule="auto" w:before="4"/>
        <w:ind w:left="142" w:right="136" w:firstLine="707"/>
        <w:jc w:val="both"/>
        <w:rPr>
          <w:sz w:val="16"/>
        </w:rPr>
      </w:pPr>
      <w:r>
        <w:rPr/>
        <w:t>Se pretende evitar que los bancos incurriesen en excesivos riesgos crediticios, exigiéndoles mantener un nivel mínimo de capital en función del riesgo asumido,</w:t>
      </w:r>
      <w:r>
        <w:rPr>
          <w:spacing w:val="-6"/>
        </w:rPr>
        <w:t> </w:t>
      </w:r>
      <w:r>
        <w:rPr/>
        <w:t>tal</w:t>
      </w:r>
      <w:r>
        <w:rPr>
          <w:spacing w:val="-6"/>
        </w:rPr>
        <w:t> </w:t>
      </w:r>
      <w:r>
        <w:rPr/>
        <w:t>que,</w:t>
      </w:r>
      <w:r>
        <w:rPr>
          <w:spacing w:val="-6"/>
        </w:rPr>
        <w:t> </w:t>
      </w:r>
      <w:r>
        <w:rPr/>
        <w:t>en</w:t>
      </w:r>
      <w:r>
        <w:rPr>
          <w:spacing w:val="-5"/>
        </w:rPr>
        <w:t> </w:t>
      </w:r>
      <w:r>
        <w:rPr/>
        <w:t>casos</w:t>
      </w:r>
      <w:r>
        <w:rPr>
          <w:spacing w:val="-7"/>
        </w:rPr>
        <w:t> </w:t>
      </w:r>
      <w:r>
        <w:rPr/>
        <w:t>de</w:t>
      </w:r>
      <w:r>
        <w:rPr>
          <w:spacing w:val="-5"/>
        </w:rPr>
        <w:t> </w:t>
      </w:r>
      <w:r>
        <w:rPr/>
        <w:t>insolvencia</w:t>
      </w:r>
      <w:r>
        <w:rPr>
          <w:spacing w:val="-1"/>
        </w:rPr>
        <w:t> </w:t>
      </w:r>
      <w:r>
        <w:rPr/>
        <w:t>de</w:t>
      </w:r>
      <w:r>
        <w:rPr>
          <w:spacing w:val="-6"/>
        </w:rPr>
        <w:t> </w:t>
      </w:r>
      <w:r>
        <w:rPr/>
        <w:t>sus</w:t>
      </w:r>
      <w:r>
        <w:rPr>
          <w:spacing w:val="-7"/>
        </w:rPr>
        <w:t> </w:t>
      </w:r>
      <w:r>
        <w:rPr/>
        <w:t>deudores,</w:t>
      </w:r>
      <w:r>
        <w:rPr>
          <w:spacing w:val="-6"/>
        </w:rPr>
        <w:t> </w:t>
      </w:r>
      <w:r>
        <w:rPr/>
        <w:t>absorbiera</w:t>
      </w:r>
      <w:r>
        <w:rPr>
          <w:spacing w:val="-5"/>
        </w:rPr>
        <w:t> </w:t>
      </w:r>
      <w:r>
        <w:rPr/>
        <w:t>las</w:t>
      </w:r>
      <w:r>
        <w:rPr>
          <w:spacing w:val="-6"/>
        </w:rPr>
        <w:t> </w:t>
      </w:r>
      <w:r>
        <w:rPr/>
        <w:t>posibles pérdidas. Según el Cook Ratio, o coeficiente de solvencia, el capital mínimo de los bancos</w:t>
      </w:r>
      <w:r>
        <w:rPr>
          <w:spacing w:val="-16"/>
        </w:rPr>
        <w:t> </w:t>
      </w:r>
      <w:r>
        <w:rPr/>
        <w:t>debería</w:t>
      </w:r>
      <w:r>
        <w:rPr>
          <w:spacing w:val="-16"/>
        </w:rPr>
        <w:t> </w:t>
      </w:r>
      <w:r>
        <w:rPr/>
        <w:t>ser</w:t>
      </w:r>
      <w:r>
        <w:rPr>
          <w:spacing w:val="-17"/>
        </w:rPr>
        <w:t> </w:t>
      </w:r>
      <w:r>
        <w:rPr/>
        <w:t>el</w:t>
      </w:r>
      <w:r>
        <w:rPr>
          <w:spacing w:val="-17"/>
        </w:rPr>
        <w:t> </w:t>
      </w:r>
      <w:r>
        <w:rPr/>
        <w:t>8%</w:t>
      </w:r>
      <w:r>
        <w:rPr>
          <w:spacing w:val="-16"/>
        </w:rPr>
        <w:t> </w:t>
      </w:r>
      <w:r>
        <w:rPr/>
        <w:t>de</w:t>
      </w:r>
      <w:r>
        <w:rPr>
          <w:spacing w:val="-13"/>
        </w:rPr>
        <w:t> </w:t>
      </w:r>
      <w:r>
        <w:rPr/>
        <w:t>sus</w:t>
      </w:r>
      <w:r>
        <w:rPr>
          <w:spacing w:val="-19"/>
        </w:rPr>
        <w:t> </w:t>
      </w:r>
      <w:r>
        <w:rPr/>
        <w:t>activos</w:t>
      </w:r>
      <w:r>
        <w:rPr>
          <w:spacing w:val="-16"/>
        </w:rPr>
        <w:t> </w:t>
      </w:r>
      <w:r>
        <w:rPr/>
        <w:t>totales,</w:t>
      </w:r>
      <w:r>
        <w:rPr>
          <w:spacing w:val="-16"/>
        </w:rPr>
        <w:t> </w:t>
      </w:r>
      <w:r>
        <w:rPr/>
        <w:t>ponderados</w:t>
      </w:r>
      <w:r>
        <w:rPr>
          <w:spacing w:val="-16"/>
        </w:rPr>
        <w:t> </w:t>
      </w:r>
      <w:r>
        <w:rPr/>
        <w:t>en</w:t>
      </w:r>
      <w:r>
        <w:rPr>
          <w:spacing w:val="-18"/>
        </w:rPr>
        <w:t> </w:t>
      </w:r>
      <w:r>
        <w:rPr/>
        <w:t>función</w:t>
      </w:r>
      <w:r>
        <w:rPr>
          <w:spacing w:val="-16"/>
        </w:rPr>
        <w:t> </w:t>
      </w:r>
      <w:r>
        <w:rPr/>
        <w:t>de</w:t>
      </w:r>
      <w:r>
        <w:rPr>
          <w:spacing w:val="-16"/>
        </w:rPr>
        <w:t> </w:t>
      </w:r>
      <w:r>
        <w:rPr/>
        <w:t>su</w:t>
      </w:r>
      <w:r>
        <w:rPr>
          <w:spacing w:val="-16"/>
        </w:rPr>
        <w:t> </w:t>
      </w:r>
      <w:r>
        <w:rPr/>
        <w:t>riesgo crediticio. En un primer momento, estos requerimientos de capital solo tenían en cuenta el riesgo de crédito pero, en 1996, el Comité efectuó una modificación para incluir, también, el riesgo de</w:t>
      </w:r>
      <w:r>
        <w:rPr>
          <w:spacing w:val="-13"/>
        </w:rPr>
        <w:t> </w:t>
      </w:r>
      <w:r>
        <w:rPr/>
        <w:t>mercado.</w:t>
      </w:r>
      <w:r>
        <w:rPr>
          <w:position w:val="8"/>
          <w:sz w:val="16"/>
        </w:rPr>
        <w:t>69</w:t>
      </w:r>
    </w:p>
    <w:p>
      <w:pPr>
        <w:pStyle w:val="BodyText"/>
        <w:spacing w:line="360" w:lineRule="auto" w:before="1"/>
        <w:ind w:left="142" w:right="136" w:firstLine="707"/>
        <w:jc w:val="both"/>
      </w:pPr>
      <w:r>
        <w:rPr/>
        <w:t>A</w:t>
      </w:r>
      <w:r>
        <w:rPr>
          <w:spacing w:val="-9"/>
        </w:rPr>
        <w:t> </w:t>
      </w:r>
      <w:r>
        <w:rPr/>
        <w:t>partir</w:t>
      </w:r>
      <w:r>
        <w:rPr>
          <w:spacing w:val="-10"/>
        </w:rPr>
        <w:t> </w:t>
      </w:r>
      <w:r>
        <w:rPr/>
        <w:t>de</w:t>
      </w:r>
      <w:r>
        <w:rPr>
          <w:spacing w:val="-10"/>
        </w:rPr>
        <w:t> </w:t>
      </w:r>
      <w:r>
        <w:rPr/>
        <w:t>1999</w:t>
      </w:r>
      <w:r>
        <w:rPr>
          <w:spacing w:val="-7"/>
        </w:rPr>
        <w:t> </w:t>
      </w:r>
      <w:r>
        <w:rPr/>
        <w:t>se</w:t>
      </w:r>
      <w:r>
        <w:rPr>
          <w:spacing w:val="-8"/>
        </w:rPr>
        <w:t> </w:t>
      </w:r>
      <w:r>
        <w:rPr/>
        <w:t>generó</w:t>
      </w:r>
      <w:r>
        <w:rPr>
          <w:spacing w:val="-9"/>
        </w:rPr>
        <w:t> </w:t>
      </w:r>
      <w:r>
        <w:rPr/>
        <w:t>un</w:t>
      </w:r>
      <w:r>
        <w:rPr>
          <w:spacing w:val="-7"/>
        </w:rPr>
        <w:t> </w:t>
      </w:r>
      <w:r>
        <w:rPr/>
        <w:t>Nuevo</w:t>
      </w:r>
      <w:r>
        <w:rPr>
          <w:spacing w:val="-8"/>
        </w:rPr>
        <w:t> </w:t>
      </w:r>
      <w:r>
        <w:rPr/>
        <w:t>Acuerdo</w:t>
      </w:r>
      <w:r>
        <w:rPr>
          <w:spacing w:val="-8"/>
        </w:rPr>
        <w:t> </w:t>
      </w:r>
      <w:r>
        <w:rPr/>
        <w:t>de</w:t>
      </w:r>
      <w:r>
        <w:rPr>
          <w:spacing w:val="-8"/>
        </w:rPr>
        <w:t> </w:t>
      </w:r>
      <w:r>
        <w:rPr/>
        <w:t>Capital,</w:t>
      </w:r>
      <w:r>
        <w:rPr>
          <w:spacing w:val="-12"/>
        </w:rPr>
        <w:t> </w:t>
      </w:r>
      <w:r>
        <w:rPr/>
        <w:t>o</w:t>
      </w:r>
      <w:r>
        <w:rPr>
          <w:spacing w:val="-8"/>
        </w:rPr>
        <w:t> </w:t>
      </w:r>
      <w:r>
        <w:rPr/>
        <w:t>de</w:t>
      </w:r>
      <w:r>
        <w:rPr>
          <w:spacing w:val="-8"/>
        </w:rPr>
        <w:t> </w:t>
      </w:r>
      <w:r>
        <w:rPr/>
        <w:t>Basilea</w:t>
      </w:r>
      <w:r>
        <w:rPr>
          <w:spacing w:val="-8"/>
        </w:rPr>
        <w:t> </w:t>
      </w:r>
      <w:r>
        <w:rPr/>
        <w:t>II,</w:t>
      </w:r>
      <w:r>
        <w:rPr>
          <w:spacing w:val="-6"/>
        </w:rPr>
        <w:t> </w:t>
      </w:r>
      <w:r>
        <w:rPr/>
        <w:t>que se define los requisitos mínimos de capital en función de los riesgos asumidos, es decir, el coeficiente de solvencia del 8% que varía al 20% por la inclusión de requisitos</w:t>
      </w:r>
      <w:r>
        <w:rPr>
          <w:spacing w:val="-16"/>
        </w:rPr>
        <w:t> </w:t>
      </w:r>
      <w:r>
        <w:rPr/>
        <w:t>de</w:t>
      </w:r>
      <w:r>
        <w:rPr>
          <w:spacing w:val="-16"/>
        </w:rPr>
        <w:t> </w:t>
      </w:r>
      <w:r>
        <w:rPr/>
        <w:t>capital</w:t>
      </w:r>
      <w:r>
        <w:rPr>
          <w:spacing w:val="-17"/>
        </w:rPr>
        <w:t> </w:t>
      </w:r>
      <w:r>
        <w:rPr/>
        <w:t>por</w:t>
      </w:r>
      <w:r>
        <w:rPr>
          <w:spacing w:val="-17"/>
        </w:rPr>
        <w:t> </w:t>
      </w:r>
      <w:r>
        <w:rPr/>
        <w:t>riesgo</w:t>
      </w:r>
      <w:r>
        <w:rPr>
          <w:spacing w:val="-16"/>
        </w:rPr>
        <w:t> </w:t>
      </w:r>
      <w:r>
        <w:rPr/>
        <w:t>operacional,</w:t>
      </w:r>
      <w:r>
        <w:rPr>
          <w:spacing w:val="-18"/>
        </w:rPr>
        <w:t> </w:t>
      </w:r>
      <w:r>
        <w:rPr/>
        <w:t>además</w:t>
      </w:r>
      <w:r>
        <w:rPr>
          <w:spacing w:val="-16"/>
        </w:rPr>
        <w:t> </w:t>
      </w:r>
      <w:r>
        <w:rPr/>
        <w:t>de</w:t>
      </w:r>
      <w:r>
        <w:rPr>
          <w:spacing w:val="-16"/>
        </w:rPr>
        <w:t> </w:t>
      </w:r>
      <w:r>
        <w:rPr/>
        <w:t>riesgo</w:t>
      </w:r>
      <w:r>
        <w:rPr>
          <w:spacing w:val="-16"/>
        </w:rPr>
        <w:t> </w:t>
      </w:r>
      <w:r>
        <w:rPr/>
        <w:t>de</w:t>
      </w:r>
      <w:r>
        <w:rPr>
          <w:spacing w:val="-16"/>
        </w:rPr>
        <w:t> </w:t>
      </w:r>
      <w:r>
        <w:rPr/>
        <w:t>crédito</w:t>
      </w:r>
      <w:r>
        <w:rPr>
          <w:spacing w:val="-16"/>
        </w:rPr>
        <w:t> </w:t>
      </w:r>
      <w:r>
        <w:rPr/>
        <w:t>y</w:t>
      </w:r>
      <w:r>
        <w:rPr>
          <w:spacing w:val="-19"/>
        </w:rPr>
        <w:t> </w:t>
      </w:r>
      <w:r>
        <w:rPr/>
        <w:t>del</w:t>
      </w:r>
      <w:r>
        <w:rPr>
          <w:spacing w:val="-17"/>
        </w:rPr>
        <w:t> </w:t>
      </w:r>
      <w:r>
        <w:rPr/>
        <w:t>riesgo de</w:t>
      </w:r>
      <w:r>
        <w:rPr>
          <w:spacing w:val="-3"/>
        </w:rPr>
        <w:t> </w:t>
      </w:r>
      <w:r>
        <w:rPr/>
        <w:t>mercado.</w:t>
      </w:r>
    </w:p>
    <w:p>
      <w:pPr>
        <w:pStyle w:val="BodyText"/>
        <w:spacing w:line="360" w:lineRule="auto"/>
        <w:ind w:left="142" w:right="136" w:firstLine="707"/>
        <w:jc w:val="both"/>
      </w:pPr>
      <w:r>
        <w:rPr/>
        <w:t>Así, el Cook Ratio se traduce a la cantidad de reservas en función del</w:t>
      </w:r>
      <w:r>
        <w:rPr>
          <w:spacing w:val="-30"/>
        </w:rPr>
        <w:t> </w:t>
      </w:r>
      <w:r>
        <w:rPr>
          <w:i/>
        </w:rPr>
        <w:t>riesgo </w:t>
      </w:r>
      <w:r>
        <w:rPr>
          <w:i/>
        </w:rPr>
        <w:t>de no pago</w:t>
      </w:r>
      <w:r>
        <w:rPr/>
        <w:t>, el cual a su vez está en función de los intereses, porque el principal si lo puedo pagar. Las reservas son una relación de riesgos</w:t>
      </w:r>
      <w:r>
        <w:rPr>
          <w:spacing w:val="-29"/>
        </w:rPr>
        <w:t> </w:t>
      </w:r>
      <w:r>
        <w:rPr/>
        <w:t>otorgados.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4192;mso-wrap-distance-left:0;mso-wrap-distance-right:0" from="85.103996pt,8.030749pt" to="229.123996pt,8.030749pt" stroked="true" strokeweight=".599980pt" strokecolor="#000000">
            <w10:wrap type="topAndBottom"/>
          </v:line>
        </w:pict>
      </w:r>
    </w:p>
    <w:p>
      <w:pPr>
        <w:spacing w:before="78"/>
        <w:ind w:left="142" w:right="157" w:firstLine="0"/>
        <w:jc w:val="left"/>
        <w:rPr>
          <w:sz w:val="20"/>
        </w:rPr>
      </w:pPr>
      <w:r>
        <w:rPr>
          <w:position w:val="6"/>
          <w:sz w:val="13"/>
        </w:rPr>
        <w:t>67 </w:t>
      </w:r>
      <w:r>
        <w:rPr>
          <w:sz w:val="20"/>
        </w:rPr>
        <w:t>El Basel Committee on Banking Supervisión es uno de los diversos comités adscritos al Banco Internacional de Pagos (BIS); fue creado, a finales de 1974, por los gobernadores de los bancos centrales del G-10. Es conocido como Comité de Basilea, por la ciudad suiza donde se ubica, y tiene como objetivo garantizar una supervisión eficaz de las actividades bancarias en todo el mundo.</w:t>
      </w:r>
    </w:p>
    <w:p>
      <w:pPr>
        <w:spacing w:before="0"/>
        <w:ind w:left="142" w:right="786" w:firstLine="0"/>
        <w:jc w:val="left"/>
        <w:rPr>
          <w:sz w:val="20"/>
        </w:rPr>
      </w:pPr>
      <w:r>
        <w:rPr>
          <w:position w:val="6"/>
          <w:sz w:val="13"/>
        </w:rPr>
        <w:t>68 </w:t>
      </w:r>
      <w:r>
        <w:rPr>
          <w:sz w:val="20"/>
        </w:rPr>
        <w:t>Estos desfases se estudian bajo los conceptos de Duración y Convexidad</w:t>
      </w:r>
    </w:p>
    <w:p>
      <w:pPr>
        <w:spacing w:before="0"/>
        <w:ind w:left="142" w:right="786" w:firstLine="0"/>
        <w:jc w:val="left"/>
        <w:rPr>
          <w:sz w:val="20"/>
        </w:rPr>
      </w:pPr>
      <w:r>
        <w:rPr>
          <w:position w:val="6"/>
          <w:sz w:val="13"/>
        </w:rPr>
        <w:t>69 </w:t>
      </w:r>
      <w:r>
        <w:rPr>
          <w:sz w:val="20"/>
        </w:rPr>
        <w:t>Fuente: </w:t>
      </w:r>
      <w:hyperlink r:id="rId66">
        <w:r>
          <w:rPr>
            <w:color w:val="0000FF"/>
            <w:sz w:val="20"/>
            <w:u w:val="single" w:color="0000FF"/>
          </w:rPr>
          <w:t>http://www.universia.es/ubr/pdfs/UBR0032005054.pdf</w:t>
        </w:r>
      </w:hyperlink>
    </w:p>
    <w:p>
      <w:pPr>
        <w:spacing w:after="0"/>
        <w:jc w:val="left"/>
        <w:rPr>
          <w:sz w:val="20"/>
        </w:rPr>
        <w:sectPr>
          <w:pgSz w:w="12240" w:h="15840"/>
          <w:pgMar w:header="731" w:footer="737" w:top="1180" w:bottom="920" w:left="1560" w:right="1560"/>
        </w:sectPr>
      </w:pPr>
    </w:p>
    <w:p>
      <w:pPr>
        <w:pStyle w:val="BodyText"/>
        <w:rPr>
          <w:sz w:val="20"/>
        </w:rPr>
      </w:pPr>
    </w:p>
    <w:p>
      <w:pPr>
        <w:pStyle w:val="BodyText"/>
        <w:spacing w:before="1"/>
        <w:rPr>
          <w:sz w:val="16"/>
        </w:rPr>
      </w:pPr>
    </w:p>
    <w:p>
      <w:pPr>
        <w:spacing w:before="65"/>
        <w:ind w:left="142" w:right="786" w:firstLine="0"/>
        <w:jc w:val="left"/>
        <w:rPr>
          <w:b/>
          <w:sz w:val="28"/>
        </w:rPr>
      </w:pPr>
      <w:bookmarkStart w:name="_bookmark47" w:id="77"/>
      <w:bookmarkEnd w:id="77"/>
      <w:r>
        <w:rPr/>
      </w:r>
      <w:r>
        <w:rPr>
          <w:b/>
          <w:sz w:val="28"/>
        </w:rPr>
        <w:t>A</w:t>
      </w:r>
      <w:r>
        <w:rPr>
          <w:b/>
          <w:sz w:val="22"/>
        </w:rPr>
        <w:t>PÉNDICE </w:t>
      </w:r>
      <w:r>
        <w:rPr>
          <w:b/>
          <w:sz w:val="28"/>
        </w:rPr>
        <w:t>3. R</w:t>
      </w:r>
      <w:r>
        <w:rPr>
          <w:b/>
          <w:sz w:val="22"/>
        </w:rPr>
        <w:t>ECOMENDACIONES DEL </w:t>
      </w:r>
      <w:r>
        <w:rPr>
          <w:b/>
          <w:sz w:val="28"/>
        </w:rPr>
        <w:t>G</w:t>
      </w:r>
      <w:r>
        <w:rPr>
          <w:b/>
          <w:sz w:val="22"/>
        </w:rPr>
        <w:t>RUPO </w:t>
      </w:r>
      <w:r>
        <w:rPr>
          <w:b/>
          <w:sz w:val="28"/>
        </w:rPr>
        <w:t>G-30</w:t>
      </w:r>
    </w:p>
    <w:p>
      <w:pPr>
        <w:pStyle w:val="BodyText"/>
        <w:spacing w:line="360" w:lineRule="auto" w:before="243"/>
        <w:ind w:left="142" w:right="141" w:firstLine="707"/>
        <w:jc w:val="both"/>
      </w:pPr>
      <w:r>
        <w:rPr/>
        <w:t>Estos desastres entre otros aspectos, llevaron a que en 1993 se creara una asociación internacional de carácter privado denominada el Grupo de los Treinta (G-30). Dicho grupo ha hecho algunas recomendaciones en relación con criterios prudenciales para instituciones que tienen productos derivados en posición de riesgo.</w:t>
      </w:r>
    </w:p>
    <w:p>
      <w:pPr>
        <w:pStyle w:val="ListParagraph"/>
        <w:numPr>
          <w:ilvl w:val="3"/>
          <w:numId w:val="17"/>
        </w:numPr>
        <w:tabs>
          <w:tab w:pos="1275" w:val="left" w:leader="none"/>
        </w:tabs>
        <w:spacing w:line="357" w:lineRule="auto" w:before="5" w:after="0"/>
        <w:ind w:left="1274" w:right="139" w:hanging="357"/>
        <w:jc w:val="both"/>
        <w:rPr>
          <w:sz w:val="24"/>
        </w:rPr>
      </w:pPr>
      <w:r>
        <w:rPr>
          <w:sz w:val="24"/>
        </w:rPr>
        <w:t>El papel de la alta dirección: Debe definir las políticas y controles asegurándose</w:t>
      </w:r>
      <w:r>
        <w:rPr>
          <w:spacing w:val="-5"/>
          <w:sz w:val="24"/>
        </w:rPr>
        <w:t> </w:t>
      </w:r>
      <w:r>
        <w:rPr>
          <w:sz w:val="24"/>
        </w:rPr>
        <w:t>que</w:t>
      </w:r>
      <w:r>
        <w:rPr>
          <w:spacing w:val="-5"/>
          <w:sz w:val="24"/>
        </w:rPr>
        <w:t> </w:t>
      </w:r>
      <w:r>
        <w:rPr>
          <w:sz w:val="24"/>
        </w:rPr>
        <w:t>se</w:t>
      </w:r>
      <w:r>
        <w:rPr>
          <w:spacing w:val="-7"/>
          <w:sz w:val="24"/>
        </w:rPr>
        <w:t> </w:t>
      </w:r>
      <w:r>
        <w:rPr>
          <w:sz w:val="24"/>
        </w:rPr>
        <w:t>encuentren</w:t>
      </w:r>
      <w:r>
        <w:rPr>
          <w:spacing w:val="-5"/>
          <w:sz w:val="24"/>
        </w:rPr>
        <w:t> </w:t>
      </w:r>
      <w:r>
        <w:rPr>
          <w:sz w:val="24"/>
        </w:rPr>
        <w:t>por</w:t>
      </w:r>
      <w:r>
        <w:rPr>
          <w:spacing w:val="-8"/>
          <w:sz w:val="24"/>
        </w:rPr>
        <w:t> </w:t>
      </w:r>
      <w:r>
        <w:rPr>
          <w:sz w:val="24"/>
        </w:rPr>
        <w:t>escrito</w:t>
      </w:r>
      <w:r>
        <w:rPr>
          <w:spacing w:val="-7"/>
          <w:sz w:val="24"/>
        </w:rPr>
        <w:t> </w:t>
      </w:r>
      <w:r>
        <w:rPr>
          <w:sz w:val="24"/>
        </w:rPr>
        <w:t>en</w:t>
      </w:r>
      <w:r>
        <w:rPr>
          <w:spacing w:val="-5"/>
          <w:sz w:val="24"/>
        </w:rPr>
        <w:t> </w:t>
      </w:r>
      <w:r>
        <w:rPr>
          <w:sz w:val="24"/>
        </w:rPr>
        <w:t>un</w:t>
      </w:r>
      <w:r>
        <w:rPr>
          <w:spacing w:val="-5"/>
          <w:sz w:val="24"/>
        </w:rPr>
        <w:t> </w:t>
      </w:r>
      <w:r>
        <w:rPr>
          <w:sz w:val="24"/>
        </w:rPr>
        <w:t>documento</w:t>
      </w:r>
      <w:r>
        <w:rPr>
          <w:spacing w:val="-4"/>
          <w:sz w:val="24"/>
        </w:rPr>
        <w:t> </w:t>
      </w:r>
      <w:r>
        <w:rPr>
          <w:sz w:val="24"/>
        </w:rPr>
        <w:t>que</w:t>
      </w:r>
      <w:r>
        <w:rPr>
          <w:spacing w:val="-7"/>
          <w:sz w:val="24"/>
        </w:rPr>
        <w:t> </w:t>
      </w:r>
      <w:r>
        <w:rPr>
          <w:sz w:val="24"/>
        </w:rPr>
        <w:t>sirva de base a clientes, reguladores y auditores. Las políticas deben incluir los límites que deben respetar las áreas de</w:t>
      </w:r>
      <w:r>
        <w:rPr>
          <w:spacing w:val="-19"/>
          <w:sz w:val="24"/>
        </w:rPr>
        <w:t> </w:t>
      </w:r>
      <w:r>
        <w:rPr>
          <w:sz w:val="24"/>
        </w:rPr>
        <w:t>negocios.</w:t>
      </w:r>
    </w:p>
    <w:p>
      <w:pPr>
        <w:pStyle w:val="ListParagraph"/>
        <w:numPr>
          <w:ilvl w:val="3"/>
          <w:numId w:val="17"/>
        </w:numPr>
        <w:tabs>
          <w:tab w:pos="1275" w:val="left" w:leader="none"/>
        </w:tabs>
        <w:spacing w:line="360" w:lineRule="auto" w:before="6" w:after="0"/>
        <w:ind w:left="1274" w:right="137" w:hanging="357"/>
        <w:jc w:val="both"/>
        <w:rPr>
          <w:sz w:val="24"/>
        </w:rPr>
      </w:pPr>
      <w:r>
        <w:rPr>
          <w:sz w:val="24"/>
        </w:rPr>
        <w:t>Valuación a mercado de las posiciones de riesgo (marcar a mercado): Este</w:t>
      </w:r>
      <w:r>
        <w:rPr>
          <w:spacing w:val="-19"/>
          <w:sz w:val="24"/>
        </w:rPr>
        <w:t> </w:t>
      </w:r>
      <w:r>
        <w:rPr>
          <w:sz w:val="24"/>
        </w:rPr>
        <w:t>término</w:t>
      </w:r>
      <w:r>
        <w:rPr>
          <w:spacing w:val="-19"/>
          <w:sz w:val="24"/>
        </w:rPr>
        <w:t> </w:t>
      </w:r>
      <w:r>
        <w:rPr>
          <w:sz w:val="24"/>
        </w:rPr>
        <w:t>se</w:t>
      </w:r>
      <w:r>
        <w:rPr>
          <w:spacing w:val="-19"/>
          <w:sz w:val="24"/>
        </w:rPr>
        <w:t> </w:t>
      </w:r>
      <w:r>
        <w:rPr>
          <w:sz w:val="24"/>
        </w:rPr>
        <w:t>conoce</w:t>
      </w:r>
      <w:r>
        <w:rPr>
          <w:spacing w:val="-19"/>
          <w:sz w:val="24"/>
        </w:rPr>
        <w:t> </w:t>
      </w:r>
      <w:r>
        <w:rPr>
          <w:sz w:val="24"/>
        </w:rPr>
        <w:t>como</w:t>
      </w:r>
      <w:r>
        <w:rPr>
          <w:spacing w:val="-19"/>
          <w:sz w:val="24"/>
        </w:rPr>
        <w:t> </w:t>
      </w:r>
      <w:r>
        <w:rPr>
          <w:sz w:val="24"/>
        </w:rPr>
        <w:t>“Mark-to-Market”,</w:t>
      </w:r>
      <w:r>
        <w:rPr>
          <w:spacing w:val="-20"/>
          <w:sz w:val="24"/>
        </w:rPr>
        <w:t> </w:t>
      </w:r>
      <w:r>
        <w:rPr>
          <w:sz w:val="24"/>
        </w:rPr>
        <w:t>consiste</w:t>
      </w:r>
      <w:r>
        <w:rPr>
          <w:spacing w:val="-19"/>
          <w:sz w:val="24"/>
        </w:rPr>
        <w:t> </w:t>
      </w:r>
      <w:r>
        <w:rPr>
          <w:sz w:val="24"/>
        </w:rPr>
        <w:t>en</w:t>
      </w:r>
      <w:r>
        <w:rPr>
          <w:spacing w:val="-19"/>
          <w:sz w:val="24"/>
        </w:rPr>
        <w:t> </w:t>
      </w:r>
      <w:r>
        <w:rPr>
          <w:sz w:val="24"/>
        </w:rPr>
        <w:t>medir</w:t>
      </w:r>
      <w:r>
        <w:rPr>
          <w:spacing w:val="-21"/>
          <w:sz w:val="24"/>
        </w:rPr>
        <w:t> </w:t>
      </w:r>
      <w:r>
        <w:rPr>
          <w:sz w:val="24"/>
        </w:rPr>
        <w:t>el</w:t>
      </w:r>
      <w:r>
        <w:rPr>
          <w:spacing w:val="-20"/>
          <w:sz w:val="24"/>
        </w:rPr>
        <w:t> </w:t>
      </w:r>
      <w:r>
        <w:rPr>
          <w:sz w:val="24"/>
        </w:rPr>
        <w:t>valor justo</w:t>
      </w:r>
      <w:r>
        <w:rPr>
          <w:spacing w:val="-6"/>
          <w:sz w:val="24"/>
        </w:rPr>
        <w:t> </w:t>
      </w:r>
      <w:r>
        <w:rPr>
          <w:sz w:val="24"/>
        </w:rPr>
        <w:t>o</w:t>
      </w:r>
      <w:r>
        <w:rPr>
          <w:spacing w:val="-8"/>
          <w:sz w:val="24"/>
        </w:rPr>
        <w:t> </w:t>
      </w:r>
      <w:r>
        <w:rPr>
          <w:sz w:val="24"/>
        </w:rPr>
        <w:t>de</w:t>
      </w:r>
      <w:r>
        <w:rPr>
          <w:spacing w:val="-8"/>
          <w:sz w:val="24"/>
        </w:rPr>
        <w:t> </w:t>
      </w:r>
      <w:r>
        <w:rPr>
          <w:sz w:val="24"/>
        </w:rPr>
        <w:t>mercado</w:t>
      </w:r>
      <w:r>
        <w:rPr>
          <w:spacing w:val="-8"/>
          <w:sz w:val="24"/>
        </w:rPr>
        <w:t> </w:t>
      </w:r>
      <w:r>
        <w:rPr>
          <w:sz w:val="24"/>
        </w:rPr>
        <w:t>de</w:t>
      </w:r>
      <w:r>
        <w:rPr>
          <w:spacing w:val="-8"/>
          <w:sz w:val="24"/>
        </w:rPr>
        <w:t> </w:t>
      </w:r>
      <w:r>
        <w:rPr>
          <w:sz w:val="24"/>
        </w:rPr>
        <w:t>un</w:t>
      </w:r>
      <w:r>
        <w:rPr>
          <w:spacing w:val="-6"/>
          <w:sz w:val="24"/>
        </w:rPr>
        <w:t> </w:t>
      </w:r>
      <w:r>
        <w:rPr>
          <w:sz w:val="24"/>
        </w:rPr>
        <w:t>portafolios.</w:t>
      </w:r>
      <w:r>
        <w:rPr>
          <w:spacing w:val="-9"/>
          <w:sz w:val="24"/>
        </w:rPr>
        <w:t> </w:t>
      </w:r>
      <w:r>
        <w:rPr>
          <w:sz w:val="24"/>
        </w:rPr>
        <w:t>La</w:t>
      </w:r>
      <w:r>
        <w:rPr>
          <w:spacing w:val="-8"/>
          <w:sz w:val="24"/>
        </w:rPr>
        <w:t> </w:t>
      </w:r>
      <w:r>
        <w:rPr>
          <w:sz w:val="24"/>
        </w:rPr>
        <w:t>pérdida</w:t>
      </w:r>
      <w:r>
        <w:rPr>
          <w:spacing w:val="-6"/>
          <w:sz w:val="24"/>
        </w:rPr>
        <w:t> </w:t>
      </w:r>
      <w:r>
        <w:rPr>
          <w:sz w:val="24"/>
        </w:rPr>
        <w:t>o</w:t>
      </w:r>
      <w:r>
        <w:rPr>
          <w:spacing w:val="-8"/>
          <w:sz w:val="24"/>
        </w:rPr>
        <w:t> </w:t>
      </w:r>
      <w:r>
        <w:rPr>
          <w:sz w:val="24"/>
        </w:rPr>
        <w:t>ganancia</w:t>
      </w:r>
      <w:r>
        <w:rPr>
          <w:spacing w:val="-9"/>
          <w:sz w:val="24"/>
        </w:rPr>
        <w:t> </w:t>
      </w:r>
      <w:r>
        <w:rPr>
          <w:sz w:val="24"/>
        </w:rPr>
        <w:t>no</w:t>
      </w:r>
      <w:r>
        <w:rPr>
          <w:spacing w:val="-6"/>
          <w:sz w:val="24"/>
        </w:rPr>
        <w:t> </w:t>
      </w:r>
      <w:r>
        <w:rPr>
          <w:sz w:val="24"/>
        </w:rPr>
        <w:t>realizada de la posición de riesgo, se calcula mediante la diferencia entre el valor de adquisición de la posición y el valor de dicha posición en el mercado. Esta valuación debe hacerse preferentemente de manera diaria para evitar</w:t>
      </w:r>
      <w:r>
        <w:rPr>
          <w:spacing w:val="-15"/>
          <w:sz w:val="24"/>
        </w:rPr>
        <w:t> </w:t>
      </w:r>
      <w:r>
        <w:rPr>
          <w:sz w:val="24"/>
        </w:rPr>
        <w:t>sorpresas</w:t>
      </w:r>
      <w:r>
        <w:rPr>
          <w:spacing w:val="-14"/>
          <w:sz w:val="24"/>
        </w:rPr>
        <w:t> </w:t>
      </w:r>
      <w:r>
        <w:rPr>
          <w:sz w:val="24"/>
        </w:rPr>
        <w:t>y</w:t>
      </w:r>
      <w:r>
        <w:rPr>
          <w:spacing w:val="-16"/>
          <w:sz w:val="24"/>
        </w:rPr>
        <w:t> </w:t>
      </w:r>
      <w:r>
        <w:rPr>
          <w:sz w:val="24"/>
        </w:rPr>
        <w:t>responder</w:t>
      </w:r>
      <w:r>
        <w:rPr>
          <w:spacing w:val="-15"/>
          <w:sz w:val="24"/>
        </w:rPr>
        <w:t> </w:t>
      </w:r>
      <w:r>
        <w:rPr>
          <w:sz w:val="24"/>
        </w:rPr>
        <w:t>a</w:t>
      </w:r>
      <w:r>
        <w:rPr>
          <w:spacing w:val="-13"/>
          <w:sz w:val="24"/>
        </w:rPr>
        <w:t> </w:t>
      </w:r>
      <w:r>
        <w:rPr>
          <w:sz w:val="24"/>
        </w:rPr>
        <w:t>la</w:t>
      </w:r>
      <w:r>
        <w:rPr>
          <w:spacing w:val="-13"/>
          <w:sz w:val="24"/>
        </w:rPr>
        <w:t> </w:t>
      </w:r>
      <w:r>
        <w:rPr>
          <w:sz w:val="24"/>
        </w:rPr>
        <w:t>siguiente</w:t>
      </w:r>
      <w:r>
        <w:rPr>
          <w:spacing w:val="-13"/>
          <w:sz w:val="24"/>
        </w:rPr>
        <w:t> </w:t>
      </w:r>
      <w:r>
        <w:rPr>
          <w:sz w:val="24"/>
        </w:rPr>
        <w:t>pregunta:</w:t>
      </w:r>
      <w:r>
        <w:rPr>
          <w:spacing w:val="-13"/>
          <w:sz w:val="24"/>
        </w:rPr>
        <w:t> </w:t>
      </w:r>
      <w:r>
        <w:rPr>
          <w:sz w:val="24"/>
        </w:rPr>
        <w:t>si</w:t>
      </w:r>
      <w:r>
        <w:rPr>
          <w:spacing w:val="-14"/>
          <w:sz w:val="24"/>
        </w:rPr>
        <w:t> </w:t>
      </w:r>
      <w:r>
        <w:rPr>
          <w:sz w:val="24"/>
        </w:rPr>
        <w:t>vendo</w:t>
      </w:r>
      <w:r>
        <w:rPr>
          <w:spacing w:val="-13"/>
          <w:sz w:val="24"/>
        </w:rPr>
        <w:t> </w:t>
      </w:r>
      <w:r>
        <w:rPr>
          <w:sz w:val="24"/>
        </w:rPr>
        <w:t>mi</w:t>
      </w:r>
      <w:r>
        <w:rPr>
          <w:spacing w:val="-17"/>
          <w:sz w:val="24"/>
        </w:rPr>
        <w:t> </w:t>
      </w:r>
      <w:r>
        <w:rPr>
          <w:sz w:val="24"/>
        </w:rPr>
        <w:t>posición hoy ¿a cuánto ascendería mi pérdida o mi ganancia? Marcar a mercado es independiente de la metodología contable que se utilice para cuantificar las pérdidas y</w:t>
      </w:r>
      <w:r>
        <w:rPr>
          <w:spacing w:val="-13"/>
          <w:sz w:val="24"/>
        </w:rPr>
        <w:t> </w:t>
      </w:r>
      <w:r>
        <w:rPr>
          <w:sz w:val="24"/>
        </w:rPr>
        <w:t>ganancias.</w:t>
      </w:r>
    </w:p>
    <w:p>
      <w:pPr>
        <w:pStyle w:val="ListParagraph"/>
        <w:numPr>
          <w:ilvl w:val="3"/>
          <w:numId w:val="17"/>
        </w:numPr>
        <w:tabs>
          <w:tab w:pos="1275" w:val="left" w:leader="none"/>
        </w:tabs>
        <w:spacing w:line="357" w:lineRule="auto" w:before="3" w:after="0"/>
        <w:ind w:left="1274" w:right="137" w:hanging="357"/>
        <w:jc w:val="both"/>
        <w:rPr>
          <w:sz w:val="24"/>
        </w:rPr>
      </w:pPr>
      <w:r>
        <w:rPr>
          <w:sz w:val="24"/>
        </w:rPr>
        <w:t>Medición cuantitativa de riesgos: La medición de riesgos de mercado se logra mediante el cálculo de lo que se conoce como “valor en riesgo” (VaR). Este concepto fue propuesto por JP Morgan en octubre de 1994 y hoy en día es un estándar internacional. El VaR resume en un solo número la pérdid potencial máxima que se puede sufrir en una posición de riesgo dado un nivel de confianza elevado (usualmente 95 o 99 por ciento) y en un período de tiempo</w:t>
      </w:r>
      <w:r>
        <w:rPr>
          <w:spacing w:val="-21"/>
          <w:sz w:val="24"/>
        </w:rPr>
        <w:t> </w:t>
      </w:r>
      <w:r>
        <w:rPr>
          <w:sz w:val="24"/>
        </w:rPr>
        <w:t>determinado.</w:t>
      </w:r>
    </w:p>
    <w:p>
      <w:pPr>
        <w:pStyle w:val="ListParagraph"/>
        <w:numPr>
          <w:ilvl w:val="3"/>
          <w:numId w:val="17"/>
        </w:numPr>
        <w:tabs>
          <w:tab w:pos="1275" w:val="left" w:leader="none"/>
        </w:tabs>
        <w:spacing w:line="355" w:lineRule="auto" w:before="6" w:after="0"/>
        <w:ind w:left="1274" w:right="137" w:hanging="357"/>
        <w:jc w:val="both"/>
        <w:rPr>
          <w:sz w:val="24"/>
        </w:rPr>
      </w:pPr>
      <w:r>
        <w:rPr>
          <w:sz w:val="24"/>
        </w:rPr>
        <w:t>Simulaciones extremas o de estrés: Se deben valuar las posiciones en condiciones extremas y adversas de mercado. El valor en riesgo solamente es útil en condiciones normales de mercado. Existen</w:t>
      </w:r>
      <w:r>
        <w:rPr>
          <w:spacing w:val="2"/>
          <w:sz w:val="24"/>
        </w:rPr>
        <w:t> </w:t>
      </w:r>
      <w:r>
        <w:rPr>
          <w:sz w:val="24"/>
        </w:rPr>
        <w:t>muchas</w:t>
      </w:r>
    </w:p>
    <w:p>
      <w:pPr>
        <w:spacing w:after="0" w:line="355" w:lineRule="auto"/>
        <w:jc w:val="both"/>
        <w:rPr>
          <w:sz w:val="24"/>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274" w:right="143"/>
        <w:jc w:val="both"/>
      </w:pPr>
      <w:r>
        <w:rPr/>
        <w:t>maneras de realizar estas pruebas. La más común es contestar a la pregunta ¿qué pasaría con mi posición si los factores de riesgo</w:t>
      </w:r>
      <w:r>
        <w:rPr>
          <w:spacing w:val="-30"/>
        </w:rPr>
        <w:t> </w:t>
      </w:r>
      <w:r>
        <w:rPr/>
        <w:t>cambian dramáticamente? ¿Cuál podría ser la máxima pérdida que puedo sufrir en un evento poco probable pero</w:t>
      </w:r>
      <w:r>
        <w:rPr>
          <w:spacing w:val="-13"/>
        </w:rPr>
        <w:t> </w:t>
      </w:r>
      <w:r>
        <w:rPr/>
        <w:t>posible?</w:t>
      </w:r>
    </w:p>
    <w:p>
      <w:pPr>
        <w:pStyle w:val="ListParagraph"/>
        <w:numPr>
          <w:ilvl w:val="3"/>
          <w:numId w:val="17"/>
        </w:numPr>
        <w:tabs>
          <w:tab w:pos="1275" w:val="left" w:leader="none"/>
        </w:tabs>
        <w:spacing w:line="355" w:lineRule="auto" w:before="3" w:after="0"/>
        <w:ind w:left="1274" w:right="142" w:hanging="357"/>
        <w:jc w:val="both"/>
        <w:rPr>
          <w:sz w:val="24"/>
        </w:rPr>
      </w:pPr>
      <w:r>
        <w:rPr>
          <w:sz w:val="24"/>
        </w:rPr>
        <w:t>Independencia en la medición de riesgos: El objetivo es evitar conflictos de interés que pueden surgir cuando las áreas de negocios emiten sus propios</w:t>
      </w:r>
      <w:r>
        <w:rPr>
          <w:spacing w:val="-14"/>
          <w:sz w:val="24"/>
        </w:rPr>
        <w:t> </w:t>
      </w:r>
      <w:r>
        <w:rPr>
          <w:sz w:val="24"/>
        </w:rPr>
        <w:t>reportes,</w:t>
      </w:r>
      <w:r>
        <w:rPr>
          <w:spacing w:val="-17"/>
          <w:sz w:val="24"/>
        </w:rPr>
        <w:t> </w:t>
      </w:r>
      <w:r>
        <w:rPr>
          <w:sz w:val="24"/>
        </w:rPr>
        <w:t>miden</w:t>
      </w:r>
      <w:r>
        <w:rPr>
          <w:spacing w:val="-14"/>
          <w:sz w:val="24"/>
        </w:rPr>
        <w:t> </w:t>
      </w:r>
      <w:r>
        <w:rPr>
          <w:sz w:val="24"/>
        </w:rPr>
        <w:t>sus</w:t>
      </w:r>
      <w:r>
        <w:rPr>
          <w:spacing w:val="-17"/>
          <w:sz w:val="24"/>
        </w:rPr>
        <w:t> </w:t>
      </w:r>
      <w:r>
        <w:rPr>
          <w:sz w:val="24"/>
        </w:rPr>
        <w:t>propios</w:t>
      </w:r>
      <w:r>
        <w:rPr>
          <w:spacing w:val="-14"/>
          <w:sz w:val="24"/>
        </w:rPr>
        <w:t> </w:t>
      </w:r>
      <w:r>
        <w:rPr>
          <w:sz w:val="24"/>
        </w:rPr>
        <w:t>riesgos</w:t>
      </w:r>
      <w:r>
        <w:rPr>
          <w:spacing w:val="-15"/>
          <w:sz w:val="24"/>
        </w:rPr>
        <w:t> </w:t>
      </w:r>
      <w:r>
        <w:rPr>
          <w:sz w:val="24"/>
        </w:rPr>
        <w:t>y</w:t>
      </w:r>
      <w:r>
        <w:rPr>
          <w:spacing w:val="-17"/>
          <w:sz w:val="24"/>
        </w:rPr>
        <w:t> </w:t>
      </w:r>
      <w:r>
        <w:rPr>
          <w:sz w:val="24"/>
        </w:rPr>
        <w:t>se</w:t>
      </w:r>
      <w:r>
        <w:rPr>
          <w:spacing w:val="-17"/>
          <w:sz w:val="24"/>
        </w:rPr>
        <w:t> </w:t>
      </w:r>
      <w:r>
        <w:rPr>
          <w:sz w:val="24"/>
        </w:rPr>
        <w:t>monitorean</w:t>
      </w:r>
      <w:r>
        <w:rPr>
          <w:spacing w:val="-16"/>
          <w:sz w:val="24"/>
        </w:rPr>
        <w:t> </w:t>
      </w:r>
      <w:r>
        <w:rPr>
          <w:sz w:val="24"/>
        </w:rPr>
        <w:t>a</w:t>
      </w:r>
      <w:r>
        <w:rPr>
          <w:spacing w:val="-14"/>
          <w:sz w:val="24"/>
        </w:rPr>
        <w:t> </w:t>
      </w:r>
      <w:r>
        <w:rPr>
          <w:sz w:val="24"/>
        </w:rPr>
        <w:t>sí</w:t>
      </w:r>
      <w:r>
        <w:rPr>
          <w:spacing w:val="-18"/>
          <w:sz w:val="24"/>
        </w:rPr>
        <w:t> </w:t>
      </w:r>
      <w:r>
        <w:rPr>
          <w:sz w:val="24"/>
        </w:rPr>
        <w:t>mismos.</w:t>
      </w:r>
    </w:p>
    <w:p>
      <w:pPr>
        <w:pStyle w:val="ListParagraph"/>
        <w:numPr>
          <w:ilvl w:val="3"/>
          <w:numId w:val="17"/>
        </w:numPr>
        <w:tabs>
          <w:tab w:pos="1275" w:val="left" w:leader="none"/>
        </w:tabs>
        <w:spacing w:line="357" w:lineRule="auto" w:before="8" w:after="0"/>
        <w:ind w:left="1274" w:right="141" w:hanging="357"/>
        <w:jc w:val="both"/>
        <w:rPr>
          <w:sz w:val="24"/>
        </w:rPr>
      </w:pPr>
      <w:r>
        <w:rPr>
          <w:sz w:val="24"/>
        </w:rPr>
        <w:t>Medición de riesgos de crédito: También debe medirse el riesgo de crédito, mediante el cálculo de probabilidades de incumplimiento de la contraparte. En instrumentos derivados debe medirse el riesgo actual y el riesgo potencial de crédito. El riesgo actual es el valor de mercado de las posiciones vigentes. El riesgo potencial mide la probable pérdida futura</w:t>
      </w:r>
      <w:r>
        <w:rPr>
          <w:spacing w:val="-4"/>
          <w:sz w:val="24"/>
        </w:rPr>
        <w:t> </w:t>
      </w:r>
      <w:r>
        <w:rPr>
          <w:sz w:val="24"/>
        </w:rPr>
        <w:t>que</w:t>
      </w:r>
      <w:r>
        <w:rPr>
          <w:spacing w:val="-6"/>
          <w:sz w:val="24"/>
        </w:rPr>
        <w:t> </w:t>
      </w:r>
      <w:r>
        <w:rPr>
          <w:sz w:val="24"/>
        </w:rPr>
        <w:t>pueda</w:t>
      </w:r>
      <w:r>
        <w:rPr>
          <w:spacing w:val="-4"/>
          <w:sz w:val="24"/>
        </w:rPr>
        <w:t> </w:t>
      </w:r>
      <w:r>
        <w:rPr>
          <w:sz w:val="24"/>
        </w:rPr>
        <w:t>registrar</w:t>
      </w:r>
      <w:r>
        <w:rPr>
          <w:spacing w:val="-5"/>
          <w:sz w:val="24"/>
        </w:rPr>
        <w:t> </w:t>
      </w:r>
      <w:r>
        <w:rPr>
          <w:sz w:val="24"/>
        </w:rPr>
        <w:t>un</w:t>
      </w:r>
      <w:r>
        <w:rPr>
          <w:spacing w:val="-4"/>
          <w:sz w:val="24"/>
        </w:rPr>
        <w:t> </w:t>
      </w:r>
      <w:r>
        <w:rPr>
          <w:sz w:val="24"/>
        </w:rPr>
        <w:t>portafolio</w:t>
      </w:r>
      <w:r>
        <w:rPr>
          <w:spacing w:val="-6"/>
          <w:sz w:val="24"/>
        </w:rPr>
        <w:t> </w:t>
      </w:r>
      <w:r>
        <w:rPr>
          <w:sz w:val="24"/>
        </w:rPr>
        <w:t>en</w:t>
      </w:r>
      <w:r>
        <w:rPr>
          <w:spacing w:val="-4"/>
          <w:sz w:val="24"/>
        </w:rPr>
        <w:t> </w:t>
      </w:r>
      <w:r>
        <w:rPr>
          <w:sz w:val="24"/>
        </w:rPr>
        <w:t>caso</w:t>
      </w:r>
      <w:r>
        <w:rPr>
          <w:spacing w:val="-4"/>
          <w:sz w:val="24"/>
        </w:rPr>
        <w:t> </w:t>
      </w:r>
      <w:r>
        <w:rPr>
          <w:sz w:val="24"/>
        </w:rPr>
        <w:t>de</w:t>
      </w:r>
      <w:r>
        <w:rPr>
          <w:spacing w:val="-4"/>
          <w:sz w:val="24"/>
        </w:rPr>
        <w:t> </w:t>
      </w:r>
      <w:r>
        <w:rPr>
          <w:sz w:val="24"/>
        </w:rPr>
        <w:t>que</w:t>
      </w:r>
      <w:r>
        <w:rPr>
          <w:spacing w:val="-4"/>
          <w:sz w:val="24"/>
        </w:rPr>
        <w:t> </w:t>
      </w:r>
      <w:r>
        <w:rPr>
          <w:sz w:val="24"/>
        </w:rPr>
        <w:t>la</w:t>
      </w:r>
      <w:r>
        <w:rPr>
          <w:spacing w:val="-4"/>
          <w:sz w:val="24"/>
        </w:rPr>
        <w:t> </w:t>
      </w:r>
      <w:r>
        <w:rPr>
          <w:sz w:val="24"/>
        </w:rPr>
        <w:t>contraparte</w:t>
      </w:r>
      <w:r>
        <w:rPr>
          <w:spacing w:val="-4"/>
          <w:sz w:val="24"/>
        </w:rPr>
        <w:t> </w:t>
      </w:r>
      <w:r>
        <w:rPr>
          <w:sz w:val="24"/>
        </w:rPr>
        <w:t>de la operación</w:t>
      </w:r>
      <w:r>
        <w:rPr>
          <w:spacing w:val="-7"/>
          <w:sz w:val="24"/>
        </w:rPr>
        <w:t> </w:t>
      </w:r>
      <w:r>
        <w:rPr>
          <w:sz w:val="24"/>
        </w:rPr>
        <w:t>incumpla.</w:t>
      </w:r>
    </w:p>
    <w:p>
      <w:pPr>
        <w:pStyle w:val="ListParagraph"/>
        <w:numPr>
          <w:ilvl w:val="3"/>
          <w:numId w:val="17"/>
        </w:numPr>
        <w:tabs>
          <w:tab w:pos="1275" w:val="left" w:leader="none"/>
        </w:tabs>
        <w:spacing w:line="357" w:lineRule="auto" w:before="6" w:after="0"/>
        <w:ind w:left="1274" w:right="141" w:hanging="357"/>
        <w:jc w:val="both"/>
        <w:rPr>
          <w:sz w:val="24"/>
        </w:rPr>
      </w:pPr>
      <w:r>
        <w:rPr>
          <w:sz w:val="24"/>
        </w:rPr>
        <w:t>Experiencia</w:t>
      </w:r>
      <w:r>
        <w:rPr>
          <w:spacing w:val="-6"/>
          <w:sz w:val="24"/>
        </w:rPr>
        <w:t> </w:t>
      </w:r>
      <w:r>
        <w:rPr>
          <w:sz w:val="24"/>
        </w:rPr>
        <w:t>y</w:t>
      </w:r>
      <w:r>
        <w:rPr>
          <w:spacing w:val="-9"/>
          <w:sz w:val="24"/>
        </w:rPr>
        <w:t> </w:t>
      </w:r>
      <w:r>
        <w:rPr>
          <w:sz w:val="24"/>
        </w:rPr>
        <w:t>conocimiento</w:t>
      </w:r>
      <w:r>
        <w:rPr>
          <w:spacing w:val="-8"/>
          <w:sz w:val="24"/>
        </w:rPr>
        <w:t> </w:t>
      </w:r>
      <w:r>
        <w:rPr>
          <w:sz w:val="24"/>
        </w:rPr>
        <w:t>de</w:t>
      </w:r>
      <w:r>
        <w:rPr>
          <w:spacing w:val="-8"/>
          <w:sz w:val="24"/>
        </w:rPr>
        <w:t> </w:t>
      </w:r>
      <w:r>
        <w:rPr>
          <w:sz w:val="24"/>
        </w:rPr>
        <w:t>estadística</w:t>
      </w:r>
      <w:r>
        <w:rPr>
          <w:spacing w:val="-6"/>
          <w:sz w:val="24"/>
        </w:rPr>
        <w:t> </w:t>
      </w:r>
      <w:r>
        <w:rPr>
          <w:sz w:val="24"/>
        </w:rPr>
        <w:t>y</w:t>
      </w:r>
      <w:r>
        <w:rPr>
          <w:spacing w:val="-9"/>
          <w:sz w:val="24"/>
        </w:rPr>
        <w:t> </w:t>
      </w:r>
      <w:r>
        <w:rPr>
          <w:sz w:val="24"/>
        </w:rPr>
        <w:t>sistemas:</w:t>
      </w:r>
      <w:r>
        <w:rPr>
          <w:spacing w:val="-6"/>
          <w:sz w:val="24"/>
        </w:rPr>
        <w:t> </w:t>
      </w:r>
      <w:r>
        <w:rPr>
          <w:sz w:val="24"/>
        </w:rPr>
        <w:t>La</w:t>
      </w:r>
      <w:r>
        <w:rPr>
          <w:spacing w:val="-8"/>
          <w:sz w:val="24"/>
        </w:rPr>
        <w:t> </w:t>
      </w:r>
      <w:r>
        <w:rPr>
          <w:sz w:val="24"/>
        </w:rPr>
        <w:t>mayor</w:t>
      </w:r>
      <w:r>
        <w:rPr>
          <w:spacing w:val="-7"/>
          <w:sz w:val="24"/>
        </w:rPr>
        <w:t> </w:t>
      </w:r>
      <w:r>
        <w:rPr>
          <w:sz w:val="24"/>
        </w:rPr>
        <w:t>parte</w:t>
      </w:r>
      <w:r>
        <w:rPr>
          <w:spacing w:val="-6"/>
          <w:sz w:val="24"/>
        </w:rPr>
        <w:t> </w:t>
      </w:r>
      <w:r>
        <w:rPr>
          <w:sz w:val="24"/>
        </w:rPr>
        <w:t>de las técnicas para calcular el valor en riesgo tienen un fuerte soporte estadístico</w:t>
      </w:r>
      <w:r>
        <w:rPr>
          <w:spacing w:val="-8"/>
          <w:sz w:val="24"/>
        </w:rPr>
        <w:t> </w:t>
      </w:r>
      <w:r>
        <w:rPr>
          <w:sz w:val="24"/>
        </w:rPr>
        <w:t>y</w:t>
      </w:r>
      <w:r>
        <w:rPr>
          <w:spacing w:val="-12"/>
          <w:sz w:val="24"/>
        </w:rPr>
        <w:t> </w:t>
      </w:r>
      <w:r>
        <w:rPr>
          <w:sz w:val="24"/>
        </w:rPr>
        <w:t>la</w:t>
      </w:r>
      <w:r>
        <w:rPr>
          <w:spacing w:val="-11"/>
          <w:sz w:val="24"/>
        </w:rPr>
        <w:t> </w:t>
      </w:r>
      <w:r>
        <w:rPr>
          <w:sz w:val="24"/>
        </w:rPr>
        <w:t>información</w:t>
      </w:r>
      <w:r>
        <w:rPr>
          <w:spacing w:val="-8"/>
          <w:sz w:val="24"/>
        </w:rPr>
        <w:t> </w:t>
      </w:r>
      <w:r>
        <w:rPr>
          <w:sz w:val="24"/>
        </w:rPr>
        <w:t>debe</w:t>
      </w:r>
      <w:r>
        <w:rPr>
          <w:spacing w:val="-8"/>
          <w:sz w:val="24"/>
        </w:rPr>
        <w:t> </w:t>
      </w:r>
      <w:r>
        <w:rPr>
          <w:sz w:val="24"/>
        </w:rPr>
        <w:t>ser</w:t>
      </w:r>
      <w:r>
        <w:rPr>
          <w:spacing w:val="-12"/>
          <w:sz w:val="24"/>
        </w:rPr>
        <w:t> </w:t>
      </w:r>
      <w:r>
        <w:rPr>
          <w:sz w:val="24"/>
        </w:rPr>
        <w:t>entendible</w:t>
      </w:r>
      <w:r>
        <w:rPr>
          <w:spacing w:val="-9"/>
          <w:sz w:val="24"/>
        </w:rPr>
        <w:t> </w:t>
      </w:r>
      <w:r>
        <w:rPr>
          <w:sz w:val="24"/>
        </w:rPr>
        <w:t>y</w:t>
      </w:r>
      <w:r>
        <w:rPr>
          <w:spacing w:val="-12"/>
          <w:sz w:val="24"/>
        </w:rPr>
        <w:t> </w:t>
      </w:r>
      <w:r>
        <w:rPr>
          <w:sz w:val="24"/>
        </w:rPr>
        <w:t>accesible</w:t>
      </w:r>
      <w:r>
        <w:rPr>
          <w:spacing w:val="-11"/>
          <w:sz w:val="24"/>
        </w:rPr>
        <w:t> </w:t>
      </w:r>
      <w:r>
        <w:rPr>
          <w:sz w:val="24"/>
        </w:rPr>
        <w:t>para</w:t>
      </w:r>
      <w:r>
        <w:rPr>
          <w:spacing w:val="-11"/>
          <w:sz w:val="24"/>
        </w:rPr>
        <w:t> </w:t>
      </w:r>
      <w:r>
        <w:rPr>
          <w:sz w:val="24"/>
        </w:rPr>
        <w:t>medir</w:t>
      </w:r>
      <w:r>
        <w:rPr>
          <w:spacing w:val="-10"/>
          <w:sz w:val="24"/>
        </w:rPr>
        <w:t> </w:t>
      </w:r>
      <w:r>
        <w:rPr>
          <w:sz w:val="24"/>
        </w:rPr>
        <w:t>el riesgo de manera oportuna. La pregunta que debe responderse es ¿las personas que evalúan los riesgos son las adecuadas? ¿tienen la preparación técnica para entender y calcular los</w:t>
      </w:r>
      <w:r>
        <w:rPr>
          <w:spacing w:val="-19"/>
          <w:sz w:val="24"/>
        </w:rPr>
        <w:t> </w:t>
      </w:r>
      <w:r>
        <w:rPr>
          <w:sz w:val="24"/>
        </w:rPr>
        <w:t>riesgos?</w:t>
      </w:r>
    </w:p>
    <w:p>
      <w:pPr>
        <w:spacing w:after="0" w:line="357" w:lineRule="auto"/>
        <w:jc w:val="both"/>
        <w:rPr>
          <w:sz w:val="24"/>
        </w:rPr>
        <w:sectPr>
          <w:pgSz w:w="12240" w:h="15840"/>
          <w:pgMar w:header="731" w:footer="737" w:top="1180" w:bottom="920" w:left="1560" w:right="1560"/>
        </w:sectPr>
      </w:pPr>
    </w:p>
    <w:p>
      <w:pPr>
        <w:pStyle w:val="BodyText"/>
        <w:rPr>
          <w:sz w:val="20"/>
        </w:rPr>
      </w:pPr>
    </w:p>
    <w:p>
      <w:pPr>
        <w:pStyle w:val="BodyText"/>
        <w:spacing w:before="1"/>
        <w:rPr>
          <w:sz w:val="16"/>
        </w:rPr>
      </w:pPr>
    </w:p>
    <w:p>
      <w:pPr>
        <w:spacing w:line="324" w:lineRule="exact" w:before="68"/>
        <w:ind w:left="142" w:right="157" w:firstLine="0"/>
        <w:jc w:val="left"/>
        <w:rPr>
          <w:b/>
          <w:sz w:val="18"/>
        </w:rPr>
      </w:pPr>
      <w:bookmarkStart w:name="_bookmark48" w:id="78"/>
      <w:bookmarkEnd w:id="78"/>
      <w:r>
        <w:rPr/>
      </w:r>
      <w:r>
        <w:rPr>
          <w:b/>
          <w:sz w:val="28"/>
        </w:rPr>
        <w:t>A</w:t>
      </w:r>
      <w:r>
        <w:rPr>
          <w:b/>
          <w:sz w:val="22"/>
        </w:rPr>
        <w:t>PÉNDICE </w:t>
      </w:r>
      <w:r>
        <w:rPr>
          <w:b/>
          <w:sz w:val="28"/>
        </w:rPr>
        <w:t>4. M</w:t>
      </w:r>
      <w:r>
        <w:rPr>
          <w:b/>
          <w:sz w:val="22"/>
        </w:rPr>
        <w:t>ÉTODOS DE EVALUACION DEL RIESGO PARA PORTAFOLIOS DE INVERSION</w:t>
      </w:r>
      <w:r>
        <w:rPr>
          <w:b/>
          <w:position w:val="10"/>
          <w:sz w:val="18"/>
        </w:rPr>
        <w:t>70</w:t>
      </w:r>
    </w:p>
    <w:p>
      <w:pPr>
        <w:pStyle w:val="Heading3"/>
        <w:spacing w:before="233"/>
      </w:pPr>
      <w:r>
        <w:rPr/>
        <w:t>Análisis de Retorno Total</w:t>
      </w:r>
    </w:p>
    <w:p>
      <w:pPr>
        <w:pStyle w:val="BodyText"/>
        <w:spacing w:line="360" w:lineRule="auto" w:before="62"/>
        <w:ind w:left="142" w:right="139" w:firstLine="707"/>
        <w:jc w:val="both"/>
      </w:pPr>
      <w:r>
        <w:rPr/>
        <w:t>Una de las herramientas más simples en el diseño de un portafolio de inversión es el análisis de retorno total el cual responde a la pregunta de cuál será este retorno esperado, sin considerar explícitamente la dimensión riesgo, para un horizonte de tiempo predefinido (de 1 día o 1 año por ejemplo).</w:t>
      </w:r>
    </w:p>
    <w:p>
      <w:pPr>
        <w:pStyle w:val="BodyText"/>
        <w:spacing w:before="2"/>
        <w:ind w:left="850" w:right="786"/>
      </w:pPr>
      <w:r>
        <w:rPr/>
        <w:t>Existen diversas alternativas para su cálculo:</w:t>
      </w:r>
    </w:p>
    <w:p>
      <w:pPr>
        <w:pStyle w:val="ListParagraph"/>
        <w:numPr>
          <w:ilvl w:val="3"/>
          <w:numId w:val="17"/>
        </w:numPr>
        <w:tabs>
          <w:tab w:pos="1274" w:val="left" w:leader="none"/>
          <w:tab w:pos="1275" w:val="left" w:leader="none"/>
        </w:tabs>
        <w:spacing w:line="240" w:lineRule="auto" w:before="140" w:after="0"/>
        <w:ind w:left="1274" w:right="0" w:hanging="357"/>
        <w:jc w:val="left"/>
        <w:rPr>
          <w:sz w:val="24"/>
        </w:rPr>
      </w:pPr>
      <w:r>
        <w:rPr>
          <w:sz w:val="24"/>
        </w:rPr>
        <w:t>El retorno promedio</w:t>
      </w:r>
      <w:r>
        <w:rPr>
          <w:spacing w:val="-7"/>
          <w:sz w:val="24"/>
        </w:rPr>
        <w:t> </w:t>
      </w:r>
      <w:r>
        <w:rPr>
          <w:sz w:val="24"/>
        </w:rPr>
        <w:t>histórico.</w:t>
      </w:r>
    </w:p>
    <w:p>
      <w:pPr>
        <w:pStyle w:val="ListParagraph"/>
        <w:numPr>
          <w:ilvl w:val="3"/>
          <w:numId w:val="17"/>
        </w:numPr>
        <w:tabs>
          <w:tab w:pos="1274" w:val="left" w:leader="none"/>
          <w:tab w:pos="1275" w:val="left" w:leader="none"/>
        </w:tabs>
        <w:spacing w:line="345" w:lineRule="auto" w:before="135" w:after="0"/>
        <w:ind w:left="1274" w:right="143" w:hanging="357"/>
        <w:jc w:val="left"/>
        <w:rPr>
          <w:sz w:val="16"/>
        </w:rPr>
      </w:pPr>
      <w:r>
        <w:rPr>
          <w:sz w:val="24"/>
        </w:rPr>
        <w:t>La</w:t>
      </w:r>
      <w:r>
        <w:rPr>
          <w:spacing w:val="-8"/>
          <w:sz w:val="24"/>
        </w:rPr>
        <w:t> </w:t>
      </w:r>
      <w:r>
        <w:rPr>
          <w:sz w:val="24"/>
        </w:rPr>
        <w:t>estimación</w:t>
      </w:r>
      <w:r>
        <w:rPr>
          <w:spacing w:val="-9"/>
          <w:sz w:val="24"/>
        </w:rPr>
        <w:t> </w:t>
      </w:r>
      <w:r>
        <w:rPr>
          <w:sz w:val="24"/>
        </w:rPr>
        <w:t>de</w:t>
      </w:r>
      <w:r>
        <w:rPr>
          <w:spacing w:val="-11"/>
          <w:sz w:val="24"/>
        </w:rPr>
        <w:t> </w:t>
      </w:r>
      <w:r>
        <w:rPr>
          <w:sz w:val="24"/>
        </w:rPr>
        <w:t>modelos</w:t>
      </w:r>
      <w:r>
        <w:rPr>
          <w:spacing w:val="-9"/>
          <w:sz w:val="24"/>
        </w:rPr>
        <w:t> </w:t>
      </w:r>
      <w:r>
        <w:rPr>
          <w:sz w:val="24"/>
        </w:rPr>
        <w:t>de</w:t>
      </w:r>
      <w:r>
        <w:rPr>
          <w:spacing w:val="-8"/>
          <w:sz w:val="24"/>
        </w:rPr>
        <w:t> </w:t>
      </w:r>
      <w:r>
        <w:rPr>
          <w:sz w:val="24"/>
        </w:rPr>
        <w:t>series</w:t>
      </w:r>
      <w:r>
        <w:rPr>
          <w:spacing w:val="-12"/>
          <w:sz w:val="24"/>
        </w:rPr>
        <w:t> </w:t>
      </w:r>
      <w:r>
        <w:rPr>
          <w:sz w:val="24"/>
        </w:rPr>
        <w:t>de</w:t>
      </w:r>
      <w:r>
        <w:rPr>
          <w:spacing w:val="-8"/>
          <w:sz w:val="24"/>
        </w:rPr>
        <w:t> </w:t>
      </w:r>
      <w:r>
        <w:rPr>
          <w:sz w:val="24"/>
        </w:rPr>
        <w:t>tiempo</w:t>
      </w:r>
      <w:r>
        <w:rPr>
          <w:spacing w:val="-8"/>
          <w:sz w:val="24"/>
        </w:rPr>
        <w:t> </w:t>
      </w:r>
      <w:r>
        <w:rPr>
          <w:sz w:val="24"/>
        </w:rPr>
        <w:t>del</w:t>
      </w:r>
      <w:r>
        <w:rPr>
          <w:spacing w:val="-12"/>
          <w:sz w:val="24"/>
        </w:rPr>
        <w:t> </w:t>
      </w:r>
      <w:r>
        <w:rPr>
          <w:sz w:val="24"/>
        </w:rPr>
        <w:t>tipo</w:t>
      </w:r>
      <w:r>
        <w:rPr>
          <w:spacing w:val="-11"/>
          <w:sz w:val="24"/>
        </w:rPr>
        <w:t> </w:t>
      </w:r>
      <w:r>
        <w:rPr>
          <w:sz w:val="24"/>
        </w:rPr>
        <w:t>ARIMA</w:t>
      </w:r>
      <w:r>
        <w:rPr>
          <w:spacing w:val="-9"/>
          <w:sz w:val="24"/>
        </w:rPr>
        <w:t> </w:t>
      </w:r>
      <w:r>
        <w:rPr>
          <w:sz w:val="24"/>
        </w:rPr>
        <w:t>o</w:t>
      </w:r>
      <w:r>
        <w:rPr>
          <w:spacing w:val="-11"/>
          <w:sz w:val="24"/>
        </w:rPr>
        <w:t> </w:t>
      </w:r>
      <w:r>
        <w:rPr>
          <w:sz w:val="24"/>
        </w:rPr>
        <w:t>modelos autorregresivos integrados de medias</w:t>
      </w:r>
      <w:r>
        <w:rPr>
          <w:spacing w:val="-15"/>
          <w:sz w:val="24"/>
        </w:rPr>
        <w:t> </w:t>
      </w:r>
      <w:r>
        <w:rPr>
          <w:sz w:val="24"/>
        </w:rPr>
        <w:t>móviles.</w:t>
      </w:r>
      <w:r>
        <w:rPr>
          <w:position w:val="8"/>
          <w:sz w:val="16"/>
        </w:rPr>
        <w:t>71</w:t>
      </w:r>
    </w:p>
    <w:p>
      <w:pPr>
        <w:pStyle w:val="BodyText"/>
        <w:spacing w:line="360" w:lineRule="auto" w:before="18"/>
        <w:ind w:left="142" w:right="138" w:firstLine="707"/>
        <w:jc w:val="both"/>
      </w:pPr>
      <w:r>
        <w:rPr/>
        <w:t>Una vez definido el vector de retornos esperados se debe especificar la estructura de riesgo del portafolio de manera de generar un espacio de</w:t>
      </w:r>
      <w:r>
        <w:rPr>
          <w:spacing w:val="-37"/>
        </w:rPr>
        <w:t> </w:t>
      </w:r>
      <w:r>
        <w:rPr/>
        <w:t>inversiones disponibles. Este concepto conocido como la frontera</w:t>
      </w:r>
      <w:r>
        <w:rPr>
          <w:spacing w:val="-15"/>
        </w:rPr>
        <w:t> </w:t>
      </w:r>
      <w:r>
        <w:rPr/>
        <w:t>eficiente.</w:t>
      </w:r>
    </w:p>
    <w:p>
      <w:pPr>
        <w:pStyle w:val="Heading3"/>
      </w:pPr>
      <w:r>
        <w:rPr/>
        <w:t>Determinación de una Frontera Eficiente</w:t>
      </w:r>
    </w:p>
    <w:p>
      <w:pPr>
        <w:pStyle w:val="BodyText"/>
        <w:spacing w:line="362" w:lineRule="auto" w:before="62"/>
        <w:ind w:left="142" w:right="145" w:firstLine="707"/>
        <w:jc w:val="both"/>
      </w:pPr>
      <w:r>
        <w:rPr/>
        <w:t>Una</w:t>
      </w:r>
      <w:r>
        <w:rPr>
          <w:spacing w:val="-6"/>
        </w:rPr>
        <w:t> </w:t>
      </w:r>
      <w:r>
        <w:rPr/>
        <w:t>Frontera</w:t>
      </w:r>
      <w:r>
        <w:rPr>
          <w:spacing w:val="-9"/>
        </w:rPr>
        <w:t> </w:t>
      </w:r>
      <w:r>
        <w:rPr/>
        <w:t>Eficiente</w:t>
      </w:r>
      <w:r>
        <w:rPr>
          <w:spacing w:val="-8"/>
        </w:rPr>
        <w:t> </w:t>
      </w:r>
      <w:r>
        <w:rPr/>
        <w:t>define</w:t>
      </w:r>
      <w:r>
        <w:rPr>
          <w:spacing w:val="-6"/>
        </w:rPr>
        <w:t> </w:t>
      </w:r>
      <w:r>
        <w:rPr/>
        <w:t>los</w:t>
      </w:r>
      <w:r>
        <w:rPr>
          <w:spacing w:val="-6"/>
        </w:rPr>
        <w:t> </w:t>
      </w:r>
      <w:r>
        <w:rPr/>
        <w:t>portafolios</w:t>
      </w:r>
      <w:r>
        <w:rPr>
          <w:spacing w:val="-9"/>
        </w:rPr>
        <w:t> </w:t>
      </w:r>
      <w:r>
        <w:rPr/>
        <w:t>factibles</w:t>
      </w:r>
      <w:r>
        <w:rPr>
          <w:spacing w:val="-6"/>
        </w:rPr>
        <w:t> </w:t>
      </w:r>
      <w:r>
        <w:rPr/>
        <w:t>(canastas</w:t>
      </w:r>
      <w:r>
        <w:rPr>
          <w:spacing w:val="-7"/>
        </w:rPr>
        <w:t> </w:t>
      </w:r>
      <w:r>
        <w:rPr/>
        <w:t>de</w:t>
      </w:r>
      <w:r>
        <w:rPr>
          <w:spacing w:val="-6"/>
        </w:rPr>
        <w:t> </w:t>
      </w:r>
      <w:r>
        <w:rPr/>
        <w:t>inversión) que cumplen con el requisito de maximizar retorno para todo nivel de</w:t>
      </w:r>
      <w:r>
        <w:rPr>
          <w:spacing w:val="-21"/>
        </w:rPr>
        <w:t> </w:t>
      </w:r>
      <w:r>
        <w:rPr/>
        <w:t>riesgo.</w:t>
      </w:r>
    </w:p>
    <w:p>
      <w:pPr>
        <w:pStyle w:val="BodyText"/>
        <w:spacing w:line="360" w:lineRule="auto"/>
        <w:ind w:left="142" w:right="140" w:firstLine="707"/>
        <w:jc w:val="both"/>
      </w:pPr>
      <w:r>
        <w:rPr/>
        <w:t>Esta especificación nos indica que la frontera eficiente incluye aquellas ponderaciones </w:t>
      </w:r>
      <w:r>
        <w:rPr>
          <w:i/>
        </w:rPr>
        <w:t>i w </w:t>
      </w:r>
      <w:r>
        <w:rPr/>
        <w:t>de los distintos activos </w:t>
      </w:r>
      <w:r>
        <w:rPr>
          <w:i/>
        </w:rPr>
        <w:t>i </w:t>
      </w:r>
      <w:r>
        <w:rPr/>
        <w:t>que cumplan con las condiciones de maximización de retornos para cada nivel de riesgo preestablecido, obedeciendo a</w:t>
      </w:r>
    </w:p>
    <w:p>
      <w:pPr>
        <w:pStyle w:val="BodyText"/>
        <w:rPr>
          <w:sz w:val="20"/>
        </w:rPr>
      </w:pPr>
    </w:p>
    <w:p>
      <w:pPr>
        <w:pStyle w:val="BodyText"/>
        <w:rPr>
          <w:sz w:val="20"/>
        </w:rPr>
      </w:pPr>
    </w:p>
    <w:p>
      <w:pPr>
        <w:pStyle w:val="BodyText"/>
        <w:spacing w:before="8"/>
        <w:rPr>
          <w:sz w:val="27"/>
        </w:rPr>
      </w:pPr>
      <w:r>
        <w:rPr/>
        <w:pict>
          <v:line style="position:absolute;mso-position-horizontal-relative:page;mso-position-vertical-relative:paragraph;z-index:4216;mso-wrap-distance-left:0;mso-wrap-distance-right:0" from="85.103996pt,18.215849pt" to="229.123996pt,18.215849pt" stroked="true" strokeweight=".60004pt" strokecolor="#000000">
            <w10:wrap type="topAndBottom"/>
          </v:line>
        </w:pict>
      </w:r>
    </w:p>
    <w:p>
      <w:pPr>
        <w:spacing w:line="229" w:lineRule="exact" w:before="78"/>
        <w:ind w:left="142" w:right="786" w:firstLine="0"/>
        <w:jc w:val="left"/>
        <w:rPr>
          <w:sz w:val="20"/>
        </w:rPr>
      </w:pPr>
      <w:r>
        <w:rPr>
          <w:position w:val="6"/>
          <w:sz w:val="13"/>
        </w:rPr>
        <w:t>70 </w:t>
      </w:r>
      <w:r>
        <w:rPr>
          <w:sz w:val="20"/>
        </w:rPr>
        <w:t>Fuente: </w:t>
      </w:r>
      <w:hyperlink r:id="rId18">
        <w:r>
          <w:rPr>
            <w:color w:val="0000FF"/>
            <w:sz w:val="20"/>
            <w:u w:val="single" w:color="0000FF"/>
          </w:rPr>
          <w:t>http://ideas.repec.org/p/chb/bcchwp/67.html</w:t>
        </w:r>
      </w:hyperlink>
    </w:p>
    <w:p>
      <w:pPr>
        <w:spacing w:before="0"/>
        <w:ind w:left="142" w:right="157" w:firstLine="0"/>
        <w:jc w:val="left"/>
        <w:rPr>
          <w:sz w:val="20"/>
        </w:rPr>
      </w:pPr>
      <w:r>
        <w:rPr>
          <w:position w:val="6"/>
          <w:sz w:val="13"/>
        </w:rPr>
        <w:t>71 </w:t>
      </w:r>
      <w:r>
        <w:rPr>
          <w:sz w:val="20"/>
        </w:rPr>
        <w:t>Existen formas a partir de modelos econométricos para proyectar las volatilidades de un activo. Los modelos ampliamente difundidos corresponden a denominados modelos Generalizados Autoregresivos de Heteroscedasticidad Condicionada (GARCH), que fueron la generalización a los modelos Autoregresivos de Heteroscedasticidad Condicionada (ARCH).</w:t>
      </w:r>
    </w:p>
    <w:p>
      <w:pPr>
        <w:spacing w:before="0"/>
        <w:ind w:left="142" w:right="137" w:firstLine="0"/>
        <w:jc w:val="left"/>
        <w:rPr>
          <w:sz w:val="20"/>
        </w:rPr>
      </w:pPr>
      <w:r>
        <w:rPr>
          <w:sz w:val="20"/>
        </w:rPr>
        <w:t>El método de estimación utilizado para este tipo de modelos es el método de máxima verosimilitud, el cual consiste en encontrar los parámetros que permitan maximizar la función de densidad conjunta de los datos, de manera de maximizar la probabilidad de que la función de densidad considerada replique las observaciones. Diversos son los paquetes econométricos que hoy en día permiten efectuar esta estimación.</w:t>
      </w:r>
    </w:p>
    <w:p>
      <w:pPr>
        <w:spacing w:before="0"/>
        <w:ind w:left="142" w:right="227" w:firstLine="0"/>
        <w:jc w:val="left"/>
        <w:rPr>
          <w:sz w:val="20"/>
        </w:rPr>
      </w:pPr>
      <w:r>
        <w:rPr>
          <w:sz w:val="20"/>
        </w:rPr>
        <w:t>En la práctica, la exigencia de requerir de la estimación de los coeficientes del modelo GARCH se ve resuelto por la aproximación implementada y popularizada por el RiskMetrics-JPMorgan. Esta institución, después de experimentar con diversos modelos consideró que minimizaría la pérdida de realidad en la estimación del riesgo de un activo si ponderaba por </w:t>
      </w:r>
      <w:r>
        <w:rPr>
          <w:rFonts w:ascii="Symbol" w:hAnsi="Symbol"/>
          <w:sz w:val="20"/>
        </w:rPr>
        <w:t></w:t>
      </w:r>
      <w:r>
        <w:rPr>
          <w:rFonts w:ascii="Times New Roman" w:hAnsi="Times New Roman"/>
          <w:sz w:val="20"/>
        </w:rPr>
        <w:t> </w:t>
      </w:r>
      <w:r>
        <w:rPr>
          <w:sz w:val="20"/>
        </w:rPr>
        <w:t>al rezago de la desviación estándar y (</w:t>
      </w:r>
      <w:r>
        <w:rPr>
          <w:rFonts w:ascii="Symbol" w:hAnsi="Symbol"/>
          <w:sz w:val="20"/>
        </w:rPr>
        <w:t></w:t>
      </w:r>
      <w:r>
        <w:rPr>
          <w:sz w:val="20"/>
        </w:rPr>
        <w:t>1) al rezago del cuadrado de los retornos del activo.</w:t>
      </w:r>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BodyText"/>
        <w:spacing w:line="360" w:lineRule="auto" w:before="70"/>
        <w:ind w:left="142" w:right="157"/>
      </w:pPr>
      <w:r>
        <w:rPr/>
        <w:t>que los ponderadores deben sumar 100% y no pueden en forma individual estar fuera del rango del 0% al 100% como porcentaje de inversión.</w:t>
      </w:r>
    </w:p>
    <w:p>
      <w:pPr>
        <w:pStyle w:val="BodyText"/>
        <w:spacing w:line="360" w:lineRule="auto" w:before="2"/>
        <w:ind w:left="142" w:right="142" w:firstLine="707"/>
        <w:jc w:val="both"/>
      </w:pPr>
      <w:r>
        <w:rPr/>
        <w:t>Esta</w:t>
      </w:r>
      <w:r>
        <w:rPr>
          <w:spacing w:val="-11"/>
        </w:rPr>
        <w:t> </w:t>
      </w:r>
      <w:r>
        <w:rPr/>
        <w:t>metodología</w:t>
      </w:r>
      <w:r>
        <w:rPr>
          <w:spacing w:val="-9"/>
        </w:rPr>
        <w:t> </w:t>
      </w:r>
      <w:r>
        <w:rPr/>
        <w:t>depurada</w:t>
      </w:r>
      <w:r>
        <w:rPr>
          <w:spacing w:val="-12"/>
        </w:rPr>
        <w:t> </w:t>
      </w:r>
      <w:r>
        <w:rPr/>
        <w:t>del</w:t>
      </w:r>
      <w:r>
        <w:rPr>
          <w:spacing w:val="-13"/>
        </w:rPr>
        <w:t> </w:t>
      </w:r>
      <w:r>
        <w:rPr/>
        <w:t>modelo</w:t>
      </w:r>
      <w:r>
        <w:rPr>
          <w:spacing w:val="-12"/>
        </w:rPr>
        <w:t> </w:t>
      </w:r>
      <w:r>
        <w:rPr/>
        <w:t>de</w:t>
      </w:r>
      <w:r>
        <w:rPr>
          <w:spacing w:val="-9"/>
        </w:rPr>
        <w:t> </w:t>
      </w:r>
      <w:r>
        <w:rPr/>
        <w:t>optimización,</w:t>
      </w:r>
      <w:r>
        <w:rPr>
          <w:spacing w:val="-10"/>
        </w:rPr>
        <w:t> </w:t>
      </w:r>
      <w:r>
        <w:rPr/>
        <w:t>permite</w:t>
      </w:r>
      <w:r>
        <w:rPr>
          <w:spacing w:val="-12"/>
        </w:rPr>
        <w:t> </w:t>
      </w:r>
      <w:r>
        <w:rPr/>
        <w:t>incrementar la</w:t>
      </w:r>
      <w:r>
        <w:rPr>
          <w:spacing w:val="-17"/>
        </w:rPr>
        <w:t> </w:t>
      </w:r>
      <w:r>
        <w:rPr/>
        <w:t>confianza</w:t>
      </w:r>
      <w:r>
        <w:rPr>
          <w:spacing w:val="-17"/>
        </w:rPr>
        <w:t> </w:t>
      </w:r>
      <w:r>
        <w:rPr/>
        <w:t>en</w:t>
      </w:r>
      <w:r>
        <w:rPr>
          <w:spacing w:val="-15"/>
        </w:rPr>
        <w:t> </w:t>
      </w:r>
      <w:r>
        <w:rPr/>
        <w:t>los</w:t>
      </w:r>
      <w:r>
        <w:rPr>
          <w:spacing w:val="-17"/>
        </w:rPr>
        <w:t> </w:t>
      </w:r>
      <w:r>
        <w:rPr/>
        <w:t>resultados</w:t>
      </w:r>
      <w:r>
        <w:rPr>
          <w:spacing w:val="-20"/>
        </w:rPr>
        <w:t> </w:t>
      </w:r>
      <w:r>
        <w:rPr/>
        <w:t>finalmente</w:t>
      </w:r>
      <w:r>
        <w:rPr>
          <w:spacing w:val="-19"/>
        </w:rPr>
        <w:t> </w:t>
      </w:r>
      <w:r>
        <w:rPr/>
        <w:t>propuestos</w:t>
      </w:r>
      <w:r>
        <w:rPr>
          <w:spacing w:val="-17"/>
        </w:rPr>
        <w:t> </w:t>
      </w:r>
      <w:r>
        <w:rPr/>
        <w:t>por</w:t>
      </w:r>
      <w:r>
        <w:rPr>
          <w:spacing w:val="-18"/>
        </w:rPr>
        <w:t> </w:t>
      </w:r>
      <w:r>
        <w:rPr/>
        <w:t>un</w:t>
      </w:r>
      <w:r>
        <w:rPr>
          <w:spacing w:val="-19"/>
        </w:rPr>
        <w:t> </w:t>
      </w:r>
      <w:r>
        <w:rPr/>
        <w:t>mecanismo</w:t>
      </w:r>
      <w:r>
        <w:rPr>
          <w:spacing w:val="-17"/>
        </w:rPr>
        <w:t> </w:t>
      </w:r>
      <w:r>
        <w:rPr/>
        <w:t>de</w:t>
      </w:r>
      <w:r>
        <w:rPr>
          <w:spacing w:val="-17"/>
        </w:rPr>
        <w:t> </w:t>
      </w:r>
      <w:r>
        <w:rPr/>
        <w:t>este</w:t>
      </w:r>
      <w:r>
        <w:rPr>
          <w:spacing w:val="-17"/>
        </w:rPr>
        <w:t> </w:t>
      </w:r>
      <w:r>
        <w:rPr/>
        <w:t>tipo.</w:t>
      </w:r>
    </w:p>
    <w:p>
      <w:pPr>
        <w:pStyle w:val="Heading3"/>
        <w:spacing w:before="115"/>
        <w:ind w:left="479" w:right="5915"/>
        <w:jc w:val="center"/>
        <w:rPr>
          <w:sz w:val="16"/>
        </w:rPr>
      </w:pPr>
      <w:r>
        <w:rPr/>
        <w:t>Valor en Riesgo (VaR)</w:t>
      </w:r>
      <w:r>
        <w:rPr>
          <w:position w:val="8"/>
          <w:sz w:val="16"/>
        </w:rPr>
        <w:t>72</w:t>
      </w:r>
    </w:p>
    <w:p>
      <w:pPr>
        <w:pStyle w:val="BodyText"/>
        <w:spacing w:line="360" w:lineRule="auto" w:before="62"/>
        <w:ind w:left="142" w:right="139" w:firstLine="707"/>
        <w:jc w:val="both"/>
      </w:pPr>
      <w:r>
        <w:rPr/>
        <w:t>Existen diversas alternativas para generar la matriz de varianzas y covarianzas con la cual se cuantifica el VaR. Más allá de los procesos GARCHs, existen metodologías de simulación de retornos que permiten hacer un cálculo estimativo del VaR.</w:t>
      </w:r>
    </w:p>
    <w:p>
      <w:pPr>
        <w:pStyle w:val="ListParagraph"/>
        <w:numPr>
          <w:ilvl w:val="0"/>
          <w:numId w:val="19"/>
        </w:numPr>
        <w:tabs>
          <w:tab w:pos="438" w:val="left" w:leader="none"/>
        </w:tabs>
        <w:spacing w:line="240" w:lineRule="auto" w:before="122" w:after="0"/>
        <w:ind w:left="437" w:right="0" w:hanging="295"/>
        <w:jc w:val="left"/>
        <w:rPr>
          <w:sz w:val="24"/>
        </w:rPr>
      </w:pPr>
      <w:r>
        <w:rPr>
          <w:sz w:val="24"/>
        </w:rPr>
        <w:t>Método</w:t>
      </w:r>
      <w:r>
        <w:rPr>
          <w:spacing w:val="-7"/>
          <w:sz w:val="24"/>
        </w:rPr>
        <w:t> </w:t>
      </w:r>
      <w:r>
        <w:rPr>
          <w:sz w:val="24"/>
        </w:rPr>
        <w:t>Delta-Normal.</w:t>
      </w:r>
    </w:p>
    <w:p>
      <w:pPr>
        <w:pStyle w:val="BodyText"/>
        <w:spacing w:line="360" w:lineRule="auto" w:before="199"/>
        <w:ind w:left="142" w:right="136" w:firstLine="707"/>
        <w:jc w:val="both"/>
      </w:pPr>
      <w:r>
        <w:rPr/>
        <w:t>El método más simple de cálculo del VaR es el método delta-normal. Este consiste en asumir que los retornos tienen una distribución normal e idénticamente distribuida.</w:t>
      </w:r>
    </w:p>
    <w:p>
      <w:pPr>
        <w:pStyle w:val="BodyText"/>
        <w:spacing w:line="360" w:lineRule="auto" w:before="5"/>
        <w:ind w:left="142" w:right="148" w:firstLine="707"/>
        <w:jc w:val="both"/>
      </w:pPr>
      <w:r>
        <w:rPr/>
        <w:t>El algoritmo para calcular el VaR partiría definiendo la matriz de varianzas y covarianzas con la base histórica de retornos.</w:t>
      </w:r>
    </w:p>
    <w:p>
      <w:pPr>
        <w:pStyle w:val="BodyText"/>
        <w:spacing w:before="125"/>
        <w:ind w:left="142" w:right="786"/>
      </w:pPr>
      <w:r>
        <w:rPr/>
        <w:t>Método de Simulación Histórica.</w:t>
      </w:r>
    </w:p>
    <w:p>
      <w:pPr>
        <w:pStyle w:val="BodyText"/>
        <w:spacing w:line="360" w:lineRule="auto" w:before="197"/>
        <w:ind w:left="142" w:right="138" w:firstLine="707"/>
        <w:jc w:val="both"/>
      </w:pPr>
      <w:r>
        <w:rPr/>
        <w:t>Una segunda alternativa consiste en aplicar el vector de ponderadores de inversión vigentes a una serie representativa de retornos históricos, de manera de generar una secuencia de valores de portafolio que pueden ser representados estadísticamente por un histograma. A partir de esta secuencia de valoración histórica</w:t>
      </w:r>
      <w:r>
        <w:rPr>
          <w:spacing w:val="-5"/>
        </w:rPr>
        <w:t> </w:t>
      </w:r>
      <w:r>
        <w:rPr/>
        <w:t>que</w:t>
      </w:r>
      <w:r>
        <w:rPr>
          <w:spacing w:val="-5"/>
        </w:rPr>
        <w:t> </w:t>
      </w:r>
      <w:r>
        <w:rPr/>
        <w:t>define</w:t>
      </w:r>
      <w:r>
        <w:rPr>
          <w:spacing w:val="-7"/>
        </w:rPr>
        <w:t> </w:t>
      </w:r>
      <w:r>
        <w:rPr/>
        <w:t>una</w:t>
      </w:r>
      <w:r>
        <w:rPr>
          <w:spacing w:val="-5"/>
        </w:rPr>
        <w:t> </w:t>
      </w:r>
      <w:r>
        <w:rPr/>
        <w:t>cierta</w:t>
      </w:r>
      <w:r>
        <w:rPr>
          <w:spacing w:val="-4"/>
        </w:rPr>
        <w:t> </w:t>
      </w:r>
      <w:r>
        <w:rPr/>
        <w:t>distribución</w:t>
      </w:r>
      <w:r>
        <w:rPr>
          <w:spacing w:val="-5"/>
        </w:rPr>
        <w:t> </w:t>
      </w:r>
      <w:r>
        <w:rPr/>
        <w:t>de</w:t>
      </w:r>
      <w:r>
        <w:rPr>
          <w:spacing w:val="-7"/>
        </w:rPr>
        <w:t> </w:t>
      </w:r>
      <w:r>
        <w:rPr/>
        <w:t>probabilidades,</w:t>
      </w:r>
      <w:r>
        <w:rPr>
          <w:spacing w:val="-5"/>
        </w:rPr>
        <w:t> </w:t>
      </w:r>
      <w:r>
        <w:rPr/>
        <w:t>se</w:t>
      </w:r>
      <w:r>
        <w:rPr>
          <w:spacing w:val="-5"/>
        </w:rPr>
        <w:t> </w:t>
      </w:r>
      <w:r>
        <w:rPr/>
        <w:t>procede</w:t>
      </w:r>
      <w:r>
        <w:rPr>
          <w:spacing w:val="-7"/>
        </w:rPr>
        <w:t> </w:t>
      </w:r>
      <w:r>
        <w:rPr/>
        <w:t>a</w:t>
      </w:r>
      <w:r>
        <w:rPr>
          <w:spacing w:val="-5"/>
        </w:rPr>
        <w:t> </w:t>
      </w:r>
      <w:r>
        <w:rPr/>
        <w:t>calcular el</w:t>
      </w:r>
      <w:r>
        <w:rPr>
          <w:spacing w:val="-1"/>
        </w:rPr>
        <w:t> </w:t>
      </w:r>
      <w:r>
        <w:rPr/>
        <w:t>VaR.</w:t>
      </w:r>
    </w:p>
    <w:p>
      <w:pPr>
        <w:pStyle w:val="BodyText"/>
        <w:spacing w:line="360" w:lineRule="auto" w:before="2"/>
        <w:ind w:left="142" w:right="136" w:firstLine="707"/>
        <w:jc w:val="both"/>
      </w:pPr>
      <w:r>
        <w:rPr/>
        <w:t>La metodología de simulación histórica es equivalente analíticamente al método delta-normal revisado en la sección anterior, a menos que la matriz de varianzas y covarianzas sea alimentada de información proveniente de opciones, donde</w:t>
      </w:r>
      <w:r>
        <w:rPr>
          <w:spacing w:val="-19"/>
        </w:rPr>
        <w:t> </w:t>
      </w:r>
      <w:r>
        <w:rPr/>
        <w:t>en</w:t>
      </w:r>
      <w:r>
        <w:rPr>
          <w:spacing w:val="-19"/>
        </w:rPr>
        <w:t> </w:t>
      </w:r>
      <w:r>
        <w:rPr/>
        <w:t>cuyo</w:t>
      </w:r>
      <w:r>
        <w:rPr>
          <w:spacing w:val="-19"/>
        </w:rPr>
        <w:t> </w:t>
      </w:r>
      <w:r>
        <w:rPr/>
        <w:t>caso</w:t>
      </w:r>
      <w:r>
        <w:rPr>
          <w:spacing w:val="-19"/>
        </w:rPr>
        <w:t> </w:t>
      </w:r>
      <w:r>
        <w:rPr/>
        <w:t>se</w:t>
      </w:r>
      <w:r>
        <w:rPr>
          <w:spacing w:val="-21"/>
        </w:rPr>
        <w:t> </w:t>
      </w:r>
      <w:r>
        <w:rPr/>
        <w:t>reemplazaría</w:t>
      </w:r>
      <w:r>
        <w:rPr>
          <w:spacing w:val="-19"/>
        </w:rPr>
        <w:t> </w:t>
      </w:r>
      <w:r>
        <w:rPr/>
        <w:t>la</w:t>
      </w:r>
      <w:r>
        <w:rPr>
          <w:spacing w:val="-17"/>
        </w:rPr>
        <w:t> </w:t>
      </w:r>
      <w:r>
        <w:rPr/>
        <w:t>volatilidad</w:t>
      </w:r>
      <w:r>
        <w:rPr>
          <w:spacing w:val="-19"/>
        </w:rPr>
        <w:t> </w:t>
      </w:r>
      <w:r>
        <w:rPr/>
        <w:t>histórica</w:t>
      </w:r>
      <w:r>
        <w:rPr>
          <w:spacing w:val="-19"/>
        </w:rPr>
        <w:t> </w:t>
      </w:r>
      <w:r>
        <w:rPr/>
        <w:t>por</w:t>
      </w:r>
      <w:r>
        <w:rPr>
          <w:spacing w:val="-20"/>
        </w:rPr>
        <w:t> </w:t>
      </w:r>
      <w:r>
        <w:rPr/>
        <w:t>la</w:t>
      </w:r>
      <w:r>
        <w:rPr>
          <w:spacing w:val="-19"/>
        </w:rPr>
        <w:t> </w:t>
      </w:r>
      <w:r>
        <w:rPr/>
        <w:t>volatilidad</w:t>
      </w:r>
      <w:r>
        <w:rPr>
          <w:spacing w:val="-12"/>
        </w:rPr>
        <w:t> </w:t>
      </w:r>
      <w:r>
        <w:rPr/>
        <w:t>implícita en las</w:t>
      </w:r>
      <w:r>
        <w:rPr>
          <w:spacing w:val="-4"/>
        </w:rPr>
        <w:t> </w:t>
      </w:r>
      <w:r>
        <w:rPr/>
        <w:t>opciones.</w:t>
      </w:r>
    </w:p>
    <w:p>
      <w:pPr>
        <w:pStyle w:val="BodyText"/>
        <w:rPr>
          <w:sz w:val="20"/>
        </w:rPr>
      </w:pPr>
    </w:p>
    <w:p>
      <w:pPr>
        <w:pStyle w:val="BodyText"/>
        <w:rPr>
          <w:sz w:val="20"/>
        </w:rPr>
      </w:pPr>
    </w:p>
    <w:p>
      <w:pPr>
        <w:pStyle w:val="BodyText"/>
        <w:spacing w:before="11"/>
        <w:rPr>
          <w:sz w:val="27"/>
        </w:rPr>
      </w:pPr>
      <w:r>
        <w:rPr/>
        <w:pict>
          <v:line style="position:absolute;mso-position-horizontal-relative:page;mso-position-vertical-relative:paragraph;z-index:4240;mso-wrap-distance-left:0;mso-wrap-distance-right:0" from="85.103996pt,18.331865pt" to="229.123996pt,18.331865pt" stroked="true" strokeweight=".599980pt" strokecolor="#000000">
            <w10:wrap type="topAndBottom"/>
          </v:line>
        </w:pict>
      </w:r>
    </w:p>
    <w:p>
      <w:pPr>
        <w:spacing w:before="78"/>
        <w:ind w:left="142" w:right="786" w:firstLine="0"/>
        <w:jc w:val="left"/>
        <w:rPr>
          <w:sz w:val="20"/>
        </w:rPr>
      </w:pPr>
      <w:r>
        <w:rPr>
          <w:position w:val="6"/>
          <w:sz w:val="13"/>
        </w:rPr>
        <w:t>72 </w:t>
      </w:r>
      <w:r>
        <w:rPr>
          <w:sz w:val="20"/>
        </w:rPr>
        <w:t>Fuente: Administración de riesgos, BMV-Educación, 2003.</w:t>
      </w:r>
    </w:p>
    <w:p>
      <w:pPr>
        <w:spacing w:after="0"/>
        <w:jc w:val="left"/>
        <w:rPr>
          <w:sz w:val="20"/>
        </w:rPr>
        <w:sectPr>
          <w:pgSz w:w="12240" w:h="15840"/>
          <w:pgMar w:header="731" w:footer="737" w:top="1180" w:bottom="920" w:left="1560" w:right="1560"/>
        </w:sectPr>
      </w:pPr>
    </w:p>
    <w:p>
      <w:pPr>
        <w:pStyle w:val="BodyText"/>
        <w:rPr>
          <w:sz w:val="20"/>
        </w:rPr>
      </w:pPr>
    </w:p>
    <w:p>
      <w:pPr>
        <w:pStyle w:val="BodyText"/>
        <w:rPr>
          <w:sz w:val="16"/>
        </w:rPr>
      </w:pPr>
    </w:p>
    <w:p>
      <w:pPr>
        <w:pStyle w:val="ListParagraph"/>
        <w:numPr>
          <w:ilvl w:val="0"/>
          <w:numId w:val="19"/>
        </w:numPr>
        <w:tabs>
          <w:tab w:pos="438" w:val="left" w:leader="none"/>
        </w:tabs>
        <w:spacing w:line="240" w:lineRule="auto" w:before="70" w:after="0"/>
        <w:ind w:left="437" w:right="0" w:hanging="295"/>
        <w:jc w:val="left"/>
        <w:rPr>
          <w:sz w:val="24"/>
        </w:rPr>
      </w:pPr>
      <w:r>
        <w:rPr>
          <w:sz w:val="24"/>
        </w:rPr>
        <w:t>Método de Stress-Testing o Método de Situaciones</w:t>
      </w:r>
      <w:r>
        <w:rPr>
          <w:spacing w:val="-23"/>
          <w:sz w:val="24"/>
        </w:rPr>
        <w:t> </w:t>
      </w:r>
      <w:r>
        <w:rPr>
          <w:sz w:val="24"/>
        </w:rPr>
        <w:t>Extremas</w:t>
      </w:r>
    </w:p>
    <w:p>
      <w:pPr>
        <w:pStyle w:val="BodyText"/>
        <w:spacing w:line="360" w:lineRule="auto" w:before="199"/>
        <w:ind w:left="142" w:right="134" w:firstLine="707"/>
        <w:jc w:val="both"/>
      </w:pPr>
      <w:r>
        <w:rPr/>
        <w:t>Es común asumir que los retornos son procesos estocásticos estacionarios que</w:t>
      </w:r>
      <w:r>
        <w:rPr>
          <w:spacing w:val="-5"/>
        </w:rPr>
        <w:t> </w:t>
      </w:r>
      <w:r>
        <w:rPr/>
        <w:t>obedecen</w:t>
      </w:r>
      <w:r>
        <w:rPr>
          <w:spacing w:val="-7"/>
        </w:rPr>
        <w:t> </w:t>
      </w:r>
      <w:r>
        <w:rPr/>
        <w:t>a</w:t>
      </w:r>
      <w:r>
        <w:rPr>
          <w:spacing w:val="-7"/>
        </w:rPr>
        <w:t> </w:t>
      </w:r>
      <w:r>
        <w:rPr/>
        <w:t>una</w:t>
      </w:r>
      <w:r>
        <w:rPr>
          <w:spacing w:val="-5"/>
        </w:rPr>
        <w:t> </w:t>
      </w:r>
      <w:r>
        <w:rPr/>
        <w:t>cierta</w:t>
      </w:r>
      <w:r>
        <w:rPr>
          <w:spacing w:val="-4"/>
        </w:rPr>
        <w:t> </w:t>
      </w:r>
      <w:r>
        <w:rPr/>
        <w:t>distribución</w:t>
      </w:r>
      <w:r>
        <w:rPr>
          <w:spacing w:val="-6"/>
        </w:rPr>
        <w:t> </w:t>
      </w:r>
      <w:r>
        <w:rPr/>
        <w:t>normal.</w:t>
      </w:r>
      <w:r>
        <w:rPr>
          <w:spacing w:val="-5"/>
        </w:rPr>
        <w:t> </w:t>
      </w:r>
      <w:r>
        <w:rPr/>
        <w:t>Sin</w:t>
      </w:r>
      <w:r>
        <w:rPr>
          <w:spacing w:val="-7"/>
        </w:rPr>
        <w:t> </w:t>
      </w:r>
      <w:r>
        <w:rPr/>
        <w:t>embargo</w:t>
      </w:r>
      <w:r>
        <w:rPr>
          <w:spacing w:val="-5"/>
        </w:rPr>
        <w:t> </w:t>
      </w:r>
      <w:r>
        <w:rPr/>
        <w:t>la</w:t>
      </w:r>
      <w:r>
        <w:rPr>
          <w:spacing w:val="-7"/>
        </w:rPr>
        <w:t> </w:t>
      </w:r>
      <w:r>
        <w:rPr/>
        <w:t>existencia</w:t>
      </w:r>
      <w:r>
        <w:rPr>
          <w:spacing w:val="-7"/>
        </w:rPr>
        <w:t> </w:t>
      </w:r>
      <w:r>
        <w:rPr/>
        <w:t>frecuente de outliers</w:t>
      </w:r>
      <w:r>
        <w:rPr>
          <w:position w:val="8"/>
          <w:sz w:val="16"/>
        </w:rPr>
        <w:t>73 </w:t>
      </w:r>
      <w:r>
        <w:rPr/>
        <w:t>debilita tal supuesto. El método de Stress-Testing incrementa la ponderación de los eventos extremos negativos en la secuencia de valoración del portafolio.</w:t>
      </w:r>
      <w:r>
        <w:rPr>
          <w:spacing w:val="-12"/>
        </w:rPr>
        <w:t> </w:t>
      </w:r>
      <w:r>
        <w:rPr/>
        <w:t>Por</w:t>
      </w:r>
      <w:r>
        <w:rPr>
          <w:spacing w:val="-13"/>
        </w:rPr>
        <w:t> </w:t>
      </w:r>
      <w:r>
        <w:rPr/>
        <w:t>medio</w:t>
      </w:r>
      <w:r>
        <w:rPr>
          <w:spacing w:val="-14"/>
        </w:rPr>
        <w:t> </w:t>
      </w:r>
      <w:r>
        <w:rPr/>
        <w:t>de</w:t>
      </w:r>
      <w:r>
        <w:rPr>
          <w:spacing w:val="-12"/>
        </w:rPr>
        <w:t> </w:t>
      </w:r>
      <w:r>
        <w:rPr/>
        <w:t>la</w:t>
      </w:r>
      <w:r>
        <w:rPr>
          <w:spacing w:val="-12"/>
        </w:rPr>
        <w:t> </w:t>
      </w:r>
      <w:r>
        <w:rPr/>
        <w:t>recreación</w:t>
      </w:r>
      <w:r>
        <w:rPr>
          <w:spacing w:val="-12"/>
        </w:rPr>
        <w:t> </w:t>
      </w:r>
      <w:r>
        <w:rPr/>
        <w:t>de</w:t>
      </w:r>
      <w:r>
        <w:rPr>
          <w:spacing w:val="-12"/>
        </w:rPr>
        <w:t> </w:t>
      </w:r>
      <w:r>
        <w:rPr/>
        <w:t>escenarios</w:t>
      </w:r>
      <w:r>
        <w:rPr>
          <w:spacing w:val="-13"/>
        </w:rPr>
        <w:t> </w:t>
      </w:r>
      <w:r>
        <w:rPr/>
        <w:t>adversos</w:t>
      </w:r>
      <w:r>
        <w:rPr>
          <w:spacing w:val="-12"/>
        </w:rPr>
        <w:t> </w:t>
      </w:r>
      <w:r>
        <w:rPr/>
        <w:t>históricos,</w:t>
      </w:r>
      <w:r>
        <w:rPr>
          <w:spacing w:val="-12"/>
        </w:rPr>
        <w:t> </w:t>
      </w:r>
      <w:r>
        <w:rPr/>
        <w:t>o</w:t>
      </w:r>
      <w:r>
        <w:rPr>
          <w:spacing w:val="-12"/>
        </w:rPr>
        <w:t> </w:t>
      </w:r>
      <w:r>
        <w:rPr/>
        <w:t>la</w:t>
      </w:r>
      <w:r>
        <w:rPr>
          <w:spacing w:val="-14"/>
        </w:rPr>
        <w:t> </w:t>
      </w:r>
      <w:r>
        <w:rPr/>
        <w:t>simple creación</w:t>
      </w:r>
      <w:r>
        <w:rPr>
          <w:spacing w:val="-11"/>
        </w:rPr>
        <w:t> </w:t>
      </w:r>
      <w:r>
        <w:rPr/>
        <w:t>de</w:t>
      </w:r>
      <w:r>
        <w:rPr>
          <w:spacing w:val="-12"/>
        </w:rPr>
        <w:t> </w:t>
      </w:r>
      <w:r>
        <w:rPr/>
        <w:t>eventos</w:t>
      </w:r>
      <w:r>
        <w:rPr>
          <w:spacing w:val="-11"/>
        </w:rPr>
        <w:t> </w:t>
      </w:r>
      <w:r>
        <w:rPr/>
        <w:t>negativos,</w:t>
      </w:r>
      <w:r>
        <w:rPr>
          <w:spacing w:val="-12"/>
        </w:rPr>
        <w:t> </w:t>
      </w:r>
      <w:r>
        <w:rPr/>
        <w:t>este</w:t>
      </w:r>
      <w:r>
        <w:rPr>
          <w:spacing w:val="-11"/>
        </w:rPr>
        <w:t> </w:t>
      </w:r>
      <w:r>
        <w:rPr/>
        <w:t>método</w:t>
      </w:r>
      <w:r>
        <w:rPr>
          <w:spacing w:val="-12"/>
        </w:rPr>
        <w:t> </w:t>
      </w:r>
      <w:r>
        <w:rPr/>
        <w:t>cuantifica</w:t>
      </w:r>
      <w:r>
        <w:rPr>
          <w:spacing w:val="-12"/>
        </w:rPr>
        <w:t> </w:t>
      </w:r>
      <w:r>
        <w:rPr/>
        <w:t>los</w:t>
      </w:r>
      <w:r>
        <w:rPr>
          <w:spacing w:val="-12"/>
        </w:rPr>
        <w:t> </w:t>
      </w:r>
      <w:r>
        <w:rPr/>
        <w:t>cambios</w:t>
      </w:r>
      <w:r>
        <w:rPr>
          <w:spacing w:val="-14"/>
        </w:rPr>
        <w:t> </w:t>
      </w:r>
      <w:r>
        <w:rPr/>
        <w:t>probables</w:t>
      </w:r>
      <w:r>
        <w:rPr>
          <w:spacing w:val="-14"/>
        </w:rPr>
        <w:t> </w:t>
      </w:r>
      <w:r>
        <w:rPr/>
        <w:t>en</w:t>
      </w:r>
      <w:r>
        <w:rPr>
          <w:spacing w:val="-12"/>
        </w:rPr>
        <w:t> </w:t>
      </w:r>
      <w:r>
        <w:rPr/>
        <w:t>los valores del</w:t>
      </w:r>
      <w:r>
        <w:rPr>
          <w:spacing w:val="-4"/>
        </w:rPr>
        <w:t> </w:t>
      </w:r>
      <w:r>
        <w:rPr/>
        <w:t>portafolio.</w:t>
      </w:r>
    </w:p>
    <w:p>
      <w:pPr>
        <w:pStyle w:val="ListParagraph"/>
        <w:numPr>
          <w:ilvl w:val="0"/>
          <w:numId w:val="19"/>
        </w:numPr>
        <w:tabs>
          <w:tab w:pos="450" w:val="left" w:leader="none"/>
        </w:tabs>
        <w:spacing w:line="240" w:lineRule="auto" w:before="123" w:after="0"/>
        <w:ind w:left="449" w:right="0" w:hanging="307"/>
        <w:jc w:val="left"/>
        <w:rPr>
          <w:sz w:val="24"/>
        </w:rPr>
      </w:pPr>
      <w:r>
        <w:rPr>
          <w:sz w:val="24"/>
        </w:rPr>
        <w:t>Teoría de Valores Extremos</w:t>
      </w:r>
      <w:r>
        <w:rPr>
          <w:spacing w:val="-13"/>
          <w:sz w:val="24"/>
        </w:rPr>
        <w:t> </w:t>
      </w:r>
      <w:r>
        <w:rPr>
          <w:sz w:val="24"/>
        </w:rPr>
        <w:t>(EVT)</w:t>
      </w:r>
    </w:p>
    <w:p>
      <w:pPr>
        <w:pStyle w:val="BodyText"/>
        <w:spacing w:line="360" w:lineRule="auto" w:before="199"/>
        <w:ind w:left="142" w:right="138" w:firstLine="707"/>
        <w:jc w:val="right"/>
      </w:pPr>
      <w:r>
        <w:rPr/>
        <w:t>La teoría de valores extremos estudia, mediante métodos no paramétricos,</w:t>
      </w:r>
      <w:r>
        <w:rPr>
          <w:w w:val="100"/>
        </w:rPr>
        <w:t> </w:t>
      </w:r>
      <w:r>
        <w:rPr/>
        <w:t>las colas de una distribución</w:t>
      </w:r>
      <w:r>
        <w:rPr>
          <w:spacing w:val="50"/>
        </w:rPr>
        <w:t> </w:t>
      </w:r>
      <w:r>
        <w:rPr/>
        <w:t>que no necesariamente requiere ser conocida. El</w:t>
      </w:r>
      <w:r>
        <w:rPr>
          <w:w w:val="99"/>
        </w:rPr>
        <w:t> </w:t>
      </w:r>
      <w:r>
        <w:rPr/>
        <w:t>parámetro que resume las características (grosor) de la cola de una distribución es el Tail Index (Indice de Cola), y existen diversos estimadores para este estadístico.</w:t>
      </w:r>
    </w:p>
    <w:p>
      <w:pPr>
        <w:pStyle w:val="BodyText"/>
        <w:spacing w:line="360" w:lineRule="auto" w:before="2"/>
        <w:ind w:left="142" w:right="143" w:firstLine="707"/>
        <w:jc w:val="both"/>
      </w:pPr>
      <w:r>
        <w:rPr/>
        <w:t>El</w:t>
      </w:r>
      <w:r>
        <w:rPr>
          <w:spacing w:val="-5"/>
        </w:rPr>
        <w:t> </w:t>
      </w:r>
      <w:r>
        <w:rPr/>
        <w:t>cálculo</w:t>
      </w:r>
      <w:r>
        <w:rPr>
          <w:spacing w:val="-6"/>
        </w:rPr>
        <w:t> </w:t>
      </w:r>
      <w:r>
        <w:rPr/>
        <w:t>efectuado</w:t>
      </w:r>
      <w:r>
        <w:rPr>
          <w:spacing w:val="-6"/>
        </w:rPr>
        <w:t> </w:t>
      </w:r>
      <w:r>
        <w:rPr/>
        <w:t>por</w:t>
      </w:r>
      <w:r>
        <w:rPr>
          <w:spacing w:val="-5"/>
        </w:rPr>
        <w:t> </w:t>
      </w:r>
      <w:r>
        <w:rPr/>
        <w:t>la</w:t>
      </w:r>
      <w:r>
        <w:rPr>
          <w:spacing w:val="-6"/>
        </w:rPr>
        <w:t> </w:t>
      </w:r>
      <w:r>
        <w:rPr/>
        <w:t>metodología</w:t>
      </w:r>
      <w:r>
        <w:rPr>
          <w:spacing w:val="-4"/>
        </w:rPr>
        <w:t> </w:t>
      </w:r>
      <w:r>
        <w:rPr/>
        <w:t>de</w:t>
      </w:r>
      <w:r>
        <w:rPr>
          <w:spacing w:val="-4"/>
        </w:rPr>
        <w:t> </w:t>
      </w:r>
      <w:r>
        <w:rPr/>
        <w:t>valores</w:t>
      </w:r>
      <w:r>
        <w:rPr>
          <w:spacing w:val="-4"/>
        </w:rPr>
        <w:t> </w:t>
      </w:r>
      <w:r>
        <w:rPr/>
        <w:t>extremos</w:t>
      </w:r>
      <w:r>
        <w:rPr>
          <w:spacing w:val="-4"/>
        </w:rPr>
        <w:t> </w:t>
      </w:r>
      <w:r>
        <w:rPr/>
        <w:t>(EVT)</w:t>
      </w:r>
      <w:r>
        <w:rPr>
          <w:spacing w:val="-7"/>
        </w:rPr>
        <w:t> </w:t>
      </w:r>
      <w:r>
        <w:rPr/>
        <w:t>es</w:t>
      </w:r>
      <w:r>
        <w:rPr>
          <w:spacing w:val="-7"/>
        </w:rPr>
        <w:t> </w:t>
      </w:r>
      <w:r>
        <w:rPr/>
        <w:t>el</w:t>
      </w:r>
      <w:r>
        <w:rPr>
          <w:spacing w:val="-5"/>
        </w:rPr>
        <w:t> </w:t>
      </w:r>
      <w:r>
        <w:rPr/>
        <w:t>que mejor captura la forma de la cola de la distribución y reporta un incremento en las probabilidades de ocurrencia de</w:t>
      </w:r>
      <w:r>
        <w:rPr>
          <w:spacing w:val="-10"/>
        </w:rPr>
        <w:t> </w:t>
      </w:r>
      <w:r>
        <w:rPr/>
        <w:t>“outliers”.</w:t>
      </w:r>
    </w:p>
    <w:p>
      <w:pPr>
        <w:pStyle w:val="ListParagraph"/>
        <w:numPr>
          <w:ilvl w:val="0"/>
          <w:numId w:val="19"/>
        </w:numPr>
        <w:tabs>
          <w:tab w:pos="450" w:val="left" w:leader="none"/>
        </w:tabs>
        <w:spacing w:line="240" w:lineRule="auto" w:before="125" w:after="0"/>
        <w:ind w:left="449" w:right="0" w:hanging="307"/>
        <w:jc w:val="left"/>
        <w:rPr>
          <w:sz w:val="24"/>
        </w:rPr>
      </w:pPr>
      <w:r>
        <w:rPr>
          <w:sz w:val="24"/>
        </w:rPr>
        <w:t>Método de Simulaciones de Monte</w:t>
      </w:r>
      <w:r>
        <w:rPr>
          <w:spacing w:val="-16"/>
          <w:sz w:val="24"/>
        </w:rPr>
        <w:t> </w:t>
      </w:r>
      <w:r>
        <w:rPr>
          <w:sz w:val="24"/>
        </w:rPr>
        <w:t>Carlo</w:t>
      </w:r>
    </w:p>
    <w:p>
      <w:pPr>
        <w:pStyle w:val="BodyText"/>
        <w:spacing w:line="360" w:lineRule="auto" w:before="197"/>
        <w:ind w:left="142" w:right="136" w:firstLine="707"/>
        <w:jc w:val="both"/>
      </w:pPr>
      <w:r>
        <w:rPr/>
        <w:t>Consiste en la generación de múltiples iteraciones para los retornos de un activo</w:t>
      </w:r>
      <w:r>
        <w:rPr>
          <w:spacing w:val="-5"/>
        </w:rPr>
        <w:t> </w:t>
      </w:r>
      <w:r>
        <w:rPr/>
        <w:t>(o</w:t>
      </w:r>
      <w:r>
        <w:rPr>
          <w:spacing w:val="-5"/>
        </w:rPr>
        <w:t> </w:t>
      </w:r>
      <w:r>
        <w:rPr/>
        <w:t>activos)</w:t>
      </w:r>
      <w:r>
        <w:rPr>
          <w:spacing w:val="-6"/>
        </w:rPr>
        <w:t> </w:t>
      </w:r>
      <w:r>
        <w:rPr/>
        <w:t>con</w:t>
      </w:r>
      <w:r>
        <w:rPr>
          <w:spacing w:val="-5"/>
        </w:rPr>
        <w:t> </w:t>
      </w:r>
      <w:r>
        <w:rPr/>
        <w:t>un</w:t>
      </w:r>
      <w:r>
        <w:rPr>
          <w:spacing w:val="-2"/>
        </w:rPr>
        <w:t> </w:t>
      </w:r>
      <w:r>
        <w:rPr/>
        <w:t>horizonte</w:t>
      </w:r>
      <w:r>
        <w:rPr>
          <w:spacing w:val="-4"/>
        </w:rPr>
        <w:t> </w:t>
      </w:r>
      <w:r>
        <w:rPr/>
        <w:t>predefinido,</w:t>
      </w:r>
      <w:r>
        <w:rPr>
          <w:spacing w:val="-5"/>
        </w:rPr>
        <w:t> </w:t>
      </w:r>
      <w:r>
        <w:rPr/>
        <w:t>como</w:t>
      </w:r>
      <w:r>
        <w:rPr>
          <w:spacing w:val="-5"/>
        </w:rPr>
        <w:t> </w:t>
      </w:r>
      <w:r>
        <w:rPr/>
        <w:t>por</w:t>
      </w:r>
      <w:r>
        <w:rPr>
          <w:spacing w:val="-6"/>
        </w:rPr>
        <w:t> </w:t>
      </w:r>
      <w:r>
        <w:rPr/>
        <w:t>ejemplo</w:t>
      </w:r>
      <w:r>
        <w:rPr>
          <w:spacing w:val="-5"/>
        </w:rPr>
        <w:t> </w:t>
      </w:r>
      <w:r>
        <w:rPr/>
        <w:t>una</w:t>
      </w:r>
      <w:r>
        <w:rPr>
          <w:spacing w:val="-5"/>
        </w:rPr>
        <w:t> </w:t>
      </w:r>
      <w:r>
        <w:rPr/>
        <w:t>semana</w:t>
      </w:r>
      <w:r>
        <w:rPr>
          <w:spacing w:val="-7"/>
        </w:rPr>
        <w:t> </w:t>
      </w:r>
      <w:r>
        <w:rPr/>
        <w:t>o</w:t>
      </w:r>
      <w:r>
        <w:rPr>
          <w:spacing w:val="-5"/>
        </w:rPr>
        <w:t> </w:t>
      </w:r>
      <w:r>
        <w:rPr/>
        <w:t>un mes. Estas realizaciones deben ser generadas a partir de una función de distribución de probabilidades que represente al proceso estocástico</w:t>
      </w:r>
      <w:r>
        <w:rPr>
          <w:spacing w:val="-23"/>
        </w:rPr>
        <w:t> </w:t>
      </w:r>
      <w:r>
        <w:rPr/>
        <w:t>simulado.</w:t>
      </w:r>
    </w:p>
    <w:p>
      <w:pPr>
        <w:pStyle w:val="BodyText"/>
        <w:spacing w:line="360" w:lineRule="auto" w:before="2"/>
        <w:ind w:left="142" w:right="134" w:firstLine="707"/>
        <w:jc w:val="both"/>
      </w:pPr>
      <w:r>
        <w:rPr/>
        <w:t>Una</w:t>
      </w:r>
      <w:r>
        <w:rPr>
          <w:spacing w:val="-14"/>
        </w:rPr>
        <w:t> </w:t>
      </w:r>
      <w:r>
        <w:rPr/>
        <w:t>vez</w:t>
      </w:r>
      <w:r>
        <w:rPr>
          <w:spacing w:val="-17"/>
        </w:rPr>
        <w:t> </w:t>
      </w:r>
      <w:r>
        <w:rPr/>
        <w:t>simuladas</w:t>
      </w:r>
      <w:r>
        <w:rPr>
          <w:spacing w:val="-15"/>
        </w:rPr>
        <w:t> </w:t>
      </w:r>
      <w:r>
        <w:rPr/>
        <w:t>las</w:t>
      </w:r>
      <w:r>
        <w:rPr>
          <w:spacing w:val="-18"/>
        </w:rPr>
        <w:t> </w:t>
      </w:r>
      <w:r>
        <w:rPr/>
        <w:t>diversas</w:t>
      </w:r>
      <w:r>
        <w:rPr>
          <w:spacing w:val="-15"/>
        </w:rPr>
        <w:t> </w:t>
      </w:r>
      <w:r>
        <w:rPr/>
        <w:t>trayectorias</w:t>
      </w:r>
      <w:r>
        <w:rPr>
          <w:spacing w:val="-15"/>
        </w:rPr>
        <w:t> </w:t>
      </w:r>
      <w:r>
        <w:rPr/>
        <w:t>(por</w:t>
      </w:r>
      <w:r>
        <w:rPr>
          <w:spacing w:val="-16"/>
        </w:rPr>
        <w:t> </w:t>
      </w:r>
      <w:r>
        <w:rPr/>
        <w:t>ejemplo,</w:t>
      </w:r>
      <w:r>
        <w:rPr>
          <w:spacing w:val="-16"/>
        </w:rPr>
        <w:t> </w:t>
      </w:r>
      <w:r>
        <w:rPr/>
        <w:t>10,000</w:t>
      </w:r>
      <w:r>
        <w:rPr>
          <w:spacing w:val="-16"/>
        </w:rPr>
        <w:t> </w:t>
      </w:r>
      <w:r>
        <w:rPr/>
        <w:t>iteraciones) se obtienen los valores del retorno para el horizonte de inversión o análisis preestablecido (5 días o un mes). Con estos 10,000 valores se procede a calcular la desviación estándar del retorno del activo, de manera de generar su</w:t>
      </w:r>
      <w:r>
        <w:rPr>
          <w:spacing w:val="-24"/>
        </w:rPr>
        <w:t> </w:t>
      </w:r>
      <w:r>
        <w:rPr/>
        <w:t>VaR.</w:t>
      </w:r>
    </w:p>
    <w:p>
      <w:pPr>
        <w:pStyle w:val="BodyText"/>
        <w:spacing w:line="360" w:lineRule="auto" w:before="2"/>
        <w:ind w:left="142" w:right="140" w:firstLine="707"/>
        <w:jc w:val="both"/>
      </w:pPr>
      <w:r>
        <w:rPr/>
        <w:t>La generación de procesos estocásticos a través de simulaciones de Monte Carlo es un avance necesario en la medida que se tienen portafolios con instrumentos asimétricos, como por ejemplo Opciones.</w:t>
      </w:r>
    </w:p>
    <w:p>
      <w:pPr>
        <w:pStyle w:val="BodyText"/>
        <w:rPr>
          <w:sz w:val="20"/>
        </w:rPr>
      </w:pPr>
    </w:p>
    <w:p>
      <w:pPr>
        <w:pStyle w:val="BodyText"/>
        <w:spacing w:before="4"/>
        <w:rPr>
          <w:sz w:val="10"/>
        </w:rPr>
      </w:pPr>
      <w:r>
        <w:rPr/>
        <w:pict>
          <v:line style="position:absolute;mso-position-horizontal-relative:page;mso-position-vertical-relative:paragraph;z-index:4264;mso-wrap-distance-left:0;mso-wrap-distance-right:0" from="85.103996pt,8.230889pt" to="229.123996pt,8.230889pt" stroked="true" strokeweight=".599980pt" strokecolor="#000000">
            <w10:wrap type="topAndBottom"/>
          </v:line>
        </w:pict>
      </w:r>
    </w:p>
    <w:p>
      <w:pPr>
        <w:spacing w:before="78"/>
        <w:ind w:left="142" w:right="786" w:firstLine="0"/>
        <w:jc w:val="left"/>
        <w:rPr>
          <w:sz w:val="20"/>
        </w:rPr>
      </w:pPr>
      <w:r>
        <w:rPr>
          <w:position w:val="6"/>
          <w:sz w:val="13"/>
        </w:rPr>
        <w:t>73 </w:t>
      </w:r>
      <w:r>
        <w:rPr>
          <w:sz w:val="20"/>
        </w:rPr>
        <w:t>Fuente: </w:t>
      </w:r>
      <w:hyperlink r:id="rId19">
        <w:r>
          <w:rPr>
            <w:color w:val="0000FF"/>
            <w:sz w:val="20"/>
            <w:u w:val="single" w:color="0000FF"/>
          </w:rPr>
          <w:t>http://en.wikipedia.org/wiki/Outlier</w:t>
        </w:r>
      </w:hyperlink>
    </w:p>
    <w:p>
      <w:pPr>
        <w:spacing w:after="0"/>
        <w:jc w:val="left"/>
        <w:rPr>
          <w:sz w:val="20"/>
        </w:rPr>
        <w:sectPr>
          <w:footerReference w:type="default" r:id="rId67"/>
          <w:pgSz w:w="12240" w:h="15840"/>
          <w:pgMar w:footer="737" w:header="731" w:top="1180" w:bottom="920" w:left="1560" w:right="1560"/>
          <w:pgNumType w:start="85"/>
        </w:sectPr>
      </w:pPr>
    </w:p>
    <w:p>
      <w:pPr>
        <w:pStyle w:val="BodyText"/>
        <w:rPr>
          <w:sz w:val="20"/>
        </w:rPr>
      </w:pPr>
    </w:p>
    <w:p>
      <w:pPr>
        <w:pStyle w:val="BodyText"/>
        <w:rPr>
          <w:sz w:val="16"/>
        </w:rPr>
      </w:pPr>
    </w:p>
    <w:p>
      <w:pPr>
        <w:pStyle w:val="BodyText"/>
        <w:spacing w:line="360" w:lineRule="auto" w:before="70"/>
        <w:ind w:left="142" w:right="136" w:firstLine="707"/>
        <w:jc w:val="both"/>
      </w:pPr>
      <w:r>
        <w:rPr/>
        <w:t>Si la cartera contiene solamente instrumentos lineales, los resultados del proceso de simulación de Monte Carlo serán equivalentes al resultado del análisis de simulación histórica, o a la metodología de Delta- Normal si no consideramos la volatilidad implícita en las opciones. La ventaja de esta metodología emerge de su flexibilidad</w:t>
      </w:r>
      <w:r>
        <w:rPr>
          <w:spacing w:val="-8"/>
        </w:rPr>
        <w:t> </w:t>
      </w:r>
      <w:r>
        <w:rPr/>
        <w:t>para</w:t>
      </w:r>
      <w:r>
        <w:rPr>
          <w:spacing w:val="-8"/>
        </w:rPr>
        <w:t> </w:t>
      </w:r>
      <w:r>
        <w:rPr/>
        <w:t>evaluar</w:t>
      </w:r>
      <w:r>
        <w:rPr>
          <w:spacing w:val="-7"/>
        </w:rPr>
        <w:t> </w:t>
      </w:r>
      <w:r>
        <w:rPr/>
        <w:t>el</w:t>
      </w:r>
      <w:r>
        <w:rPr>
          <w:spacing w:val="-7"/>
        </w:rPr>
        <w:t> </w:t>
      </w:r>
      <w:r>
        <w:rPr/>
        <w:t>riesgo</w:t>
      </w:r>
      <w:r>
        <w:rPr>
          <w:spacing w:val="-8"/>
        </w:rPr>
        <w:t> </w:t>
      </w:r>
      <w:r>
        <w:rPr/>
        <w:t>de</w:t>
      </w:r>
      <w:r>
        <w:rPr>
          <w:spacing w:val="-8"/>
        </w:rPr>
        <w:t> </w:t>
      </w:r>
      <w:r>
        <w:rPr/>
        <w:t>portafolios</w:t>
      </w:r>
      <w:r>
        <w:rPr>
          <w:spacing w:val="-6"/>
        </w:rPr>
        <w:t> </w:t>
      </w:r>
      <w:r>
        <w:rPr/>
        <w:t>cuyos</w:t>
      </w:r>
      <w:r>
        <w:rPr>
          <w:spacing w:val="-6"/>
        </w:rPr>
        <w:t> </w:t>
      </w:r>
      <w:r>
        <w:rPr/>
        <w:t>retornos</w:t>
      </w:r>
      <w:r>
        <w:rPr>
          <w:spacing w:val="-8"/>
        </w:rPr>
        <w:t> </w:t>
      </w:r>
      <w:r>
        <w:rPr/>
        <w:t>son</w:t>
      </w:r>
      <w:r>
        <w:rPr>
          <w:spacing w:val="-8"/>
        </w:rPr>
        <w:t> </w:t>
      </w:r>
      <w:r>
        <w:rPr/>
        <w:t>necesariamente asimétricos, como suele suceder en portafolios que contienen opciones sobre instrumentos o</w:t>
      </w:r>
      <w:r>
        <w:rPr>
          <w:spacing w:val="-6"/>
        </w:rPr>
        <w:t> </w:t>
      </w:r>
      <w:r>
        <w:rPr/>
        <w:t>monedas.</w:t>
      </w:r>
    </w:p>
    <w:p>
      <w:pPr>
        <w:pStyle w:val="Heading3"/>
        <w:spacing w:before="122"/>
      </w:pPr>
      <w:r>
        <w:rPr/>
        <w:t>Tracking Error</w:t>
      </w:r>
    </w:p>
    <w:p>
      <w:pPr>
        <w:pStyle w:val="BodyText"/>
        <w:spacing w:line="360" w:lineRule="auto" w:before="63"/>
        <w:ind w:left="142" w:right="136" w:firstLine="707"/>
        <w:jc w:val="both"/>
      </w:pPr>
      <w:r>
        <w:rPr/>
        <w:t>Frente</w:t>
      </w:r>
      <w:r>
        <w:rPr>
          <w:spacing w:val="-15"/>
        </w:rPr>
        <w:t> </w:t>
      </w:r>
      <w:r>
        <w:rPr/>
        <w:t>a</w:t>
      </w:r>
      <w:r>
        <w:rPr>
          <w:spacing w:val="-15"/>
        </w:rPr>
        <w:t> </w:t>
      </w:r>
      <w:r>
        <w:rPr/>
        <w:t>la</w:t>
      </w:r>
      <w:r>
        <w:rPr>
          <w:spacing w:val="-16"/>
        </w:rPr>
        <w:t> </w:t>
      </w:r>
      <w:r>
        <w:rPr/>
        <w:t>existencia</w:t>
      </w:r>
      <w:r>
        <w:rPr>
          <w:spacing w:val="-16"/>
        </w:rPr>
        <w:t> </w:t>
      </w:r>
      <w:r>
        <w:rPr/>
        <w:t>de</w:t>
      </w:r>
      <w:r>
        <w:rPr>
          <w:spacing w:val="-14"/>
        </w:rPr>
        <w:t> </w:t>
      </w:r>
      <w:r>
        <w:rPr/>
        <w:t>un</w:t>
      </w:r>
      <w:r>
        <w:rPr>
          <w:spacing w:val="-16"/>
        </w:rPr>
        <w:t> </w:t>
      </w:r>
      <w:r>
        <w:rPr/>
        <w:t>portafolio</w:t>
      </w:r>
      <w:r>
        <w:rPr>
          <w:spacing w:val="-13"/>
        </w:rPr>
        <w:t> </w:t>
      </w:r>
      <w:r>
        <w:rPr/>
        <w:t>de</w:t>
      </w:r>
      <w:r>
        <w:rPr>
          <w:spacing w:val="-15"/>
        </w:rPr>
        <w:t> </w:t>
      </w:r>
      <w:r>
        <w:rPr/>
        <w:t>referencia</w:t>
      </w:r>
      <w:r>
        <w:rPr>
          <w:spacing w:val="-16"/>
        </w:rPr>
        <w:t> </w:t>
      </w:r>
      <w:r>
        <w:rPr/>
        <w:t>teórico,</w:t>
      </w:r>
      <w:r>
        <w:rPr>
          <w:spacing w:val="-14"/>
        </w:rPr>
        <w:t> </w:t>
      </w:r>
      <w:r>
        <w:rPr/>
        <w:t>se</w:t>
      </w:r>
      <w:r>
        <w:rPr>
          <w:spacing w:val="-15"/>
        </w:rPr>
        <w:t> </w:t>
      </w:r>
      <w:r>
        <w:rPr/>
        <w:t>hace</w:t>
      </w:r>
      <w:r>
        <w:rPr>
          <w:spacing w:val="-15"/>
        </w:rPr>
        <w:t> </w:t>
      </w:r>
      <w:r>
        <w:rPr/>
        <w:t>relevante la</w:t>
      </w:r>
      <w:r>
        <w:rPr>
          <w:spacing w:val="-11"/>
        </w:rPr>
        <w:t> </w:t>
      </w:r>
      <w:r>
        <w:rPr/>
        <w:t>incorporación</w:t>
      </w:r>
      <w:r>
        <w:rPr>
          <w:spacing w:val="-11"/>
        </w:rPr>
        <w:t> </w:t>
      </w:r>
      <w:r>
        <w:rPr/>
        <w:t>de</w:t>
      </w:r>
      <w:r>
        <w:rPr>
          <w:spacing w:val="-13"/>
        </w:rPr>
        <w:t> </w:t>
      </w:r>
      <w:r>
        <w:rPr/>
        <w:t>otro</w:t>
      </w:r>
      <w:r>
        <w:rPr>
          <w:spacing w:val="-11"/>
        </w:rPr>
        <w:t> </w:t>
      </w:r>
      <w:r>
        <w:rPr/>
        <w:t>concepto</w:t>
      </w:r>
      <w:r>
        <w:rPr>
          <w:spacing w:val="-13"/>
        </w:rPr>
        <w:t> </w:t>
      </w:r>
      <w:r>
        <w:rPr/>
        <w:t>de</w:t>
      </w:r>
      <w:r>
        <w:rPr>
          <w:spacing w:val="-7"/>
        </w:rPr>
        <w:t> </w:t>
      </w:r>
      <w:r>
        <w:rPr/>
        <w:t>riesgo</w:t>
      </w:r>
      <w:r>
        <w:rPr>
          <w:spacing w:val="-11"/>
        </w:rPr>
        <w:t> </w:t>
      </w:r>
      <w:r>
        <w:rPr/>
        <w:t>similar</w:t>
      </w:r>
      <w:r>
        <w:rPr>
          <w:spacing w:val="-12"/>
        </w:rPr>
        <w:t> </w:t>
      </w:r>
      <w:r>
        <w:rPr/>
        <w:t>al</w:t>
      </w:r>
      <w:r>
        <w:rPr>
          <w:spacing w:val="-12"/>
        </w:rPr>
        <w:t> </w:t>
      </w:r>
      <w:r>
        <w:rPr/>
        <w:t>VaR,</w:t>
      </w:r>
      <w:r>
        <w:rPr>
          <w:spacing w:val="-12"/>
        </w:rPr>
        <w:t> </w:t>
      </w:r>
      <w:r>
        <w:rPr/>
        <w:t>pero</w:t>
      </w:r>
      <w:r>
        <w:rPr>
          <w:spacing w:val="-11"/>
        </w:rPr>
        <w:t> </w:t>
      </w:r>
      <w:r>
        <w:rPr/>
        <w:t>que</w:t>
      </w:r>
      <w:r>
        <w:rPr>
          <w:spacing w:val="-11"/>
        </w:rPr>
        <w:t> </w:t>
      </w:r>
      <w:r>
        <w:rPr/>
        <w:t>guarda</w:t>
      </w:r>
      <w:r>
        <w:rPr>
          <w:spacing w:val="-11"/>
        </w:rPr>
        <w:t> </w:t>
      </w:r>
      <w:r>
        <w:rPr/>
        <w:t>relación con el riesgo de distanciarse o aproximarse al portafolio benchmark. Este</w:t>
      </w:r>
      <w:r>
        <w:rPr>
          <w:spacing w:val="-31"/>
        </w:rPr>
        <w:t> </w:t>
      </w:r>
      <w:r>
        <w:rPr/>
        <w:t>concepto se conoce como Tracking Error (TE) y se define como el riesgo incremental de alejarse del portafolio de</w:t>
      </w:r>
      <w:r>
        <w:rPr>
          <w:spacing w:val="-9"/>
        </w:rPr>
        <w:t> </w:t>
      </w:r>
      <w:r>
        <w:rPr/>
        <w:t>referencia.</w:t>
      </w:r>
    </w:p>
    <w:p>
      <w:pPr>
        <w:pStyle w:val="BodyText"/>
        <w:spacing w:line="360" w:lineRule="auto" w:before="5"/>
        <w:ind w:left="142" w:right="135" w:firstLine="707"/>
        <w:jc w:val="both"/>
      </w:pPr>
      <w:r>
        <w:rPr/>
        <w:t>Es posible derivar límites de sobre y sub-exposición de portafolios con respecto</w:t>
      </w:r>
      <w:r>
        <w:rPr>
          <w:spacing w:val="-6"/>
        </w:rPr>
        <w:t> </w:t>
      </w:r>
      <w:r>
        <w:rPr/>
        <w:t>al</w:t>
      </w:r>
      <w:r>
        <w:rPr>
          <w:spacing w:val="-6"/>
        </w:rPr>
        <w:t> </w:t>
      </w:r>
      <w:r>
        <w:rPr/>
        <w:t>comparador,</w:t>
      </w:r>
      <w:r>
        <w:rPr>
          <w:spacing w:val="-3"/>
        </w:rPr>
        <w:t> </w:t>
      </w:r>
      <w:r>
        <w:rPr/>
        <w:t>definiendo</w:t>
      </w:r>
      <w:r>
        <w:rPr>
          <w:spacing w:val="-5"/>
        </w:rPr>
        <w:t> </w:t>
      </w:r>
      <w:r>
        <w:rPr/>
        <w:t>que</w:t>
      </w:r>
      <w:r>
        <w:rPr>
          <w:spacing w:val="-7"/>
        </w:rPr>
        <w:t> </w:t>
      </w:r>
      <w:r>
        <w:rPr/>
        <w:t>el</w:t>
      </w:r>
      <w:r>
        <w:rPr>
          <w:spacing w:val="-6"/>
        </w:rPr>
        <w:t> </w:t>
      </w:r>
      <w:r>
        <w:rPr/>
        <w:t>tracking</w:t>
      </w:r>
      <w:r>
        <w:rPr>
          <w:spacing w:val="-6"/>
        </w:rPr>
        <w:t> </w:t>
      </w:r>
      <w:r>
        <w:rPr/>
        <w:t>error</w:t>
      </w:r>
      <w:r>
        <w:rPr>
          <w:spacing w:val="-6"/>
        </w:rPr>
        <w:t> </w:t>
      </w:r>
      <w:r>
        <w:rPr/>
        <w:t>no</w:t>
      </w:r>
      <w:r>
        <w:rPr>
          <w:spacing w:val="-5"/>
        </w:rPr>
        <w:t> </w:t>
      </w:r>
      <w:r>
        <w:rPr/>
        <w:t>supere</w:t>
      </w:r>
      <w:r>
        <w:rPr>
          <w:spacing w:val="-7"/>
        </w:rPr>
        <w:t> </w:t>
      </w:r>
      <w:r>
        <w:rPr/>
        <w:t>una</w:t>
      </w:r>
      <w:r>
        <w:rPr>
          <w:spacing w:val="-7"/>
        </w:rPr>
        <w:t> </w:t>
      </w:r>
      <w:r>
        <w:rPr/>
        <w:t>cantidad</w:t>
      </w:r>
      <w:r>
        <w:rPr>
          <w:spacing w:val="-7"/>
        </w:rPr>
        <w:t> </w:t>
      </w:r>
      <w:r>
        <w:rPr/>
        <w:t>de puntos base predefinida (por ejemplo 100 pb). Es así como ambientes de alta fluctuación</w:t>
      </w:r>
      <w:r>
        <w:rPr>
          <w:spacing w:val="-6"/>
        </w:rPr>
        <w:t> </w:t>
      </w:r>
      <w:r>
        <w:rPr/>
        <w:t>de</w:t>
      </w:r>
      <w:r>
        <w:rPr>
          <w:spacing w:val="-6"/>
        </w:rPr>
        <w:t> </w:t>
      </w:r>
      <w:r>
        <w:rPr/>
        <w:t>precios</w:t>
      </w:r>
      <w:r>
        <w:rPr>
          <w:spacing w:val="-7"/>
        </w:rPr>
        <w:t> </w:t>
      </w:r>
      <w:r>
        <w:rPr/>
        <w:t>implica</w:t>
      </w:r>
      <w:r>
        <w:rPr>
          <w:spacing w:val="-8"/>
        </w:rPr>
        <w:t> </w:t>
      </w:r>
      <w:r>
        <w:rPr/>
        <w:t>un</w:t>
      </w:r>
      <w:r>
        <w:rPr>
          <w:spacing w:val="-6"/>
        </w:rPr>
        <w:t> </w:t>
      </w:r>
      <w:r>
        <w:rPr/>
        <w:t>incremento</w:t>
      </w:r>
      <w:r>
        <w:rPr>
          <w:spacing w:val="-8"/>
        </w:rPr>
        <w:t> </w:t>
      </w:r>
      <w:r>
        <w:rPr/>
        <w:t>de</w:t>
      </w:r>
      <w:r>
        <w:rPr>
          <w:spacing w:val="-6"/>
        </w:rPr>
        <w:t> </w:t>
      </w:r>
      <w:r>
        <w:rPr/>
        <w:t>la</w:t>
      </w:r>
      <w:r>
        <w:rPr>
          <w:spacing w:val="-6"/>
        </w:rPr>
        <w:t> </w:t>
      </w:r>
      <w:r>
        <w:rPr/>
        <w:t>volatilidad</w:t>
      </w:r>
      <w:r>
        <w:rPr>
          <w:spacing w:val="-8"/>
        </w:rPr>
        <w:t> </w:t>
      </w:r>
      <w:r>
        <w:rPr/>
        <w:t>y</w:t>
      </w:r>
      <w:r>
        <w:rPr>
          <w:spacing w:val="-9"/>
        </w:rPr>
        <w:t> </w:t>
      </w:r>
      <w:r>
        <w:rPr/>
        <w:t>con</w:t>
      </w:r>
      <w:r>
        <w:rPr>
          <w:spacing w:val="-8"/>
        </w:rPr>
        <w:t> </w:t>
      </w:r>
      <w:r>
        <w:rPr/>
        <w:t>esto</w:t>
      </w:r>
      <w:r>
        <w:rPr>
          <w:spacing w:val="2"/>
        </w:rPr>
        <w:t> </w:t>
      </w:r>
      <w:r>
        <w:rPr/>
        <w:t>del</w:t>
      </w:r>
      <w:r>
        <w:rPr>
          <w:spacing w:val="-7"/>
        </w:rPr>
        <w:t> </w:t>
      </w:r>
      <w:r>
        <w:rPr/>
        <w:t>tracking error, lo cual desde el punto de vista de la inversión señalaría la necesidad de aproximarse al portafolio comparador, de manera de compensar el incremento de las varianzas propio de la volatilidad del</w:t>
      </w:r>
      <w:r>
        <w:rPr>
          <w:spacing w:val="-14"/>
        </w:rPr>
        <w:t> </w:t>
      </w:r>
      <w:r>
        <w:rPr/>
        <w:t>mercado.</w:t>
      </w:r>
    </w:p>
    <w:p>
      <w:pPr>
        <w:pStyle w:val="BodyText"/>
        <w:spacing w:line="360" w:lineRule="auto" w:before="2"/>
        <w:ind w:left="142" w:right="136" w:firstLine="707"/>
        <w:jc w:val="both"/>
      </w:pPr>
      <w:r>
        <w:rPr/>
        <w:t>Cada uno de los métodos tiene ventajas y desventajas. En la medida que el portafolio</w:t>
      </w:r>
      <w:r>
        <w:rPr>
          <w:spacing w:val="-7"/>
        </w:rPr>
        <w:t> </w:t>
      </w:r>
      <w:r>
        <w:rPr/>
        <w:t>analizado</w:t>
      </w:r>
      <w:r>
        <w:rPr>
          <w:spacing w:val="-7"/>
        </w:rPr>
        <w:t> </w:t>
      </w:r>
      <w:r>
        <w:rPr/>
        <w:t>no</w:t>
      </w:r>
      <w:r>
        <w:rPr>
          <w:spacing w:val="-9"/>
        </w:rPr>
        <w:t> </w:t>
      </w:r>
      <w:r>
        <w:rPr/>
        <w:t>contenga</w:t>
      </w:r>
      <w:r>
        <w:rPr>
          <w:spacing w:val="-7"/>
        </w:rPr>
        <w:t> </w:t>
      </w:r>
      <w:r>
        <w:rPr/>
        <w:t>activos</w:t>
      </w:r>
      <w:r>
        <w:rPr>
          <w:spacing w:val="-8"/>
        </w:rPr>
        <w:t> </w:t>
      </w:r>
      <w:r>
        <w:rPr/>
        <w:t>no</w:t>
      </w:r>
      <w:r>
        <w:rPr>
          <w:spacing w:val="-7"/>
        </w:rPr>
        <w:t> </w:t>
      </w:r>
      <w:r>
        <w:rPr/>
        <w:t>lineales</w:t>
      </w:r>
      <w:r>
        <w:rPr>
          <w:spacing w:val="-7"/>
        </w:rPr>
        <w:t> </w:t>
      </w:r>
      <w:r>
        <w:rPr/>
        <w:t>como</w:t>
      </w:r>
      <w:r>
        <w:rPr>
          <w:spacing w:val="-9"/>
        </w:rPr>
        <w:t> </w:t>
      </w:r>
      <w:r>
        <w:rPr/>
        <w:t>opciones,</w:t>
      </w:r>
      <w:r>
        <w:rPr>
          <w:spacing w:val="-10"/>
        </w:rPr>
        <w:t> </w:t>
      </w:r>
      <w:r>
        <w:rPr/>
        <w:t>se</w:t>
      </w:r>
      <w:r>
        <w:rPr>
          <w:spacing w:val="-7"/>
        </w:rPr>
        <w:t> </w:t>
      </w:r>
      <w:r>
        <w:rPr/>
        <w:t>recomienda usar métodos simples como el delta-normal o simulación histórica, los cuales generan una matriz de riesgos en base a información de opciones (volatilidad implícita) o en base a retornos históricos. Sin embargo, si el portafolio dispone de activos no lineales es recomendable la utilización del método de simulación de Monte Carlo, el cual por lo demás tiene la desventaja de ser intensivo en recursos computacionales.</w:t>
      </w:r>
    </w:p>
    <w:p>
      <w:pPr>
        <w:spacing w:after="0" w:line="360" w:lineRule="auto"/>
        <w:jc w:val="both"/>
        <w:sectPr>
          <w:pgSz w:w="12240" w:h="15840"/>
          <w:pgMar w:header="731" w:footer="737" w:top="1180" w:bottom="920" w:left="1560" w:right="1560"/>
        </w:sectPr>
      </w:pPr>
    </w:p>
    <w:p>
      <w:pPr>
        <w:pStyle w:val="BodyText"/>
        <w:rPr>
          <w:sz w:val="20"/>
        </w:rPr>
      </w:pPr>
    </w:p>
    <w:p>
      <w:pPr>
        <w:spacing w:before="243"/>
        <w:ind w:left="142" w:right="786" w:firstLine="0"/>
        <w:jc w:val="left"/>
        <w:rPr>
          <w:b/>
          <w:sz w:val="18"/>
        </w:rPr>
      </w:pPr>
      <w:bookmarkStart w:name="_bookmark49" w:id="79"/>
      <w:bookmarkEnd w:id="79"/>
      <w:r>
        <w:rPr/>
      </w:r>
      <w:r>
        <w:rPr>
          <w:b/>
          <w:sz w:val="28"/>
        </w:rPr>
        <w:t>A</w:t>
      </w:r>
      <w:r>
        <w:rPr>
          <w:b/>
          <w:sz w:val="22"/>
        </w:rPr>
        <w:t>PÉNDICE </w:t>
      </w:r>
      <w:r>
        <w:rPr>
          <w:b/>
          <w:sz w:val="28"/>
        </w:rPr>
        <w:t>5. A</w:t>
      </w:r>
      <w:r>
        <w:rPr>
          <w:b/>
          <w:sz w:val="22"/>
        </w:rPr>
        <w:t>PLICACIONES COMPLEMENTARIAS DEL </w:t>
      </w:r>
      <w:r>
        <w:rPr>
          <w:b/>
          <w:sz w:val="28"/>
        </w:rPr>
        <w:t>V</w:t>
      </w:r>
      <w:r>
        <w:rPr>
          <w:b/>
          <w:sz w:val="22"/>
        </w:rPr>
        <w:t>A</w:t>
      </w:r>
      <w:r>
        <w:rPr>
          <w:b/>
          <w:sz w:val="28"/>
        </w:rPr>
        <w:t>R</w:t>
      </w:r>
      <w:r>
        <w:rPr>
          <w:b/>
          <w:position w:val="10"/>
          <w:sz w:val="18"/>
        </w:rPr>
        <w:t>74</w:t>
      </w:r>
    </w:p>
    <w:p>
      <w:pPr>
        <w:pStyle w:val="Heading3"/>
        <w:spacing w:line="273" w:lineRule="exact" w:before="236"/>
        <w:rPr>
          <w:b w:val="0"/>
          <w:sz w:val="16"/>
        </w:rPr>
      </w:pPr>
      <w:r>
        <w:rPr/>
        <w:t>VaR para una posición en acciones</w:t>
      </w:r>
      <w:r>
        <w:rPr>
          <w:b w:val="0"/>
          <w:position w:val="8"/>
          <w:sz w:val="16"/>
        </w:rPr>
        <w:t>75</w:t>
      </w:r>
    </w:p>
    <w:p>
      <w:pPr>
        <w:spacing w:line="404" w:lineRule="exact" w:before="0"/>
        <w:ind w:left="479" w:right="528" w:firstLine="0"/>
        <w:jc w:val="center"/>
        <w:rPr>
          <w:rFonts w:ascii="Times New Roman" w:hAnsi="Times New Roman"/>
          <w:i/>
          <w:sz w:val="24"/>
        </w:rPr>
      </w:pPr>
      <w:r>
        <w:rPr>
          <w:rFonts w:ascii="Times New Roman" w:hAnsi="Times New Roman"/>
          <w:i/>
          <w:spacing w:val="-10"/>
          <w:w w:val="103"/>
          <w:sz w:val="24"/>
        </w:rPr>
        <w:t>V</w:t>
      </w:r>
      <w:r>
        <w:rPr>
          <w:rFonts w:ascii="Times New Roman" w:hAnsi="Times New Roman"/>
          <w:i/>
          <w:spacing w:val="-5"/>
          <w:w w:val="103"/>
          <w:sz w:val="24"/>
        </w:rPr>
        <w:t>a</w:t>
      </w:r>
      <w:r>
        <w:rPr>
          <w:rFonts w:ascii="Times New Roman" w:hAnsi="Times New Roman"/>
          <w:i/>
          <w:spacing w:val="5"/>
          <w:w w:val="103"/>
          <w:sz w:val="24"/>
        </w:rPr>
        <w:t>R</w:t>
      </w:r>
      <w:r>
        <w:rPr>
          <w:rFonts w:ascii="Times New Roman" w:hAnsi="Times New Roman"/>
          <w:i/>
          <w:spacing w:val="-2"/>
          <w:w w:val="103"/>
          <w:position w:val="-5"/>
          <w:sz w:val="14"/>
        </w:rPr>
        <w:t>P</w:t>
      </w:r>
      <w:r>
        <w:rPr>
          <w:rFonts w:ascii="Times New Roman" w:hAnsi="Times New Roman"/>
          <w:i/>
          <w:w w:val="103"/>
          <w:position w:val="-5"/>
          <w:sz w:val="14"/>
        </w:rPr>
        <w:t>A</w:t>
      </w:r>
      <w:r>
        <w:rPr>
          <w:rFonts w:ascii="Times New Roman" w:hAnsi="Times New Roman"/>
          <w:i/>
          <w:position w:val="-5"/>
          <w:sz w:val="14"/>
        </w:rPr>
        <w:t> </w:t>
      </w:r>
      <w:r>
        <w:rPr>
          <w:rFonts w:ascii="Times New Roman" w:hAnsi="Times New Roman"/>
          <w:i/>
          <w:spacing w:val="16"/>
          <w:position w:val="-5"/>
          <w:sz w:val="14"/>
        </w:rPr>
        <w:t> </w:t>
      </w:r>
      <w:r>
        <w:rPr>
          <w:rFonts w:ascii="Symbol" w:hAnsi="Symbol"/>
          <w:w w:val="103"/>
          <w:sz w:val="24"/>
        </w:rPr>
        <w:t></w:t>
      </w:r>
      <w:r>
        <w:rPr>
          <w:rFonts w:ascii="Times New Roman" w:hAnsi="Times New Roman"/>
          <w:spacing w:val="-6"/>
          <w:sz w:val="24"/>
        </w:rPr>
        <w:t> </w:t>
      </w:r>
      <w:r>
        <w:rPr>
          <w:rFonts w:ascii="Symbol" w:hAnsi="Symbol"/>
          <w:spacing w:val="-3"/>
          <w:w w:val="76"/>
          <w:sz w:val="32"/>
        </w:rPr>
        <w:t></w:t>
      </w:r>
      <w:r>
        <w:rPr>
          <w:rFonts w:ascii="Symbol" w:hAnsi="Symbol"/>
          <w:i/>
          <w:spacing w:val="13"/>
          <w:w w:val="99"/>
          <w:sz w:val="25"/>
        </w:rPr>
        <w:t></w:t>
      </w:r>
      <w:r>
        <w:rPr>
          <w:rFonts w:ascii="Times New Roman" w:hAnsi="Times New Roman"/>
          <w:i/>
          <w:w w:val="103"/>
          <w:position w:val="-5"/>
          <w:sz w:val="14"/>
        </w:rPr>
        <w:t>a</w:t>
      </w:r>
      <w:r>
        <w:rPr>
          <w:rFonts w:ascii="Times New Roman" w:hAnsi="Times New Roman"/>
          <w:i/>
          <w:position w:val="-5"/>
          <w:sz w:val="14"/>
        </w:rPr>
        <w:t> </w:t>
      </w:r>
      <w:r>
        <w:rPr>
          <w:rFonts w:ascii="Times New Roman" w:hAnsi="Times New Roman"/>
          <w:i/>
          <w:spacing w:val="11"/>
          <w:position w:val="-5"/>
          <w:sz w:val="14"/>
        </w:rPr>
        <w:t> </w:t>
      </w:r>
      <w:r>
        <w:rPr>
          <w:rFonts w:ascii="Symbol" w:hAnsi="Symbol"/>
          <w:w w:val="103"/>
          <w:sz w:val="24"/>
        </w:rPr>
        <w:t></w:t>
      </w:r>
      <w:r>
        <w:rPr>
          <w:rFonts w:ascii="Times New Roman" w:hAnsi="Times New Roman"/>
          <w:spacing w:val="-32"/>
          <w:sz w:val="24"/>
        </w:rPr>
        <w:t> </w:t>
      </w:r>
      <w:r>
        <w:rPr>
          <w:rFonts w:ascii="Symbol" w:hAnsi="Symbol"/>
          <w:i/>
          <w:spacing w:val="-4"/>
          <w:w w:val="103"/>
          <w:sz w:val="25"/>
        </w:rPr>
        <w:t></w:t>
      </w:r>
      <w:r>
        <w:rPr>
          <w:rFonts w:ascii="Symbol" w:hAnsi="Symbol"/>
          <w:i/>
          <w:w w:val="103"/>
          <w:sz w:val="25"/>
        </w:rPr>
        <w:t></w:t>
      </w:r>
      <w:r>
        <w:rPr>
          <w:rFonts w:ascii="Times New Roman" w:hAnsi="Times New Roman"/>
          <w:spacing w:val="-30"/>
          <w:sz w:val="25"/>
        </w:rPr>
        <w:t> </w:t>
      </w:r>
      <w:r>
        <w:rPr>
          <w:rFonts w:ascii="Times New Roman" w:hAnsi="Times New Roman"/>
          <w:i/>
          <w:w w:val="103"/>
          <w:position w:val="-5"/>
          <w:sz w:val="14"/>
        </w:rPr>
        <w:t>a</w:t>
      </w:r>
      <w:r>
        <w:rPr>
          <w:rFonts w:ascii="Times New Roman" w:hAnsi="Times New Roman"/>
          <w:i/>
          <w:spacing w:val="8"/>
          <w:position w:val="-5"/>
          <w:sz w:val="14"/>
        </w:rPr>
        <w:t> </w:t>
      </w:r>
      <w:r>
        <w:rPr>
          <w:rFonts w:ascii="Symbol" w:hAnsi="Symbol"/>
          <w:spacing w:val="14"/>
          <w:w w:val="76"/>
          <w:sz w:val="32"/>
        </w:rPr>
        <w:t></w:t>
      </w:r>
      <w:r>
        <w:rPr>
          <w:rFonts w:ascii="Symbol" w:hAnsi="Symbol"/>
          <w:w w:val="103"/>
          <w:sz w:val="24"/>
        </w:rPr>
        <w:t></w:t>
      </w:r>
      <w:r>
        <w:rPr>
          <w:rFonts w:ascii="Times New Roman" w:hAnsi="Times New Roman"/>
          <w:spacing w:val="-20"/>
          <w:sz w:val="24"/>
        </w:rPr>
        <w:t> </w:t>
      </w:r>
      <w:r>
        <w:rPr>
          <w:rFonts w:ascii="Times New Roman" w:hAnsi="Times New Roman"/>
          <w:i/>
          <w:spacing w:val="-10"/>
          <w:w w:val="103"/>
          <w:sz w:val="24"/>
        </w:rPr>
        <w:t>P</w:t>
      </w:r>
      <w:r>
        <w:rPr>
          <w:rFonts w:ascii="Times New Roman" w:hAnsi="Times New Roman"/>
          <w:i/>
          <w:w w:val="103"/>
          <w:sz w:val="24"/>
        </w:rPr>
        <w:t>a</w:t>
      </w:r>
      <w:r>
        <w:rPr>
          <w:rFonts w:ascii="Times New Roman" w:hAnsi="Times New Roman"/>
          <w:i/>
          <w:spacing w:val="-20"/>
          <w:sz w:val="24"/>
        </w:rPr>
        <w:t> </w:t>
      </w:r>
      <w:r>
        <w:rPr>
          <w:rFonts w:ascii="Symbol" w:hAnsi="Symbol"/>
          <w:w w:val="103"/>
          <w:sz w:val="24"/>
        </w:rPr>
        <w:t></w:t>
      </w:r>
      <w:r>
        <w:rPr>
          <w:rFonts w:ascii="Times New Roman" w:hAnsi="Times New Roman"/>
          <w:spacing w:val="-16"/>
          <w:sz w:val="24"/>
        </w:rPr>
        <w:t> </w:t>
      </w:r>
      <w:r>
        <w:rPr>
          <w:rFonts w:ascii="Times New Roman" w:hAnsi="Times New Roman"/>
          <w:i/>
          <w:spacing w:val="-2"/>
          <w:w w:val="103"/>
          <w:sz w:val="24"/>
        </w:rPr>
        <w:t>NT</w:t>
      </w:r>
    </w:p>
    <w:p>
      <w:pPr>
        <w:pStyle w:val="BodyText"/>
        <w:spacing w:before="7"/>
        <w:rPr>
          <w:rFonts w:ascii="Times New Roman"/>
          <w:i/>
          <w:sz w:val="16"/>
        </w:rPr>
      </w:pPr>
    </w:p>
    <w:p>
      <w:pPr>
        <w:spacing w:after="0"/>
        <w:rPr>
          <w:rFonts w:ascii="Times New Roman"/>
          <w:sz w:val="16"/>
        </w:rPr>
        <w:sectPr>
          <w:pgSz w:w="12240" w:h="15840"/>
          <w:pgMar w:header="731" w:footer="737" w:top="1180" w:bottom="920" w:left="1560" w:right="1560"/>
        </w:sectPr>
      </w:pPr>
    </w:p>
    <w:p>
      <w:pPr>
        <w:spacing w:before="74"/>
        <w:ind w:left="142" w:right="0" w:firstLine="0"/>
        <w:jc w:val="left"/>
        <w:rPr>
          <w:sz w:val="20"/>
        </w:rPr>
      </w:pPr>
      <w:r>
        <w:rPr>
          <w:w w:val="95"/>
          <w:sz w:val="20"/>
        </w:rPr>
        <w:t>Donde:</w:t>
      </w:r>
    </w:p>
    <w:p>
      <w:pPr>
        <w:pStyle w:val="BodyText"/>
        <w:spacing w:before="5"/>
        <w:rPr>
          <w:sz w:val="26"/>
        </w:rPr>
      </w:pPr>
      <w:r>
        <w:rPr/>
        <w:br w:type="column"/>
      </w:r>
      <w:r>
        <w:rPr>
          <w:sz w:val="26"/>
        </w:rPr>
      </w:r>
    </w:p>
    <w:p>
      <w:pPr>
        <w:spacing w:line="192" w:lineRule="exact" w:before="0"/>
        <w:ind w:left="24" w:right="0" w:firstLine="0"/>
        <w:jc w:val="left"/>
        <w:rPr>
          <w:sz w:val="20"/>
        </w:rPr>
      </w:pPr>
      <w:r>
        <w:rPr>
          <w:position w:val="1"/>
          <w:sz w:val="20"/>
        </w:rPr>
        <w:t>VaR</w:t>
      </w:r>
      <w:r>
        <w:rPr>
          <w:sz w:val="13"/>
        </w:rPr>
        <w:t>PA</w:t>
      </w:r>
      <w:r>
        <w:rPr>
          <w:position w:val="1"/>
          <w:sz w:val="20"/>
        </w:rPr>
        <w:t>: Valor en riego de la posición accionaria</w:t>
      </w:r>
    </w:p>
    <w:p>
      <w:pPr>
        <w:spacing w:line="374" w:lineRule="exact" w:before="0"/>
        <w:ind w:left="57" w:right="0" w:firstLine="0"/>
        <w:jc w:val="left"/>
        <w:rPr>
          <w:sz w:val="20"/>
        </w:rPr>
      </w:pPr>
      <w:r>
        <w:rPr>
          <w:rFonts w:ascii="Symbol" w:hAnsi="Symbol"/>
          <w:spacing w:val="-3"/>
          <w:w w:val="76"/>
          <w:sz w:val="32"/>
        </w:rPr>
        <w:t></w:t>
      </w:r>
      <w:r>
        <w:rPr>
          <w:rFonts w:ascii="Symbol" w:hAnsi="Symbol"/>
          <w:i/>
          <w:spacing w:val="13"/>
          <w:w w:val="99"/>
          <w:sz w:val="25"/>
        </w:rPr>
        <w:t></w:t>
      </w:r>
      <w:r>
        <w:rPr>
          <w:rFonts w:ascii="Times New Roman" w:hAnsi="Times New Roman"/>
          <w:i/>
          <w:w w:val="103"/>
          <w:position w:val="-5"/>
          <w:sz w:val="14"/>
        </w:rPr>
        <w:t>a</w:t>
      </w:r>
      <w:r>
        <w:rPr>
          <w:rFonts w:ascii="Times New Roman" w:hAnsi="Times New Roman"/>
          <w:i/>
          <w:position w:val="-5"/>
          <w:sz w:val="14"/>
        </w:rPr>
        <w:t> </w:t>
      </w:r>
      <w:r>
        <w:rPr>
          <w:rFonts w:ascii="Times New Roman" w:hAnsi="Times New Roman"/>
          <w:i/>
          <w:spacing w:val="11"/>
          <w:position w:val="-5"/>
          <w:sz w:val="14"/>
        </w:rPr>
        <w:t> </w:t>
      </w:r>
      <w:r>
        <w:rPr>
          <w:rFonts w:ascii="Symbol" w:hAnsi="Symbol"/>
          <w:w w:val="103"/>
          <w:sz w:val="24"/>
        </w:rPr>
        <w:t></w:t>
      </w:r>
      <w:r>
        <w:rPr>
          <w:rFonts w:ascii="Times New Roman" w:hAnsi="Times New Roman"/>
          <w:spacing w:val="-32"/>
          <w:sz w:val="24"/>
        </w:rPr>
        <w:t> </w:t>
      </w:r>
      <w:r>
        <w:rPr>
          <w:rFonts w:ascii="Symbol" w:hAnsi="Symbol"/>
          <w:i/>
          <w:spacing w:val="-3"/>
          <w:w w:val="103"/>
          <w:sz w:val="25"/>
        </w:rPr>
        <w:t></w:t>
      </w:r>
      <w:r>
        <w:rPr>
          <w:rFonts w:ascii="Symbol" w:hAnsi="Symbol"/>
          <w:i/>
          <w:w w:val="103"/>
          <w:sz w:val="25"/>
        </w:rPr>
        <w:t></w:t>
      </w:r>
      <w:r>
        <w:rPr>
          <w:rFonts w:ascii="Times New Roman" w:hAnsi="Times New Roman"/>
          <w:spacing w:val="-29"/>
          <w:sz w:val="25"/>
        </w:rPr>
        <w:t> </w:t>
      </w:r>
      <w:r>
        <w:rPr>
          <w:rFonts w:ascii="Times New Roman" w:hAnsi="Times New Roman"/>
          <w:i/>
          <w:w w:val="103"/>
          <w:position w:val="-5"/>
          <w:sz w:val="14"/>
        </w:rPr>
        <w:t>a</w:t>
      </w:r>
      <w:r>
        <w:rPr>
          <w:rFonts w:ascii="Times New Roman" w:hAnsi="Times New Roman"/>
          <w:i/>
          <w:spacing w:val="8"/>
          <w:position w:val="-5"/>
          <w:sz w:val="14"/>
        </w:rPr>
        <w:t> </w:t>
      </w:r>
      <w:r>
        <w:rPr>
          <w:rFonts w:ascii="Symbol" w:hAnsi="Symbol"/>
          <w:spacing w:val="19"/>
          <w:w w:val="76"/>
          <w:sz w:val="32"/>
        </w:rPr>
        <w:t></w:t>
      </w:r>
      <w:r>
        <w:rPr>
          <w:w w:val="99"/>
          <w:sz w:val="20"/>
        </w:rPr>
        <w:t>:</w:t>
      </w:r>
      <w:r>
        <w:rPr>
          <w:spacing w:val="-1"/>
          <w:sz w:val="20"/>
        </w:rPr>
        <w:t> </w:t>
      </w:r>
      <w:r>
        <w:rPr>
          <w:spacing w:val="-2"/>
          <w:w w:val="99"/>
          <w:sz w:val="20"/>
        </w:rPr>
        <w:t>E</w:t>
      </w:r>
      <w:r>
        <w:rPr>
          <w:w w:val="99"/>
          <w:sz w:val="20"/>
        </w:rPr>
        <w:t>s</w:t>
      </w:r>
      <w:r>
        <w:rPr>
          <w:sz w:val="20"/>
        </w:rPr>
        <w:t> </w:t>
      </w:r>
      <w:r>
        <w:rPr>
          <w:w w:val="99"/>
          <w:sz w:val="20"/>
        </w:rPr>
        <w:t>un</w:t>
      </w:r>
      <w:r>
        <w:rPr>
          <w:spacing w:val="1"/>
          <w:sz w:val="20"/>
        </w:rPr>
        <w:t> </w:t>
      </w:r>
      <w:r>
        <w:rPr>
          <w:w w:val="99"/>
          <w:sz w:val="20"/>
        </w:rPr>
        <w:t>p</w:t>
      </w:r>
      <w:r>
        <w:rPr>
          <w:spacing w:val="-1"/>
          <w:w w:val="99"/>
          <w:sz w:val="20"/>
        </w:rPr>
        <w:t>o</w:t>
      </w:r>
      <w:r>
        <w:rPr>
          <w:w w:val="99"/>
          <w:sz w:val="20"/>
        </w:rPr>
        <w:t>r</w:t>
      </w:r>
      <w:r>
        <w:rPr>
          <w:spacing w:val="1"/>
          <w:w w:val="99"/>
          <w:sz w:val="20"/>
        </w:rPr>
        <w:t>c</w:t>
      </w:r>
      <w:r>
        <w:rPr>
          <w:w w:val="99"/>
          <w:sz w:val="20"/>
        </w:rPr>
        <w:t>e</w:t>
      </w:r>
      <w:r>
        <w:rPr>
          <w:spacing w:val="1"/>
          <w:w w:val="99"/>
          <w:sz w:val="20"/>
        </w:rPr>
        <w:t>n</w:t>
      </w:r>
      <w:r>
        <w:rPr>
          <w:w w:val="99"/>
          <w:sz w:val="20"/>
        </w:rPr>
        <w:t>taj</w:t>
      </w:r>
      <w:r>
        <w:rPr>
          <w:w w:val="99"/>
          <w:sz w:val="20"/>
        </w:rPr>
        <w:t>e</w:t>
      </w:r>
      <w:r>
        <w:rPr>
          <w:spacing w:val="3"/>
          <w:sz w:val="20"/>
        </w:rPr>
        <w:t> </w:t>
      </w:r>
      <w:r>
        <w:rPr>
          <w:w w:val="99"/>
          <w:sz w:val="20"/>
        </w:rPr>
        <w:t>y</w:t>
      </w:r>
      <w:r>
        <w:rPr>
          <w:spacing w:val="-4"/>
          <w:sz w:val="20"/>
        </w:rPr>
        <w:t> </w:t>
      </w:r>
      <w:r>
        <w:rPr>
          <w:w w:val="99"/>
          <w:sz w:val="20"/>
        </w:rPr>
        <w:t>r</w:t>
      </w:r>
      <w:r>
        <w:rPr>
          <w:w w:val="99"/>
          <w:sz w:val="20"/>
        </w:rPr>
        <w:t>e</w:t>
      </w:r>
      <w:r>
        <w:rPr>
          <w:spacing w:val="-1"/>
          <w:w w:val="99"/>
          <w:sz w:val="20"/>
        </w:rPr>
        <w:t>p</w:t>
      </w:r>
      <w:r>
        <w:rPr>
          <w:w w:val="99"/>
          <w:sz w:val="20"/>
        </w:rPr>
        <w:t>r</w:t>
      </w:r>
      <w:r>
        <w:rPr>
          <w:w w:val="99"/>
          <w:sz w:val="20"/>
        </w:rPr>
        <w:t>e</w:t>
      </w:r>
      <w:r>
        <w:rPr>
          <w:spacing w:val="3"/>
          <w:w w:val="99"/>
          <w:sz w:val="20"/>
        </w:rPr>
        <w:t>s</w:t>
      </w:r>
      <w:r>
        <w:rPr>
          <w:w w:val="99"/>
          <w:sz w:val="20"/>
        </w:rPr>
        <w:t>es</w:t>
      </w:r>
      <w:r>
        <w:rPr>
          <w:w w:val="99"/>
          <w:sz w:val="20"/>
        </w:rPr>
        <w:t>e</w:t>
      </w:r>
      <w:r>
        <w:rPr>
          <w:spacing w:val="-1"/>
          <w:w w:val="99"/>
          <w:sz w:val="20"/>
        </w:rPr>
        <w:t>n</w:t>
      </w:r>
      <w:r>
        <w:rPr>
          <w:w w:val="99"/>
          <w:sz w:val="20"/>
        </w:rPr>
        <w:t>ta</w:t>
      </w:r>
      <w:r>
        <w:rPr>
          <w:spacing w:val="1"/>
          <w:sz w:val="20"/>
        </w:rPr>
        <w:t> </w:t>
      </w:r>
      <w:r>
        <w:rPr>
          <w:w w:val="99"/>
          <w:sz w:val="20"/>
        </w:rPr>
        <w:t>el</w:t>
      </w:r>
      <w:r>
        <w:rPr>
          <w:spacing w:val="-2"/>
          <w:sz w:val="20"/>
        </w:rPr>
        <w:t> </w:t>
      </w:r>
      <w:r>
        <w:rPr>
          <w:spacing w:val="4"/>
          <w:w w:val="99"/>
          <w:sz w:val="20"/>
        </w:rPr>
        <w:t>m</w:t>
      </w:r>
      <w:r>
        <w:rPr>
          <w:spacing w:val="3"/>
          <w:w w:val="99"/>
          <w:sz w:val="20"/>
        </w:rPr>
        <w:t>o</w:t>
      </w:r>
      <w:r>
        <w:rPr>
          <w:spacing w:val="-2"/>
          <w:w w:val="99"/>
          <w:sz w:val="20"/>
        </w:rPr>
        <w:t>v</w:t>
      </w:r>
      <w:r>
        <w:rPr>
          <w:spacing w:val="-1"/>
          <w:w w:val="99"/>
          <w:sz w:val="20"/>
        </w:rPr>
        <w:t>i</w:t>
      </w:r>
      <w:r>
        <w:rPr>
          <w:spacing w:val="4"/>
          <w:w w:val="99"/>
          <w:sz w:val="20"/>
        </w:rPr>
        <w:t>m</w:t>
      </w:r>
      <w:r>
        <w:rPr>
          <w:spacing w:val="-1"/>
          <w:w w:val="99"/>
          <w:sz w:val="20"/>
        </w:rPr>
        <w:t>i</w:t>
      </w:r>
      <w:r>
        <w:rPr>
          <w:w w:val="99"/>
          <w:sz w:val="20"/>
        </w:rPr>
        <w:t>e</w:t>
      </w:r>
      <w:r>
        <w:rPr>
          <w:spacing w:val="-1"/>
          <w:w w:val="99"/>
          <w:sz w:val="20"/>
        </w:rPr>
        <w:t>n</w:t>
      </w:r>
      <w:r>
        <w:rPr>
          <w:w w:val="99"/>
          <w:sz w:val="20"/>
        </w:rPr>
        <w:t>to</w:t>
      </w:r>
      <w:r>
        <w:rPr>
          <w:spacing w:val="1"/>
          <w:sz w:val="20"/>
        </w:rPr>
        <w:t> </w:t>
      </w:r>
      <w:r>
        <w:rPr>
          <w:w w:val="99"/>
          <w:sz w:val="20"/>
        </w:rPr>
        <w:t>a</w:t>
      </w:r>
      <w:r>
        <w:rPr>
          <w:spacing w:val="1"/>
          <w:w w:val="99"/>
          <w:sz w:val="20"/>
        </w:rPr>
        <w:t>d</w:t>
      </w:r>
      <w:r>
        <w:rPr>
          <w:spacing w:val="-2"/>
          <w:w w:val="99"/>
          <w:sz w:val="20"/>
        </w:rPr>
        <w:t>v</w:t>
      </w:r>
      <w:r>
        <w:rPr>
          <w:w w:val="99"/>
          <w:sz w:val="20"/>
        </w:rPr>
        <w:t>e</w:t>
      </w:r>
      <w:r>
        <w:rPr>
          <w:spacing w:val="2"/>
          <w:w w:val="99"/>
          <w:sz w:val="20"/>
        </w:rPr>
        <w:t>r</w:t>
      </w:r>
      <w:r>
        <w:rPr>
          <w:spacing w:val="1"/>
          <w:w w:val="99"/>
          <w:sz w:val="20"/>
        </w:rPr>
        <w:t>s</w:t>
      </w:r>
      <w:r>
        <w:rPr>
          <w:w w:val="99"/>
          <w:sz w:val="20"/>
        </w:rPr>
        <w:t>o.</w:t>
      </w:r>
    </w:p>
    <w:p>
      <w:pPr>
        <w:spacing w:before="24"/>
        <w:ind w:left="24" w:right="2432" w:firstLine="0"/>
        <w:jc w:val="left"/>
        <w:rPr>
          <w:sz w:val="20"/>
        </w:rPr>
      </w:pPr>
      <w:r>
        <w:rPr>
          <w:sz w:val="20"/>
        </w:rPr>
        <w:t>±: Signo negativo para la posición larag y positivo para la corta Pa: Precio por acción</w:t>
      </w:r>
    </w:p>
    <w:p>
      <w:pPr>
        <w:spacing w:before="0"/>
        <w:ind w:left="24" w:right="0" w:firstLine="0"/>
        <w:jc w:val="left"/>
        <w:rPr>
          <w:sz w:val="20"/>
        </w:rPr>
      </w:pPr>
      <w:r>
        <w:rPr>
          <w:sz w:val="20"/>
        </w:rPr>
        <w:t>NT: Número de títulos</w:t>
      </w:r>
    </w:p>
    <w:p>
      <w:pPr>
        <w:spacing w:after="0"/>
        <w:jc w:val="left"/>
        <w:rPr>
          <w:sz w:val="20"/>
        </w:rPr>
        <w:sectPr>
          <w:type w:val="continuous"/>
          <w:pgSz w:w="12240" w:h="15840"/>
          <w:pgMar w:top="720" w:bottom="280" w:left="1560" w:right="1560"/>
          <w:cols w:num="2" w:equalWidth="0">
            <w:col w:w="786" w:space="40"/>
            <w:col w:w="8294"/>
          </w:cols>
        </w:sectPr>
      </w:pPr>
    </w:p>
    <w:p>
      <w:pPr>
        <w:pStyle w:val="BodyText"/>
        <w:spacing w:before="8"/>
        <w:rPr>
          <w:sz w:val="23"/>
        </w:rPr>
      </w:pPr>
    </w:p>
    <w:p>
      <w:pPr>
        <w:pStyle w:val="Heading3"/>
        <w:spacing w:before="79"/>
        <w:rPr>
          <w:sz w:val="16"/>
        </w:rPr>
      </w:pPr>
      <w:r>
        <w:rPr/>
        <w:t>VaR para una posición en bonos cuponados o cupón cero</w:t>
      </w:r>
      <w:r>
        <w:rPr>
          <w:position w:val="8"/>
          <w:sz w:val="16"/>
        </w:rPr>
        <w:t>76</w:t>
      </w:r>
    </w:p>
    <w:p>
      <w:pPr>
        <w:pStyle w:val="ListParagraph"/>
        <w:numPr>
          <w:ilvl w:val="1"/>
          <w:numId w:val="19"/>
        </w:numPr>
        <w:tabs>
          <w:tab w:pos="1274" w:val="left" w:leader="none"/>
          <w:tab w:pos="1275" w:val="left" w:leader="none"/>
        </w:tabs>
        <w:spacing w:line="240" w:lineRule="auto" w:before="63" w:after="0"/>
        <w:ind w:left="1274" w:right="0" w:hanging="357"/>
        <w:jc w:val="left"/>
        <w:rPr>
          <w:sz w:val="24"/>
        </w:rPr>
      </w:pPr>
      <w:r>
        <w:rPr>
          <w:sz w:val="24"/>
        </w:rPr>
        <w:t>Si la tasa sube </w:t>
      </w:r>
      <w:r>
        <w:rPr>
          <w:rFonts w:ascii="Symbol" w:hAnsi="Symbol"/>
          <w:sz w:val="24"/>
        </w:rPr>
        <w:t></w:t>
      </w:r>
      <w:r>
        <w:rPr>
          <w:rFonts w:ascii="Times New Roman" w:hAnsi="Times New Roman"/>
          <w:sz w:val="24"/>
        </w:rPr>
        <w:t> </w:t>
      </w:r>
      <w:r>
        <w:rPr>
          <w:sz w:val="24"/>
        </w:rPr>
        <w:t>el precio</w:t>
      </w:r>
      <w:r>
        <w:rPr>
          <w:spacing w:val="-2"/>
          <w:sz w:val="24"/>
        </w:rPr>
        <w:t> </w:t>
      </w:r>
      <w:r>
        <w:rPr>
          <w:sz w:val="24"/>
        </w:rPr>
        <w:t>baja.</w:t>
      </w:r>
    </w:p>
    <w:p>
      <w:pPr>
        <w:pStyle w:val="ListParagraph"/>
        <w:numPr>
          <w:ilvl w:val="1"/>
          <w:numId w:val="19"/>
        </w:numPr>
        <w:tabs>
          <w:tab w:pos="1274" w:val="left" w:leader="none"/>
          <w:tab w:pos="1275" w:val="left" w:leader="none"/>
        </w:tabs>
        <w:spacing w:line="240" w:lineRule="auto" w:before="147" w:after="0"/>
        <w:ind w:left="1274" w:right="0" w:hanging="357"/>
        <w:jc w:val="left"/>
        <w:rPr>
          <w:sz w:val="24"/>
        </w:rPr>
      </w:pPr>
      <w:r>
        <w:rPr>
          <w:sz w:val="24"/>
        </w:rPr>
        <w:t>Si la tasa baja </w:t>
      </w:r>
      <w:r>
        <w:rPr>
          <w:rFonts w:ascii="Symbol" w:hAnsi="Symbol"/>
          <w:sz w:val="24"/>
        </w:rPr>
        <w:t></w:t>
      </w:r>
      <w:r>
        <w:rPr>
          <w:rFonts w:ascii="Times New Roman" w:hAnsi="Times New Roman"/>
          <w:sz w:val="24"/>
        </w:rPr>
        <w:t> </w:t>
      </w:r>
      <w:r>
        <w:rPr>
          <w:sz w:val="24"/>
        </w:rPr>
        <w:t>el precio</w:t>
      </w:r>
      <w:r>
        <w:rPr>
          <w:spacing w:val="-3"/>
          <w:sz w:val="24"/>
        </w:rPr>
        <w:t> </w:t>
      </w:r>
      <w:r>
        <w:rPr>
          <w:sz w:val="24"/>
        </w:rPr>
        <w:t>sube.</w:t>
      </w:r>
    </w:p>
    <w:p>
      <w:pPr>
        <w:pStyle w:val="BodyText"/>
        <w:spacing w:before="2"/>
        <w:rPr>
          <w:sz w:val="11"/>
        </w:rPr>
      </w:pPr>
    </w:p>
    <w:p>
      <w:pPr>
        <w:tabs>
          <w:tab w:pos="1226" w:val="left" w:leader="none"/>
        </w:tabs>
        <w:spacing w:line="217" w:lineRule="exact" w:before="64"/>
        <w:ind w:left="0" w:right="735" w:firstLine="0"/>
        <w:jc w:val="center"/>
        <w:rPr>
          <w:rFonts w:ascii="Symbol" w:hAnsi="Symbol"/>
          <w:sz w:val="23"/>
        </w:rPr>
      </w:pPr>
      <w:r>
        <w:rPr>
          <w:rFonts w:ascii="Symbol" w:hAnsi="Symbol"/>
          <w:w w:val="105"/>
          <w:sz w:val="23"/>
        </w:rPr>
        <w:t></w:t>
      </w:r>
      <w:r>
        <w:rPr>
          <w:rFonts w:ascii="Times New Roman" w:hAnsi="Times New Roman"/>
          <w:w w:val="105"/>
          <w:sz w:val="23"/>
        </w:rPr>
        <w:tab/>
      </w:r>
      <w:r>
        <w:rPr>
          <w:rFonts w:ascii="Symbol" w:hAnsi="Symbol"/>
          <w:w w:val="105"/>
          <w:sz w:val="23"/>
        </w:rPr>
        <w:t></w:t>
      </w:r>
    </w:p>
    <w:p>
      <w:pPr>
        <w:tabs>
          <w:tab w:pos="1226" w:val="left" w:leader="none"/>
        </w:tabs>
        <w:spacing w:line="11" w:lineRule="exact" w:before="0"/>
        <w:ind w:left="0" w:right="735" w:firstLine="0"/>
        <w:jc w:val="center"/>
        <w:rPr>
          <w:rFonts w:ascii="Symbol" w:hAnsi="Symbol"/>
          <w:sz w:val="23"/>
        </w:rPr>
      </w:pPr>
      <w:r>
        <w:rPr>
          <w:rFonts w:ascii="Symbol" w:hAnsi="Symbol"/>
          <w:w w:val="105"/>
          <w:sz w:val="23"/>
        </w:rPr>
        <w:t></w:t>
      </w:r>
      <w:r>
        <w:rPr>
          <w:rFonts w:ascii="Times New Roman" w:hAnsi="Times New Roman"/>
          <w:w w:val="105"/>
          <w:sz w:val="23"/>
        </w:rPr>
        <w:tab/>
      </w:r>
      <w:r>
        <w:rPr>
          <w:rFonts w:ascii="Symbol" w:hAnsi="Symbol"/>
          <w:w w:val="105"/>
          <w:sz w:val="23"/>
        </w:rPr>
        <w:t></w:t>
      </w:r>
    </w:p>
    <w:p>
      <w:pPr>
        <w:spacing w:line="262" w:lineRule="exact" w:before="0"/>
        <w:ind w:left="2523" w:right="786" w:firstLine="0"/>
        <w:jc w:val="left"/>
        <w:rPr>
          <w:rFonts w:ascii="Times New Roman" w:hAnsi="Times New Roman"/>
          <w:i/>
          <w:sz w:val="23"/>
        </w:rPr>
      </w:pPr>
      <w:r>
        <w:rPr>
          <w:rFonts w:ascii="Times New Roman" w:hAnsi="Times New Roman"/>
          <w:i/>
          <w:w w:val="105"/>
          <w:sz w:val="23"/>
        </w:rPr>
        <w:t>VaR</w:t>
      </w:r>
      <w:r>
        <w:rPr>
          <w:rFonts w:ascii="Times New Roman" w:hAnsi="Times New Roman"/>
          <w:i/>
          <w:w w:val="105"/>
          <w:position w:val="-5"/>
          <w:sz w:val="14"/>
        </w:rPr>
        <w:t>Cetes  </w:t>
      </w:r>
      <w:r>
        <w:rPr>
          <w:rFonts w:ascii="Symbol" w:hAnsi="Symbol"/>
          <w:w w:val="105"/>
          <w:sz w:val="23"/>
        </w:rPr>
        <w:t></w:t>
      </w:r>
      <w:r>
        <w:rPr>
          <w:rFonts w:ascii="Times New Roman" w:hAnsi="Times New Roman"/>
          <w:w w:val="105"/>
          <w:sz w:val="23"/>
        </w:rPr>
        <w:t> </w:t>
      </w:r>
      <w:r>
        <w:rPr>
          <w:rFonts w:ascii="Symbol" w:hAnsi="Symbol"/>
          <w:w w:val="105"/>
          <w:position w:val="-10"/>
          <w:sz w:val="23"/>
        </w:rPr>
        <w:t></w:t>
      </w:r>
      <w:r>
        <w:rPr>
          <w:rFonts w:ascii="Times New Roman" w:hAnsi="Times New Roman"/>
          <w:w w:val="105"/>
          <w:position w:val="-10"/>
          <w:sz w:val="23"/>
        </w:rPr>
        <w:t> </w:t>
      </w:r>
      <w:r>
        <w:rPr>
          <w:rFonts w:ascii="Symbol" w:hAnsi="Symbol"/>
          <w:i/>
          <w:w w:val="105"/>
          <w:sz w:val="25"/>
        </w:rPr>
        <w:t></w:t>
      </w:r>
      <w:r>
        <w:rPr>
          <w:rFonts w:ascii="Times New Roman" w:hAnsi="Times New Roman"/>
          <w:i/>
          <w:w w:val="105"/>
          <w:sz w:val="25"/>
        </w:rPr>
        <w:t> </w:t>
      </w:r>
      <w:r>
        <w:rPr>
          <w:rFonts w:ascii="Times New Roman" w:hAnsi="Times New Roman"/>
          <w:i/>
          <w:w w:val="105"/>
          <w:position w:val="-5"/>
          <w:sz w:val="14"/>
          <w:u w:val="single"/>
        </w:rPr>
        <w:t>dr  </w:t>
      </w:r>
      <w:r>
        <w:rPr>
          <w:rFonts w:ascii="Symbol" w:hAnsi="Symbol"/>
          <w:w w:val="105"/>
          <w:sz w:val="23"/>
        </w:rPr>
        <w:t></w:t>
      </w:r>
      <w:r>
        <w:rPr>
          <w:rFonts w:ascii="Times New Roman" w:hAnsi="Times New Roman"/>
          <w:w w:val="105"/>
          <w:sz w:val="23"/>
        </w:rPr>
        <w:t> </w:t>
      </w:r>
      <w:r>
        <w:rPr>
          <w:rFonts w:ascii="Symbol" w:hAnsi="Symbol"/>
          <w:i/>
          <w:w w:val="105"/>
          <w:sz w:val="25"/>
        </w:rPr>
        <w:t></w:t>
      </w:r>
      <w:r>
        <w:rPr>
          <w:rFonts w:ascii="Times New Roman" w:hAnsi="Times New Roman"/>
          <w:i/>
          <w:w w:val="105"/>
          <w:sz w:val="25"/>
        </w:rPr>
        <w:t> </w:t>
      </w:r>
      <w:r>
        <w:rPr>
          <w:rFonts w:ascii="Times New Roman" w:hAnsi="Times New Roman"/>
          <w:i/>
          <w:w w:val="105"/>
          <w:position w:val="-5"/>
          <w:sz w:val="14"/>
          <w:u w:val="single"/>
        </w:rPr>
        <w:t>dr </w:t>
      </w:r>
      <w:r>
        <w:rPr>
          <w:rFonts w:ascii="Symbol" w:hAnsi="Symbol"/>
          <w:w w:val="105"/>
          <w:position w:val="-10"/>
          <w:sz w:val="23"/>
        </w:rPr>
        <w:t></w:t>
      </w:r>
      <w:r>
        <w:rPr>
          <w:rFonts w:ascii="Times New Roman" w:hAnsi="Times New Roman"/>
          <w:w w:val="105"/>
          <w:position w:val="-10"/>
          <w:sz w:val="23"/>
        </w:rPr>
        <w:t> </w:t>
      </w:r>
      <w:r>
        <w:rPr>
          <w:rFonts w:ascii="Symbol" w:hAnsi="Symbol"/>
          <w:w w:val="105"/>
          <w:sz w:val="23"/>
        </w:rPr>
        <w:t></w:t>
      </w:r>
      <w:r>
        <w:rPr>
          <w:rFonts w:ascii="Times New Roman" w:hAnsi="Times New Roman"/>
          <w:w w:val="105"/>
          <w:sz w:val="23"/>
        </w:rPr>
        <w:t> </w:t>
      </w:r>
      <w:r>
        <w:rPr>
          <w:rFonts w:ascii="Times New Roman" w:hAnsi="Times New Roman"/>
          <w:i/>
          <w:w w:val="105"/>
          <w:sz w:val="23"/>
        </w:rPr>
        <w:t>r </w:t>
      </w:r>
      <w:r>
        <w:rPr>
          <w:rFonts w:ascii="Symbol" w:hAnsi="Symbol"/>
          <w:w w:val="105"/>
          <w:sz w:val="23"/>
        </w:rPr>
        <w:t></w:t>
      </w:r>
      <w:r>
        <w:rPr>
          <w:rFonts w:ascii="Times New Roman" w:hAnsi="Times New Roman"/>
          <w:w w:val="105"/>
          <w:sz w:val="23"/>
        </w:rPr>
        <w:t> </w:t>
      </w:r>
      <w:r>
        <w:rPr>
          <w:rFonts w:ascii="Symbol" w:hAnsi="Symbol"/>
          <w:w w:val="105"/>
          <w:sz w:val="23"/>
        </w:rPr>
        <w:t></w:t>
      </w:r>
      <w:r>
        <w:rPr>
          <w:rFonts w:ascii="Times New Roman" w:hAnsi="Times New Roman"/>
          <w:i/>
          <w:w w:val="105"/>
          <w:sz w:val="23"/>
        </w:rPr>
        <w:t>Dm </w:t>
      </w:r>
      <w:r>
        <w:rPr>
          <w:rFonts w:ascii="Symbol" w:hAnsi="Symbol"/>
          <w:w w:val="105"/>
          <w:sz w:val="23"/>
        </w:rPr>
        <w:t></w:t>
      </w:r>
      <w:r>
        <w:rPr>
          <w:rFonts w:ascii="Times New Roman" w:hAnsi="Times New Roman"/>
          <w:w w:val="105"/>
          <w:sz w:val="23"/>
        </w:rPr>
        <w:t> </w:t>
      </w:r>
      <w:r>
        <w:rPr>
          <w:rFonts w:ascii="Times New Roman" w:hAnsi="Times New Roman"/>
          <w:i/>
          <w:w w:val="105"/>
          <w:sz w:val="23"/>
        </w:rPr>
        <w:t>P </w:t>
      </w:r>
      <w:r>
        <w:rPr>
          <w:rFonts w:ascii="Symbol" w:hAnsi="Symbol"/>
          <w:w w:val="105"/>
          <w:sz w:val="23"/>
        </w:rPr>
        <w:t></w:t>
      </w:r>
      <w:r>
        <w:rPr>
          <w:rFonts w:ascii="Times New Roman" w:hAnsi="Times New Roman"/>
          <w:w w:val="105"/>
          <w:sz w:val="23"/>
        </w:rPr>
        <w:t> </w:t>
      </w:r>
      <w:r>
        <w:rPr>
          <w:rFonts w:ascii="Times New Roman" w:hAnsi="Times New Roman"/>
          <w:i/>
          <w:w w:val="105"/>
          <w:sz w:val="23"/>
        </w:rPr>
        <w:t>K</w:t>
      </w:r>
    </w:p>
    <w:p>
      <w:pPr>
        <w:tabs>
          <w:tab w:pos="326" w:val="left" w:leader="none"/>
          <w:tab w:pos="1062" w:val="left" w:leader="none"/>
        </w:tabs>
        <w:spacing w:line="246" w:lineRule="exact" w:before="0"/>
        <w:ind w:left="0" w:right="735" w:firstLine="0"/>
        <w:jc w:val="center"/>
        <w:rPr>
          <w:rFonts w:ascii="Symbol" w:hAnsi="Symbol"/>
          <w:sz w:val="23"/>
        </w:rPr>
      </w:pPr>
      <w:r>
        <w:rPr>
          <w:rFonts w:ascii="Symbol" w:hAnsi="Symbol"/>
          <w:w w:val="105"/>
          <w:sz w:val="23"/>
        </w:rPr>
        <w:t></w:t>
      </w:r>
      <w:r>
        <w:rPr>
          <w:rFonts w:ascii="Times New Roman" w:hAnsi="Times New Roman"/>
          <w:w w:val="105"/>
          <w:sz w:val="23"/>
        </w:rPr>
        <w:tab/>
      </w:r>
      <w:r>
        <w:rPr>
          <w:rFonts w:ascii="Times New Roman" w:hAnsi="Times New Roman"/>
          <w:i/>
          <w:w w:val="105"/>
          <w:sz w:val="14"/>
        </w:rPr>
        <w:t>r</w:t>
        <w:tab/>
        <w:t>r </w:t>
      </w:r>
      <w:r>
        <w:rPr>
          <w:rFonts w:ascii="Times New Roman" w:hAnsi="Times New Roman"/>
          <w:i/>
          <w:spacing w:val="32"/>
          <w:w w:val="105"/>
          <w:sz w:val="14"/>
        </w:rPr>
        <w:t> </w:t>
      </w:r>
      <w:r>
        <w:rPr>
          <w:rFonts w:ascii="Symbol" w:hAnsi="Symbol"/>
          <w:w w:val="105"/>
          <w:sz w:val="23"/>
        </w:rPr>
        <w:t></w:t>
      </w:r>
    </w:p>
    <w:p>
      <w:pPr>
        <w:pStyle w:val="BodyText"/>
        <w:spacing w:before="2"/>
        <w:rPr>
          <w:rFonts w:ascii="Symbol" w:hAnsi="Symbol"/>
          <w:sz w:val="15"/>
        </w:rPr>
      </w:pPr>
    </w:p>
    <w:p>
      <w:pPr>
        <w:spacing w:after="0"/>
        <w:rPr>
          <w:rFonts w:ascii="Symbol" w:hAnsi="Symbol"/>
          <w:sz w:val="15"/>
        </w:rPr>
        <w:sectPr>
          <w:type w:val="continuous"/>
          <w:pgSz w:w="12240" w:h="15840"/>
          <w:pgMar w:top="720" w:bottom="280" w:left="1560" w:right="1560"/>
        </w:sectPr>
      </w:pPr>
    </w:p>
    <w:p>
      <w:pPr>
        <w:spacing w:before="74"/>
        <w:ind w:left="142" w:right="0" w:firstLine="0"/>
        <w:jc w:val="left"/>
        <w:rPr>
          <w:sz w:val="20"/>
        </w:rPr>
      </w:pPr>
      <w:r>
        <w:rPr>
          <w:w w:val="95"/>
          <w:sz w:val="20"/>
        </w:rPr>
        <w:t>Donde:</w:t>
      </w:r>
    </w:p>
    <w:p>
      <w:pPr>
        <w:pStyle w:val="BodyText"/>
        <w:spacing w:before="5"/>
        <w:rPr>
          <w:sz w:val="26"/>
        </w:rPr>
      </w:pPr>
      <w:r>
        <w:rPr/>
        <w:br w:type="column"/>
      </w:r>
      <w:r>
        <w:rPr>
          <w:sz w:val="26"/>
        </w:rPr>
      </w:r>
    </w:p>
    <w:p>
      <w:pPr>
        <w:spacing w:before="0"/>
        <w:ind w:left="24" w:right="0" w:firstLine="0"/>
        <w:jc w:val="left"/>
        <w:rPr>
          <w:sz w:val="20"/>
        </w:rPr>
      </w:pPr>
      <w:r>
        <w:rPr>
          <w:position w:val="1"/>
          <w:sz w:val="20"/>
        </w:rPr>
        <w:t>VaR</w:t>
      </w:r>
      <w:r>
        <w:rPr>
          <w:sz w:val="13"/>
        </w:rPr>
        <w:t>Bono</w:t>
      </w:r>
      <w:r>
        <w:rPr>
          <w:position w:val="1"/>
          <w:sz w:val="20"/>
        </w:rPr>
        <w:t>: Valor en riego de la posición en títulos de deuda</w:t>
      </w:r>
    </w:p>
    <w:p>
      <w:pPr>
        <w:spacing w:line="229" w:lineRule="exact" w:before="1"/>
        <w:ind w:left="24" w:right="0" w:firstLine="0"/>
        <w:jc w:val="left"/>
        <w:rPr>
          <w:sz w:val="20"/>
        </w:rPr>
      </w:pPr>
      <w:r>
        <w:rPr>
          <w:sz w:val="20"/>
        </w:rPr>
        <w:t>µ: Media de los rendimientos</w:t>
      </w:r>
    </w:p>
    <w:p>
      <w:pPr>
        <w:spacing w:line="229" w:lineRule="exact" w:before="0"/>
        <w:ind w:left="24" w:right="0" w:firstLine="0"/>
        <w:jc w:val="left"/>
        <w:rPr>
          <w:sz w:val="20"/>
        </w:rPr>
      </w:pPr>
      <w:r>
        <w:rPr>
          <w:sz w:val="20"/>
        </w:rPr>
        <w:t>α: Desviaciones estándar en función del nivel de confianza</w:t>
      </w:r>
    </w:p>
    <w:p>
      <w:pPr>
        <w:spacing w:line="228" w:lineRule="exact" w:before="23"/>
        <w:ind w:left="24" w:right="3300" w:firstLine="0"/>
        <w:jc w:val="left"/>
        <w:rPr>
          <w:sz w:val="20"/>
        </w:rPr>
      </w:pPr>
      <w:r>
        <w:rPr>
          <w:rFonts w:ascii="Symbol" w:hAnsi="Symbol"/>
          <w:sz w:val="20"/>
        </w:rPr>
        <w:t></w:t>
      </w:r>
      <w:r>
        <w:rPr>
          <w:sz w:val="20"/>
        </w:rPr>
        <w:t>: Volatilidad. Desviación estándar de los rendimientos r: Tasa de interés (en número entero)</w:t>
      </w:r>
    </w:p>
    <w:p>
      <w:pPr>
        <w:spacing w:line="227" w:lineRule="exact" w:before="0"/>
        <w:ind w:left="24" w:right="0" w:firstLine="0"/>
        <w:jc w:val="left"/>
        <w:rPr>
          <w:sz w:val="20"/>
        </w:rPr>
      </w:pPr>
      <w:r>
        <w:rPr>
          <w:sz w:val="20"/>
        </w:rPr>
        <w:t>Dm: Duración modificada (en fracciones)</w:t>
      </w:r>
    </w:p>
    <w:p>
      <w:pPr>
        <w:pStyle w:val="ListParagraph"/>
        <w:numPr>
          <w:ilvl w:val="0"/>
          <w:numId w:val="20"/>
        </w:numPr>
        <w:tabs>
          <w:tab w:pos="268" w:val="left" w:leader="none"/>
        </w:tabs>
        <w:spacing w:line="240" w:lineRule="auto" w:before="0" w:after="0"/>
        <w:ind w:left="24" w:right="6447" w:firstLine="0"/>
        <w:jc w:val="left"/>
        <w:rPr>
          <w:sz w:val="20"/>
        </w:rPr>
      </w:pPr>
      <w:r>
        <w:rPr>
          <w:sz w:val="20"/>
        </w:rPr>
        <w:t>Precio del bono K: Número de</w:t>
      </w:r>
      <w:r>
        <w:rPr>
          <w:spacing w:val="-7"/>
          <w:sz w:val="20"/>
        </w:rPr>
        <w:t> </w:t>
      </w:r>
      <w:r>
        <w:rPr>
          <w:sz w:val="20"/>
        </w:rPr>
        <w:t>títulos</w:t>
      </w:r>
    </w:p>
    <w:p>
      <w:pPr>
        <w:spacing w:after="0" w:line="240" w:lineRule="auto"/>
        <w:jc w:val="left"/>
        <w:rPr>
          <w:sz w:val="20"/>
        </w:rPr>
        <w:sectPr>
          <w:type w:val="continuous"/>
          <w:pgSz w:w="12240" w:h="15840"/>
          <w:pgMar w:top="720" w:bottom="280" w:left="1560" w:right="1560"/>
          <w:cols w:num="2" w:equalWidth="0">
            <w:col w:w="786" w:space="40"/>
            <w:col w:w="8294"/>
          </w:cols>
        </w:sectPr>
      </w:pPr>
    </w:p>
    <w:p>
      <w:pPr>
        <w:pStyle w:val="BodyText"/>
        <w:spacing w:before="10"/>
        <w:rPr>
          <w:sz w:val="14"/>
        </w:rPr>
      </w:pPr>
    </w:p>
    <w:p>
      <w:pPr>
        <w:pStyle w:val="BodyText"/>
        <w:spacing w:before="70"/>
        <w:ind w:left="142" w:right="786"/>
      </w:pPr>
      <w:r>
        <w:rPr/>
        <w:t>Duración modificada</w:t>
      </w:r>
    </w:p>
    <w:p>
      <w:pPr>
        <w:pStyle w:val="BodyText"/>
        <w:spacing w:line="360" w:lineRule="auto" w:before="197"/>
        <w:ind w:left="850" w:right="157"/>
      </w:pPr>
      <w:r>
        <w:rPr/>
        <w:t>Es el cambio porcentual del precio respecto a una variación de la tasa. Duración modificada de un bono cupon cero</w:t>
      </w:r>
    </w:p>
    <w:p>
      <w:pPr>
        <w:spacing w:line="227" w:lineRule="exact" w:before="35"/>
        <w:ind w:left="1172" w:right="0" w:firstLine="0"/>
        <w:jc w:val="center"/>
        <w:rPr>
          <w:rFonts w:ascii="Symbol" w:hAnsi="Symbol"/>
          <w:sz w:val="24"/>
        </w:rPr>
      </w:pPr>
      <w:r>
        <w:rPr>
          <w:rFonts w:ascii="Symbol" w:hAnsi="Symbol"/>
          <w:sz w:val="24"/>
        </w:rPr>
        <w:t></w:t>
      </w:r>
      <w:r>
        <w:rPr>
          <w:rFonts w:ascii="Times New Roman" w:hAnsi="Times New Roman"/>
          <w:sz w:val="24"/>
        </w:rPr>
        <w:t>   </w:t>
      </w:r>
      <w:r>
        <w:rPr>
          <w:rFonts w:ascii="Times New Roman" w:hAnsi="Times New Roman"/>
          <w:i/>
          <w:position w:val="2"/>
          <w:sz w:val="24"/>
        </w:rPr>
        <w:t>Pzo  </w:t>
      </w:r>
      <w:r>
        <w:rPr>
          <w:rFonts w:ascii="Symbol" w:hAnsi="Symbol"/>
          <w:sz w:val="24"/>
        </w:rPr>
        <w:t></w:t>
      </w:r>
    </w:p>
    <w:p>
      <w:pPr>
        <w:pStyle w:val="BodyText"/>
        <w:tabs>
          <w:tab w:pos="1942" w:val="left" w:leader="none"/>
        </w:tabs>
        <w:spacing w:line="146" w:lineRule="exact"/>
        <w:ind w:left="1172"/>
        <w:jc w:val="center"/>
        <w:rPr>
          <w:rFonts w:ascii="Symbol" w:hAnsi="Symbol"/>
        </w:rPr>
      </w:pPr>
      <w:r>
        <w:rPr/>
        <w:pict>
          <v:line style="position:absolute;mso-position-horizontal-relative:page;mso-position-vertical-relative:paragraph;z-index:-95632" from="320.197693pt,4.825689pt" to="350.991614pt,4.825689pt" stroked="true" strokeweight=".139783pt" strokecolor="#000000">
            <w10:wrap type="none"/>
          </v:line>
        </w:pict>
      </w:r>
      <w:r>
        <w:rPr>
          <w:rFonts w:ascii="Symbol" w:hAnsi="Symbol"/>
        </w:rPr>
        <w:t></w:t>
      </w:r>
      <w:r>
        <w:rPr>
          <w:rFonts w:ascii="Times New Roman" w:hAnsi="Times New Roman"/>
        </w:rPr>
        <w:tab/>
      </w:r>
      <w:r>
        <w:rPr>
          <w:rFonts w:ascii="Symbol" w:hAnsi="Symbol"/>
        </w:rPr>
        <w:t></w:t>
      </w:r>
    </w:p>
    <w:p>
      <w:pPr>
        <w:pStyle w:val="BodyText"/>
        <w:tabs>
          <w:tab w:pos="814" w:val="left" w:leader="none"/>
          <w:tab w:pos="1619" w:val="left" w:leader="none"/>
          <w:tab w:pos="2929" w:val="left" w:leader="none"/>
        </w:tabs>
        <w:spacing w:line="287" w:lineRule="exact"/>
        <w:ind w:left="2"/>
        <w:jc w:val="center"/>
        <w:rPr>
          <w:rFonts w:ascii="Times New Roman" w:hAnsi="Times New Roman"/>
        </w:rPr>
      </w:pPr>
      <w:r>
        <w:rPr>
          <w:rFonts w:ascii="Times New Roman" w:hAnsi="Times New Roman"/>
          <w:i/>
          <w:position w:val="-14"/>
        </w:rPr>
        <w:t>DM</w:t>
        <w:tab/>
      </w:r>
      <w:r>
        <w:rPr>
          <w:rFonts w:ascii="Symbol" w:hAnsi="Symbol"/>
          <w:position w:val="-14"/>
        </w:rPr>
        <w:t></w:t>
      </w:r>
      <w:r>
        <w:rPr>
          <w:rFonts w:ascii="Times New Roman" w:hAnsi="Times New Roman"/>
          <w:spacing w:val="2"/>
          <w:position w:val="-14"/>
        </w:rPr>
        <w:t> </w:t>
      </w:r>
      <w:r>
        <w:rPr>
          <w:rFonts w:ascii="Symbol" w:hAnsi="Symbol"/>
          <w:position w:val="-14"/>
        </w:rPr>
        <w:t></w:t>
      </w:r>
      <w:r>
        <w:rPr>
          <w:rFonts w:ascii="Times New Roman" w:hAnsi="Times New Roman"/>
          <w:position w:val="-2"/>
          <w:u w:val="single"/>
        </w:rPr>
        <w:t> </w:t>
        <w:tab/>
      </w:r>
      <w:r>
        <w:rPr>
          <w:rFonts w:ascii="Symbol" w:hAnsi="Symbol"/>
          <w:position w:val="-2"/>
          <w:u w:val="single"/>
        </w:rPr>
        <w:t></w:t>
      </w:r>
      <w:r>
        <w:rPr>
          <w:rFonts w:ascii="Times New Roman" w:hAnsi="Times New Roman"/>
          <w:position w:val="-2"/>
          <w:u w:val="single"/>
        </w:rPr>
        <w:t> </w:t>
      </w:r>
      <w:r>
        <w:rPr>
          <w:rFonts w:ascii="Times New Roman" w:hAnsi="Times New Roman"/>
          <w:u w:val="single"/>
        </w:rPr>
        <w:t>36000</w:t>
      </w:r>
      <w:r>
        <w:rPr>
          <w:rFonts w:ascii="Times New Roman" w:hAnsi="Times New Roman"/>
          <w:spacing w:val="-44"/>
          <w:u w:val="single"/>
        </w:rPr>
        <w:t> </w:t>
      </w:r>
      <w:r>
        <w:rPr>
          <w:rFonts w:ascii="Symbol" w:hAnsi="Symbol"/>
          <w:position w:val="-2"/>
          <w:u w:val="single"/>
        </w:rPr>
        <w:t></w:t>
      </w:r>
      <w:r>
        <w:rPr>
          <w:rFonts w:ascii="Times New Roman" w:hAnsi="Times New Roman"/>
          <w:position w:val="-2"/>
          <w:u w:val="single"/>
        </w:rPr>
        <w:tab/>
      </w:r>
    </w:p>
    <w:p>
      <w:pPr>
        <w:spacing w:after="0" w:line="287" w:lineRule="exact"/>
        <w:jc w:val="center"/>
        <w:rPr>
          <w:rFonts w:ascii="Times New Roman" w:hAnsi="Times New Roman"/>
        </w:rPr>
        <w:sectPr>
          <w:type w:val="continuous"/>
          <w:pgSz w:w="12240" w:h="15840"/>
          <w:pgMar w:top="720" w:bottom="280" w:left="1560" w:right="1560"/>
        </w:sectPr>
      </w:pPr>
    </w:p>
    <w:p>
      <w:pPr>
        <w:spacing w:line="143" w:lineRule="exact" w:before="0"/>
        <w:ind w:left="0" w:right="0" w:firstLine="0"/>
        <w:jc w:val="right"/>
        <w:rPr>
          <w:rFonts w:ascii="Times New Roman"/>
          <w:i/>
          <w:sz w:val="14"/>
        </w:rPr>
      </w:pPr>
      <w:r>
        <w:rPr>
          <w:rFonts w:ascii="Times New Roman"/>
          <w:i/>
          <w:sz w:val="14"/>
        </w:rPr>
        <w:t>Cetes</w:t>
      </w:r>
    </w:p>
    <w:p>
      <w:pPr>
        <w:tabs>
          <w:tab w:pos="1098" w:val="left" w:leader="none"/>
          <w:tab w:pos="1502" w:val="left" w:leader="none"/>
        </w:tabs>
        <w:spacing w:line="369" w:lineRule="exact" w:before="13"/>
        <w:ind w:left="394" w:right="0" w:firstLine="0"/>
        <w:jc w:val="left"/>
        <w:rPr>
          <w:rFonts w:ascii="Symbol" w:hAnsi="Symbol"/>
          <w:sz w:val="24"/>
        </w:rPr>
      </w:pPr>
      <w:r>
        <w:rPr/>
        <w:br w:type="column"/>
      </w:r>
      <w:r>
        <w:rPr>
          <w:rFonts w:ascii="Times New Roman" w:hAnsi="Times New Roman"/>
          <w:sz w:val="24"/>
        </w:rPr>
        <w:t>1</w:t>
      </w:r>
      <w:r>
        <w:rPr>
          <w:rFonts w:ascii="Times New Roman" w:hAnsi="Times New Roman"/>
          <w:spacing w:val="-36"/>
          <w:sz w:val="24"/>
        </w:rPr>
        <w:t> </w:t>
      </w:r>
      <w:r>
        <w:rPr>
          <w:rFonts w:ascii="Symbol" w:hAnsi="Symbol"/>
          <w:sz w:val="24"/>
        </w:rPr>
        <w:t></w:t>
      </w:r>
      <w:r>
        <w:rPr>
          <w:rFonts w:ascii="Times New Roman" w:hAnsi="Times New Roman"/>
          <w:spacing w:val="-17"/>
          <w:sz w:val="24"/>
        </w:rPr>
        <w:t> </w:t>
      </w:r>
      <w:r>
        <w:rPr>
          <w:rFonts w:ascii="Symbol" w:hAnsi="Symbol"/>
          <w:position w:val="13"/>
          <w:sz w:val="24"/>
        </w:rPr>
        <w:t></w:t>
      </w:r>
      <w:r>
        <w:rPr>
          <w:rFonts w:ascii="Times New Roman" w:hAnsi="Times New Roman"/>
          <w:position w:val="13"/>
          <w:sz w:val="24"/>
        </w:rPr>
        <w:tab/>
      </w:r>
      <w:r>
        <w:rPr>
          <w:rFonts w:ascii="Times New Roman" w:hAnsi="Times New Roman"/>
          <w:i/>
          <w:position w:val="15"/>
          <w:sz w:val="24"/>
        </w:rPr>
        <w:t>r</w:t>
        <w:tab/>
      </w:r>
      <w:r>
        <w:rPr>
          <w:rFonts w:ascii="Symbol" w:hAnsi="Symbol"/>
          <w:sz w:val="24"/>
        </w:rPr>
        <w:t></w:t>
      </w:r>
      <w:r>
        <w:rPr>
          <w:rFonts w:ascii="Times New Roman" w:hAnsi="Times New Roman"/>
          <w:spacing w:val="-18"/>
          <w:sz w:val="24"/>
        </w:rPr>
        <w:t> </w:t>
      </w:r>
      <w:r>
        <w:rPr>
          <w:rFonts w:ascii="Times New Roman" w:hAnsi="Times New Roman"/>
          <w:i/>
          <w:sz w:val="24"/>
        </w:rPr>
        <w:t>Pzo</w:t>
      </w:r>
      <w:r>
        <w:rPr>
          <w:rFonts w:ascii="Times New Roman" w:hAnsi="Times New Roman"/>
          <w:i/>
          <w:spacing w:val="-39"/>
          <w:sz w:val="24"/>
        </w:rPr>
        <w:t> </w:t>
      </w:r>
      <w:r>
        <w:rPr>
          <w:rFonts w:ascii="Symbol" w:hAnsi="Symbol"/>
          <w:position w:val="13"/>
          <w:sz w:val="24"/>
        </w:rPr>
        <w:t></w:t>
      </w:r>
    </w:p>
    <w:p>
      <w:pPr>
        <w:spacing w:after="0" w:line="369" w:lineRule="exact"/>
        <w:jc w:val="left"/>
        <w:rPr>
          <w:rFonts w:ascii="Symbol" w:hAnsi="Symbol"/>
          <w:sz w:val="24"/>
        </w:rPr>
        <w:sectPr>
          <w:type w:val="continuous"/>
          <w:pgSz w:w="12240" w:h="15840"/>
          <w:pgMar w:top="720" w:bottom="280" w:left="1560" w:right="1560"/>
          <w:cols w:num="2" w:equalWidth="0">
            <w:col w:w="3829" w:space="40"/>
            <w:col w:w="5251"/>
          </w:cols>
        </w:sectPr>
      </w:pPr>
    </w:p>
    <w:p>
      <w:pPr>
        <w:pStyle w:val="BodyText"/>
        <w:tabs>
          <w:tab w:pos="2806" w:val="left" w:leader="none"/>
        </w:tabs>
        <w:spacing w:line="277" w:lineRule="exact"/>
        <w:ind w:left="1475"/>
        <w:jc w:val="center"/>
        <w:rPr>
          <w:rFonts w:ascii="Symbol" w:hAnsi="Symbol"/>
        </w:rPr>
      </w:pPr>
      <w:r>
        <w:rPr/>
        <w:pict>
          <v:line style="position:absolute;mso-position-horizontal-relative:page;mso-position-vertical-relative:paragraph;z-index:-95608" from="313.747131pt,-2.465665pt" to="344.536087pt,-2.465665pt" stroked="true" strokeweight=".139783pt" strokecolor="#000000">
            <w10:wrap type="none"/>
          </v:line>
        </w:pict>
      </w:r>
      <w:r>
        <w:rPr/>
        <w:pict>
          <v:shape style="position:absolute;margin-left:307.297546pt;margin-top:-8.624476pt;width:4.650pt;height:12.05pt;mso-position-horizontal-relative:page;mso-position-vertical-relative:paragraph;z-index:-95584" type="#_x0000_t202" filled="false" stroked="false">
            <v:textbox inset="0,0,0,0">
              <w:txbxContent>
                <w:p>
                  <w:pPr>
                    <w:pStyle w:val="BodyText"/>
                    <w:spacing w:line="241" w:lineRule="exact"/>
                    <w:rPr>
                      <w:rFonts w:ascii="Symbol" w:hAnsi="Symbol"/>
                    </w:rPr>
                  </w:pPr>
                  <w:r>
                    <w:rPr>
                      <w:rFonts w:ascii="Symbol" w:hAnsi="Symbol"/>
                      <w:w w:val="99"/>
                    </w:rPr>
                    <w:t></w:t>
                  </w:r>
                </w:p>
              </w:txbxContent>
            </v:textbox>
            <w10:wrap type="none"/>
          </v:shape>
        </w:pict>
      </w:r>
      <w:r>
        <w:rPr/>
        <w:pict>
          <v:shape style="position:absolute;margin-left:373.874023pt;margin-top:-8.624476pt;width:4.650pt;height:12.05pt;mso-position-horizontal-relative:page;mso-position-vertical-relative:paragraph;z-index:-95560" type="#_x0000_t202" filled="false" stroked="false">
            <v:textbox inset="0,0,0,0">
              <w:txbxContent>
                <w:p>
                  <w:pPr>
                    <w:pStyle w:val="BodyText"/>
                    <w:spacing w:line="241" w:lineRule="exact"/>
                    <w:rPr>
                      <w:rFonts w:ascii="Symbol" w:hAnsi="Symbol"/>
                    </w:rPr>
                  </w:pPr>
                  <w:r>
                    <w:rPr>
                      <w:rFonts w:ascii="Symbol" w:hAnsi="Symbol"/>
                      <w:w w:val="99"/>
                    </w:rPr>
                    <w:t></w:t>
                  </w:r>
                </w:p>
              </w:txbxContent>
            </v:textbox>
            <w10:wrap type="none"/>
          </v:shape>
        </w:pict>
      </w:r>
      <w:r>
        <w:rPr>
          <w:rFonts w:ascii="Symbol" w:hAnsi="Symbol"/>
          <w:position w:val="-2"/>
        </w:rPr>
        <w:t></w:t>
      </w:r>
      <w:r>
        <w:rPr>
          <w:rFonts w:ascii="Times New Roman" w:hAnsi="Times New Roman"/>
          <w:spacing w:val="-22"/>
          <w:position w:val="-2"/>
        </w:rPr>
        <w:t> </w:t>
      </w:r>
      <w:r>
        <w:rPr>
          <w:rFonts w:ascii="Times New Roman" w:hAnsi="Times New Roman"/>
        </w:rPr>
        <w:t>36000</w:t>
        <w:tab/>
      </w:r>
      <w:r>
        <w:rPr>
          <w:rFonts w:ascii="Symbol" w:hAnsi="Symbol"/>
          <w:position w:val="-2"/>
        </w:rPr>
        <w:t></w:t>
      </w: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before="1"/>
        <w:rPr>
          <w:rFonts w:ascii="Symbol" w:hAnsi="Symbol"/>
          <w:sz w:val="26"/>
        </w:rPr>
      </w:pPr>
      <w:r>
        <w:rPr/>
        <w:pict>
          <v:line style="position:absolute;mso-position-horizontal-relative:page;mso-position-vertical-relative:paragraph;z-index:4288;mso-wrap-distance-left:0;mso-wrap-distance-right:0" from="85.103996pt,18.243481pt" to="229.123996pt,18.243481pt" stroked="true" strokeweight=".599980pt" strokecolor="#000000">
            <w10:wrap type="topAndBottom"/>
          </v:line>
        </w:pict>
      </w:r>
    </w:p>
    <w:p>
      <w:pPr>
        <w:spacing w:before="78"/>
        <w:ind w:left="142" w:right="786" w:firstLine="0"/>
        <w:jc w:val="left"/>
        <w:rPr>
          <w:sz w:val="20"/>
        </w:rPr>
      </w:pPr>
      <w:r>
        <w:rPr>
          <w:position w:val="6"/>
          <w:sz w:val="13"/>
        </w:rPr>
        <w:t>74 </w:t>
      </w:r>
      <w:r>
        <w:rPr>
          <w:sz w:val="20"/>
        </w:rPr>
        <w:t>Fuente: Administración de riesgos, BMV-Educación, 2003.</w:t>
      </w:r>
    </w:p>
    <w:p>
      <w:pPr>
        <w:spacing w:before="0"/>
        <w:ind w:left="142" w:right="786" w:firstLine="0"/>
        <w:jc w:val="left"/>
        <w:rPr>
          <w:sz w:val="20"/>
        </w:rPr>
      </w:pPr>
      <w:r>
        <w:rPr>
          <w:position w:val="6"/>
          <w:sz w:val="13"/>
        </w:rPr>
        <w:t>75 </w:t>
      </w:r>
      <w:r>
        <w:rPr>
          <w:sz w:val="20"/>
        </w:rPr>
        <w:t>Factor de riesgo: el precio de las acciones</w:t>
      </w:r>
    </w:p>
    <w:p>
      <w:pPr>
        <w:spacing w:before="0"/>
        <w:ind w:left="142" w:right="786" w:firstLine="0"/>
        <w:jc w:val="left"/>
        <w:rPr>
          <w:sz w:val="20"/>
        </w:rPr>
      </w:pPr>
      <w:r>
        <w:rPr>
          <w:position w:val="6"/>
          <w:sz w:val="13"/>
        </w:rPr>
        <w:t>76 </w:t>
      </w:r>
      <w:r>
        <w:rPr>
          <w:sz w:val="20"/>
        </w:rPr>
        <w:t>Factor de riesgo: la tasa y no el precio</w:t>
      </w:r>
    </w:p>
    <w:p>
      <w:pPr>
        <w:spacing w:after="0"/>
        <w:jc w:val="left"/>
        <w:rPr>
          <w:sz w:val="20"/>
        </w:rPr>
        <w:sectPr>
          <w:type w:val="continuous"/>
          <w:pgSz w:w="12240" w:h="15840"/>
          <w:pgMar w:top="720" w:bottom="280" w:left="1560" w:right="1560"/>
        </w:sectPr>
      </w:pPr>
    </w:p>
    <w:p>
      <w:pPr>
        <w:pStyle w:val="BodyText"/>
        <w:rPr>
          <w:sz w:val="20"/>
        </w:rPr>
      </w:pPr>
    </w:p>
    <w:p>
      <w:pPr>
        <w:pStyle w:val="BodyText"/>
        <w:rPr>
          <w:sz w:val="16"/>
        </w:rPr>
      </w:pPr>
    </w:p>
    <w:p>
      <w:pPr>
        <w:pStyle w:val="BodyText"/>
        <w:spacing w:before="70"/>
        <w:ind w:left="142" w:right="786"/>
      </w:pPr>
      <w:r>
        <w:rPr/>
        <w:t>Duración modificada de un bono cuponado</w:t>
      </w:r>
    </w:p>
    <w:p>
      <w:pPr>
        <w:spacing w:after="0"/>
        <w:sectPr>
          <w:pgSz w:w="12240" w:h="15840"/>
          <w:pgMar w:header="731" w:footer="737" w:top="1180" w:bottom="920" w:left="1560" w:right="1560"/>
        </w:sectPr>
      </w:pPr>
    </w:p>
    <w:p>
      <w:pPr>
        <w:pStyle w:val="BodyText"/>
        <w:spacing w:before="4"/>
        <w:rPr>
          <w:sz w:val="31"/>
        </w:rPr>
      </w:pPr>
    </w:p>
    <w:p>
      <w:pPr>
        <w:spacing w:before="1"/>
        <w:ind w:left="0" w:right="0" w:firstLine="0"/>
        <w:jc w:val="right"/>
        <w:rPr>
          <w:rFonts w:ascii="Times New Roman"/>
          <w:i/>
          <w:sz w:val="14"/>
        </w:rPr>
      </w:pPr>
      <w:r>
        <w:rPr>
          <w:rFonts w:ascii="Times New Roman"/>
          <w:i/>
          <w:position w:val="6"/>
          <w:sz w:val="24"/>
        </w:rPr>
        <w:t>DM </w:t>
      </w:r>
      <w:r>
        <w:rPr>
          <w:rFonts w:ascii="Times New Roman"/>
          <w:i/>
          <w:sz w:val="14"/>
        </w:rPr>
        <w:t>Bono</w:t>
      </w:r>
    </w:p>
    <w:p>
      <w:pPr>
        <w:spacing w:line="480" w:lineRule="exact" w:before="75"/>
        <w:ind w:left="0" w:right="2784" w:firstLine="0"/>
        <w:jc w:val="center"/>
        <w:rPr>
          <w:rFonts w:ascii="Symbol" w:hAnsi="Symbol"/>
          <w:sz w:val="32"/>
        </w:rPr>
      </w:pPr>
      <w:r>
        <w:rPr/>
        <w:br w:type="column"/>
      </w:r>
      <w:r>
        <w:rPr>
          <w:rFonts w:ascii="Symbol" w:hAnsi="Symbol"/>
          <w:position w:val="-18"/>
          <w:sz w:val="24"/>
        </w:rPr>
        <w:t></w:t>
      </w:r>
      <w:r>
        <w:rPr>
          <w:rFonts w:ascii="Times New Roman" w:hAnsi="Times New Roman"/>
          <w:position w:val="-18"/>
          <w:sz w:val="24"/>
        </w:rPr>
        <w:t> </w:t>
      </w:r>
      <w:r>
        <w:rPr>
          <w:rFonts w:ascii="Symbol" w:hAnsi="Symbol"/>
          <w:position w:val="-5"/>
          <w:sz w:val="36"/>
        </w:rPr>
        <w:t></w:t>
      </w:r>
      <w:r>
        <w:rPr>
          <w:rFonts w:ascii="Symbol" w:hAnsi="Symbol"/>
          <w:sz w:val="32"/>
        </w:rPr>
        <w:t></w:t>
      </w:r>
      <w:r>
        <w:rPr>
          <w:rFonts w:ascii="Times New Roman" w:hAnsi="Times New Roman"/>
          <w:i/>
          <w:sz w:val="24"/>
        </w:rPr>
        <w:t>Periodos </w:t>
      </w:r>
      <w:r>
        <w:rPr>
          <w:rFonts w:ascii="Symbol" w:hAnsi="Symbol"/>
          <w:sz w:val="24"/>
        </w:rPr>
        <w:t></w:t>
      </w:r>
      <w:r>
        <w:rPr>
          <w:rFonts w:ascii="Times New Roman" w:hAnsi="Times New Roman"/>
          <w:i/>
          <w:sz w:val="24"/>
        </w:rPr>
        <w:t>VP Flujos </w:t>
      </w:r>
      <w:r>
        <w:rPr>
          <w:rFonts w:ascii="Symbol" w:hAnsi="Symbol"/>
          <w:sz w:val="32"/>
        </w:rPr>
        <w:t></w:t>
      </w:r>
    </w:p>
    <w:p>
      <w:pPr>
        <w:spacing w:line="357" w:lineRule="exact" w:before="0"/>
        <w:ind w:left="0" w:right="2602" w:firstLine="0"/>
        <w:jc w:val="center"/>
        <w:rPr>
          <w:rFonts w:ascii="Times New Roman" w:hAnsi="Times New Roman"/>
          <w:i/>
          <w:sz w:val="24"/>
        </w:rPr>
      </w:pPr>
      <w:r>
        <w:rPr/>
        <w:pict>
          <v:line style="position:absolute;mso-position-horizontal-relative:page;mso-position-vertical-relative:paragraph;z-index:-95512" from="269.734070pt,-1.275418pt" to="392.508629pt,-1.275418pt" stroked="true" strokeweight=".140134pt" strokecolor="#000000">
            <w10:wrap type="none"/>
          </v:line>
        </w:pict>
      </w:r>
      <w:r>
        <w:rPr>
          <w:rFonts w:ascii="Symbol" w:hAnsi="Symbol"/>
          <w:position w:val="-5"/>
          <w:sz w:val="36"/>
        </w:rPr>
        <w:t></w:t>
      </w:r>
      <w:r>
        <w:rPr>
          <w:rFonts w:ascii="Times New Roman" w:hAnsi="Times New Roman"/>
          <w:i/>
          <w:sz w:val="24"/>
        </w:rPr>
        <w:t>VP Flujos</w:t>
      </w:r>
    </w:p>
    <w:p>
      <w:pPr>
        <w:spacing w:after="0" w:line="357" w:lineRule="exact"/>
        <w:jc w:val="center"/>
        <w:rPr>
          <w:rFonts w:ascii="Times New Roman" w:hAnsi="Times New Roman"/>
          <w:sz w:val="24"/>
        </w:rPr>
        <w:sectPr>
          <w:type w:val="continuous"/>
          <w:pgSz w:w="12240" w:h="15840"/>
          <w:pgMar w:top="720" w:bottom="280" w:left="1560" w:right="1560"/>
          <w:cols w:num="2" w:equalWidth="0">
            <w:col w:w="3551" w:space="40"/>
            <w:col w:w="5529"/>
          </w:cols>
        </w:sectPr>
      </w:pPr>
    </w:p>
    <w:p>
      <w:pPr>
        <w:pStyle w:val="BodyText"/>
        <w:spacing w:before="4"/>
        <w:rPr>
          <w:rFonts w:ascii="Times New Roman"/>
          <w:i/>
          <w:sz w:val="14"/>
        </w:rPr>
      </w:pPr>
    </w:p>
    <w:p>
      <w:pPr>
        <w:pStyle w:val="BodyText"/>
        <w:spacing w:before="69"/>
        <w:ind w:left="142" w:right="786"/>
      </w:pPr>
      <w:r>
        <w:rPr/>
        <w:t>Precio sucio de un bono</w:t>
      </w:r>
    </w:p>
    <w:p>
      <w:pPr>
        <w:pStyle w:val="BodyText"/>
        <w:spacing w:before="8"/>
        <w:rPr>
          <w:sz w:val="14"/>
        </w:rPr>
      </w:pPr>
    </w:p>
    <w:p>
      <w:pPr>
        <w:spacing w:after="0"/>
        <w:rPr>
          <w:sz w:val="14"/>
        </w:rPr>
        <w:sectPr>
          <w:type w:val="continuous"/>
          <w:pgSz w:w="12240" w:h="15840"/>
          <w:pgMar w:top="720" w:bottom="280" w:left="1560" w:right="1560"/>
        </w:sectPr>
      </w:pPr>
    </w:p>
    <w:p>
      <w:pPr>
        <w:pStyle w:val="BodyText"/>
        <w:spacing w:before="3"/>
        <w:rPr>
          <w:sz w:val="41"/>
        </w:rPr>
      </w:pPr>
    </w:p>
    <w:p>
      <w:pPr>
        <w:tabs>
          <w:tab w:pos="1859" w:val="left" w:leader="none"/>
        </w:tabs>
        <w:spacing w:line="313" w:lineRule="exact" w:before="0"/>
        <w:ind w:left="1076" w:right="0" w:firstLine="0"/>
        <w:jc w:val="left"/>
        <w:rPr>
          <w:rFonts w:ascii="Times New Roman" w:hAnsi="Times New Roman"/>
          <w:i/>
          <w:sz w:val="24"/>
        </w:rPr>
      </w:pPr>
      <w:r>
        <w:rPr/>
        <w:pict>
          <v:shape style="position:absolute;margin-left:151.895935pt;margin-top:9.885732pt;width:4.650pt;height:11.95pt;mso-position-horizontal-relative:page;mso-position-vertical-relative:paragraph;z-index:-95272" type="#_x0000_t202" filled="false" stroked="false">
            <v:textbox inset="0,0,0,0">
              <w:txbxContent>
                <w:p>
                  <w:pPr>
                    <w:pStyle w:val="BodyText"/>
                    <w:spacing w:line="239" w:lineRule="exact"/>
                    <w:rPr>
                      <w:rFonts w:ascii="Symbol" w:hAnsi="Symbol"/>
                    </w:rPr>
                  </w:pPr>
                  <w:r>
                    <w:rPr>
                      <w:rFonts w:ascii="Symbol" w:hAnsi="Symbol"/>
                      <w:w w:val="100"/>
                    </w:rPr>
                    <w:t></w:t>
                  </w:r>
                </w:p>
              </w:txbxContent>
            </v:textbox>
            <w10:wrap type="none"/>
          </v:shape>
        </w:pict>
      </w:r>
      <w:r>
        <w:rPr>
          <w:rFonts w:ascii="Times New Roman" w:hAnsi="Times New Roman"/>
          <w:i/>
          <w:sz w:val="24"/>
        </w:rPr>
        <w:t>P</w:t>
      </w:r>
      <w:r>
        <w:rPr>
          <w:rFonts w:ascii="Times New Roman" w:hAnsi="Times New Roman"/>
          <w:i/>
          <w:spacing w:val="6"/>
          <w:sz w:val="24"/>
        </w:rPr>
        <w:t> </w:t>
      </w:r>
      <w:r>
        <w:rPr>
          <w:rFonts w:ascii="Symbol" w:hAnsi="Symbol"/>
          <w:sz w:val="24"/>
        </w:rPr>
        <w:t></w:t>
      </w:r>
      <w:r>
        <w:rPr>
          <w:rFonts w:ascii="Times New Roman" w:hAnsi="Times New Roman"/>
          <w:spacing w:val="-6"/>
          <w:sz w:val="24"/>
        </w:rPr>
        <w:t> </w:t>
      </w:r>
      <w:r>
        <w:rPr>
          <w:rFonts w:ascii="Symbol" w:hAnsi="Symbol"/>
          <w:position w:val="13"/>
          <w:sz w:val="24"/>
        </w:rPr>
        <w:t></w:t>
      </w:r>
      <w:r>
        <w:rPr>
          <w:rFonts w:ascii="Times New Roman" w:hAnsi="Times New Roman"/>
          <w:position w:val="13"/>
          <w:sz w:val="24"/>
        </w:rPr>
        <w:tab/>
      </w:r>
      <w:r>
        <w:rPr>
          <w:rFonts w:ascii="Times New Roman" w:hAnsi="Times New Roman"/>
          <w:i/>
          <w:position w:val="15"/>
          <w:sz w:val="24"/>
        </w:rPr>
        <w:t>r</w:t>
      </w:r>
    </w:p>
    <w:p>
      <w:pPr>
        <w:pStyle w:val="BodyText"/>
        <w:spacing w:before="6"/>
        <w:rPr>
          <w:rFonts w:ascii="Times New Roman"/>
          <w:i/>
          <w:sz w:val="41"/>
        </w:rPr>
      </w:pPr>
      <w:r>
        <w:rPr/>
        <w:br w:type="column"/>
      </w:r>
      <w:r>
        <w:rPr>
          <w:rFonts w:ascii="Times New Roman"/>
          <w:i/>
          <w:sz w:val="41"/>
        </w:rPr>
      </w:r>
    </w:p>
    <w:p>
      <w:pPr>
        <w:pStyle w:val="ListParagraph"/>
        <w:numPr>
          <w:ilvl w:val="1"/>
          <w:numId w:val="20"/>
        </w:numPr>
        <w:tabs>
          <w:tab w:pos="435" w:val="left" w:leader="none"/>
        </w:tabs>
        <w:spacing w:line="310" w:lineRule="exact" w:before="0" w:after="0"/>
        <w:ind w:left="434" w:right="0" w:hanging="164"/>
        <w:jc w:val="left"/>
        <w:rPr>
          <w:rFonts w:ascii="Symbol" w:hAnsi="Symbol"/>
          <w:sz w:val="24"/>
        </w:rPr>
      </w:pPr>
      <w:r>
        <w:rPr/>
        <w:pict>
          <v:shape style="position:absolute;margin-left:213.292084pt;margin-top:9.747060pt;width:4.650pt;height:11.95pt;mso-position-horizontal-relative:page;mso-position-vertical-relative:paragraph;z-index:-95248" type="#_x0000_t202" filled="false" stroked="false">
            <v:textbox inset="0,0,0,0">
              <w:txbxContent>
                <w:p>
                  <w:pPr>
                    <w:pStyle w:val="BodyText"/>
                    <w:spacing w:line="239" w:lineRule="exact"/>
                    <w:rPr>
                      <w:rFonts w:ascii="Symbol" w:hAnsi="Symbol"/>
                    </w:rPr>
                  </w:pPr>
                  <w:r>
                    <w:rPr>
                      <w:rFonts w:ascii="Symbol" w:hAnsi="Symbol"/>
                      <w:w w:val="100"/>
                    </w:rPr>
                    <w:t></w:t>
                  </w:r>
                </w:p>
              </w:txbxContent>
            </v:textbox>
            <w10:wrap type="none"/>
          </v:shape>
        </w:pict>
      </w:r>
      <w:r>
        <w:rPr>
          <w:rFonts w:ascii="Times New Roman" w:hAnsi="Times New Roman"/>
          <w:i/>
          <w:spacing w:val="-3"/>
          <w:sz w:val="24"/>
        </w:rPr>
        <w:t>Pc</w:t>
      </w:r>
      <w:r>
        <w:rPr>
          <w:rFonts w:ascii="Times New Roman" w:hAnsi="Times New Roman"/>
          <w:i/>
          <w:spacing w:val="-31"/>
          <w:sz w:val="24"/>
        </w:rPr>
        <w:t> </w:t>
      </w:r>
      <w:r>
        <w:rPr>
          <w:rFonts w:ascii="Symbol" w:hAnsi="Symbol"/>
          <w:position w:val="13"/>
          <w:sz w:val="24"/>
        </w:rPr>
        <w:t></w:t>
      </w:r>
    </w:p>
    <w:p>
      <w:pPr>
        <w:spacing w:line="262" w:lineRule="exact" w:before="54"/>
        <w:ind w:left="117" w:right="-12" w:firstLine="0"/>
        <w:jc w:val="left"/>
        <w:rPr>
          <w:rFonts w:ascii="Symbol" w:hAnsi="Symbol"/>
          <w:sz w:val="24"/>
        </w:rPr>
      </w:pPr>
      <w:r>
        <w:rPr/>
        <w:br w:type="column"/>
      </w:r>
      <w:r>
        <w:rPr>
          <w:rFonts w:ascii="Symbol" w:hAnsi="Symbol"/>
          <w:sz w:val="24"/>
        </w:rPr>
        <w:t></w:t>
      </w:r>
    </w:p>
    <w:p>
      <w:pPr>
        <w:spacing w:line="214" w:lineRule="exact" w:before="0"/>
        <w:ind w:left="0" w:right="674" w:firstLine="0"/>
        <w:jc w:val="center"/>
        <w:rPr>
          <w:rFonts w:ascii="Symbol" w:hAnsi="Symbol"/>
          <w:sz w:val="24"/>
        </w:rPr>
      </w:pPr>
      <w:r>
        <w:rPr>
          <w:rFonts w:ascii="Times New Roman" w:hAnsi="Times New Roman"/>
          <w:i/>
          <w:position w:val="-2"/>
          <w:sz w:val="14"/>
        </w:rPr>
        <w:t>f  </w:t>
      </w:r>
      <w:r>
        <w:rPr>
          <w:rFonts w:ascii="Symbol" w:hAnsi="Symbol"/>
          <w:sz w:val="24"/>
        </w:rPr>
        <w:t></w:t>
      </w:r>
    </w:p>
    <w:p>
      <w:pPr>
        <w:spacing w:line="258" w:lineRule="exact" w:before="0"/>
        <w:ind w:left="117" w:right="-12" w:firstLine="0"/>
        <w:jc w:val="left"/>
        <w:rPr>
          <w:rFonts w:ascii="Times New Roman" w:hAnsi="Times New Roman"/>
          <w:i/>
          <w:sz w:val="24"/>
        </w:rPr>
      </w:pPr>
      <w:r>
        <w:rPr>
          <w:rFonts w:ascii="Symbol" w:hAnsi="Symbol"/>
          <w:spacing w:val="-8"/>
          <w:position w:val="9"/>
          <w:sz w:val="24"/>
        </w:rPr>
        <w:t></w:t>
      </w:r>
      <w:r>
        <w:rPr>
          <w:rFonts w:ascii="Times New Roman" w:hAnsi="Times New Roman"/>
          <w:i/>
          <w:spacing w:val="-8"/>
          <w:sz w:val="24"/>
        </w:rPr>
        <w:t>VN </w:t>
      </w:r>
      <w:r>
        <w:rPr>
          <w:rFonts w:ascii="Symbol" w:hAnsi="Symbol"/>
          <w:sz w:val="24"/>
        </w:rPr>
        <w:t></w:t>
      </w:r>
      <w:r>
        <w:rPr>
          <w:rFonts w:ascii="Times New Roman" w:hAnsi="Times New Roman"/>
          <w:sz w:val="24"/>
        </w:rPr>
        <w:t> </w:t>
      </w:r>
      <w:r>
        <w:rPr>
          <w:rFonts w:ascii="Times New Roman" w:hAnsi="Times New Roman"/>
          <w:i/>
          <w:position w:val="15"/>
          <w:sz w:val="24"/>
        </w:rPr>
        <w:t>C</w:t>
      </w:r>
    </w:p>
    <w:p>
      <w:pPr>
        <w:spacing w:line="224" w:lineRule="exact" w:before="74"/>
        <w:ind w:left="28" w:right="127" w:firstLine="0"/>
        <w:jc w:val="center"/>
        <w:rPr>
          <w:rFonts w:ascii="Symbol" w:hAnsi="Symbol"/>
          <w:sz w:val="24"/>
        </w:rPr>
      </w:pPr>
      <w:r>
        <w:rPr/>
        <w:br w:type="column"/>
      </w:r>
      <w:r>
        <w:rPr>
          <w:rFonts w:ascii="Symbol" w:hAnsi="Symbol"/>
          <w:sz w:val="24"/>
        </w:rPr>
        <w:t></w:t>
      </w:r>
    </w:p>
    <w:p>
      <w:pPr>
        <w:pStyle w:val="BodyText"/>
        <w:spacing w:line="192" w:lineRule="exact"/>
        <w:ind w:right="99"/>
        <w:jc w:val="center"/>
        <w:rPr>
          <w:rFonts w:ascii="Symbol" w:hAnsi="Symbol"/>
        </w:rPr>
      </w:pPr>
      <w:r>
        <w:rPr>
          <w:rFonts w:ascii="Symbol" w:hAnsi="Symbol"/>
          <w:w w:val="100"/>
        </w:rPr>
        <w:t></w:t>
      </w:r>
    </w:p>
    <w:p>
      <w:pPr>
        <w:pStyle w:val="BodyText"/>
        <w:spacing w:line="298" w:lineRule="exact"/>
        <w:ind w:left="28"/>
        <w:jc w:val="center"/>
        <w:rPr>
          <w:rFonts w:ascii="Symbol" w:hAnsi="Symbol"/>
        </w:rPr>
      </w:pPr>
      <w:r>
        <w:rPr/>
        <w:pict>
          <v:shape style="position:absolute;margin-left:275.406311pt;margin-top:12.115468pt;width:4.650pt;height:11.95pt;mso-position-horizontal-relative:page;mso-position-vertical-relative:paragraph;z-index:-95224" type="#_x0000_t202" filled="false" stroked="false">
            <v:textbox inset="0,0,0,0">
              <w:txbxContent>
                <w:p>
                  <w:pPr>
                    <w:pStyle w:val="BodyText"/>
                    <w:spacing w:line="239" w:lineRule="exact"/>
                    <w:rPr>
                      <w:rFonts w:ascii="Symbol" w:hAnsi="Symbol"/>
                    </w:rPr>
                  </w:pPr>
                  <w:r>
                    <w:rPr>
                      <w:rFonts w:ascii="Symbol" w:hAnsi="Symbol"/>
                      <w:w w:val="100"/>
                    </w:rPr>
                    <w:t></w:t>
                  </w:r>
                </w:p>
              </w:txbxContent>
            </v:textbox>
            <w10:wrap type="none"/>
          </v:shape>
        </w:pict>
      </w:r>
      <w:r>
        <w:rPr>
          <w:rFonts w:ascii="Symbol" w:hAnsi="Symbol"/>
        </w:rPr>
        <w:t></w:t>
      </w:r>
      <w:r>
        <w:rPr>
          <w:rFonts w:ascii="Symbol" w:hAnsi="Symbol"/>
          <w:position w:val="15"/>
        </w:rPr>
        <w:t></w:t>
      </w:r>
      <w:r>
        <w:rPr>
          <w:rFonts w:ascii="Times New Roman" w:hAnsi="Times New Roman"/>
        </w:rPr>
        <w:t>1 </w:t>
      </w:r>
      <w:r>
        <w:rPr>
          <w:rFonts w:ascii="Symbol" w:hAnsi="Symbol"/>
        </w:rPr>
        <w:t></w:t>
      </w:r>
    </w:p>
    <w:p>
      <w:pPr>
        <w:tabs>
          <w:tab w:pos="3590" w:val="left" w:leader="none"/>
        </w:tabs>
        <w:spacing w:line="244" w:lineRule="exact" w:before="54"/>
        <w:ind w:left="1645" w:right="0" w:firstLine="0"/>
        <w:jc w:val="left"/>
        <w:rPr>
          <w:rFonts w:ascii="Symbol" w:hAnsi="Symbol"/>
          <w:sz w:val="24"/>
        </w:rPr>
      </w:pPr>
      <w:r>
        <w:rPr/>
        <w:br w:type="column"/>
      </w:r>
      <w:r>
        <w:rPr>
          <w:rFonts w:ascii="Symbol" w:hAnsi="Symbol"/>
          <w:sz w:val="24"/>
        </w:rPr>
        <w:t></w:t>
      </w:r>
      <w:r>
        <w:rPr>
          <w:rFonts w:ascii="Times New Roman" w:hAnsi="Times New Roman"/>
          <w:sz w:val="24"/>
        </w:rPr>
        <w:tab/>
      </w:r>
      <w:r>
        <w:rPr>
          <w:rFonts w:ascii="Symbol" w:hAnsi="Symbol"/>
          <w:position w:val="2"/>
          <w:sz w:val="24"/>
        </w:rPr>
        <w:t></w:t>
      </w:r>
    </w:p>
    <w:p>
      <w:pPr>
        <w:pStyle w:val="BodyText"/>
        <w:tabs>
          <w:tab w:pos="3590" w:val="left" w:leader="none"/>
        </w:tabs>
        <w:spacing w:line="221" w:lineRule="exact"/>
        <w:ind w:left="1645"/>
        <w:rPr>
          <w:rFonts w:ascii="Symbol" w:hAnsi="Symbol"/>
        </w:rPr>
      </w:pPr>
      <w:r>
        <w:rPr>
          <w:rFonts w:ascii="Symbol" w:hAnsi="Symbol"/>
        </w:rPr>
        <w:t></w:t>
      </w:r>
      <w:r>
        <w:rPr>
          <w:rFonts w:ascii="Times New Roman" w:hAnsi="Times New Roman"/>
        </w:rPr>
        <w:tab/>
      </w:r>
      <w:r>
        <w:rPr>
          <w:rFonts w:ascii="Symbol" w:hAnsi="Symbol"/>
          <w:position w:val="-5"/>
        </w:rPr>
        <w:t></w:t>
      </w:r>
    </w:p>
    <w:p>
      <w:pPr>
        <w:tabs>
          <w:tab w:pos="1645" w:val="left" w:leader="none"/>
          <w:tab w:pos="2598" w:val="left" w:leader="none"/>
          <w:tab w:pos="3590" w:val="left" w:leader="none"/>
        </w:tabs>
        <w:spacing w:line="190" w:lineRule="exact" w:before="0"/>
        <w:ind w:left="752" w:right="0" w:firstLine="0"/>
        <w:jc w:val="left"/>
        <w:rPr>
          <w:rFonts w:ascii="Symbol" w:hAnsi="Symbol"/>
          <w:sz w:val="24"/>
        </w:rPr>
      </w:pPr>
      <w:r>
        <w:rPr>
          <w:rFonts w:ascii="Times New Roman" w:hAnsi="Times New Roman"/>
          <w:sz w:val="24"/>
        </w:rPr>
        <w:t>1</w:t>
        <w:tab/>
      </w:r>
      <w:r>
        <w:rPr>
          <w:rFonts w:ascii="Symbol" w:hAnsi="Symbol"/>
          <w:sz w:val="24"/>
        </w:rPr>
        <w:t></w:t>
      </w:r>
      <w:r>
        <w:rPr>
          <w:rFonts w:ascii="Times New Roman" w:hAnsi="Times New Roman"/>
          <w:sz w:val="24"/>
        </w:rPr>
        <w:tab/>
      </w:r>
      <w:r>
        <w:rPr>
          <w:rFonts w:ascii="Times New Roman" w:hAnsi="Times New Roman"/>
          <w:i/>
          <w:spacing w:val="-3"/>
          <w:sz w:val="24"/>
        </w:rPr>
        <w:t>VN</w:t>
        <w:tab/>
      </w:r>
      <w:r>
        <w:rPr>
          <w:rFonts w:ascii="Symbol" w:hAnsi="Symbol"/>
          <w:position w:val="-5"/>
          <w:sz w:val="24"/>
        </w:rPr>
        <w:t></w:t>
      </w:r>
    </w:p>
    <w:p>
      <w:pPr>
        <w:pStyle w:val="BodyText"/>
        <w:spacing w:line="78" w:lineRule="exact"/>
        <w:ind w:left="1619" w:right="2813"/>
        <w:jc w:val="center"/>
        <w:rPr>
          <w:rFonts w:ascii="Symbol" w:hAnsi="Symbol"/>
        </w:rPr>
      </w:pPr>
      <w:r>
        <w:rPr/>
        <w:pict>
          <v:line style="position:absolute;mso-position-horizontal-relative:page;mso-position-vertical-relative:paragraph;z-index:4504" from="296.878296pt,4.244042pt" to="377.081644pt,4.244042pt" stroked="true" strokeweight=".137948pt" strokecolor="#000000">
            <w10:wrap type="none"/>
          </v:line>
        </w:pict>
      </w:r>
      <w:r>
        <w:rPr/>
        <w:pict>
          <v:line style="position:absolute;mso-position-horizontal-relative:page;mso-position-vertical-relative:paragraph;z-index:4552" from="394.873596pt,4.244042pt" to="475.086917pt,4.244042pt" stroked="true" strokeweight=".137948pt" strokecolor="#000000">
            <w10:wrap type="none"/>
          </v:line>
        </w:pict>
      </w:r>
      <w:r>
        <w:rPr/>
        <w:pict>
          <v:shape style="position:absolute;margin-left:475.575592pt;margin-top:3.920275pt;width:4.650pt;height:11.95pt;mso-position-horizontal-relative:page;mso-position-vertical-relative:paragraph;z-index:-95056" type="#_x0000_t202" filled="false" stroked="false">
            <v:textbox inset="0,0,0,0">
              <w:txbxContent>
                <w:p>
                  <w:pPr>
                    <w:pStyle w:val="BodyText"/>
                    <w:spacing w:line="239" w:lineRule="exact"/>
                    <w:rPr>
                      <w:rFonts w:ascii="Symbol" w:hAnsi="Symbol"/>
                    </w:rPr>
                  </w:pPr>
                  <w:r>
                    <w:rPr>
                      <w:rFonts w:ascii="Symbol" w:hAnsi="Symbol"/>
                      <w:w w:val="100"/>
                    </w:rPr>
                    <w:t></w:t>
                  </w:r>
                </w:p>
              </w:txbxContent>
            </v:textbox>
            <w10:wrap type="none"/>
          </v:shape>
        </w:pict>
      </w:r>
      <w:r>
        <w:rPr>
          <w:rFonts w:ascii="Symbol" w:hAnsi="Symbol"/>
          <w:position w:val="-7"/>
        </w:rPr>
        <w:t></w:t>
      </w:r>
      <w:r>
        <w:rPr>
          <w:rFonts w:ascii="Times New Roman" w:hAnsi="Times New Roman"/>
          <w:position w:val="-7"/>
        </w:rPr>
        <w:t> </w:t>
      </w:r>
      <w:r>
        <w:rPr>
          <w:rFonts w:ascii="Symbol" w:hAnsi="Symbol"/>
        </w:rPr>
        <w:t></w:t>
      </w:r>
    </w:p>
    <w:p>
      <w:pPr>
        <w:spacing w:after="0" w:line="78" w:lineRule="exact"/>
        <w:jc w:val="center"/>
        <w:rPr>
          <w:rFonts w:ascii="Symbol" w:hAnsi="Symbol"/>
        </w:rPr>
        <w:sectPr>
          <w:type w:val="continuous"/>
          <w:pgSz w:w="12240" w:h="15840"/>
          <w:pgMar w:top="720" w:bottom="280" w:left="1560" w:right="1560"/>
          <w:cols w:num="5" w:equalWidth="0">
            <w:col w:w="1954" w:space="40"/>
            <w:col w:w="806" w:space="40"/>
            <w:col w:w="892" w:space="40"/>
            <w:col w:w="552" w:space="40"/>
            <w:col w:w="4756"/>
          </w:cols>
        </w:sectPr>
      </w:pPr>
    </w:p>
    <w:p>
      <w:pPr>
        <w:pStyle w:val="BodyText"/>
        <w:tabs>
          <w:tab w:pos="1227" w:val="left" w:leader="none"/>
        </w:tabs>
        <w:spacing w:line="257" w:lineRule="exact"/>
        <w:jc w:val="right"/>
        <w:rPr>
          <w:rFonts w:ascii="Symbol" w:hAnsi="Symbol"/>
        </w:rPr>
      </w:pPr>
      <w:r>
        <w:rPr/>
        <w:pict>
          <v:line style="position:absolute;mso-position-horizontal-relative:page;mso-position-vertical-relative:paragraph;z-index:-95488" from="158.348511pt,.323767pt" to="189.170252pt,.323767pt" stroked="true" strokeweight=".137948pt" strokecolor="#000000">
            <w10:wrap type="none"/>
          </v:line>
        </w:pict>
      </w:r>
      <w:r>
        <w:rPr>
          <w:rFonts w:ascii="Symbol" w:hAnsi="Symbol"/>
          <w:position w:val="-2"/>
        </w:rPr>
        <w:t></w:t>
      </w:r>
      <w:r>
        <w:rPr>
          <w:rFonts w:ascii="Times New Roman" w:hAnsi="Times New Roman"/>
          <w:spacing w:val="-21"/>
          <w:position w:val="-2"/>
        </w:rPr>
        <w:t> </w:t>
      </w:r>
      <w:r>
        <w:rPr>
          <w:rFonts w:ascii="Times New Roman" w:hAnsi="Times New Roman"/>
        </w:rPr>
        <w:t>36000</w:t>
        <w:tab/>
      </w:r>
      <w:r>
        <w:rPr>
          <w:rFonts w:ascii="Symbol" w:hAnsi="Symbol"/>
          <w:position w:val="-2"/>
        </w:rPr>
        <w:t></w:t>
      </w:r>
      <w:r>
        <w:rPr>
          <w:rFonts w:ascii="Times New Roman" w:hAnsi="Times New Roman"/>
          <w:position w:val="-2"/>
        </w:rPr>
        <w:t> </w:t>
      </w:r>
      <w:r>
        <w:rPr>
          <w:rFonts w:ascii="Times New Roman" w:hAnsi="Times New Roman"/>
          <w:spacing w:val="38"/>
          <w:position w:val="-2"/>
        </w:rPr>
        <w:t> </w:t>
      </w:r>
      <w:r>
        <w:rPr>
          <w:rFonts w:ascii="Symbol" w:hAnsi="Symbol"/>
          <w:position w:val="5"/>
        </w:rPr>
        <w:t></w:t>
      </w:r>
    </w:p>
    <w:p>
      <w:pPr>
        <w:pStyle w:val="BodyText"/>
        <w:spacing w:line="188" w:lineRule="exact"/>
        <w:jc w:val="right"/>
        <w:rPr>
          <w:rFonts w:ascii="Symbol" w:hAnsi="Symbol"/>
        </w:rPr>
      </w:pPr>
      <w:r>
        <w:rPr>
          <w:rFonts w:ascii="Symbol" w:hAnsi="Symbol"/>
          <w:w w:val="100"/>
        </w:rPr>
        <w:t></w:t>
      </w:r>
    </w:p>
    <w:p>
      <w:pPr>
        <w:pStyle w:val="BodyText"/>
        <w:spacing w:line="302" w:lineRule="exact"/>
        <w:jc w:val="right"/>
        <w:rPr>
          <w:rFonts w:ascii="Symbol" w:hAnsi="Symbol"/>
        </w:rPr>
      </w:pPr>
      <w:r>
        <w:rPr>
          <w:rFonts w:ascii="Symbol" w:hAnsi="Symbol"/>
        </w:rPr>
        <w:t></w:t>
      </w:r>
      <w:r>
        <w:rPr>
          <w:rFonts w:ascii="Symbol" w:hAnsi="Symbol"/>
          <w:position w:val="-3"/>
        </w:rPr>
        <w:t></w:t>
      </w:r>
    </w:p>
    <w:p>
      <w:pPr>
        <w:pStyle w:val="BodyText"/>
        <w:spacing w:line="20" w:lineRule="exact"/>
        <w:ind w:left="474"/>
        <w:rPr>
          <w:rFonts w:ascii="Symbol" w:hAnsi="Symbol"/>
          <w:sz w:val="2"/>
        </w:rPr>
      </w:pPr>
      <w:r>
        <w:rPr/>
        <w:br w:type="column"/>
      </w:r>
      <w:r>
        <w:rPr>
          <w:rFonts w:ascii="Symbol" w:hAnsi="Symbol"/>
          <w:sz w:val="2"/>
        </w:rPr>
        <w:pict>
          <v:group style="width:9.85pt;height:.15pt;mso-position-horizontal-relative:char;mso-position-vertical-relative:line" coordorigin="0,0" coordsize="197,3">
            <v:line style="position:absolute" from="2,2" to="195,2" stroked="true" strokeweight=".137948pt" strokecolor="#000000"/>
          </v:group>
        </w:pict>
      </w:r>
      <w:r>
        <w:rPr>
          <w:rFonts w:ascii="Symbol" w:hAnsi="Symbol"/>
          <w:sz w:val="2"/>
        </w:rPr>
      </w:r>
    </w:p>
    <w:p>
      <w:pPr>
        <w:tabs>
          <w:tab w:pos="1291" w:val="left" w:leader="none"/>
        </w:tabs>
        <w:spacing w:line="256" w:lineRule="exact" w:before="3"/>
        <w:ind w:left="516" w:right="0" w:firstLine="0"/>
        <w:jc w:val="left"/>
        <w:rPr>
          <w:rFonts w:ascii="Symbol" w:hAnsi="Symbol"/>
          <w:sz w:val="24"/>
        </w:rPr>
      </w:pPr>
      <w:r>
        <w:rPr/>
        <w:pict>
          <v:shape style="position:absolute;margin-left:275.406311pt;margin-top:7.640751pt;width:4.650pt;height:11.95pt;mso-position-horizontal-relative:page;mso-position-vertical-relative:paragraph;z-index:-95128" type="#_x0000_t202" filled="false" stroked="false">
            <v:textbox inset="0,0,0,0">
              <w:txbxContent>
                <w:p>
                  <w:pPr>
                    <w:pStyle w:val="BodyText"/>
                    <w:spacing w:line="239" w:lineRule="exact"/>
                    <w:rPr>
                      <w:rFonts w:ascii="Symbol" w:hAnsi="Symbol"/>
                    </w:rPr>
                  </w:pPr>
                  <w:r>
                    <w:rPr>
                      <w:rFonts w:ascii="Symbol" w:hAnsi="Symbol"/>
                      <w:w w:val="100"/>
                    </w:rPr>
                    <w:t></w:t>
                  </w:r>
                </w:p>
              </w:txbxContent>
            </v:textbox>
            <w10:wrap type="none"/>
          </v:shape>
        </w:pict>
      </w:r>
      <w:r>
        <w:rPr>
          <w:rFonts w:ascii="Times New Roman" w:hAnsi="Times New Roman"/>
          <w:i/>
          <w:sz w:val="24"/>
        </w:rPr>
        <w:t>r</w:t>
        <w:tab/>
      </w:r>
      <w:r>
        <w:rPr>
          <w:rFonts w:ascii="Symbol" w:hAnsi="Symbol"/>
          <w:position w:val="-5"/>
          <w:sz w:val="24"/>
        </w:rPr>
        <w:t></w:t>
      </w:r>
    </w:p>
    <w:p>
      <w:pPr>
        <w:pStyle w:val="BodyText"/>
        <w:tabs>
          <w:tab w:pos="1291" w:val="left" w:leader="none"/>
        </w:tabs>
        <w:spacing w:line="214" w:lineRule="exact"/>
        <w:ind w:left="858"/>
        <w:rPr>
          <w:rFonts w:ascii="Symbol" w:hAnsi="Symbol"/>
        </w:rPr>
      </w:pPr>
      <w:r>
        <w:rPr>
          <w:rFonts w:ascii="Symbol" w:hAnsi="Symbol"/>
          <w:position w:val="-5"/>
        </w:rPr>
        <w:t></w:t>
      </w:r>
      <w:r>
        <w:rPr>
          <w:rFonts w:ascii="Times New Roman" w:hAnsi="Times New Roman"/>
          <w:position w:val="-5"/>
        </w:rPr>
        <w:tab/>
      </w:r>
      <w:r>
        <w:rPr>
          <w:rFonts w:ascii="Symbol" w:hAnsi="Symbol"/>
        </w:rPr>
        <w:t></w:t>
      </w:r>
      <w:r>
        <w:rPr>
          <w:rFonts w:ascii="Times New Roman" w:hAnsi="Times New Roman"/>
          <w:position w:val="2"/>
        </w:rPr>
        <w:t>1</w:t>
      </w:r>
      <w:r>
        <w:rPr>
          <w:rFonts w:ascii="Times New Roman" w:hAnsi="Times New Roman"/>
          <w:spacing w:val="-33"/>
          <w:position w:val="2"/>
        </w:rPr>
        <w:t> </w:t>
      </w:r>
      <w:r>
        <w:rPr>
          <w:rFonts w:ascii="Symbol" w:hAnsi="Symbol"/>
          <w:position w:val="2"/>
        </w:rPr>
        <w:t></w:t>
      </w:r>
    </w:p>
    <w:p>
      <w:pPr>
        <w:pStyle w:val="BodyText"/>
        <w:tabs>
          <w:tab w:pos="1291" w:val="left" w:leader="none"/>
        </w:tabs>
        <w:spacing w:line="235" w:lineRule="exact"/>
        <w:ind w:left="858"/>
        <w:rPr>
          <w:rFonts w:ascii="Symbol" w:hAnsi="Symbol"/>
        </w:rPr>
      </w:pPr>
      <w:r>
        <w:rPr>
          <w:rFonts w:ascii="Symbol" w:hAnsi="Symbol"/>
        </w:rPr>
        <w:t></w:t>
      </w:r>
      <w:r>
        <w:rPr>
          <w:rFonts w:ascii="Times New Roman" w:hAnsi="Times New Roman"/>
        </w:rPr>
        <w:tab/>
      </w:r>
      <w:r>
        <w:rPr>
          <w:rFonts w:ascii="Symbol" w:hAnsi="Symbol"/>
          <w:position w:val="2"/>
        </w:rPr>
        <w:t></w:t>
      </w:r>
    </w:p>
    <w:p>
      <w:pPr>
        <w:spacing w:before="65"/>
        <w:ind w:left="12" w:right="0" w:firstLine="0"/>
        <w:jc w:val="center"/>
        <w:rPr>
          <w:rFonts w:ascii="Times New Roman"/>
          <w:i/>
          <w:sz w:val="24"/>
        </w:rPr>
      </w:pPr>
      <w:r>
        <w:rPr/>
        <w:br w:type="column"/>
      </w:r>
      <w:r>
        <w:rPr>
          <w:rFonts w:ascii="Times New Roman"/>
          <w:i/>
          <w:sz w:val="24"/>
        </w:rPr>
        <w:t>r</w:t>
      </w:r>
    </w:p>
    <w:p>
      <w:pPr>
        <w:pStyle w:val="BodyText"/>
        <w:spacing w:before="61"/>
        <w:ind w:left="22"/>
        <w:jc w:val="center"/>
        <w:rPr>
          <w:rFonts w:ascii="Times New Roman"/>
        </w:rPr>
      </w:pPr>
      <w:r>
        <w:rPr/>
        <w:pict>
          <v:line style="position:absolute;mso-position-horizontal-relative:page;mso-position-vertical-relative:paragraph;z-index:4480" from="318.639526pt,2.200996pt" to="349.456281pt,2.200996pt" stroked="true" strokeweight=".137948pt" strokecolor="#000000">
            <w10:wrap type="none"/>
          </v:line>
        </w:pict>
      </w:r>
      <w:r>
        <w:rPr>
          <w:rFonts w:ascii="Times New Roman"/>
        </w:rPr>
        <w:t>36000</w:t>
      </w:r>
    </w:p>
    <w:p>
      <w:pPr>
        <w:spacing w:line="108" w:lineRule="exact" w:before="14"/>
        <w:ind w:left="401" w:right="0" w:firstLine="0"/>
        <w:jc w:val="left"/>
        <w:rPr>
          <w:rFonts w:ascii="Times New Roman"/>
          <w:i/>
          <w:sz w:val="14"/>
        </w:rPr>
      </w:pPr>
      <w:r>
        <w:rPr/>
        <w:br w:type="column"/>
      </w:r>
      <w:r>
        <w:rPr>
          <w:rFonts w:ascii="Times New Roman"/>
          <w:i/>
          <w:sz w:val="14"/>
        </w:rPr>
        <w:t>n</w:t>
      </w:r>
    </w:p>
    <w:p>
      <w:pPr>
        <w:spacing w:line="341" w:lineRule="exact" w:before="0"/>
        <w:ind w:left="0" w:right="0" w:firstLine="0"/>
        <w:jc w:val="right"/>
        <w:rPr>
          <w:rFonts w:ascii="Symbol" w:hAnsi="Symbol"/>
          <w:sz w:val="24"/>
        </w:rPr>
      </w:pPr>
      <w:r>
        <w:rPr/>
        <w:pict>
          <v:shape style="position:absolute;margin-left:365.512909pt;margin-top:7.096793pt;width:4.650pt;height:11.95pt;mso-position-horizontal-relative:page;mso-position-vertical-relative:paragraph;z-index:-95200" type="#_x0000_t202" filled="false" stroked="false">
            <v:textbox inset="0,0,0,0">
              <w:txbxContent>
                <w:p>
                  <w:pPr>
                    <w:pStyle w:val="BodyText"/>
                    <w:spacing w:line="239" w:lineRule="exact"/>
                    <w:rPr>
                      <w:rFonts w:ascii="Symbol" w:hAnsi="Symbol"/>
                    </w:rPr>
                  </w:pPr>
                  <w:r>
                    <w:rPr>
                      <w:rFonts w:ascii="Symbol" w:hAnsi="Symbol"/>
                      <w:w w:val="100"/>
                    </w:rPr>
                    <w:t></w:t>
                  </w:r>
                </w:p>
              </w:txbxContent>
            </v:textbox>
            <w10:wrap type="none"/>
          </v:shape>
        </w:pict>
      </w:r>
      <w:r>
        <w:rPr/>
        <w:pict>
          <v:shape style="position:absolute;margin-left:365.512909pt;margin-top:16.890196pt;width:4.650pt;height:11.95pt;mso-position-horizontal-relative:page;mso-position-vertical-relative:paragraph;z-index:-95104" type="#_x0000_t202" filled="false" stroked="false">
            <v:textbox inset="0,0,0,0">
              <w:txbxContent>
                <w:p>
                  <w:pPr>
                    <w:pStyle w:val="BodyText"/>
                    <w:spacing w:line="239" w:lineRule="exact"/>
                    <w:rPr>
                      <w:rFonts w:ascii="Symbol" w:hAnsi="Symbol"/>
                    </w:rPr>
                  </w:pPr>
                  <w:r>
                    <w:rPr>
                      <w:rFonts w:ascii="Symbol" w:hAnsi="Symbol"/>
                      <w:w w:val="100"/>
                    </w:rPr>
                    <w:t></w:t>
                  </w:r>
                </w:p>
              </w:txbxContent>
            </v:textbox>
            <w10:wrap type="none"/>
          </v:shape>
        </w:pict>
      </w:r>
      <w:r>
        <w:rPr/>
        <w:pict>
          <v:shape style="position:absolute;margin-left:378.318298pt;margin-top:10.213427pt;width:4.650pt;height:11.95pt;mso-position-horizontal-relative:page;mso-position-vertical-relative:paragraph;z-index:-95080" type="#_x0000_t202" filled="false" stroked="false">
            <v:textbox inset="0,0,0,0">
              <w:txbxContent>
                <w:p>
                  <w:pPr>
                    <w:pStyle w:val="BodyText"/>
                    <w:spacing w:line="239" w:lineRule="exact"/>
                    <w:rPr>
                      <w:rFonts w:ascii="Symbol" w:hAnsi="Symbol"/>
                    </w:rPr>
                  </w:pPr>
                  <w:r>
                    <w:rPr>
                      <w:rFonts w:ascii="Symbol" w:hAnsi="Symbol"/>
                      <w:w w:val="100"/>
                    </w:rPr>
                    <w:t></w:t>
                  </w:r>
                </w:p>
              </w:txbxContent>
            </v:textbox>
            <w10:wrap type="none"/>
          </v:shape>
        </w:pict>
      </w:r>
      <w:r>
        <w:rPr>
          <w:rFonts w:ascii="Times New Roman" w:hAnsi="Times New Roman"/>
          <w:i/>
          <w:sz w:val="24"/>
        </w:rPr>
        <w:t>Pc </w:t>
      </w:r>
      <w:r>
        <w:rPr>
          <w:rFonts w:ascii="Symbol" w:hAnsi="Symbol"/>
          <w:position w:val="13"/>
          <w:sz w:val="24"/>
        </w:rPr>
        <w:t></w:t>
      </w:r>
      <w:r>
        <w:rPr>
          <w:rFonts w:ascii="Times New Roman" w:hAnsi="Times New Roman"/>
          <w:position w:val="13"/>
          <w:sz w:val="24"/>
        </w:rPr>
        <w:t>  </w:t>
      </w:r>
      <w:r>
        <w:rPr>
          <w:rFonts w:ascii="Symbol" w:hAnsi="Symbol"/>
          <w:position w:val="7"/>
          <w:sz w:val="24"/>
        </w:rPr>
        <w:t></w:t>
      </w:r>
    </w:p>
    <w:p>
      <w:pPr>
        <w:pStyle w:val="BodyText"/>
        <w:spacing w:line="265" w:lineRule="exact"/>
        <w:jc w:val="right"/>
        <w:rPr>
          <w:rFonts w:ascii="Symbol" w:hAnsi="Symbol"/>
        </w:rPr>
      </w:pPr>
      <w:r>
        <w:rPr>
          <w:rFonts w:ascii="Symbol" w:hAnsi="Symbol"/>
          <w:w w:val="100"/>
        </w:rPr>
        <w:t></w:t>
      </w:r>
    </w:p>
    <w:p>
      <w:pPr>
        <w:spacing w:line="214" w:lineRule="exact" w:before="65"/>
        <w:ind w:left="183" w:right="258" w:firstLine="0"/>
        <w:jc w:val="center"/>
        <w:rPr>
          <w:rFonts w:ascii="Symbol" w:hAnsi="Symbol"/>
          <w:sz w:val="24"/>
        </w:rPr>
      </w:pPr>
      <w:r>
        <w:rPr/>
        <w:br w:type="column"/>
      </w:r>
      <w:r>
        <w:rPr>
          <w:rFonts w:ascii="Symbol" w:hAnsi="Symbol"/>
          <w:sz w:val="24"/>
        </w:rPr>
        <w:t></w:t>
      </w:r>
    </w:p>
    <w:p>
      <w:pPr>
        <w:pStyle w:val="BodyText"/>
        <w:spacing w:line="185" w:lineRule="exact"/>
        <w:ind w:left="201" w:right="-17"/>
        <w:rPr>
          <w:rFonts w:ascii="Symbol" w:hAnsi="Symbol"/>
        </w:rPr>
      </w:pPr>
      <w:r>
        <w:rPr>
          <w:rFonts w:ascii="Symbol" w:hAnsi="Symbol"/>
        </w:rPr>
        <w:t></w:t>
      </w:r>
      <w:r>
        <w:rPr>
          <w:rFonts w:ascii="Times New Roman" w:hAnsi="Times New Roman"/>
          <w:position w:val="2"/>
        </w:rPr>
        <w:t>1</w:t>
      </w:r>
      <w:r>
        <w:rPr>
          <w:rFonts w:ascii="Times New Roman" w:hAnsi="Times New Roman"/>
          <w:spacing w:val="-33"/>
          <w:position w:val="2"/>
        </w:rPr>
        <w:t> </w:t>
      </w:r>
      <w:r>
        <w:rPr>
          <w:rFonts w:ascii="Symbol" w:hAnsi="Symbol"/>
          <w:position w:val="2"/>
        </w:rPr>
        <w:t></w:t>
      </w:r>
    </w:p>
    <w:p>
      <w:pPr>
        <w:pStyle w:val="BodyText"/>
        <w:spacing w:line="245" w:lineRule="exact"/>
        <w:ind w:right="75"/>
        <w:jc w:val="center"/>
        <w:rPr>
          <w:rFonts w:ascii="Symbol" w:hAnsi="Symbol"/>
        </w:rPr>
      </w:pPr>
      <w:r>
        <w:rPr>
          <w:rFonts w:ascii="Symbol" w:hAnsi="Symbol"/>
          <w:w w:val="100"/>
        </w:rPr>
        <w:t></w:t>
      </w:r>
    </w:p>
    <w:p>
      <w:pPr>
        <w:spacing w:before="65"/>
        <w:ind w:left="11" w:right="0" w:firstLine="0"/>
        <w:jc w:val="center"/>
        <w:rPr>
          <w:rFonts w:ascii="Times New Roman"/>
          <w:i/>
          <w:sz w:val="24"/>
        </w:rPr>
      </w:pPr>
      <w:r>
        <w:rPr/>
        <w:br w:type="column"/>
      </w:r>
      <w:r>
        <w:rPr>
          <w:rFonts w:ascii="Times New Roman"/>
          <w:i/>
          <w:sz w:val="24"/>
        </w:rPr>
        <w:t>r</w:t>
      </w:r>
    </w:p>
    <w:p>
      <w:pPr>
        <w:pStyle w:val="BodyText"/>
        <w:spacing w:before="61"/>
        <w:ind w:left="22"/>
        <w:jc w:val="center"/>
        <w:rPr>
          <w:rFonts w:ascii="Times New Roman"/>
        </w:rPr>
      </w:pPr>
      <w:r>
        <w:rPr/>
        <w:pict>
          <v:line style="position:absolute;mso-position-horizontal-relative:page;mso-position-vertical-relative:paragraph;z-index:4528" from="416.634796pt,2.200996pt" to="447.461524pt,2.200996pt" stroked="true" strokeweight=".137948pt" strokecolor="#000000">
            <w10:wrap type="none"/>
          </v:line>
        </w:pict>
      </w:r>
      <w:r>
        <w:rPr>
          <w:rFonts w:ascii="Times New Roman"/>
        </w:rPr>
        <w:t>36000</w:t>
      </w:r>
    </w:p>
    <w:p>
      <w:pPr>
        <w:spacing w:line="108" w:lineRule="exact" w:before="14"/>
        <w:ind w:left="243" w:right="1067" w:firstLine="0"/>
        <w:jc w:val="center"/>
        <w:rPr>
          <w:rFonts w:ascii="Times New Roman"/>
          <w:i/>
          <w:sz w:val="14"/>
        </w:rPr>
      </w:pPr>
      <w:r>
        <w:rPr/>
        <w:br w:type="column"/>
      </w:r>
      <w:r>
        <w:rPr>
          <w:rFonts w:ascii="Times New Roman"/>
          <w:i/>
          <w:sz w:val="14"/>
        </w:rPr>
        <w:t>n</w:t>
      </w:r>
    </w:p>
    <w:p>
      <w:pPr>
        <w:spacing w:line="331" w:lineRule="exact" w:before="0"/>
        <w:ind w:left="13" w:right="0" w:firstLine="0"/>
        <w:jc w:val="left"/>
        <w:rPr>
          <w:rFonts w:ascii="Symbol" w:hAnsi="Symbol"/>
          <w:sz w:val="24"/>
        </w:rPr>
      </w:pPr>
      <w:r>
        <w:rPr/>
        <w:pict>
          <v:shape style="position:absolute;margin-left:463.518158pt;margin-top:7.096793pt;width:4.650pt;height:11.95pt;mso-position-horizontal-relative:page;mso-position-vertical-relative:paragraph;z-index:-95176" type="#_x0000_t202" filled="false" stroked="false">
            <v:textbox inset="0,0,0,0">
              <w:txbxContent>
                <w:p>
                  <w:pPr>
                    <w:pStyle w:val="BodyText"/>
                    <w:spacing w:line="239" w:lineRule="exact"/>
                    <w:rPr>
                      <w:rFonts w:ascii="Symbol" w:hAnsi="Symbol"/>
                    </w:rPr>
                  </w:pPr>
                  <w:r>
                    <w:rPr>
                      <w:rFonts w:ascii="Symbol" w:hAnsi="Symbol"/>
                      <w:w w:val="100"/>
                    </w:rPr>
                    <w:t></w:t>
                  </w:r>
                </w:p>
              </w:txbxContent>
            </v:textbox>
            <w10:wrap type="none"/>
          </v:shape>
        </w:pict>
      </w:r>
      <w:r>
        <w:rPr>
          <w:rFonts w:ascii="Times New Roman" w:hAnsi="Times New Roman"/>
          <w:i/>
          <w:sz w:val="24"/>
        </w:rPr>
        <w:t>Pc </w:t>
      </w:r>
      <w:r>
        <w:rPr>
          <w:rFonts w:ascii="Symbol" w:hAnsi="Symbol"/>
          <w:position w:val="13"/>
          <w:sz w:val="24"/>
        </w:rPr>
        <w:t></w:t>
      </w:r>
      <w:r>
        <w:rPr>
          <w:rFonts w:ascii="Times New Roman" w:hAnsi="Times New Roman"/>
          <w:position w:val="13"/>
          <w:sz w:val="24"/>
        </w:rPr>
        <w:t>  </w:t>
      </w:r>
      <w:r>
        <w:rPr>
          <w:rFonts w:ascii="Symbol" w:hAnsi="Symbol"/>
          <w:position w:val="2"/>
          <w:sz w:val="24"/>
        </w:rPr>
        <w:t></w:t>
      </w:r>
    </w:p>
    <w:p>
      <w:pPr>
        <w:pStyle w:val="BodyText"/>
        <w:spacing w:line="295" w:lineRule="exact"/>
        <w:ind w:left="285" w:right="1067"/>
        <w:jc w:val="center"/>
        <w:rPr>
          <w:rFonts w:ascii="Symbol" w:hAnsi="Symbol"/>
        </w:rPr>
      </w:pPr>
      <w:r>
        <w:rPr>
          <w:rFonts w:ascii="Symbol" w:hAnsi="Symbol"/>
        </w:rPr>
        <w:t></w:t>
      </w:r>
      <w:r>
        <w:rPr>
          <w:rFonts w:ascii="Times New Roman" w:hAnsi="Times New Roman"/>
        </w:rPr>
        <w:t>  </w:t>
      </w:r>
      <w:r>
        <w:rPr>
          <w:rFonts w:ascii="Symbol" w:hAnsi="Symbol"/>
          <w:spacing w:val="-47"/>
        </w:rPr>
        <w:t></w:t>
      </w:r>
      <w:r>
        <w:rPr>
          <w:rFonts w:ascii="Symbol" w:hAnsi="Symbol"/>
          <w:spacing w:val="-47"/>
          <w:position w:val="-3"/>
        </w:rPr>
        <w:t></w:t>
      </w:r>
    </w:p>
    <w:p>
      <w:pPr>
        <w:spacing w:after="0" w:line="295" w:lineRule="exact"/>
        <w:jc w:val="center"/>
        <w:rPr>
          <w:rFonts w:ascii="Symbol" w:hAnsi="Symbol"/>
        </w:rPr>
        <w:sectPr>
          <w:type w:val="continuous"/>
          <w:pgSz w:w="12240" w:h="15840"/>
          <w:pgMar w:top="720" w:bottom="280" w:left="1560" w:right="1560"/>
          <w:cols w:num="7" w:equalWidth="0">
            <w:col w:w="3050" w:space="40"/>
            <w:col w:w="1665" w:space="40"/>
            <w:col w:w="627" w:space="40"/>
            <w:col w:w="640" w:space="40"/>
            <w:col w:w="575" w:space="40"/>
            <w:col w:w="627" w:space="40"/>
            <w:col w:w="1696"/>
          </w:cols>
        </w:sectPr>
      </w:pPr>
    </w:p>
    <w:p>
      <w:pPr>
        <w:pStyle w:val="BodyText"/>
        <w:spacing w:before="9"/>
        <w:rPr>
          <w:rFonts w:ascii="Symbol" w:hAnsi="Symbol"/>
          <w:sz w:val="13"/>
        </w:rPr>
      </w:pPr>
    </w:p>
    <w:p>
      <w:pPr>
        <w:spacing w:after="0"/>
        <w:rPr>
          <w:rFonts w:ascii="Symbol" w:hAnsi="Symbol"/>
          <w:sz w:val="13"/>
        </w:rPr>
        <w:sectPr>
          <w:type w:val="continuous"/>
          <w:pgSz w:w="12240" w:h="15840"/>
          <w:pgMar w:top="720" w:bottom="280" w:left="1560" w:right="1560"/>
        </w:sectPr>
      </w:pPr>
    </w:p>
    <w:p>
      <w:pPr>
        <w:spacing w:before="74"/>
        <w:ind w:left="142" w:right="0" w:firstLine="0"/>
        <w:jc w:val="left"/>
        <w:rPr>
          <w:sz w:val="20"/>
        </w:rPr>
      </w:pPr>
      <w:r>
        <w:rPr>
          <w:w w:val="95"/>
          <w:sz w:val="20"/>
        </w:rPr>
        <w:t>Donde:</w:t>
      </w:r>
    </w:p>
    <w:p>
      <w:pPr>
        <w:pStyle w:val="BodyText"/>
        <w:spacing w:before="6"/>
        <w:rPr>
          <w:sz w:val="26"/>
        </w:rPr>
      </w:pPr>
      <w:r>
        <w:rPr/>
        <w:br w:type="column"/>
      </w:r>
      <w:r>
        <w:rPr>
          <w:sz w:val="26"/>
        </w:rPr>
      </w:r>
    </w:p>
    <w:p>
      <w:pPr>
        <w:spacing w:before="0"/>
        <w:ind w:left="24" w:right="0" w:firstLine="0"/>
        <w:jc w:val="left"/>
        <w:rPr>
          <w:sz w:val="20"/>
        </w:rPr>
      </w:pPr>
      <w:r>
        <w:rPr>
          <w:sz w:val="20"/>
        </w:rPr>
        <w:t>r: Tasa de rendimiento (Yield)</w:t>
      </w:r>
    </w:p>
    <w:p>
      <w:pPr>
        <w:spacing w:line="191" w:lineRule="exact" w:before="38"/>
        <w:ind w:left="1454" w:right="0" w:firstLine="0"/>
        <w:jc w:val="left"/>
        <w:rPr>
          <w:rFonts w:ascii="Symbol" w:hAnsi="Symbol"/>
          <w:sz w:val="23"/>
        </w:rPr>
      </w:pPr>
      <w:r>
        <w:rPr>
          <w:rFonts w:ascii="Symbol" w:hAnsi="Symbol"/>
          <w:w w:val="105"/>
          <w:position w:val="-1"/>
          <w:sz w:val="23"/>
        </w:rPr>
        <w:t></w:t>
      </w:r>
      <w:r>
        <w:rPr>
          <w:rFonts w:ascii="Times New Roman" w:hAnsi="Times New Roman"/>
          <w:w w:val="105"/>
          <w:position w:val="-1"/>
          <w:sz w:val="23"/>
        </w:rPr>
        <w:t> </w:t>
      </w:r>
      <w:r>
        <w:rPr>
          <w:rFonts w:ascii="Times New Roman" w:hAnsi="Times New Roman"/>
          <w:i/>
          <w:w w:val="105"/>
          <w:sz w:val="17"/>
        </w:rPr>
        <w:t>Dtc </w:t>
      </w:r>
      <w:r>
        <w:rPr>
          <w:rFonts w:ascii="Symbol" w:hAnsi="Symbol"/>
          <w:w w:val="105"/>
          <w:position w:val="-1"/>
          <w:sz w:val="23"/>
        </w:rPr>
        <w:t></w:t>
      </w:r>
    </w:p>
    <w:p>
      <w:pPr>
        <w:spacing w:after="0" w:line="191" w:lineRule="exact"/>
        <w:jc w:val="left"/>
        <w:rPr>
          <w:rFonts w:ascii="Symbol" w:hAnsi="Symbol"/>
          <w:sz w:val="23"/>
        </w:rPr>
        <w:sectPr>
          <w:type w:val="continuous"/>
          <w:pgSz w:w="12240" w:h="15840"/>
          <w:pgMar w:top="720" w:bottom="280" w:left="1560" w:right="1560"/>
          <w:cols w:num="2" w:equalWidth="0">
            <w:col w:w="786" w:space="40"/>
            <w:col w:w="8294"/>
          </w:cols>
        </w:sectPr>
      </w:pPr>
    </w:p>
    <w:p>
      <w:pPr>
        <w:tabs>
          <w:tab w:pos="2734" w:val="left" w:leader="none"/>
        </w:tabs>
        <w:spacing w:line="179" w:lineRule="exact" w:before="0"/>
        <w:ind w:left="850" w:right="157" w:firstLine="0"/>
        <w:jc w:val="left"/>
        <w:rPr>
          <w:sz w:val="20"/>
        </w:rPr>
      </w:pPr>
      <w:r>
        <w:rPr/>
        <w:pict>
          <v:line style="position:absolute;mso-position-horizontal-relative:page;mso-position-vertical-relative:paragraph;z-index:-95368" from="198.518448pt,5.645123pt" to="213.454045pt,5.645123pt" stroked="true" strokeweight=".136247pt" strokecolor="#000000">
            <w10:wrap type="none"/>
          </v:line>
        </w:pict>
      </w:r>
      <w:r>
        <w:rPr>
          <w:sz w:val="20"/>
        </w:rPr>
        <w:t>f: </w:t>
      </w:r>
      <w:r>
        <w:rPr>
          <w:rFonts w:ascii="Times New Roman" w:hAnsi="Times New Roman"/>
          <w:sz w:val="17"/>
        </w:rPr>
        <w:t>1 </w:t>
      </w:r>
      <w:r>
        <w:rPr>
          <w:rFonts w:ascii="Symbol" w:hAnsi="Symbol"/>
          <w:sz w:val="17"/>
        </w:rPr>
        <w:t></w:t>
      </w:r>
      <w:r>
        <w:rPr>
          <w:rFonts w:ascii="Times New Roman" w:hAnsi="Times New Roman"/>
          <w:sz w:val="17"/>
        </w:rPr>
        <w:t> </w:t>
      </w:r>
      <w:r>
        <w:rPr>
          <w:rFonts w:ascii="Times New Roman" w:hAnsi="Times New Roman"/>
          <w:i/>
          <w:spacing w:val="-4"/>
          <w:sz w:val="17"/>
        </w:rPr>
        <w:t>Fracción  </w:t>
      </w:r>
      <w:r>
        <w:rPr>
          <w:rFonts w:ascii="Times New Roman" w:hAnsi="Times New Roman"/>
          <w:i/>
          <w:spacing w:val="31"/>
          <w:sz w:val="17"/>
        </w:rPr>
        <w:t> </w:t>
      </w:r>
      <w:r>
        <w:rPr>
          <w:rFonts w:ascii="Times New Roman" w:hAnsi="Times New Roman"/>
          <w:i/>
          <w:sz w:val="17"/>
        </w:rPr>
        <w:t>de</w:t>
      </w:r>
      <w:r>
        <w:rPr>
          <w:rFonts w:ascii="Times New Roman" w:hAnsi="Times New Roman"/>
          <w:i/>
          <w:spacing w:val="31"/>
          <w:sz w:val="17"/>
        </w:rPr>
        <w:t> </w:t>
      </w:r>
      <w:r>
        <w:rPr>
          <w:rFonts w:ascii="Symbol" w:hAnsi="Symbol"/>
          <w:position w:val="-2"/>
          <w:sz w:val="23"/>
        </w:rPr>
        <w:t></w:t>
      </w:r>
      <w:r>
        <w:rPr>
          <w:rFonts w:ascii="Times New Roman" w:hAnsi="Times New Roman"/>
          <w:position w:val="-2"/>
          <w:sz w:val="23"/>
        </w:rPr>
        <w:tab/>
      </w:r>
      <w:r>
        <w:rPr>
          <w:rFonts w:ascii="Symbol" w:hAnsi="Symbol"/>
          <w:position w:val="-2"/>
          <w:sz w:val="23"/>
        </w:rPr>
        <w:t></w:t>
      </w:r>
      <w:r>
        <w:rPr>
          <w:rFonts w:ascii="Times New Roman" w:hAnsi="Times New Roman"/>
          <w:spacing w:val="-43"/>
          <w:position w:val="-2"/>
          <w:sz w:val="23"/>
        </w:rPr>
        <w:t> </w:t>
      </w:r>
      <w:r>
        <w:rPr>
          <w:sz w:val="20"/>
        </w:rPr>
        <w:t>; (Nota: f = 0 cuando el precio se obtiene en el corte del cupón).</w:t>
      </w:r>
    </w:p>
    <w:p>
      <w:pPr>
        <w:spacing w:line="242" w:lineRule="exact" w:before="0"/>
        <w:ind w:left="2280" w:right="786" w:firstLine="0"/>
        <w:jc w:val="left"/>
        <w:rPr>
          <w:rFonts w:ascii="Symbol" w:hAnsi="Symbol"/>
          <w:sz w:val="23"/>
        </w:rPr>
      </w:pPr>
      <w:r>
        <w:rPr>
          <w:rFonts w:ascii="Symbol" w:hAnsi="Symbol"/>
          <w:w w:val="105"/>
          <w:position w:val="-1"/>
          <w:sz w:val="23"/>
        </w:rPr>
        <w:t></w:t>
      </w:r>
      <w:r>
        <w:rPr>
          <w:rFonts w:ascii="Times New Roman" w:hAnsi="Times New Roman"/>
          <w:w w:val="105"/>
          <w:position w:val="-1"/>
          <w:sz w:val="23"/>
        </w:rPr>
        <w:t> </w:t>
      </w:r>
      <w:r>
        <w:rPr>
          <w:rFonts w:ascii="Times New Roman" w:hAnsi="Times New Roman"/>
          <w:i/>
          <w:w w:val="105"/>
          <w:sz w:val="17"/>
        </w:rPr>
        <w:t>Pc  </w:t>
      </w:r>
      <w:r>
        <w:rPr>
          <w:rFonts w:ascii="Symbol" w:hAnsi="Symbol"/>
          <w:w w:val="105"/>
          <w:position w:val="-1"/>
          <w:sz w:val="23"/>
        </w:rPr>
        <w:t></w:t>
      </w:r>
    </w:p>
    <w:p>
      <w:pPr>
        <w:tabs>
          <w:tab w:pos="3780" w:val="left" w:leader="none"/>
        </w:tabs>
        <w:spacing w:line="191" w:lineRule="exact" w:before="60"/>
        <w:ind w:left="1909" w:right="786" w:firstLine="0"/>
        <w:jc w:val="left"/>
        <w:rPr>
          <w:rFonts w:ascii="Times New Roman" w:hAnsi="Times New Roman"/>
          <w:i/>
          <w:sz w:val="18"/>
        </w:rPr>
      </w:pPr>
      <w:r>
        <w:rPr>
          <w:rFonts w:ascii="Symbol" w:hAnsi="Symbol"/>
          <w:w w:val="105"/>
          <w:position w:val="-1"/>
          <w:sz w:val="23"/>
        </w:rPr>
        <w:t></w:t>
      </w:r>
      <w:r>
        <w:rPr>
          <w:rFonts w:ascii="Times New Roman" w:hAnsi="Times New Roman"/>
          <w:spacing w:val="-6"/>
          <w:w w:val="105"/>
          <w:position w:val="-1"/>
          <w:sz w:val="23"/>
        </w:rPr>
        <w:t> </w:t>
      </w:r>
      <w:r>
        <w:rPr>
          <w:rFonts w:ascii="Times New Roman" w:hAnsi="Times New Roman"/>
          <w:i/>
          <w:spacing w:val="-6"/>
          <w:w w:val="105"/>
          <w:sz w:val="17"/>
        </w:rPr>
        <w:t>Dv</w:t>
      </w:r>
      <w:r>
        <w:rPr>
          <w:rFonts w:ascii="Times New Roman" w:hAnsi="Times New Roman"/>
          <w:i/>
          <w:spacing w:val="9"/>
          <w:w w:val="105"/>
          <w:sz w:val="17"/>
        </w:rPr>
        <w:t> </w:t>
      </w:r>
      <w:r>
        <w:rPr>
          <w:rFonts w:ascii="Symbol" w:hAnsi="Symbol"/>
          <w:w w:val="105"/>
          <w:position w:val="-1"/>
          <w:sz w:val="23"/>
        </w:rPr>
        <w:t></w:t>
      </w:r>
      <w:r>
        <w:rPr>
          <w:rFonts w:ascii="Times New Roman" w:hAnsi="Times New Roman"/>
          <w:w w:val="105"/>
          <w:position w:val="-1"/>
          <w:sz w:val="23"/>
        </w:rPr>
        <w:tab/>
      </w:r>
      <w:r>
        <w:rPr>
          <w:rFonts w:ascii="Times New Roman" w:hAnsi="Times New Roman"/>
          <w:i/>
          <w:spacing w:val="-9"/>
          <w:w w:val="105"/>
          <w:position w:val="1"/>
          <w:sz w:val="18"/>
        </w:rPr>
        <w:t>Dv</w:t>
      </w:r>
    </w:p>
    <w:p>
      <w:pPr>
        <w:tabs>
          <w:tab w:pos="2310" w:val="left" w:leader="none"/>
          <w:tab w:pos="4107" w:val="left" w:leader="none"/>
        </w:tabs>
        <w:spacing w:line="179" w:lineRule="exact" w:before="0"/>
        <w:ind w:left="850" w:right="157" w:firstLine="0"/>
        <w:jc w:val="left"/>
        <w:rPr>
          <w:sz w:val="20"/>
        </w:rPr>
      </w:pPr>
      <w:r>
        <w:rPr/>
        <w:pict>
          <v:line style="position:absolute;mso-position-horizontal-relative:page;mso-position-vertical-relative:paragraph;z-index:-95344" from="179.919434pt,5.645123pt" to="192.274666pt,5.645123pt" stroked="true" strokeweight=".136247pt" strokecolor="#000000">
            <w10:wrap type="none"/>
          </v:line>
        </w:pict>
      </w:r>
      <w:r>
        <w:rPr/>
        <w:pict>
          <v:line style="position:absolute;mso-position-horizontal-relative:page;mso-position-vertical-relative:paragraph;z-index:-95320" from="266.157166pt,5.175941pt" to="278.588076pt,5.175941pt" stroked="true" strokeweight=".139830pt" strokecolor="#000000">
            <w10:wrap type="none"/>
          </v:line>
        </w:pict>
      </w:r>
      <w:r>
        <w:rPr>
          <w:sz w:val="20"/>
        </w:rPr>
        <w:t>n:  </w:t>
      </w:r>
      <w:r>
        <w:rPr>
          <w:rFonts w:ascii="Times New Roman" w:hAnsi="Times New Roman"/>
          <w:i/>
          <w:spacing w:val="-2"/>
          <w:sz w:val="17"/>
        </w:rPr>
        <w:t>Entero </w:t>
      </w:r>
      <w:r>
        <w:rPr>
          <w:rFonts w:ascii="Times New Roman" w:hAnsi="Times New Roman"/>
          <w:i/>
          <w:sz w:val="17"/>
        </w:rPr>
        <w:t> de</w:t>
      </w:r>
      <w:r>
        <w:rPr>
          <w:rFonts w:ascii="Times New Roman" w:hAnsi="Times New Roman"/>
          <w:i/>
          <w:spacing w:val="28"/>
          <w:sz w:val="17"/>
        </w:rPr>
        <w:t> </w:t>
      </w:r>
      <w:r>
        <w:rPr>
          <w:rFonts w:ascii="Symbol" w:hAnsi="Symbol"/>
          <w:position w:val="-2"/>
          <w:sz w:val="23"/>
        </w:rPr>
        <w:t></w:t>
      </w:r>
      <w:r>
        <w:rPr>
          <w:rFonts w:ascii="Times New Roman" w:hAnsi="Times New Roman"/>
          <w:position w:val="-2"/>
          <w:sz w:val="23"/>
        </w:rPr>
        <w:tab/>
      </w:r>
      <w:r>
        <w:rPr>
          <w:rFonts w:ascii="Symbol" w:hAnsi="Symbol"/>
          <w:position w:val="-2"/>
          <w:sz w:val="23"/>
        </w:rPr>
        <w:t></w:t>
      </w:r>
      <w:r>
        <w:rPr>
          <w:rFonts w:ascii="Times New Roman" w:hAnsi="Times New Roman"/>
          <w:position w:val="-2"/>
          <w:sz w:val="23"/>
        </w:rPr>
        <w:t> </w:t>
      </w:r>
      <w:r>
        <w:rPr>
          <w:rFonts w:ascii="Symbol" w:hAnsi="Symbol"/>
          <w:sz w:val="17"/>
        </w:rPr>
        <w:t></w:t>
      </w:r>
      <w:r>
        <w:rPr>
          <w:rFonts w:ascii="Times New Roman" w:hAnsi="Times New Roman"/>
          <w:sz w:val="17"/>
        </w:rPr>
        <w:t> 1 </w:t>
      </w:r>
      <w:r>
        <w:rPr>
          <w:sz w:val="20"/>
        </w:rPr>
        <w:t>; (Nota:</w:t>
      </w:r>
      <w:r>
        <w:rPr>
          <w:spacing w:val="1"/>
          <w:sz w:val="20"/>
        </w:rPr>
        <w:t> </w:t>
      </w:r>
      <w:r>
        <w:rPr>
          <w:rFonts w:ascii="Times New Roman" w:hAnsi="Times New Roman"/>
          <w:i/>
          <w:position w:val="1"/>
          <w:sz w:val="18"/>
        </w:rPr>
        <w:t>n</w:t>
      </w:r>
      <w:r>
        <w:rPr>
          <w:rFonts w:ascii="Times New Roman" w:hAnsi="Times New Roman"/>
          <w:i/>
          <w:spacing w:val="17"/>
          <w:position w:val="1"/>
          <w:sz w:val="18"/>
        </w:rPr>
        <w:t> </w:t>
      </w:r>
      <w:r>
        <w:rPr>
          <w:rFonts w:ascii="Symbol" w:hAnsi="Symbol"/>
          <w:position w:val="1"/>
          <w:sz w:val="18"/>
        </w:rPr>
        <w:t></w:t>
      </w:r>
      <w:r>
        <w:rPr>
          <w:rFonts w:ascii="Times New Roman" w:hAnsi="Times New Roman"/>
          <w:position w:val="1"/>
          <w:sz w:val="18"/>
        </w:rPr>
        <w:tab/>
      </w:r>
      <w:r>
        <w:rPr>
          <w:sz w:val="20"/>
        </w:rPr>
        <w:t>cuando el precio se obtiene en el corte del</w:t>
      </w:r>
      <w:r>
        <w:rPr>
          <w:spacing w:val="-18"/>
          <w:sz w:val="20"/>
        </w:rPr>
        <w:t> </w:t>
      </w:r>
      <w:r>
        <w:rPr>
          <w:sz w:val="20"/>
        </w:rPr>
        <w:t>cupón).</w:t>
      </w:r>
    </w:p>
    <w:p>
      <w:pPr>
        <w:tabs>
          <w:tab w:pos="3790" w:val="left" w:leader="none"/>
        </w:tabs>
        <w:spacing w:line="242" w:lineRule="exact" w:before="0"/>
        <w:ind w:left="1909" w:right="786" w:firstLine="0"/>
        <w:jc w:val="left"/>
        <w:rPr>
          <w:rFonts w:ascii="Times New Roman" w:hAnsi="Times New Roman"/>
          <w:i/>
          <w:sz w:val="18"/>
        </w:rPr>
      </w:pPr>
      <w:r>
        <w:rPr>
          <w:rFonts w:ascii="Symbol" w:hAnsi="Symbol"/>
          <w:w w:val="105"/>
          <w:position w:val="-1"/>
          <w:sz w:val="23"/>
        </w:rPr>
        <w:t></w:t>
      </w:r>
      <w:r>
        <w:rPr>
          <w:rFonts w:ascii="Times New Roman" w:hAnsi="Times New Roman"/>
          <w:spacing w:val="2"/>
          <w:w w:val="105"/>
          <w:position w:val="-1"/>
          <w:sz w:val="23"/>
        </w:rPr>
        <w:t> </w:t>
      </w:r>
      <w:r>
        <w:rPr>
          <w:rFonts w:ascii="Times New Roman" w:hAnsi="Times New Roman"/>
          <w:i/>
          <w:w w:val="105"/>
          <w:sz w:val="17"/>
        </w:rPr>
        <w:t>Pc</w:t>
      </w:r>
      <w:r>
        <w:rPr>
          <w:rFonts w:ascii="Times New Roman" w:hAnsi="Times New Roman"/>
          <w:i/>
          <w:spacing w:val="10"/>
          <w:w w:val="105"/>
          <w:sz w:val="17"/>
        </w:rPr>
        <w:t> </w:t>
      </w:r>
      <w:r>
        <w:rPr>
          <w:rFonts w:ascii="Symbol" w:hAnsi="Symbol"/>
          <w:w w:val="105"/>
          <w:position w:val="-1"/>
          <w:sz w:val="23"/>
        </w:rPr>
        <w:t></w:t>
      </w:r>
      <w:r>
        <w:rPr>
          <w:rFonts w:ascii="Times New Roman" w:hAnsi="Times New Roman"/>
          <w:w w:val="105"/>
          <w:position w:val="-1"/>
          <w:sz w:val="23"/>
        </w:rPr>
        <w:tab/>
      </w:r>
      <w:r>
        <w:rPr>
          <w:rFonts w:ascii="Times New Roman" w:hAnsi="Times New Roman"/>
          <w:i/>
          <w:w w:val="105"/>
          <w:position w:val="1"/>
          <w:sz w:val="18"/>
        </w:rPr>
        <w:t>Pc</w:t>
      </w:r>
    </w:p>
    <w:p>
      <w:pPr>
        <w:spacing w:before="22"/>
        <w:ind w:left="850" w:right="786" w:firstLine="0"/>
        <w:jc w:val="left"/>
        <w:rPr>
          <w:sz w:val="20"/>
        </w:rPr>
      </w:pPr>
      <w:r>
        <w:rPr>
          <w:sz w:val="20"/>
        </w:rPr>
        <w:t>Pc: Periodo del cupón</w:t>
      </w:r>
    </w:p>
    <w:p>
      <w:pPr>
        <w:spacing w:before="0"/>
        <w:ind w:left="850" w:right="4443" w:firstLine="0"/>
        <w:jc w:val="left"/>
        <w:rPr>
          <w:sz w:val="20"/>
        </w:rPr>
      </w:pPr>
      <w:r>
        <w:rPr>
          <w:sz w:val="20"/>
        </w:rPr>
        <w:t>Dtc: Días transcurridos del cupón actual Dv: Días de vencimiento</w:t>
      </w:r>
    </w:p>
    <w:p>
      <w:pPr>
        <w:spacing w:before="0"/>
        <w:ind w:left="850" w:right="6638" w:firstLine="0"/>
        <w:jc w:val="left"/>
        <w:rPr>
          <w:sz w:val="20"/>
        </w:rPr>
      </w:pPr>
      <w:r>
        <w:rPr>
          <w:sz w:val="20"/>
        </w:rPr>
        <w:t>VN: Valor nominal C: Tasa cupón</w:t>
      </w:r>
    </w:p>
    <w:p>
      <w:pPr>
        <w:pStyle w:val="BodyText"/>
        <w:rPr>
          <w:sz w:val="21"/>
        </w:rPr>
      </w:pPr>
    </w:p>
    <w:p>
      <w:pPr>
        <w:pStyle w:val="BodyText"/>
        <w:spacing w:before="1"/>
        <w:ind w:left="142" w:right="786"/>
      </w:pPr>
      <w:r>
        <w:rPr/>
        <w:t>Precio limpio: Precio sucio </w:t>
      </w:r>
      <w:r>
        <w:rPr>
          <w:rFonts w:ascii="Symbol" w:hAnsi="Symbol"/>
        </w:rPr>
        <w:t></w:t>
      </w:r>
      <w:r>
        <w:rPr>
          <w:rFonts w:ascii="Times New Roman" w:hAnsi="Times New Roman"/>
        </w:rPr>
        <w:t> </w:t>
      </w:r>
      <w:r>
        <w:rPr/>
        <w:t>Precio devengado</w:t>
      </w:r>
    </w:p>
    <w:p>
      <w:pPr>
        <w:pStyle w:val="BodyText"/>
        <w:spacing w:before="8"/>
        <w:rPr>
          <w:sz w:val="19"/>
        </w:rPr>
      </w:pPr>
    </w:p>
    <w:p>
      <w:pPr>
        <w:spacing w:after="0"/>
        <w:rPr>
          <w:sz w:val="19"/>
        </w:rPr>
        <w:sectPr>
          <w:type w:val="continuous"/>
          <w:pgSz w:w="12240" w:h="15840"/>
          <w:pgMar w:top="720" w:bottom="280" w:left="1560" w:right="1560"/>
        </w:sectPr>
      </w:pPr>
    </w:p>
    <w:p>
      <w:pPr>
        <w:pStyle w:val="BodyText"/>
        <w:spacing w:line="221" w:lineRule="exact" w:before="208"/>
        <w:ind w:left="142" w:right="-11"/>
      </w:pPr>
      <w:r>
        <w:rPr/>
        <w:t>Intereses devengados</w:t>
      </w:r>
      <w:r>
        <w:rPr>
          <w:spacing w:val="-10"/>
        </w:rPr>
        <w:t> </w:t>
      </w:r>
      <w:r>
        <w:rPr/>
        <w:t>(Id):</w:t>
      </w:r>
    </w:p>
    <w:p>
      <w:pPr>
        <w:tabs>
          <w:tab w:pos="879" w:val="left" w:leader="none"/>
        </w:tabs>
        <w:spacing w:line="110" w:lineRule="auto" w:before="198"/>
        <w:ind w:left="73" w:right="0" w:firstLine="462"/>
        <w:jc w:val="left"/>
        <w:rPr>
          <w:rFonts w:ascii="Symbol" w:hAnsi="Symbol"/>
          <w:sz w:val="23"/>
        </w:rPr>
      </w:pPr>
      <w:r>
        <w:rPr/>
        <w:br w:type="column"/>
      </w:r>
      <w:r>
        <w:rPr>
          <w:rFonts w:ascii="Symbol" w:hAnsi="Symbol"/>
          <w:w w:val="105"/>
          <w:sz w:val="23"/>
        </w:rPr>
        <w:t></w:t>
      </w:r>
      <w:r>
        <w:rPr>
          <w:rFonts w:ascii="Times New Roman" w:hAnsi="Times New Roman"/>
          <w:w w:val="105"/>
          <w:sz w:val="23"/>
        </w:rPr>
        <w:tab/>
      </w:r>
      <w:r>
        <w:rPr>
          <w:rFonts w:ascii="Times New Roman" w:hAnsi="Times New Roman"/>
          <w:i/>
          <w:w w:val="105"/>
          <w:position w:val="2"/>
          <w:sz w:val="23"/>
        </w:rPr>
        <w:t>C</w:t>
      </w:r>
      <w:r>
        <w:rPr>
          <w:rFonts w:ascii="Times New Roman" w:hAnsi="Times New Roman"/>
          <w:i/>
          <w:w w:val="105"/>
          <w:position w:val="2"/>
          <w:sz w:val="23"/>
        </w:rPr>
        <w:t> </w:t>
      </w:r>
      <w:r>
        <w:rPr>
          <w:rFonts w:ascii="Times New Roman" w:hAnsi="Times New Roman"/>
          <w:i/>
          <w:w w:val="105"/>
          <w:sz w:val="23"/>
        </w:rPr>
        <w:t>Id </w:t>
      </w:r>
      <w:r>
        <w:rPr>
          <w:rFonts w:ascii="Symbol" w:hAnsi="Symbol"/>
          <w:w w:val="105"/>
          <w:sz w:val="23"/>
        </w:rPr>
        <w:t></w:t>
      </w:r>
      <w:r>
        <w:rPr>
          <w:rFonts w:ascii="Times New Roman" w:hAnsi="Times New Roman"/>
          <w:spacing w:val="7"/>
          <w:w w:val="105"/>
          <w:sz w:val="23"/>
        </w:rPr>
        <w:t> </w:t>
      </w:r>
      <w:r>
        <w:rPr>
          <w:rFonts w:ascii="Symbol" w:hAnsi="Symbol"/>
          <w:w w:val="105"/>
          <w:position w:val="-1"/>
          <w:sz w:val="23"/>
        </w:rPr>
        <w:t></w:t>
      </w:r>
    </w:p>
    <w:p>
      <w:pPr>
        <w:spacing w:line="304" w:lineRule="exact" w:before="126"/>
        <w:ind w:left="142" w:right="-16" w:firstLine="0"/>
        <w:jc w:val="left"/>
        <w:rPr>
          <w:rFonts w:ascii="Times New Roman" w:hAnsi="Times New Roman"/>
          <w:i/>
          <w:sz w:val="23"/>
        </w:rPr>
      </w:pPr>
      <w:r>
        <w:rPr/>
        <w:br w:type="column"/>
      </w:r>
      <w:r>
        <w:rPr>
          <w:rFonts w:ascii="Symbol" w:hAnsi="Symbol"/>
          <w:w w:val="105"/>
          <w:position w:val="-1"/>
          <w:sz w:val="23"/>
        </w:rPr>
        <w:t></w:t>
      </w:r>
      <w:r>
        <w:rPr>
          <w:rFonts w:ascii="Times New Roman" w:hAnsi="Times New Roman"/>
          <w:spacing w:val="-34"/>
          <w:w w:val="105"/>
          <w:position w:val="-1"/>
          <w:sz w:val="23"/>
        </w:rPr>
        <w:t> </w:t>
      </w:r>
      <w:r>
        <w:rPr>
          <w:rFonts w:ascii="Symbol" w:hAnsi="Symbol"/>
          <w:w w:val="105"/>
          <w:sz w:val="23"/>
        </w:rPr>
        <w:t></w:t>
      </w:r>
      <w:r>
        <w:rPr>
          <w:rFonts w:ascii="Times New Roman" w:hAnsi="Times New Roman"/>
          <w:spacing w:val="-36"/>
          <w:w w:val="105"/>
          <w:sz w:val="23"/>
        </w:rPr>
        <w:t> </w:t>
      </w:r>
      <w:r>
        <w:rPr>
          <w:rFonts w:ascii="Symbol" w:hAnsi="Symbol"/>
          <w:w w:val="105"/>
          <w:sz w:val="31"/>
        </w:rPr>
        <w:t></w:t>
      </w:r>
      <w:r>
        <w:rPr>
          <w:rFonts w:ascii="Times New Roman" w:hAnsi="Times New Roman"/>
          <w:i/>
          <w:w w:val="105"/>
          <w:sz w:val="23"/>
        </w:rPr>
        <w:t>Entero</w:t>
      </w:r>
      <w:r>
        <w:rPr>
          <w:rFonts w:ascii="Times New Roman" w:hAnsi="Times New Roman"/>
          <w:i/>
          <w:spacing w:val="-12"/>
          <w:w w:val="105"/>
          <w:sz w:val="23"/>
        </w:rPr>
        <w:t> </w:t>
      </w:r>
      <w:r>
        <w:rPr>
          <w:rFonts w:ascii="Times New Roman" w:hAnsi="Times New Roman"/>
          <w:i/>
          <w:w w:val="105"/>
          <w:sz w:val="23"/>
        </w:rPr>
        <w:t>de</w:t>
      </w:r>
    </w:p>
    <w:p>
      <w:pPr>
        <w:spacing w:line="304" w:lineRule="exact" w:before="126"/>
        <w:ind w:left="70" w:right="0" w:firstLine="0"/>
        <w:jc w:val="left"/>
        <w:rPr>
          <w:rFonts w:ascii="Times New Roman" w:hAnsi="Times New Roman"/>
          <w:i/>
          <w:sz w:val="23"/>
        </w:rPr>
      </w:pPr>
      <w:r>
        <w:rPr/>
        <w:br w:type="column"/>
      </w:r>
      <w:r>
        <w:rPr>
          <w:rFonts w:ascii="Times New Roman" w:hAnsi="Times New Roman"/>
          <w:i/>
          <w:w w:val="105"/>
          <w:sz w:val="23"/>
        </w:rPr>
        <w:t>f </w:t>
      </w:r>
      <w:r>
        <w:rPr>
          <w:rFonts w:ascii="Symbol" w:hAnsi="Symbol"/>
          <w:w w:val="105"/>
          <w:sz w:val="23"/>
        </w:rPr>
        <w:t></w:t>
      </w:r>
      <w:r>
        <w:rPr>
          <w:rFonts w:ascii="Times New Roman" w:hAnsi="Times New Roman"/>
          <w:w w:val="105"/>
          <w:sz w:val="23"/>
        </w:rPr>
        <w:t> </w:t>
      </w:r>
      <w:r>
        <w:rPr>
          <w:rFonts w:ascii="Times New Roman" w:hAnsi="Times New Roman"/>
          <w:i/>
          <w:w w:val="105"/>
          <w:sz w:val="23"/>
        </w:rPr>
        <w:t>Pc</w:t>
      </w:r>
      <w:r>
        <w:rPr>
          <w:rFonts w:ascii="Symbol" w:hAnsi="Symbol"/>
          <w:w w:val="105"/>
          <w:sz w:val="31"/>
        </w:rPr>
        <w:t></w:t>
      </w:r>
      <w:r>
        <w:rPr>
          <w:rFonts w:ascii="Symbol" w:hAnsi="Symbol"/>
          <w:w w:val="105"/>
          <w:sz w:val="23"/>
        </w:rPr>
        <w:t></w:t>
      </w:r>
      <w:r>
        <w:rPr>
          <w:rFonts w:ascii="Times New Roman" w:hAnsi="Times New Roman"/>
          <w:i/>
          <w:w w:val="105"/>
          <w:sz w:val="23"/>
        </w:rPr>
        <w:t>VN</w:t>
      </w:r>
    </w:p>
    <w:p>
      <w:pPr>
        <w:spacing w:after="0" w:line="304" w:lineRule="exact"/>
        <w:jc w:val="left"/>
        <w:rPr>
          <w:rFonts w:ascii="Times New Roman" w:hAnsi="Times New Roman"/>
          <w:sz w:val="23"/>
        </w:rPr>
        <w:sectPr>
          <w:type w:val="continuous"/>
          <w:pgSz w:w="12240" w:h="15840"/>
          <w:pgMar w:top="720" w:bottom="280" w:left="1560" w:right="1560"/>
          <w:cols w:num="4" w:equalWidth="0">
            <w:col w:w="2997" w:space="40"/>
            <w:col w:w="1042" w:space="122"/>
            <w:col w:w="1453" w:space="40"/>
            <w:col w:w="3426"/>
          </w:cols>
        </w:sectPr>
      </w:pPr>
    </w:p>
    <w:p>
      <w:pPr>
        <w:spacing w:line="220" w:lineRule="exact" w:before="0"/>
        <w:ind w:left="479" w:right="1589" w:firstLine="0"/>
        <w:jc w:val="center"/>
        <w:rPr>
          <w:rFonts w:ascii="Symbol" w:hAnsi="Symbol"/>
          <w:sz w:val="23"/>
        </w:rPr>
      </w:pPr>
      <w:r>
        <w:rPr/>
        <w:pict>
          <v:line style="position:absolute;mso-position-horizontal-relative:page;mso-position-vertical-relative:paragraph;z-index:-95296" from="263.064850pt,-4.853238pt" to="293.851879pt,-4.853238pt" stroked="true" strokeweight=".136247pt" strokecolor="#000000">
            <w10:wrap type="none"/>
          </v:line>
        </w:pict>
      </w:r>
      <w:r>
        <w:rPr/>
        <w:pict>
          <v:shape style="position:absolute;margin-left:295.118042pt;margin-top:-18.353006pt;width:4.7pt;height:11.85pt;mso-position-horizontal-relative:page;mso-position-vertical-relative:paragraph;z-index:-95152" type="#_x0000_t202" filled="false" stroked="false">
            <v:textbox inset="0,0,0,0">
              <w:txbxContent>
                <w:p>
                  <w:pPr>
                    <w:spacing w:line="237" w:lineRule="exact" w:before="0"/>
                    <w:ind w:left="0" w:right="0" w:firstLine="0"/>
                    <w:jc w:val="left"/>
                    <w:rPr>
                      <w:rFonts w:ascii="Symbol" w:hAnsi="Symbol"/>
                      <w:sz w:val="23"/>
                    </w:rPr>
                  </w:pPr>
                  <w:r>
                    <w:rPr>
                      <w:rFonts w:ascii="Symbol" w:hAnsi="Symbol"/>
                      <w:w w:val="105"/>
                      <w:sz w:val="23"/>
                    </w:rPr>
                    <w:t></w:t>
                  </w:r>
                </w:p>
              </w:txbxContent>
            </v:textbox>
            <w10:wrap type="none"/>
          </v:shape>
        </w:pict>
      </w:r>
      <w:r>
        <w:rPr>
          <w:rFonts w:ascii="Symbol" w:hAnsi="Symbol"/>
          <w:w w:val="105"/>
          <w:position w:val="-2"/>
          <w:sz w:val="23"/>
        </w:rPr>
        <w:t></w:t>
      </w:r>
      <w:r>
        <w:rPr>
          <w:rFonts w:ascii="Times New Roman" w:hAnsi="Times New Roman"/>
          <w:w w:val="105"/>
          <w:position w:val="-2"/>
          <w:sz w:val="23"/>
        </w:rPr>
        <w:t> </w:t>
      </w:r>
      <w:r>
        <w:rPr>
          <w:rFonts w:ascii="Times New Roman" w:hAnsi="Times New Roman"/>
          <w:w w:val="105"/>
          <w:sz w:val="23"/>
        </w:rPr>
        <w:t>36000 </w:t>
      </w:r>
      <w:r>
        <w:rPr>
          <w:rFonts w:ascii="Symbol" w:hAnsi="Symbol"/>
          <w:w w:val="105"/>
          <w:position w:val="-2"/>
          <w:sz w:val="23"/>
        </w:rPr>
        <w:t></w:t>
      </w:r>
    </w:p>
    <w:p>
      <w:pPr>
        <w:pStyle w:val="BodyText"/>
        <w:spacing w:before="2"/>
        <w:rPr>
          <w:rFonts w:ascii="Symbol" w:hAnsi="Symbol"/>
          <w:sz w:val="16"/>
        </w:rPr>
      </w:pPr>
    </w:p>
    <w:p>
      <w:pPr>
        <w:pStyle w:val="BodyText"/>
        <w:spacing w:before="70"/>
        <w:ind w:left="142" w:right="786"/>
      </w:pPr>
      <w:r>
        <w:rPr/>
        <w:t>Duración de un portafolio</w:t>
      </w:r>
    </w:p>
    <w:p>
      <w:pPr>
        <w:pStyle w:val="BodyText"/>
        <w:spacing w:before="3"/>
        <w:rPr>
          <w:sz w:val="12"/>
        </w:rPr>
      </w:pPr>
    </w:p>
    <w:p>
      <w:pPr>
        <w:spacing w:line="115" w:lineRule="exact" w:before="81"/>
        <w:ind w:left="35" w:right="0" w:firstLine="0"/>
        <w:jc w:val="center"/>
        <w:rPr>
          <w:rFonts w:ascii="Times New Roman"/>
          <w:i/>
          <w:sz w:val="14"/>
        </w:rPr>
      </w:pPr>
      <w:r>
        <w:rPr>
          <w:rFonts w:ascii="Times New Roman"/>
          <w:i/>
          <w:w w:val="100"/>
          <w:sz w:val="14"/>
        </w:rPr>
        <w:t>n</w:t>
      </w:r>
    </w:p>
    <w:p>
      <w:pPr>
        <w:spacing w:line="363" w:lineRule="exact" w:before="0"/>
        <w:ind w:left="479" w:right="503" w:firstLine="0"/>
        <w:jc w:val="center"/>
        <w:rPr>
          <w:rFonts w:ascii="Times New Roman" w:hAnsi="Times New Roman"/>
          <w:i/>
          <w:sz w:val="14"/>
        </w:rPr>
      </w:pPr>
      <w:r>
        <w:rPr>
          <w:rFonts w:ascii="Times New Roman" w:hAnsi="Times New Roman"/>
          <w:i/>
          <w:spacing w:val="1"/>
          <w:w w:val="104"/>
          <w:sz w:val="23"/>
        </w:rPr>
        <w:t>D</w:t>
      </w:r>
      <w:r>
        <w:rPr>
          <w:rFonts w:ascii="Times New Roman" w:hAnsi="Times New Roman"/>
          <w:i/>
          <w:w w:val="104"/>
          <w:sz w:val="23"/>
        </w:rPr>
        <w:t>p</w:t>
      </w:r>
      <w:r>
        <w:rPr>
          <w:rFonts w:ascii="Times New Roman" w:hAnsi="Times New Roman"/>
          <w:i/>
          <w:spacing w:val="7"/>
          <w:sz w:val="23"/>
        </w:rPr>
        <w:t> </w:t>
      </w:r>
      <w:r>
        <w:rPr>
          <w:rFonts w:ascii="Symbol" w:hAnsi="Symbol"/>
          <w:w w:val="104"/>
          <w:sz w:val="23"/>
        </w:rPr>
        <w:t></w:t>
      </w:r>
      <w:r>
        <w:rPr>
          <w:rFonts w:ascii="Times New Roman" w:hAnsi="Times New Roman"/>
          <w:spacing w:val="3"/>
          <w:sz w:val="23"/>
        </w:rPr>
        <w:t> </w:t>
      </w:r>
      <w:r>
        <w:rPr>
          <w:rFonts w:ascii="Symbol" w:hAnsi="Symbol"/>
          <w:spacing w:val="9"/>
          <w:w w:val="103"/>
          <w:position w:val="-4"/>
          <w:sz w:val="35"/>
        </w:rPr>
        <w:t></w:t>
      </w:r>
      <w:r>
        <w:rPr>
          <w:rFonts w:ascii="Times New Roman" w:hAnsi="Times New Roman"/>
          <w:i/>
          <w:spacing w:val="-3"/>
          <w:w w:val="104"/>
          <w:sz w:val="23"/>
        </w:rPr>
        <w:t>W</w:t>
      </w:r>
      <w:r>
        <w:rPr>
          <w:rFonts w:ascii="Times New Roman" w:hAnsi="Times New Roman"/>
          <w:i/>
          <w:w w:val="100"/>
          <w:position w:val="-5"/>
          <w:sz w:val="14"/>
        </w:rPr>
        <w:t>i</w:t>
      </w:r>
      <w:r>
        <w:rPr>
          <w:rFonts w:ascii="Times New Roman" w:hAnsi="Times New Roman"/>
          <w:i/>
          <w:spacing w:val="-4"/>
          <w:position w:val="-5"/>
          <w:sz w:val="14"/>
        </w:rPr>
        <w:t> </w:t>
      </w:r>
      <w:r>
        <w:rPr>
          <w:rFonts w:ascii="Times New Roman" w:hAnsi="Times New Roman"/>
          <w:i/>
          <w:spacing w:val="-2"/>
          <w:w w:val="104"/>
          <w:sz w:val="23"/>
        </w:rPr>
        <w:t>D</w:t>
      </w:r>
      <w:r>
        <w:rPr>
          <w:rFonts w:ascii="Times New Roman" w:hAnsi="Times New Roman"/>
          <w:i/>
          <w:w w:val="100"/>
          <w:position w:val="-5"/>
          <w:sz w:val="14"/>
        </w:rPr>
        <w:t>i</w:t>
      </w:r>
    </w:p>
    <w:p>
      <w:pPr>
        <w:spacing w:line="151" w:lineRule="exact" w:before="0"/>
        <w:ind w:left="44" w:right="0" w:firstLine="0"/>
        <w:jc w:val="center"/>
        <w:rPr>
          <w:rFonts w:ascii="Times New Roman" w:hAnsi="Times New Roman"/>
          <w:sz w:val="14"/>
        </w:rPr>
      </w:pPr>
      <w:r>
        <w:rPr>
          <w:rFonts w:ascii="Times New Roman" w:hAnsi="Times New Roman"/>
          <w:i/>
          <w:sz w:val="14"/>
        </w:rPr>
        <w:t>i</w:t>
      </w:r>
      <w:r>
        <w:rPr>
          <w:rFonts w:ascii="Symbol" w:hAnsi="Symbol"/>
          <w:sz w:val="14"/>
        </w:rPr>
        <w:t></w:t>
      </w:r>
      <w:r>
        <w:rPr>
          <w:rFonts w:ascii="Times New Roman" w:hAnsi="Times New Roman"/>
          <w:sz w:val="14"/>
        </w:rPr>
        <w:t>1</w:t>
      </w:r>
    </w:p>
    <w:p>
      <w:pPr>
        <w:pStyle w:val="BodyText"/>
        <w:spacing w:line="540" w:lineRule="atLeast" w:before="14"/>
        <w:ind w:left="142"/>
      </w:pPr>
      <w:r>
        <w:rPr/>
        <w:t>Es la suma (</w:t>
      </w:r>
      <w:r>
        <w:rPr>
          <w:rFonts w:ascii="Symbol" w:hAnsi="Symbol"/>
        </w:rPr>
        <w:t></w:t>
      </w:r>
      <w:r>
        <w:rPr/>
        <w:t>) del promedio ponderado de la duración de cada título del portafolio. La duración depende de:</w:t>
      </w:r>
    </w:p>
    <w:p>
      <w:pPr>
        <w:pStyle w:val="ListParagraph"/>
        <w:numPr>
          <w:ilvl w:val="0"/>
          <w:numId w:val="21"/>
        </w:numPr>
        <w:tabs>
          <w:tab w:pos="1274" w:val="left" w:leader="none"/>
          <w:tab w:pos="1275" w:val="left" w:leader="none"/>
        </w:tabs>
        <w:spacing w:line="240" w:lineRule="auto" w:before="137" w:after="0"/>
        <w:ind w:left="1274" w:right="0" w:hanging="357"/>
        <w:jc w:val="left"/>
        <w:rPr>
          <w:sz w:val="24"/>
        </w:rPr>
      </w:pPr>
      <w:r>
        <w:rPr>
          <w:sz w:val="24"/>
        </w:rPr>
        <w:t>Si la tasa del cupón es alta, entonces la </w:t>
      </w:r>
      <w:r>
        <w:rPr>
          <w:i/>
          <w:sz w:val="24"/>
        </w:rPr>
        <w:t>Dm </w:t>
      </w:r>
      <w:r>
        <w:rPr>
          <w:sz w:val="24"/>
        </w:rPr>
        <w:t>es</w:t>
      </w:r>
      <w:r>
        <w:rPr>
          <w:spacing w:val="-14"/>
          <w:sz w:val="24"/>
        </w:rPr>
        <w:t> </w:t>
      </w:r>
      <w:r>
        <w:rPr>
          <w:sz w:val="24"/>
        </w:rPr>
        <w:t>baja.</w:t>
      </w:r>
    </w:p>
    <w:p>
      <w:pPr>
        <w:pStyle w:val="ListParagraph"/>
        <w:numPr>
          <w:ilvl w:val="0"/>
          <w:numId w:val="21"/>
        </w:numPr>
        <w:tabs>
          <w:tab w:pos="1274" w:val="left" w:leader="none"/>
          <w:tab w:pos="1275" w:val="left" w:leader="none"/>
        </w:tabs>
        <w:spacing w:line="240" w:lineRule="auto" w:before="135" w:after="0"/>
        <w:ind w:left="1274" w:right="0" w:hanging="357"/>
        <w:jc w:val="left"/>
        <w:rPr>
          <w:sz w:val="24"/>
        </w:rPr>
      </w:pPr>
      <w:r>
        <w:rPr>
          <w:sz w:val="24"/>
        </w:rPr>
        <w:t>Si los días por vencer son muchos, entonces la </w:t>
      </w:r>
      <w:r>
        <w:rPr>
          <w:i/>
          <w:sz w:val="24"/>
        </w:rPr>
        <w:t>Dm </w:t>
      </w:r>
      <w:r>
        <w:rPr>
          <w:sz w:val="24"/>
        </w:rPr>
        <w:t>es</w:t>
      </w:r>
      <w:r>
        <w:rPr>
          <w:spacing w:val="-17"/>
          <w:sz w:val="24"/>
        </w:rPr>
        <w:t> </w:t>
      </w:r>
      <w:r>
        <w:rPr>
          <w:sz w:val="24"/>
        </w:rPr>
        <w:t>alta.</w:t>
      </w:r>
    </w:p>
    <w:p>
      <w:pPr>
        <w:pStyle w:val="ListParagraph"/>
        <w:numPr>
          <w:ilvl w:val="0"/>
          <w:numId w:val="21"/>
        </w:numPr>
        <w:tabs>
          <w:tab w:pos="1274" w:val="left" w:leader="none"/>
          <w:tab w:pos="1275" w:val="left" w:leader="none"/>
        </w:tabs>
        <w:spacing w:line="240" w:lineRule="auto" w:before="135" w:after="0"/>
        <w:ind w:left="1274" w:right="0" w:hanging="357"/>
        <w:jc w:val="left"/>
        <w:rPr>
          <w:sz w:val="24"/>
        </w:rPr>
      </w:pPr>
      <w:r>
        <w:rPr>
          <w:sz w:val="24"/>
        </w:rPr>
        <w:t>Si la yield es alta, entonces la </w:t>
      </w:r>
      <w:r>
        <w:rPr>
          <w:i/>
          <w:sz w:val="24"/>
        </w:rPr>
        <w:t>Dm </w:t>
      </w:r>
      <w:r>
        <w:rPr>
          <w:sz w:val="24"/>
        </w:rPr>
        <w:t>es</w:t>
      </w:r>
      <w:r>
        <w:rPr>
          <w:spacing w:val="-10"/>
          <w:sz w:val="24"/>
        </w:rPr>
        <w:t> </w:t>
      </w:r>
      <w:r>
        <w:rPr>
          <w:sz w:val="24"/>
        </w:rPr>
        <w:t>baja.</w:t>
      </w:r>
    </w:p>
    <w:p>
      <w:pPr>
        <w:spacing w:after="0" w:line="240" w:lineRule="auto"/>
        <w:jc w:val="left"/>
        <w:rPr>
          <w:sz w:val="24"/>
        </w:rPr>
        <w:sectPr>
          <w:type w:val="continuous"/>
          <w:pgSz w:w="12240" w:h="15840"/>
          <w:pgMar w:top="720" w:bottom="280" w:left="1560" w:right="1560"/>
        </w:sectPr>
      </w:pPr>
    </w:p>
    <w:p>
      <w:pPr>
        <w:pStyle w:val="BodyText"/>
        <w:rPr>
          <w:sz w:val="20"/>
        </w:rPr>
      </w:pPr>
    </w:p>
    <w:p>
      <w:pPr>
        <w:pStyle w:val="BodyText"/>
        <w:spacing w:before="6"/>
        <w:rPr>
          <w:sz w:val="16"/>
        </w:rPr>
      </w:pPr>
    </w:p>
    <w:p>
      <w:pPr>
        <w:spacing w:after="0"/>
        <w:rPr>
          <w:sz w:val="16"/>
        </w:rPr>
        <w:sectPr>
          <w:pgSz w:w="12240" w:h="15840"/>
          <w:pgMar w:header="731" w:footer="737" w:top="1180" w:bottom="920" w:left="1560" w:right="1560"/>
        </w:sectPr>
      </w:pPr>
    </w:p>
    <w:p>
      <w:pPr>
        <w:spacing w:before="205"/>
        <w:ind w:left="0" w:right="0" w:firstLine="0"/>
        <w:jc w:val="right"/>
        <w:rPr>
          <w:rFonts w:ascii="Symbol" w:hAnsi="Symbol"/>
          <w:sz w:val="24"/>
        </w:rPr>
      </w:pPr>
      <w:r>
        <w:rPr>
          <w:rFonts w:ascii="Times New Roman" w:hAnsi="Times New Roman"/>
          <w:i/>
          <w:sz w:val="24"/>
        </w:rPr>
        <w:t>DMo </w:t>
      </w:r>
      <w:r>
        <w:rPr>
          <w:rFonts w:ascii="Symbol" w:hAnsi="Symbol"/>
          <w:sz w:val="24"/>
        </w:rPr>
        <w:t></w:t>
      </w:r>
    </w:p>
    <w:p>
      <w:pPr>
        <w:spacing w:before="70"/>
        <w:ind w:left="0" w:right="3334" w:firstLine="0"/>
        <w:jc w:val="center"/>
        <w:rPr>
          <w:rFonts w:ascii="Times New Roman"/>
          <w:i/>
          <w:sz w:val="24"/>
        </w:rPr>
      </w:pPr>
      <w:r>
        <w:rPr/>
        <w:br w:type="column"/>
      </w:r>
      <w:r>
        <w:rPr>
          <w:rFonts w:ascii="Times New Roman"/>
          <w:i/>
          <w:sz w:val="24"/>
        </w:rPr>
        <w:t>DMa</w:t>
      </w:r>
    </w:p>
    <w:p>
      <w:pPr>
        <w:pStyle w:val="BodyText"/>
        <w:spacing w:before="9"/>
        <w:rPr>
          <w:rFonts w:ascii="Times New Roman"/>
          <w:i/>
          <w:sz w:val="3"/>
        </w:rPr>
      </w:pPr>
    </w:p>
    <w:p>
      <w:pPr>
        <w:pStyle w:val="BodyText"/>
        <w:spacing w:line="20" w:lineRule="exact"/>
        <w:ind w:left="30"/>
        <w:rPr>
          <w:rFonts w:ascii="Times New Roman"/>
          <w:sz w:val="2"/>
        </w:rPr>
      </w:pPr>
      <w:r>
        <w:rPr>
          <w:rFonts w:ascii="Times New Roman"/>
          <w:sz w:val="2"/>
        </w:rPr>
        <w:pict>
          <v:group style="width:82.1pt;height:.15pt;mso-position-horizontal-relative:char;mso-position-vertical-relative:line" coordorigin="0,0" coordsize="1642,3">
            <v:line style="position:absolute" from="2,2" to="1640,2" stroked="true" strokeweight=".139944pt" strokecolor="#000000"/>
          </v:group>
        </w:pict>
      </w:r>
      <w:r>
        <w:rPr>
          <w:rFonts w:ascii="Times New Roman"/>
          <w:sz w:val="2"/>
        </w:rPr>
      </w:r>
    </w:p>
    <w:p>
      <w:pPr>
        <w:tabs>
          <w:tab w:pos="702" w:val="left" w:leader="none"/>
          <w:tab w:pos="1105" w:val="left" w:leader="none"/>
        </w:tabs>
        <w:spacing w:line="366" w:lineRule="exact" w:before="0"/>
        <w:ind w:left="0" w:right="3363" w:firstLine="0"/>
        <w:jc w:val="center"/>
        <w:rPr>
          <w:rFonts w:ascii="Symbol" w:hAnsi="Symbol"/>
          <w:sz w:val="24"/>
        </w:rPr>
      </w:pPr>
      <w:r>
        <w:rPr/>
        <w:pict>
          <v:line style="position:absolute;mso-position-horizontal-relative:page;mso-position-vertical-relative:paragraph;z-index:-94984" from="305.464752pt,15.964228pt" to="336.230251pt,15.964228pt" stroked="true" strokeweight=".139944pt" strokecolor="#000000">
            <w10:wrap type="none"/>
          </v:line>
        </w:pict>
      </w:r>
      <w:r>
        <w:rPr/>
        <w:pict>
          <v:shape style="position:absolute;margin-left:299.023956pt;margin-top:9.799322pt;width:4.650pt;height:12.1pt;mso-position-horizontal-relative:page;mso-position-vertical-relative:paragraph;z-index:-94792" type="#_x0000_t202" filled="false" stroked="false">
            <v:textbox inset="0,0,0,0">
              <w:txbxContent>
                <w:p>
                  <w:pPr>
                    <w:pStyle w:val="BodyText"/>
                    <w:spacing w:line="241" w:lineRule="exact"/>
                    <w:rPr>
                      <w:rFonts w:ascii="Symbol" w:hAnsi="Symbol"/>
                    </w:rPr>
                  </w:pPr>
                  <w:r>
                    <w:rPr>
                      <w:rFonts w:ascii="Symbol" w:hAnsi="Symbol"/>
                      <w:w w:val="100"/>
                    </w:rPr>
                    <w:t></w:t>
                  </w:r>
                </w:p>
              </w:txbxContent>
            </v:textbox>
            <w10:wrap type="none"/>
          </v:shape>
        </w:pict>
      </w:r>
      <w:r>
        <w:rPr/>
        <w:pict>
          <v:shape style="position:absolute;margin-left:360.311066pt;margin-top:9.799322pt;width:4.650pt;height:12.1pt;mso-position-horizontal-relative:page;mso-position-vertical-relative:paragraph;z-index:-94768" type="#_x0000_t202" filled="false" stroked="false">
            <v:textbox inset="0,0,0,0">
              <w:txbxContent>
                <w:p>
                  <w:pPr>
                    <w:pStyle w:val="BodyText"/>
                    <w:spacing w:line="241" w:lineRule="exact"/>
                    <w:rPr>
                      <w:rFonts w:ascii="Symbol" w:hAnsi="Symbol"/>
                    </w:rPr>
                  </w:pPr>
                  <w:r>
                    <w:rPr>
                      <w:rFonts w:ascii="Symbol" w:hAnsi="Symbol"/>
                      <w:w w:val="100"/>
                    </w:rPr>
                    <w:t></w:t>
                  </w:r>
                </w:p>
              </w:txbxContent>
            </v:textbox>
            <w10:wrap type="none"/>
          </v:shape>
        </w:pict>
      </w:r>
      <w:r>
        <w:rPr>
          <w:rFonts w:ascii="Times New Roman" w:hAnsi="Times New Roman"/>
          <w:sz w:val="24"/>
        </w:rPr>
        <w:t>1</w:t>
      </w:r>
      <w:r>
        <w:rPr>
          <w:rFonts w:ascii="Times New Roman" w:hAnsi="Times New Roman"/>
          <w:spacing w:val="-35"/>
          <w:sz w:val="24"/>
        </w:rPr>
        <w:t> </w:t>
      </w:r>
      <w:r>
        <w:rPr>
          <w:rFonts w:ascii="Symbol" w:hAnsi="Symbol"/>
          <w:sz w:val="24"/>
        </w:rPr>
        <w:t></w:t>
      </w:r>
      <w:r>
        <w:rPr>
          <w:rFonts w:ascii="Times New Roman" w:hAnsi="Times New Roman"/>
          <w:spacing w:val="-17"/>
          <w:sz w:val="24"/>
        </w:rPr>
        <w:t> </w:t>
      </w:r>
      <w:r>
        <w:rPr>
          <w:rFonts w:ascii="Symbol" w:hAnsi="Symbol"/>
          <w:position w:val="13"/>
          <w:sz w:val="24"/>
        </w:rPr>
        <w:t></w:t>
      </w:r>
      <w:r>
        <w:rPr>
          <w:rFonts w:ascii="Times New Roman" w:hAnsi="Times New Roman"/>
          <w:position w:val="13"/>
          <w:sz w:val="24"/>
        </w:rPr>
        <w:tab/>
      </w:r>
      <w:r>
        <w:rPr>
          <w:rFonts w:ascii="Times New Roman" w:hAnsi="Times New Roman"/>
          <w:i/>
          <w:position w:val="15"/>
          <w:sz w:val="24"/>
        </w:rPr>
        <w:t>r</w:t>
        <w:tab/>
      </w:r>
      <w:r>
        <w:rPr>
          <w:rFonts w:ascii="Symbol" w:hAnsi="Symbol"/>
          <w:sz w:val="24"/>
        </w:rPr>
        <w:t></w:t>
      </w:r>
      <w:r>
        <w:rPr>
          <w:rFonts w:ascii="Times New Roman" w:hAnsi="Times New Roman"/>
          <w:sz w:val="24"/>
        </w:rPr>
        <w:t> </w:t>
      </w:r>
      <w:r>
        <w:rPr>
          <w:rFonts w:ascii="Times New Roman" w:hAnsi="Times New Roman"/>
          <w:i/>
          <w:spacing w:val="-3"/>
          <w:sz w:val="24"/>
        </w:rPr>
        <w:t>Pc</w:t>
      </w:r>
      <w:r>
        <w:rPr>
          <w:rFonts w:ascii="Times New Roman" w:hAnsi="Times New Roman"/>
          <w:i/>
          <w:spacing w:val="-47"/>
          <w:sz w:val="24"/>
        </w:rPr>
        <w:t> </w:t>
      </w:r>
      <w:r>
        <w:rPr>
          <w:rFonts w:ascii="Symbol" w:hAnsi="Symbol"/>
          <w:position w:val="13"/>
          <w:sz w:val="24"/>
        </w:rPr>
        <w:t></w:t>
      </w:r>
    </w:p>
    <w:p>
      <w:pPr>
        <w:spacing w:after="0" w:line="366" w:lineRule="exact"/>
        <w:jc w:val="center"/>
        <w:rPr>
          <w:rFonts w:ascii="Symbol" w:hAnsi="Symbol"/>
          <w:sz w:val="24"/>
        </w:rPr>
        <w:sectPr>
          <w:type w:val="continuous"/>
          <w:pgSz w:w="12240" w:h="15840"/>
          <w:pgMar w:top="720" w:bottom="280" w:left="1560" w:right="1560"/>
          <w:cols w:num="2" w:equalWidth="0">
            <w:col w:w="4043" w:space="40"/>
            <w:col w:w="5037"/>
          </w:cols>
        </w:sectPr>
      </w:pPr>
    </w:p>
    <w:p>
      <w:pPr>
        <w:pStyle w:val="BodyText"/>
        <w:tabs>
          <w:tab w:pos="2264" w:val="left" w:leader="none"/>
        </w:tabs>
        <w:spacing w:line="277" w:lineRule="exact"/>
        <w:ind w:left="1038"/>
        <w:jc w:val="center"/>
        <w:rPr>
          <w:rFonts w:ascii="Symbol" w:hAnsi="Symbol"/>
        </w:rPr>
      </w:pPr>
      <w:r>
        <w:rPr>
          <w:rFonts w:ascii="Symbol" w:hAnsi="Symbol"/>
          <w:position w:val="-2"/>
        </w:rPr>
        <w:t></w:t>
      </w:r>
      <w:r>
        <w:rPr>
          <w:rFonts w:ascii="Times New Roman" w:hAnsi="Times New Roman"/>
          <w:spacing w:val="-20"/>
          <w:position w:val="-2"/>
        </w:rPr>
        <w:t> </w:t>
      </w:r>
      <w:r>
        <w:rPr>
          <w:rFonts w:ascii="Times New Roman" w:hAnsi="Times New Roman"/>
        </w:rPr>
        <w:t>36000</w:t>
        <w:tab/>
      </w:r>
      <w:r>
        <w:rPr>
          <w:rFonts w:ascii="Symbol" w:hAnsi="Symbol"/>
          <w:position w:val="-2"/>
        </w:rPr>
        <w:t></w:t>
      </w:r>
    </w:p>
    <w:p>
      <w:pPr>
        <w:pStyle w:val="BodyText"/>
        <w:spacing w:before="12"/>
        <w:rPr>
          <w:rFonts w:ascii="Symbol" w:hAnsi="Symbol"/>
          <w:sz w:val="18"/>
        </w:rPr>
      </w:pPr>
    </w:p>
    <w:p>
      <w:pPr>
        <w:tabs>
          <w:tab w:pos="4771" w:val="left" w:leader="none"/>
          <w:tab w:pos="5152" w:val="left" w:leader="none"/>
          <w:tab w:pos="5998" w:val="left" w:leader="none"/>
        </w:tabs>
        <w:spacing w:line="198" w:lineRule="exact" w:before="56"/>
        <w:ind w:left="4356" w:right="786" w:firstLine="0"/>
        <w:jc w:val="left"/>
        <w:rPr>
          <w:rFonts w:ascii="Symbol" w:hAnsi="Symbol"/>
          <w:sz w:val="24"/>
        </w:rPr>
      </w:pPr>
      <w:r>
        <w:rPr>
          <w:rFonts w:ascii="Symbol" w:hAnsi="Symbol"/>
          <w:position w:val="2"/>
          <w:sz w:val="24"/>
        </w:rPr>
        <w:t></w:t>
      </w:r>
      <w:r>
        <w:rPr>
          <w:rFonts w:ascii="Times New Roman" w:hAnsi="Times New Roman"/>
          <w:position w:val="2"/>
          <w:sz w:val="24"/>
        </w:rPr>
        <w:tab/>
      </w:r>
      <w:r>
        <w:rPr>
          <w:rFonts w:ascii="Symbol" w:hAnsi="Symbol"/>
          <w:sz w:val="24"/>
        </w:rPr>
        <w:t></w:t>
      </w:r>
      <w:r>
        <w:rPr>
          <w:rFonts w:ascii="Times New Roman" w:hAnsi="Times New Roman"/>
          <w:sz w:val="24"/>
        </w:rPr>
        <w:tab/>
      </w:r>
      <w:r>
        <w:rPr>
          <w:rFonts w:ascii="Times New Roman" w:hAnsi="Times New Roman"/>
          <w:i/>
          <w:position w:val="2"/>
          <w:sz w:val="24"/>
        </w:rPr>
        <w:t>r</w:t>
        <w:tab/>
      </w:r>
      <w:r>
        <w:rPr>
          <w:rFonts w:ascii="Symbol" w:hAnsi="Symbol"/>
          <w:spacing w:val="9"/>
          <w:sz w:val="24"/>
        </w:rPr>
        <w:t></w:t>
      </w:r>
      <w:r>
        <w:rPr>
          <w:rFonts w:ascii="Symbol" w:hAnsi="Symbol"/>
          <w:spacing w:val="9"/>
          <w:position w:val="2"/>
          <w:sz w:val="24"/>
        </w:rPr>
        <w:t></w:t>
      </w:r>
    </w:p>
    <w:p>
      <w:pPr>
        <w:tabs>
          <w:tab w:pos="5556" w:val="left" w:leader="none"/>
        </w:tabs>
        <w:spacing w:line="216" w:lineRule="exact" w:before="0"/>
        <w:ind w:left="2917" w:right="786" w:firstLine="0"/>
        <w:jc w:val="left"/>
        <w:rPr>
          <w:rFonts w:ascii="Symbol" w:hAnsi="Symbol"/>
          <w:sz w:val="24"/>
        </w:rPr>
      </w:pPr>
      <w:r>
        <w:rPr/>
        <w:pict>
          <v:line style="position:absolute;mso-position-horizontal-relative:page;mso-position-vertical-relative:paragraph;z-index:-94960" from="323.045929pt,7.131006pt" to="353.844107pt,7.131006pt" stroked="true" strokeweight=".137263pt" strokecolor="#000000">
            <w10:wrap type="none"/>
          </v:line>
        </w:pict>
      </w:r>
      <w:r>
        <w:rPr>
          <w:rFonts w:ascii="Times New Roman" w:hAnsi="Times New Roman"/>
          <w:i/>
          <w:spacing w:val="-3"/>
          <w:sz w:val="24"/>
        </w:rPr>
        <w:t>DMa </w:t>
      </w:r>
      <w:r>
        <w:rPr>
          <w:rFonts w:ascii="Symbol" w:hAnsi="Symbol"/>
          <w:sz w:val="24"/>
        </w:rPr>
        <w:t></w:t>
      </w:r>
      <w:r>
        <w:rPr>
          <w:rFonts w:ascii="Times New Roman" w:hAnsi="Times New Roman"/>
          <w:sz w:val="24"/>
        </w:rPr>
        <w:t> </w:t>
      </w:r>
      <w:r>
        <w:rPr>
          <w:rFonts w:ascii="Times New Roman" w:hAnsi="Times New Roman"/>
          <w:i/>
          <w:spacing w:val="-3"/>
          <w:sz w:val="24"/>
        </w:rPr>
        <w:t>DMo </w:t>
      </w:r>
      <w:r>
        <w:rPr>
          <w:rFonts w:ascii="Symbol" w:hAnsi="Symbol"/>
          <w:spacing w:val="9"/>
          <w:sz w:val="24"/>
        </w:rPr>
        <w:t></w:t>
      </w:r>
      <w:r>
        <w:rPr>
          <w:rFonts w:ascii="Times New Roman" w:hAnsi="Times New Roman"/>
          <w:spacing w:val="9"/>
          <w:sz w:val="24"/>
        </w:rPr>
        <w:t>1</w:t>
      </w:r>
      <w:r>
        <w:rPr>
          <w:rFonts w:ascii="Times New Roman" w:hAnsi="Times New Roman"/>
          <w:spacing w:val="-31"/>
          <w:sz w:val="24"/>
        </w:rPr>
        <w:t> </w:t>
      </w:r>
      <w:r>
        <w:rPr>
          <w:rFonts w:ascii="Symbol" w:hAnsi="Symbol"/>
          <w:sz w:val="24"/>
        </w:rPr>
        <w:t></w:t>
      </w:r>
      <w:r>
        <w:rPr>
          <w:rFonts w:ascii="Times New Roman" w:hAnsi="Times New Roman"/>
          <w:spacing w:val="-16"/>
          <w:sz w:val="24"/>
        </w:rPr>
        <w:t> </w:t>
      </w:r>
      <w:r>
        <w:rPr>
          <w:rFonts w:ascii="Symbol" w:hAnsi="Symbol"/>
          <w:position w:val="-1"/>
          <w:sz w:val="24"/>
        </w:rPr>
        <w:t></w:t>
      </w:r>
      <w:r>
        <w:rPr>
          <w:rFonts w:ascii="Times New Roman" w:hAnsi="Times New Roman"/>
          <w:position w:val="-1"/>
          <w:sz w:val="24"/>
        </w:rPr>
        <w:tab/>
      </w:r>
      <w:r>
        <w:rPr>
          <w:rFonts w:ascii="Symbol" w:hAnsi="Symbol"/>
          <w:sz w:val="24"/>
        </w:rPr>
        <w:t></w:t>
      </w:r>
      <w:r>
        <w:rPr>
          <w:rFonts w:ascii="Times New Roman" w:hAnsi="Times New Roman"/>
          <w:sz w:val="24"/>
        </w:rPr>
        <w:t> </w:t>
      </w:r>
      <w:r>
        <w:rPr>
          <w:rFonts w:ascii="Times New Roman" w:hAnsi="Times New Roman"/>
          <w:i/>
          <w:spacing w:val="-4"/>
          <w:sz w:val="24"/>
        </w:rPr>
        <w:t>Pc</w:t>
      </w:r>
      <w:r>
        <w:rPr>
          <w:rFonts w:ascii="Times New Roman" w:hAnsi="Times New Roman"/>
          <w:i/>
          <w:spacing w:val="-41"/>
          <w:sz w:val="24"/>
        </w:rPr>
        <w:t> </w:t>
      </w:r>
      <w:r>
        <w:rPr>
          <w:rFonts w:ascii="Symbol" w:hAnsi="Symbol"/>
          <w:spacing w:val="9"/>
          <w:position w:val="-1"/>
          <w:sz w:val="24"/>
        </w:rPr>
        <w:t></w:t>
      </w:r>
      <w:r>
        <w:rPr>
          <w:rFonts w:ascii="Symbol" w:hAnsi="Symbol"/>
          <w:spacing w:val="9"/>
          <w:sz w:val="24"/>
        </w:rPr>
        <w:t></w:t>
      </w:r>
    </w:p>
    <w:p>
      <w:pPr>
        <w:pStyle w:val="BodyText"/>
        <w:spacing w:line="1" w:lineRule="exact"/>
        <w:ind w:left="1291"/>
        <w:jc w:val="center"/>
        <w:rPr>
          <w:rFonts w:ascii="Times New Roman"/>
        </w:rPr>
      </w:pPr>
      <w:r>
        <w:rPr>
          <w:rFonts w:ascii="Times New Roman"/>
        </w:rPr>
        <w:t>36000</w:t>
      </w:r>
    </w:p>
    <w:p>
      <w:pPr>
        <w:pStyle w:val="BodyText"/>
        <w:tabs>
          <w:tab w:pos="4771" w:val="left" w:leader="none"/>
          <w:tab w:pos="5998" w:val="left" w:leader="none"/>
        </w:tabs>
        <w:spacing w:line="271" w:lineRule="exact"/>
        <w:ind w:left="4356" w:right="786"/>
        <w:rPr>
          <w:rFonts w:ascii="Symbol" w:hAnsi="Symbol"/>
        </w:rPr>
      </w:pPr>
      <w:r>
        <w:rPr>
          <w:rFonts w:ascii="Symbol" w:hAnsi="Symbol"/>
          <w:position w:val="-1"/>
        </w:rPr>
        <w:t></w:t>
      </w:r>
      <w:r>
        <w:rPr>
          <w:rFonts w:ascii="Times New Roman" w:hAnsi="Times New Roman"/>
          <w:position w:val="-1"/>
        </w:rPr>
        <w:tab/>
      </w:r>
      <w:r>
        <w:rPr>
          <w:rFonts w:ascii="Symbol" w:hAnsi="Symbol"/>
        </w:rPr>
        <w:t></w:t>
      </w:r>
      <w:r>
        <w:rPr>
          <w:rFonts w:ascii="Times New Roman" w:hAnsi="Times New Roman"/>
        </w:rPr>
        <w:tab/>
      </w:r>
      <w:r>
        <w:rPr>
          <w:rFonts w:ascii="Symbol" w:hAnsi="Symbol"/>
          <w:spacing w:val="9"/>
        </w:rPr>
        <w:t></w:t>
      </w:r>
      <w:r>
        <w:rPr>
          <w:rFonts w:ascii="Symbol" w:hAnsi="Symbol"/>
          <w:spacing w:val="9"/>
          <w:position w:val="-1"/>
        </w:rPr>
        <w:t></w:t>
      </w:r>
    </w:p>
    <w:p>
      <w:pPr>
        <w:pStyle w:val="BodyText"/>
        <w:spacing w:before="10"/>
        <w:rPr>
          <w:rFonts w:ascii="Symbol" w:hAnsi="Symbol"/>
          <w:sz w:val="12"/>
        </w:rPr>
      </w:pPr>
    </w:p>
    <w:p>
      <w:pPr>
        <w:pStyle w:val="Heading3"/>
        <w:spacing w:before="80"/>
        <w:rPr>
          <w:sz w:val="16"/>
        </w:rPr>
      </w:pPr>
      <w:r>
        <w:rPr/>
        <w:t>VaR de un reporto</w:t>
      </w:r>
      <w:r>
        <w:rPr>
          <w:position w:val="8"/>
          <w:sz w:val="16"/>
        </w:rPr>
        <w:t>77</w:t>
      </w:r>
    </w:p>
    <w:p>
      <w:pPr>
        <w:spacing w:before="112"/>
        <w:ind w:left="2804" w:right="786" w:firstLine="0"/>
        <w:jc w:val="left"/>
        <w:rPr>
          <w:rFonts w:ascii="Symbol" w:hAnsi="Symbol"/>
          <w:i/>
          <w:sz w:val="25"/>
        </w:rPr>
      </w:pPr>
      <w:r>
        <w:rPr/>
        <w:pict>
          <v:group style="position:absolute;margin-left:266.526581pt;margin-top:5.216923pt;width:125.45pt;height:16.75pt;mso-position-horizontal-relative:page;mso-position-vertical-relative:paragraph;z-index:5032" coordorigin="5331,104" coordsize="2509,335">
            <v:line style="position:absolute" from="5332,329" to="5367,311" stroked="true" strokeweight=".137967pt" strokecolor="#000000"/>
            <v:line style="position:absolute" from="5362,307" to="5416,432" stroked="true" strokeweight=".139375pt" strokecolor="#000000"/>
            <v:shape style="position:absolute;left:1073;top:11307;width:2421;height:327" coordorigin="1073,11307" coordsize="2421,327" path="m5421,438l5476,117m5476,117l7837,117e" filled="false" stroked="true" strokeweight=".138631pt" strokecolor="#000000">
              <v:path arrowok="t"/>
            </v:shape>
            <v:shape style="position:absolute;left:5331;top:104;width:2508;height:335" type="#_x0000_t202" filled="false" stroked="false">
              <v:textbox inset="0,0,0,0">
                <w:txbxContent>
                  <w:p>
                    <w:pPr>
                      <w:spacing w:line="327" w:lineRule="exact" w:before="0"/>
                      <w:ind w:left="173" w:right="-10" w:firstLine="0"/>
                      <w:jc w:val="left"/>
                      <w:rPr>
                        <w:rFonts w:ascii="Symbol" w:hAnsi="Symbol"/>
                        <w:sz w:val="31"/>
                      </w:rPr>
                    </w:pPr>
                    <w:r>
                      <w:rPr>
                        <w:rFonts w:ascii="Times New Roman" w:hAnsi="Times New Roman"/>
                        <w:i/>
                        <w:spacing w:val="5"/>
                        <w:sz w:val="24"/>
                      </w:rPr>
                      <w:t>A</w:t>
                    </w:r>
                    <w:r>
                      <w:rPr>
                        <w:rFonts w:ascii="Times New Roman" w:hAnsi="Times New Roman"/>
                        <w:spacing w:val="5"/>
                        <w:position w:val="11"/>
                        <w:sz w:val="14"/>
                      </w:rPr>
                      <w:t>2</w:t>
                    </w:r>
                    <w:r>
                      <w:rPr>
                        <w:rFonts w:ascii="Times New Roman" w:hAnsi="Times New Roman"/>
                        <w:spacing w:val="38"/>
                        <w:position w:val="11"/>
                        <w:sz w:val="14"/>
                      </w:rPr>
                      <w:t> </w:t>
                    </w:r>
                    <w:r>
                      <w:rPr>
                        <w:rFonts w:ascii="Symbol" w:hAnsi="Symbol"/>
                        <w:sz w:val="24"/>
                      </w:rPr>
                      <w:t></w:t>
                    </w:r>
                    <w:r>
                      <w:rPr>
                        <w:rFonts w:ascii="Times New Roman" w:hAnsi="Times New Roman"/>
                        <w:spacing w:val="-6"/>
                        <w:sz w:val="24"/>
                      </w:rPr>
                      <w:t> </w:t>
                    </w:r>
                    <w:r>
                      <w:rPr>
                        <w:rFonts w:ascii="Times New Roman" w:hAnsi="Times New Roman"/>
                        <w:i/>
                        <w:sz w:val="24"/>
                      </w:rPr>
                      <w:t>B</w:t>
                    </w:r>
                    <w:r>
                      <w:rPr>
                        <w:rFonts w:ascii="Times New Roman" w:hAnsi="Times New Roman"/>
                        <w:i/>
                        <w:spacing w:val="-40"/>
                        <w:sz w:val="24"/>
                      </w:rPr>
                      <w:t> </w:t>
                    </w:r>
                    <w:r>
                      <w:rPr>
                        <w:rFonts w:ascii="Times New Roman" w:hAnsi="Times New Roman"/>
                        <w:position w:val="11"/>
                        <w:sz w:val="14"/>
                      </w:rPr>
                      <w:t>2 </w:t>
                    </w:r>
                    <w:r>
                      <w:rPr>
                        <w:rFonts w:ascii="Times New Roman" w:hAnsi="Times New Roman"/>
                        <w:spacing w:val="3"/>
                        <w:position w:val="11"/>
                        <w:sz w:val="14"/>
                      </w:rPr>
                      <w:t> </w:t>
                    </w:r>
                    <w:r>
                      <w:rPr>
                        <w:rFonts w:ascii="Symbol" w:hAnsi="Symbol"/>
                        <w:sz w:val="24"/>
                      </w:rPr>
                      <w:t></w:t>
                    </w:r>
                    <w:r>
                      <w:rPr>
                        <w:rFonts w:ascii="Times New Roman" w:hAnsi="Times New Roman"/>
                        <w:spacing w:val="-17"/>
                        <w:sz w:val="24"/>
                      </w:rPr>
                      <w:t> </w:t>
                    </w:r>
                    <w:r>
                      <w:rPr>
                        <w:rFonts w:ascii="Symbol" w:hAnsi="Symbol"/>
                        <w:spacing w:val="-3"/>
                        <w:sz w:val="31"/>
                      </w:rPr>
                      <w:t></w:t>
                    </w:r>
                    <w:r>
                      <w:rPr>
                        <w:rFonts w:ascii="Times New Roman" w:hAnsi="Times New Roman"/>
                        <w:spacing w:val="-3"/>
                        <w:sz w:val="24"/>
                      </w:rPr>
                      <w:t>2</w:t>
                    </w:r>
                    <w:r>
                      <w:rPr>
                        <w:rFonts w:ascii="Times New Roman" w:hAnsi="Times New Roman"/>
                        <w:spacing w:val="-30"/>
                        <w:sz w:val="24"/>
                      </w:rPr>
                      <w:t> </w:t>
                    </w:r>
                    <w:r>
                      <w:rPr>
                        <w:rFonts w:ascii="Symbol" w:hAnsi="Symbol"/>
                        <w:sz w:val="24"/>
                      </w:rPr>
                      <w:t></w:t>
                    </w:r>
                    <w:r>
                      <w:rPr>
                        <w:rFonts w:ascii="Times New Roman" w:hAnsi="Times New Roman"/>
                        <w:spacing w:val="-10"/>
                        <w:sz w:val="24"/>
                      </w:rPr>
                      <w:t> </w:t>
                    </w:r>
                    <w:r>
                      <w:rPr>
                        <w:rFonts w:ascii="Times New Roman" w:hAnsi="Times New Roman"/>
                        <w:i/>
                        <w:sz w:val="24"/>
                      </w:rPr>
                      <w:t>A</w:t>
                    </w:r>
                    <w:r>
                      <w:rPr>
                        <w:rFonts w:ascii="Times New Roman" w:hAnsi="Times New Roman"/>
                        <w:i/>
                        <w:spacing w:val="-34"/>
                        <w:sz w:val="24"/>
                      </w:rPr>
                      <w:t> </w:t>
                    </w:r>
                    <w:r>
                      <w:rPr>
                        <w:rFonts w:ascii="Symbol" w:hAnsi="Symbol"/>
                        <w:sz w:val="24"/>
                      </w:rPr>
                      <w:t></w:t>
                    </w:r>
                    <w:r>
                      <w:rPr>
                        <w:rFonts w:ascii="Times New Roman" w:hAnsi="Times New Roman"/>
                        <w:spacing w:val="-19"/>
                        <w:sz w:val="24"/>
                      </w:rPr>
                      <w:t> </w:t>
                    </w:r>
                    <w:r>
                      <w:rPr>
                        <w:rFonts w:ascii="Times New Roman" w:hAnsi="Times New Roman"/>
                        <w:i/>
                        <w:sz w:val="24"/>
                      </w:rPr>
                      <w:t>B</w:t>
                    </w:r>
                    <w:r>
                      <w:rPr>
                        <w:rFonts w:ascii="Times New Roman" w:hAnsi="Times New Roman"/>
                        <w:i/>
                        <w:spacing w:val="-24"/>
                        <w:sz w:val="24"/>
                      </w:rPr>
                      <w:t> </w:t>
                    </w:r>
                    <w:r>
                      <w:rPr>
                        <w:rFonts w:ascii="Symbol" w:hAnsi="Symbol"/>
                        <w:sz w:val="24"/>
                      </w:rPr>
                      <w:t></w:t>
                    </w:r>
                    <w:r>
                      <w:rPr>
                        <w:rFonts w:ascii="Times New Roman" w:hAnsi="Times New Roman"/>
                        <w:spacing w:val="-20"/>
                        <w:sz w:val="24"/>
                      </w:rPr>
                      <w:t> </w:t>
                    </w:r>
                    <w:r>
                      <w:rPr>
                        <w:rFonts w:ascii="Times New Roman" w:hAnsi="Times New Roman"/>
                        <w:i/>
                        <w:spacing w:val="6"/>
                        <w:sz w:val="24"/>
                      </w:rPr>
                      <w:t>R</w:t>
                    </w:r>
                    <w:r>
                      <w:rPr>
                        <w:rFonts w:ascii="Symbol" w:hAnsi="Symbol"/>
                        <w:spacing w:val="6"/>
                        <w:sz w:val="31"/>
                      </w:rPr>
                      <w:t></w:t>
                    </w:r>
                  </w:p>
                </w:txbxContent>
              </v:textbox>
              <w10:wrap type="none"/>
            </v:shape>
            <w10:wrap type="none"/>
          </v:group>
        </w:pict>
      </w:r>
      <w:r>
        <w:rPr>
          <w:rFonts w:ascii="Times New Roman" w:hAnsi="Times New Roman"/>
          <w:i/>
          <w:sz w:val="24"/>
        </w:rPr>
        <w:t>VaRp </w:t>
      </w:r>
      <w:r>
        <w:rPr>
          <w:rFonts w:ascii="Symbol" w:hAnsi="Symbol"/>
          <w:sz w:val="24"/>
        </w:rPr>
        <w:t></w:t>
      </w:r>
      <w:r>
        <w:rPr>
          <w:rFonts w:ascii="Times New Roman" w:hAnsi="Times New Roman"/>
          <w:sz w:val="24"/>
        </w:rPr>
        <w:t> </w:t>
      </w:r>
      <w:r>
        <w:rPr>
          <w:rFonts w:ascii="Symbol" w:hAnsi="Symbol"/>
          <w:i/>
          <w:sz w:val="25"/>
        </w:rPr>
        <w:t></w:t>
      </w:r>
    </w:p>
    <w:p>
      <w:pPr>
        <w:pStyle w:val="BodyText"/>
        <w:spacing w:before="11"/>
        <w:rPr>
          <w:rFonts w:ascii="Symbol" w:hAnsi="Symbol"/>
          <w:i/>
          <w:sz w:val="18"/>
        </w:rPr>
      </w:pPr>
    </w:p>
    <w:p>
      <w:pPr>
        <w:spacing w:before="73"/>
        <w:ind w:left="850" w:right="786" w:firstLine="0"/>
        <w:jc w:val="left"/>
        <w:rPr>
          <w:sz w:val="22"/>
        </w:rPr>
      </w:pPr>
      <w:r>
        <w:rPr>
          <w:sz w:val="22"/>
        </w:rPr>
        <w:t>Nota: El reporto tiene VaR = 0 si y sólo si el plazo y el reporto son iguales.</w:t>
      </w:r>
    </w:p>
    <w:p>
      <w:pPr>
        <w:spacing w:before="171"/>
        <w:ind w:left="2972" w:right="786" w:firstLine="0"/>
        <w:jc w:val="left"/>
        <w:rPr>
          <w:rFonts w:ascii="Symbol" w:hAnsi="Symbol"/>
          <w:sz w:val="31"/>
        </w:rPr>
      </w:pPr>
      <w:r>
        <w:rPr>
          <w:rFonts w:ascii="Times New Roman" w:hAnsi="Times New Roman"/>
          <w:i/>
          <w:sz w:val="23"/>
        </w:rPr>
        <w:t>A </w:t>
      </w:r>
      <w:r>
        <w:rPr>
          <w:rFonts w:ascii="Symbol" w:hAnsi="Symbol"/>
          <w:sz w:val="23"/>
        </w:rPr>
        <w:t></w:t>
      </w:r>
      <w:r>
        <w:rPr>
          <w:rFonts w:ascii="Times New Roman" w:hAnsi="Times New Roman"/>
          <w:sz w:val="23"/>
        </w:rPr>
        <w:t> </w:t>
      </w:r>
      <w:r>
        <w:rPr>
          <w:rFonts w:ascii="Symbol" w:hAnsi="Symbol"/>
          <w:sz w:val="31"/>
        </w:rPr>
        <w:t></w:t>
      </w:r>
      <w:r>
        <w:rPr>
          <w:rFonts w:ascii="Symbol" w:hAnsi="Symbol"/>
          <w:i/>
          <w:sz w:val="25"/>
        </w:rPr>
        <w:t></w:t>
      </w:r>
      <w:r>
        <w:rPr>
          <w:rFonts w:ascii="Times New Roman" w:hAnsi="Times New Roman"/>
          <w:i/>
          <w:sz w:val="25"/>
        </w:rPr>
        <w:t> </w:t>
      </w:r>
      <w:r>
        <w:rPr>
          <w:rFonts w:ascii="Times New Roman" w:hAnsi="Times New Roman"/>
          <w:i/>
          <w:position w:val="-5"/>
          <w:sz w:val="14"/>
        </w:rPr>
        <w:t>PL  </w:t>
      </w:r>
      <w:r>
        <w:rPr>
          <w:rFonts w:ascii="Symbol" w:hAnsi="Symbol"/>
          <w:sz w:val="23"/>
        </w:rPr>
        <w:t></w:t>
      </w:r>
      <w:r>
        <w:rPr>
          <w:rFonts w:ascii="Times New Roman" w:hAnsi="Times New Roman"/>
          <w:sz w:val="23"/>
        </w:rPr>
        <w:t> </w:t>
      </w:r>
      <w:r>
        <w:rPr>
          <w:rFonts w:ascii="Times New Roman" w:hAnsi="Times New Roman"/>
          <w:i/>
          <w:sz w:val="23"/>
        </w:rPr>
        <w:t>r</w:t>
      </w:r>
      <w:r>
        <w:rPr>
          <w:rFonts w:ascii="Times New Roman" w:hAnsi="Times New Roman"/>
          <w:i/>
          <w:position w:val="-5"/>
          <w:sz w:val="14"/>
        </w:rPr>
        <w:t>PL </w:t>
      </w:r>
      <w:r>
        <w:rPr>
          <w:rFonts w:ascii="Symbol" w:hAnsi="Symbol"/>
          <w:sz w:val="31"/>
        </w:rPr>
        <w:t></w:t>
      </w:r>
      <w:r>
        <w:rPr>
          <w:rFonts w:ascii="Symbol" w:hAnsi="Symbol"/>
          <w:sz w:val="23"/>
        </w:rPr>
        <w:t></w:t>
      </w:r>
      <w:r>
        <w:rPr>
          <w:rFonts w:ascii="Symbol" w:hAnsi="Symbol"/>
          <w:sz w:val="31"/>
        </w:rPr>
        <w:t></w:t>
      </w:r>
      <w:r>
        <w:rPr>
          <w:rFonts w:ascii="Symbol" w:hAnsi="Symbol"/>
          <w:sz w:val="23"/>
        </w:rPr>
        <w:t></w:t>
      </w:r>
      <w:r>
        <w:rPr>
          <w:rFonts w:ascii="Times New Roman" w:hAnsi="Times New Roman"/>
          <w:sz w:val="23"/>
        </w:rPr>
        <w:t> </w:t>
      </w:r>
      <w:r>
        <w:rPr>
          <w:rFonts w:ascii="Times New Roman" w:hAnsi="Times New Roman"/>
          <w:i/>
          <w:sz w:val="23"/>
        </w:rPr>
        <w:t>DM </w:t>
      </w:r>
      <w:r>
        <w:rPr>
          <w:rFonts w:ascii="Times New Roman" w:hAnsi="Times New Roman"/>
          <w:i/>
          <w:position w:val="-5"/>
          <w:sz w:val="14"/>
        </w:rPr>
        <w:t>PL  </w:t>
      </w:r>
      <w:r>
        <w:rPr>
          <w:rFonts w:ascii="Symbol" w:hAnsi="Symbol"/>
          <w:sz w:val="23"/>
        </w:rPr>
        <w:t></w:t>
      </w:r>
      <w:r>
        <w:rPr>
          <w:rFonts w:ascii="Times New Roman" w:hAnsi="Times New Roman"/>
          <w:i/>
          <w:sz w:val="23"/>
        </w:rPr>
        <w:t>VM </w:t>
      </w:r>
      <w:r>
        <w:rPr>
          <w:rFonts w:ascii="Times New Roman" w:hAnsi="Times New Roman"/>
          <w:i/>
          <w:position w:val="-5"/>
          <w:sz w:val="14"/>
        </w:rPr>
        <w:t>A </w:t>
      </w:r>
      <w:r>
        <w:rPr>
          <w:rFonts w:ascii="Symbol" w:hAnsi="Symbol"/>
          <w:sz w:val="31"/>
        </w:rPr>
        <w:t></w:t>
      </w:r>
    </w:p>
    <w:p>
      <w:pPr>
        <w:spacing w:before="171"/>
        <w:ind w:left="2924" w:right="786" w:firstLine="0"/>
        <w:jc w:val="left"/>
        <w:rPr>
          <w:rFonts w:ascii="Symbol" w:hAnsi="Symbol"/>
          <w:sz w:val="32"/>
        </w:rPr>
      </w:pPr>
      <w:r>
        <w:rPr>
          <w:rFonts w:ascii="Times New Roman" w:hAnsi="Times New Roman"/>
          <w:i/>
          <w:sz w:val="24"/>
        </w:rPr>
        <w:t>B </w:t>
      </w:r>
      <w:r>
        <w:rPr>
          <w:rFonts w:ascii="Symbol" w:hAnsi="Symbol"/>
          <w:sz w:val="24"/>
        </w:rPr>
        <w:t></w:t>
      </w:r>
      <w:r>
        <w:rPr>
          <w:rFonts w:ascii="Times New Roman" w:hAnsi="Times New Roman"/>
          <w:sz w:val="24"/>
        </w:rPr>
        <w:t> </w:t>
      </w:r>
      <w:r>
        <w:rPr>
          <w:rFonts w:ascii="Symbol" w:hAnsi="Symbol"/>
          <w:sz w:val="32"/>
        </w:rPr>
        <w:t></w:t>
      </w:r>
      <w:r>
        <w:rPr>
          <w:rFonts w:ascii="Symbol" w:hAnsi="Symbol"/>
          <w:i/>
          <w:sz w:val="25"/>
        </w:rPr>
        <w:t></w:t>
      </w:r>
      <w:r>
        <w:rPr>
          <w:rFonts w:ascii="Times New Roman" w:hAnsi="Times New Roman"/>
          <w:i/>
          <w:sz w:val="25"/>
        </w:rPr>
        <w:t> </w:t>
      </w:r>
      <w:r>
        <w:rPr>
          <w:rFonts w:ascii="Times New Roman" w:hAnsi="Times New Roman"/>
          <w:i/>
          <w:position w:val="-5"/>
          <w:sz w:val="14"/>
        </w:rPr>
        <w:t>PC  </w:t>
      </w:r>
      <w:r>
        <w:rPr>
          <w:rFonts w:ascii="Symbol" w:hAnsi="Symbol"/>
          <w:sz w:val="24"/>
        </w:rPr>
        <w:t></w:t>
      </w:r>
      <w:r>
        <w:rPr>
          <w:rFonts w:ascii="Times New Roman" w:hAnsi="Times New Roman"/>
          <w:sz w:val="24"/>
        </w:rPr>
        <w:t> </w:t>
      </w:r>
      <w:r>
        <w:rPr>
          <w:rFonts w:ascii="Times New Roman" w:hAnsi="Times New Roman"/>
          <w:i/>
          <w:sz w:val="24"/>
        </w:rPr>
        <w:t>r</w:t>
      </w:r>
      <w:r>
        <w:rPr>
          <w:rFonts w:ascii="Times New Roman" w:hAnsi="Times New Roman"/>
          <w:i/>
          <w:position w:val="-5"/>
          <w:sz w:val="14"/>
        </w:rPr>
        <w:t>PC </w:t>
      </w:r>
      <w:r>
        <w:rPr>
          <w:rFonts w:ascii="Symbol" w:hAnsi="Symbol"/>
          <w:sz w:val="32"/>
        </w:rPr>
        <w:t></w:t>
      </w:r>
      <w:r>
        <w:rPr>
          <w:rFonts w:ascii="Symbol" w:hAnsi="Symbol"/>
          <w:sz w:val="24"/>
        </w:rPr>
        <w:t></w:t>
      </w:r>
      <w:r>
        <w:rPr>
          <w:rFonts w:ascii="Symbol" w:hAnsi="Symbol"/>
          <w:sz w:val="32"/>
        </w:rPr>
        <w:t></w:t>
      </w:r>
      <w:r>
        <w:rPr>
          <w:rFonts w:ascii="Symbol" w:hAnsi="Symbol"/>
          <w:sz w:val="24"/>
        </w:rPr>
        <w:t></w:t>
      </w:r>
      <w:r>
        <w:rPr>
          <w:rFonts w:ascii="Times New Roman" w:hAnsi="Times New Roman"/>
          <w:sz w:val="24"/>
        </w:rPr>
        <w:t> </w:t>
      </w:r>
      <w:r>
        <w:rPr>
          <w:rFonts w:ascii="Times New Roman" w:hAnsi="Times New Roman"/>
          <w:i/>
          <w:sz w:val="24"/>
        </w:rPr>
        <w:t>DM </w:t>
      </w:r>
      <w:r>
        <w:rPr>
          <w:rFonts w:ascii="Times New Roman" w:hAnsi="Times New Roman"/>
          <w:i/>
          <w:position w:val="-5"/>
          <w:sz w:val="14"/>
        </w:rPr>
        <w:t>PC </w:t>
      </w:r>
      <w:r>
        <w:rPr>
          <w:rFonts w:ascii="Symbol" w:hAnsi="Symbol"/>
          <w:sz w:val="24"/>
        </w:rPr>
        <w:t></w:t>
      </w:r>
      <w:r>
        <w:rPr>
          <w:rFonts w:ascii="Times New Roman" w:hAnsi="Times New Roman"/>
          <w:i/>
          <w:sz w:val="24"/>
        </w:rPr>
        <w:t>VM </w:t>
      </w:r>
      <w:r>
        <w:rPr>
          <w:rFonts w:ascii="Times New Roman" w:hAnsi="Times New Roman"/>
          <w:i/>
          <w:position w:val="-5"/>
          <w:sz w:val="14"/>
        </w:rPr>
        <w:t>P </w:t>
      </w:r>
      <w:r>
        <w:rPr>
          <w:rFonts w:ascii="Symbol" w:hAnsi="Symbol"/>
          <w:sz w:val="32"/>
        </w:rPr>
        <w:t></w:t>
      </w:r>
    </w:p>
    <w:p>
      <w:pPr>
        <w:pStyle w:val="BodyText"/>
        <w:spacing w:before="11"/>
        <w:rPr>
          <w:rFonts w:ascii="Symbol" w:hAnsi="Symbol"/>
          <w:sz w:val="18"/>
        </w:rPr>
      </w:pPr>
    </w:p>
    <w:p>
      <w:pPr>
        <w:tabs>
          <w:tab w:pos="1159" w:val="left" w:leader="none"/>
        </w:tabs>
        <w:spacing w:line="227" w:lineRule="exact" w:before="68"/>
        <w:ind w:left="862" w:right="0" w:firstLine="0"/>
        <w:jc w:val="center"/>
        <w:rPr>
          <w:rFonts w:ascii="Symbol" w:hAnsi="Symbol"/>
          <w:sz w:val="24"/>
        </w:rPr>
      </w:pPr>
      <w:r>
        <w:rPr>
          <w:rFonts w:ascii="Symbol" w:hAnsi="Symbol"/>
          <w:sz w:val="24"/>
        </w:rPr>
        <w:t></w:t>
      </w:r>
      <w:r>
        <w:rPr>
          <w:rFonts w:ascii="Times New Roman" w:hAnsi="Times New Roman"/>
          <w:sz w:val="24"/>
        </w:rPr>
        <w:tab/>
      </w:r>
      <w:r>
        <w:rPr>
          <w:rFonts w:ascii="Times New Roman" w:hAnsi="Times New Roman"/>
          <w:i/>
          <w:spacing w:val="-3"/>
          <w:position w:val="2"/>
          <w:sz w:val="24"/>
        </w:rPr>
        <w:t>PL  </w:t>
      </w:r>
      <w:r>
        <w:rPr>
          <w:rFonts w:ascii="Times New Roman" w:hAnsi="Times New Roman"/>
          <w:i/>
          <w:spacing w:val="25"/>
          <w:position w:val="2"/>
          <w:sz w:val="24"/>
        </w:rPr>
        <w:t> </w:t>
      </w:r>
      <w:r>
        <w:rPr>
          <w:rFonts w:ascii="Symbol" w:hAnsi="Symbol"/>
          <w:sz w:val="24"/>
        </w:rPr>
        <w:t></w:t>
      </w:r>
    </w:p>
    <w:p>
      <w:pPr>
        <w:pStyle w:val="BodyText"/>
        <w:tabs>
          <w:tab w:pos="1633" w:val="left" w:leader="none"/>
        </w:tabs>
        <w:spacing w:line="146" w:lineRule="exact"/>
        <w:ind w:left="862"/>
        <w:jc w:val="center"/>
        <w:rPr>
          <w:rFonts w:ascii="Symbol" w:hAnsi="Symbol"/>
        </w:rPr>
      </w:pPr>
      <w:r>
        <w:rPr/>
        <w:pict>
          <v:line style="position:absolute;mso-position-horizontal-relative:page;mso-position-vertical-relative:paragraph;z-index:-94888" from="312.430756pt,4.825689pt" to="343.273137pt,4.825689pt" stroked="true" strokeweight=".139783pt" strokecolor="#000000">
            <w10:wrap type="none"/>
          </v:line>
        </w:pict>
      </w:r>
      <w:r>
        <w:rPr>
          <w:rFonts w:ascii="Symbol" w:hAnsi="Symbol"/>
        </w:rPr>
        <w:t></w:t>
      </w:r>
      <w:r>
        <w:rPr>
          <w:rFonts w:ascii="Times New Roman" w:hAnsi="Times New Roman"/>
        </w:rPr>
        <w:tab/>
      </w:r>
      <w:r>
        <w:rPr>
          <w:rFonts w:ascii="Symbol" w:hAnsi="Symbol"/>
        </w:rPr>
        <w:t></w:t>
      </w:r>
    </w:p>
    <w:p>
      <w:pPr>
        <w:pStyle w:val="BodyText"/>
        <w:tabs>
          <w:tab w:pos="673" w:val="left" w:leader="none"/>
          <w:tab w:pos="1274" w:val="left" w:leader="none"/>
          <w:tab w:pos="2546" w:val="left" w:leader="none"/>
        </w:tabs>
        <w:spacing w:line="287" w:lineRule="exact"/>
        <w:ind w:right="1"/>
        <w:jc w:val="center"/>
        <w:rPr>
          <w:rFonts w:ascii="Times New Roman" w:hAnsi="Times New Roman"/>
        </w:rPr>
      </w:pPr>
      <w:r>
        <w:rPr>
          <w:rFonts w:ascii="Times New Roman" w:hAnsi="Times New Roman"/>
          <w:i/>
          <w:position w:val="-14"/>
        </w:rPr>
        <w:t>DM</w:t>
        <w:tab/>
      </w:r>
      <w:r>
        <w:rPr>
          <w:rFonts w:ascii="Symbol" w:hAnsi="Symbol"/>
          <w:position w:val="-14"/>
        </w:rPr>
        <w:t></w:t>
      </w:r>
      <w:r>
        <w:rPr>
          <w:rFonts w:ascii="Times New Roman" w:hAnsi="Times New Roman"/>
          <w:position w:val="-2"/>
          <w:u w:val="single"/>
        </w:rPr>
        <w:t> </w:t>
        <w:tab/>
      </w:r>
      <w:r>
        <w:rPr>
          <w:rFonts w:ascii="Symbol" w:hAnsi="Symbol"/>
          <w:position w:val="-2"/>
          <w:u w:val="single"/>
        </w:rPr>
        <w:t></w:t>
      </w:r>
      <w:r>
        <w:rPr>
          <w:rFonts w:ascii="Times New Roman" w:hAnsi="Times New Roman"/>
          <w:position w:val="-2"/>
          <w:u w:val="single"/>
        </w:rPr>
        <w:t> </w:t>
      </w:r>
      <w:r>
        <w:rPr>
          <w:rFonts w:ascii="Times New Roman" w:hAnsi="Times New Roman"/>
          <w:u w:val="single"/>
        </w:rPr>
        <w:t>36000</w:t>
      </w:r>
      <w:r>
        <w:rPr>
          <w:rFonts w:ascii="Times New Roman" w:hAnsi="Times New Roman"/>
          <w:spacing w:val="-42"/>
          <w:u w:val="single"/>
        </w:rPr>
        <w:t> </w:t>
      </w:r>
      <w:r>
        <w:rPr>
          <w:rFonts w:ascii="Symbol" w:hAnsi="Symbol"/>
          <w:position w:val="-2"/>
          <w:u w:val="single"/>
        </w:rPr>
        <w:t></w:t>
      </w:r>
      <w:r>
        <w:rPr>
          <w:rFonts w:ascii="Times New Roman" w:hAnsi="Times New Roman"/>
          <w:position w:val="-2"/>
          <w:u w:val="single"/>
        </w:rPr>
        <w:tab/>
      </w:r>
    </w:p>
    <w:p>
      <w:pPr>
        <w:tabs>
          <w:tab w:pos="1166" w:val="left" w:leader="none"/>
          <w:tab w:pos="1459" w:val="left" w:leader="none"/>
          <w:tab w:pos="2421" w:val="left" w:leader="none"/>
        </w:tabs>
        <w:spacing w:line="182" w:lineRule="exact" w:before="0"/>
        <w:ind w:left="394" w:right="0" w:firstLine="0"/>
        <w:jc w:val="center"/>
        <w:rPr>
          <w:rFonts w:ascii="Symbol" w:hAnsi="Symbol"/>
          <w:sz w:val="24"/>
        </w:rPr>
      </w:pPr>
      <w:r>
        <w:rPr>
          <w:rFonts w:ascii="Times New Roman" w:hAnsi="Times New Roman"/>
          <w:i/>
          <w:position w:val="14"/>
          <w:sz w:val="14"/>
        </w:rPr>
        <w:t>PL</w:t>
        <w:tab/>
      </w:r>
      <w:r>
        <w:rPr>
          <w:rFonts w:ascii="Symbol" w:hAnsi="Symbol"/>
          <w:sz w:val="24"/>
        </w:rPr>
        <w:t></w:t>
      </w:r>
      <w:r>
        <w:rPr>
          <w:rFonts w:ascii="Times New Roman" w:hAnsi="Times New Roman"/>
          <w:sz w:val="24"/>
        </w:rPr>
        <w:tab/>
      </w:r>
      <w:r>
        <w:rPr>
          <w:rFonts w:ascii="Times New Roman" w:hAnsi="Times New Roman"/>
          <w:i/>
          <w:position w:val="2"/>
          <w:sz w:val="24"/>
        </w:rPr>
        <w:t>r</w:t>
        <w:tab/>
      </w:r>
      <w:r>
        <w:rPr>
          <w:rFonts w:ascii="Symbol" w:hAnsi="Symbol"/>
          <w:sz w:val="24"/>
        </w:rPr>
        <w:t></w:t>
      </w:r>
    </w:p>
    <w:p>
      <w:pPr>
        <w:tabs>
          <w:tab w:pos="1545" w:val="left" w:leader="none"/>
          <w:tab w:pos="1912" w:val="left" w:leader="none"/>
        </w:tabs>
        <w:spacing w:line="206" w:lineRule="exact" w:before="0"/>
        <w:ind w:left="843" w:right="0" w:firstLine="0"/>
        <w:jc w:val="center"/>
        <w:rPr>
          <w:rFonts w:ascii="Symbol" w:hAnsi="Symbol"/>
          <w:sz w:val="24"/>
        </w:rPr>
      </w:pPr>
      <w:r>
        <w:rPr>
          <w:rFonts w:ascii="Times New Roman" w:hAnsi="Times New Roman"/>
          <w:position w:val="1"/>
          <w:sz w:val="24"/>
        </w:rPr>
        <w:t>1</w:t>
      </w:r>
      <w:r>
        <w:rPr>
          <w:rFonts w:ascii="Times New Roman" w:hAnsi="Times New Roman"/>
          <w:spacing w:val="-34"/>
          <w:position w:val="1"/>
          <w:sz w:val="24"/>
        </w:rPr>
        <w:t> </w:t>
      </w:r>
      <w:r>
        <w:rPr>
          <w:rFonts w:ascii="Symbol" w:hAnsi="Symbol"/>
          <w:position w:val="1"/>
          <w:sz w:val="24"/>
        </w:rPr>
        <w:t></w:t>
      </w:r>
      <w:r>
        <w:rPr>
          <w:rFonts w:ascii="Times New Roman" w:hAnsi="Times New Roman"/>
          <w:spacing w:val="-16"/>
          <w:position w:val="1"/>
          <w:sz w:val="24"/>
        </w:rPr>
        <w:t> </w:t>
      </w:r>
      <w:r>
        <w:rPr>
          <w:rFonts w:ascii="Symbol" w:hAnsi="Symbol"/>
          <w:sz w:val="24"/>
        </w:rPr>
        <w:t></w:t>
      </w:r>
      <w:r>
        <w:rPr>
          <w:rFonts w:ascii="Times New Roman" w:hAnsi="Times New Roman"/>
          <w:i/>
          <w:position w:val="11"/>
          <w:sz w:val="14"/>
          <w:u w:val="single"/>
        </w:rPr>
        <w:t> </w:t>
        <w:tab/>
        <w:t>PL</w:t>
        <w:tab/>
      </w:r>
      <w:r>
        <w:rPr>
          <w:rFonts w:ascii="Symbol" w:hAnsi="Symbol"/>
          <w:position w:val="1"/>
          <w:sz w:val="24"/>
        </w:rPr>
        <w:t></w:t>
      </w:r>
      <w:r>
        <w:rPr>
          <w:rFonts w:ascii="Times New Roman" w:hAnsi="Times New Roman"/>
          <w:position w:val="1"/>
          <w:sz w:val="24"/>
        </w:rPr>
        <w:t> </w:t>
      </w:r>
      <w:r>
        <w:rPr>
          <w:rFonts w:ascii="Times New Roman" w:hAnsi="Times New Roman"/>
          <w:i/>
          <w:spacing w:val="-3"/>
          <w:position w:val="1"/>
          <w:sz w:val="24"/>
        </w:rPr>
        <w:t>PL</w:t>
      </w:r>
      <w:r>
        <w:rPr>
          <w:rFonts w:ascii="Times New Roman" w:hAnsi="Times New Roman"/>
          <w:i/>
          <w:spacing w:val="-48"/>
          <w:position w:val="1"/>
          <w:sz w:val="24"/>
        </w:rPr>
        <w:t> </w:t>
      </w:r>
      <w:r>
        <w:rPr>
          <w:rFonts w:ascii="Symbol" w:hAnsi="Symbol"/>
          <w:sz w:val="24"/>
        </w:rPr>
        <w:t></w:t>
      </w:r>
    </w:p>
    <w:p>
      <w:pPr>
        <w:pStyle w:val="BodyText"/>
        <w:tabs>
          <w:tab w:pos="2421" w:val="left" w:leader="none"/>
        </w:tabs>
        <w:spacing w:line="287" w:lineRule="exact"/>
        <w:ind w:left="1166"/>
        <w:jc w:val="center"/>
        <w:rPr>
          <w:rFonts w:ascii="Symbol" w:hAnsi="Symbol"/>
        </w:rPr>
      </w:pPr>
      <w:r>
        <w:rPr>
          <w:rFonts w:ascii="Symbol" w:hAnsi="Symbol"/>
          <w:position w:val="-3"/>
        </w:rPr>
        <w:t></w:t>
      </w:r>
      <w:r>
        <w:rPr>
          <w:rFonts w:ascii="Times New Roman" w:hAnsi="Times New Roman"/>
          <w:spacing w:val="-20"/>
          <w:position w:val="-3"/>
        </w:rPr>
        <w:t> </w:t>
      </w:r>
      <w:r>
        <w:rPr>
          <w:rFonts w:ascii="Times New Roman" w:hAnsi="Times New Roman"/>
        </w:rPr>
        <w:t>36000</w:t>
        <w:tab/>
      </w:r>
      <w:r>
        <w:rPr>
          <w:rFonts w:ascii="Symbol" w:hAnsi="Symbol"/>
          <w:position w:val="-3"/>
        </w:rPr>
        <w:t></w:t>
      </w:r>
    </w:p>
    <w:p>
      <w:pPr>
        <w:pStyle w:val="BodyText"/>
        <w:spacing w:before="8"/>
        <w:rPr>
          <w:rFonts w:ascii="Symbol" w:hAnsi="Symbol"/>
          <w:sz w:val="16"/>
        </w:rPr>
      </w:pPr>
    </w:p>
    <w:p>
      <w:pPr>
        <w:spacing w:line="227" w:lineRule="exact" w:before="67"/>
        <w:ind w:left="887" w:right="0" w:firstLine="0"/>
        <w:jc w:val="center"/>
        <w:rPr>
          <w:rFonts w:ascii="Symbol" w:hAnsi="Symbol"/>
          <w:sz w:val="24"/>
        </w:rPr>
      </w:pPr>
      <w:r>
        <w:rPr>
          <w:rFonts w:ascii="Symbol" w:hAnsi="Symbol"/>
          <w:sz w:val="24"/>
        </w:rPr>
        <w:t></w:t>
      </w:r>
      <w:r>
        <w:rPr>
          <w:rFonts w:ascii="Times New Roman" w:hAnsi="Times New Roman"/>
          <w:sz w:val="24"/>
        </w:rPr>
        <w:t>   </w:t>
      </w:r>
      <w:r>
        <w:rPr>
          <w:rFonts w:ascii="Times New Roman" w:hAnsi="Times New Roman"/>
          <w:i/>
          <w:position w:val="2"/>
          <w:sz w:val="24"/>
        </w:rPr>
        <w:t>PC   </w:t>
      </w:r>
      <w:r>
        <w:rPr>
          <w:rFonts w:ascii="Symbol" w:hAnsi="Symbol"/>
          <w:sz w:val="24"/>
        </w:rPr>
        <w:t></w:t>
      </w:r>
    </w:p>
    <w:p>
      <w:pPr>
        <w:pStyle w:val="BodyText"/>
        <w:tabs>
          <w:tab w:pos="1660" w:val="left" w:leader="none"/>
        </w:tabs>
        <w:spacing w:line="146" w:lineRule="exact"/>
        <w:ind w:left="887"/>
        <w:jc w:val="center"/>
        <w:rPr>
          <w:rFonts w:ascii="Symbol" w:hAnsi="Symbol"/>
        </w:rPr>
      </w:pPr>
      <w:r>
        <w:rPr/>
        <w:pict>
          <v:line style="position:absolute;mso-position-horizontal-relative:page;mso-position-vertical-relative:paragraph;z-index:-94864" from="313.037933pt,4.824904pt" to="343.942914pt,4.824904pt" stroked="true" strokeweight=".138795pt" strokecolor="#000000">
            <w10:wrap type="none"/>
          </v:line>
        </w:pict>
      </w:r>
      <w:r>
        <w:rPr>
          <w:rFonts w:ascii="Symbol" w:hAnsi="Symbol"/>
        </w:rPr>
        <w:t></w:t>
      </w:r>
      <w:r>
        <w:rPr>
          <w:rFonts w:ascii="Times New Roman" w:hAnsi="Times New Roman"/>
        </w:rPr>
        <w:tab/>
      </w:r>
      <w:r>
        <w:rPr>
          <w:rFonts w:ascii="Symbol" w:hAnsi="Symbol"/>
        </w:rPr>
        <w:t></w:t>
      </w:r>
    </w:p>
    <w:p>
      <w:pPr>
        <w:pStyle w:val="BodyText"/>
        <w:tabs>
          <w:tab w:pos="695" w:val="left" w:leader="none"/>
          <w:tab w:pos="1316" w:val="left" w:leader="none"/>
          <w:tab w:pos="2610" w:val="left" w:leader="none"/>
        </w:tabs>
        <w:spacing w:line="285" w:lineRule="exact"/>
        <w:jc w:val="center"/>
        <w:rPr>
          <w:rFonts w:ascii="Times New Roman" w:hAnsi="Times New Roman"/>
        </w:rPr>
      </w:pPr>
      <w:r>
        <w:rPr>
          <w:rFonts w:ascii="Times New Roman" w:hAnsi="Times New Roman"/>
          <w:i/>
          <w:position w:val="-13"/>
        </w:rPr>
        <w:t>DM</w:t>
        <w:tab/>
      </w:r>
      <w:r>
        <w:rPr>
          <w:rFonts w:ascii="Symbol" w:hAnsi="Symbol"/>
          <w:position w:val="-13"/>
        </w:rPr>
        <w:t></w:t>
      </w:r>
      <w:r>
        <w:rPr>
          <w:rFonts w:ascii="Times New Roman" w:hAnsi="Times New Roman"/>
          <w:position w:val="-2"/>
          <w:u w:val="single"/>
        </w:rPr>
        <w:t> </w:t>
        <w:tab/>
      </w:r>
      <w:r>
        <w:rPr>
          <w:rFonts w:ascii="Symbol" w:hAnsi="Symbol"/>
          <w:position w:val="-2"/>
          <w:u w:val="single"/>
        </w:rPr>
        <w:t></w:t>
      </w:r>
      <w:r>
        <w:rPr>
          <w:rFonts w:ascii="Times New Roman" w:hAnsi="Times New Roman"/>
          <w:position w:val="-2"/>
          <w:u w:val="single"/>
        </w:rPr>
        <w:t> </w:t>
      </w:r>
      <w:r>
        <w:rPr>
          <w:rFonts w:ascii="Times New Roman" w:hAnsi="Times New Roman"/>
          <w:u w:val="single"/>
        </w:rPr>
        <w:t>36000</w:t>
      </w:r>
      <w:r>
        <w:rPr>
          <w:rFonts w:ascii="Times New Roman" w:hAnsi="Times New Roman"/>
          <w:spacing w:val="-42"/>
          <w:u w:val="single"/>
        </w:rPr>
        <w:t> </w:t>
      </w:r>
      <w:r>
        <w:rPr>
          <w:rFonts w:ascii="Symbol" w:hAnsi="Symbol"/>
          <w:position w:val="-2"/>
          <w:u w:val="single"/>
        </w:rPr>
        <w:t></w:t>
      </w:r>
      <w:r>
        <w:rPr>
          <w:rFonts w:ascii="Times New Roman" w:hAnsi="Times New Roman"/>
          <w:position w:val="-2"/>
          <w:u w:val="single"/>
        </w:rPr>
        <w:tab/>
      </w:r>
    </w:p>
    <w:p>
      <w:pPr>
        <w:tabs>
          <w:tab w:pos="1191" w:val="left" w:leader="none"/>
          <w:tab w:pos="2487" w:val="left" w:leader="none"/>
        </w:tabs>
        <w:spacing w:line="181" w:lineRule="exact" w:before="0"/>
        <w:ind w:left="397" w:right="0" w:firstLine="0"/>
        <w:jc w:val="center"/>
        <w:rPr>
          <w:rFonts w:ascii="Symbol" w:hAnsi="Symbol"/>
          <w:sz w:val="24"/>
        </w:rPr>
      </w:pPr>
      <w:r>
        <w:rPr>
          <w:rFonts w:ascii="Times New Roman" w:hAnsi="Times New Roman"/>
          <w:i/>
          <w:position w:val="14"/>
          <w:sz w:val="14"/>
        </w:rPr>
        <w:t>PC</w:t>
        <w:tab/>
      </w:r>
      <w:r>
        <w:rPr>
          <w:rFonts w:ascii="Symbol" w:hAnsi="Symbol"/>
          <w:sz w:val="24"/>
        </w:rPr>
        <w:t></w:t>
      </w:r>
      <w:r>
        <w:rPr>
          <w:rFonts w:ascii="Times New Roman" w:hAnsi="Times New Roman"/>
          <w:sz w:val="24"/>
        </w:rPr>
        <w:t>  </w:t>
      </w:r>
      <w:r>
        <w:rPr>
          <w:rFonts w:ascii="Times New Roman" w:hAnsi="Times New Roman"/>
          <w:spacing w:val="10"/>
          <w:sz w:val="24"/>
        </w:rPr>
        <w:t> </w:t>
      </w:r>
      <w:r>
        <w:rPr>
          <w:rFonts w:ascii="Times New Roman" w:hAnsi="Times New Roman"/>
          <w:i/>
          <w:position w:val="2"/>
          <w:sz w:val="24"/>
        </w:rPr>
        <w:t>r</w:t>
        <w:tab/>
      </w:r>
      <w:r>
        <w:rPr>
          <w:rFonts w:ascii="Symbol" w:hAnsi="Symbol"/>
          <w:sz w:val="24"/>
        </w:rPr>
        <w:t></w:t>
      </w:r>
    </w:p>
    <w:p>
      <w:pPr>
        <w:tabs>
          <w:tab w:pos="1560" w:val="left" w:leader="none"/>
        </w:tabs>
        <w:spacing w:line="207" w:lineRule="exact" w:before="0"/>
        <w:ind w:left="868" w:right="0" w:firstLine="0"/>
        <w:jc w:val="center"/>
        <w:rPr>
          <w:rFonts w:ascii="Symbol" w:hAnsi="Symbol"/>
          <w:sz w:val="24"/>
        </w:rPr>
      </w:pPr>
      <w:r>
        <w:rPr>
          <w:rFonts w:ascii="Times New Roman" w:hAnsi="Times New Roman"/>
          <w:position w:val="1"/>
          <w:sz w:val="24"/>
        </w:rPr>
        <w:t>1</w:t>
      </w:r>
      <w:r>
        <w:rPr>
          <w:rFonts w:ascii="Times New Roman" w:hAnsi="Times New Roman"/>
          <w:spacing w:val="-34"/>
          <w:position w:val="1"/>
          <w:sz w:val="24"/>
        </w:rPr>
        <w:t> </w:t>
      </w:r>
      <w:r>
        <w:rPr>
          <w:rFonts w:ascii="Symbol" w:hAnsi="Symbol"/>
          <w:position w:val="1"/>
          <w:sz w:val="24"/>
        </w:rPr>
        <w:t></w:t>
      </w:r>
      <w:r>
        <w:rPr>
          <w:rFonts w:ascii="Times New Roman" w:hAnsi="Times New Roman"/>
          <w:spacing w:val="-16"/>
          <w:position w:val="1"/>
          <w:sz w:val="24"/>
        </w:rPr>
        <w:t> </w:t>
      </w:r>
      <w:r>
        <w:rPr>
          <w:rFonts w:ascii="Symbol" w:hAnsi="Symbol"/>
          <w:sz w:val="24"/>
        </w:rPr>
        <w:t></w:t>
      </w:r>
      <w:r>
        <w:rPr>
          <w:rFonts w:ascii="Times New Roman" w:hAnsi="Times New Roman"/>
          <w:i/>
          <w:position w:val="11"/>
          <w:sz w:val="14"/>
          <w:u w:val="single"/>
        </w:rPr>
        <w:t> </w:t>
        <w:tab/>
        <w:t>PC       </w:t>
      </w:r>
      <w:r>
        <w:rPr>
          <w:rFonts w:ascii="Symbol" w:hAnsi="Symbol"/>
          <w:position w:val="1"/>
          <w:sz w:val="24"/>
        </w:rPr>
        <w:t></w:t>
      </w:r>
      <w:r>
        <w:rPr>
          <w:rFonts w:ascii="Times New Roman" w:hAnsi="Times New Roman"/>
          <w:position w:val="1"/>
          <w:sz w:val="24"/>
        </w:rPr>
        <w:t> </w:t>
      </w:r>
      <w:r>
        <w:rPr>
          <w:rFonts w:ascii="Times New Roman" w:hAnsi="Times New Roman"/>
          <w:i/>
          <w:spacing w:val="-3"/>
          <w:position w:val="1"/>
          <w:sz w:val="24"/>
        </w:rPr>
        <w:t>PC</w:t>
      </w:r>
      <w:r>
        <w:rPr>
          <w:rFonts w:ascii="Times New Roman" w:hAnsi="Times New Roman"/>
          <w:i/>
          <w:spacing w:val="-41"/>
          <w:position w:val="1"/>
          <w:sz w:val="24"/>
        </w:rPr>
        <w:t> </w:t>
      </w:r>
      <w:r>
        <w:rPr>
          <w:rFonts w:ascii="Symbol" w:hAnsi="Symbol"/>
          <w:sz w:val="24"/>
        </w:rPr>
        <w:t></w:t>
      </w:r>
    </w:p>
    <w:p>
      <w:pPr>
        <w:pStyle w:val="BodyText"/>
        <w:tabs>
          <w:tab w:pos="2487" w:val="left" w:leader="none"/>
        </w:tabs>
        <w:spacing w:line="286" w:lineRule="exact"/>
        <w:ind w:left="1191"/>
        <w:jc w:val="center"/>
        <w:rPr>
          <w:rFonts w:ascii="Symbol" w:hAnsi="Symbol"/>
        </w:rPr>
      </w:pPr>
      <w:r>
        <w:rPr>
          <w:rFonts w:ascii="Symbol" w:hAnsi="Symbol"/>
          <w:position w:val="-3"/>
        </w:rPr>
        <w:t></w:t>
      </w:r>
      <w:r>
        <w:rPr>
          <w:rFonts w:ascii="Times New Roman" w:hAnsi="Times New Roman"/>
          <w:spacing w:val="-20"/>
          <w:position w:val="-3"/>
        </w:rPr>
        <w:t> </w:t>
      </w:r>
      <w:r>
        <w:rPr>
          <w:rFonts w:ascii="Times New Roman" w:hAnsi="Times New Roman"/>
        </w:rPr>
        <w:t>36000</w:t>
        <w:tab/>
      </w:r>
      <w:r>
        <w:rPr>
          <w:rFonts w:ascii="Symbol" w:hAnsi="Symbol"/>
          <w:position w:val="-3"/>
        </w:rPr>
        <w:t></w:t>
      </w:r>
    </w:p>
    <w:p>
      <w:pPr>
        <w:pStyle w:val="BodyText"/>
        <w:spacing w:before="1"/>
        <w:rPr>
          <w:rFonts w:ascii="Symbol" w:hAnsi="Symbol"/>
          <w:sz w:val="16"/>
        </w:rPr>
      </w:pPr>
    </w:p>
    <w:p>
      <w:pPr>
        <w:spacing w:before="64"/>
        <w:ind w:left="479" w:right="503" w:firstLine="0"/>
        <w:jc w:val="center"/>
        <w:rPr>
          <w:rFonts w:ascii="Times New Roman" w:hAnsi="Times New Roman"/>
          <w:i/>
          <w:sz w:val="14"/>
        </w:rPr>
      </w:pPr>
      <w:r>
        <w:rPr>
          <w:rFonts w:ascii="Times New Roman" w:hAnsi="Times New Roman"/>
          <w:i/>
          <w:w w:val="105"/>
          <w:sz w:val="23"/>
        </w:rPr>
        <w:t>VMR </w:t>
      </w:r>
      <w:r>
        <w:rPr>
          <w:rFonts w:ascii="Symbol" w:hAnsi="Symbol"/>
          <w:w w:val="105"/>
          <w:sz w:val="23"/>
        </w:rPr>
        <w:t></w:t>
      </w:r>
      <w:r>
        <w:rPr>
          <w:rFonts w:ascii="Times New Roman" w:hAnsi="Times New Roman"/>
          <w:w w:val="105"/>
          <w:sz w:val="23"/>
        </w:rPr>
        <w:t> </w:t>
      </w:r>
      <w:r>
        <w:rPr>
          <w:rFonts w:ascii="Times New Roman" w:hAnsi="Times New Roman"/>
          <w:i/>
          <w:w w:val="105"/>
          <w:sz w:val="23"/>
        </w:rPr>
        <w:t>VM </w:t>
      </w:r>
      <w:r>
        <w:rPr>
          <w:rFonts w:ascii="Times New Roman" w:hAnsi="Times New Roman"/>
          <w:i/>
          <w:w w:val="105"/>
          <w:position w:val="-5"/>
          <w:sz w:val="14"/>
        </w:rPr>
        <w:t>A </w:t>
      </w:r>
      <w:r>
        <w:rPr>
          <w:rFonts w:ascii="Symbol" w:hAnsi="Symbol"/>
          <w:w w:val="105"/>
          <w:sz w:val="23"/>
        </w:rPr>
        <w:t></w:t>
      </w:r>
      <w:r>
        <w:rPr>
          <w:rFonts w:ascii="Times New Roman" w:hAnsi="Times New Roman"/>
          <w:i/>
          <w:w w:val="105"/>
          <w:sz w:val="23"/>
        </w:rPr>
        <w:t>VM </w:t>
      </w:r>
      <w:r>
        <w:rPr>
          <w:rFonts w:ascii="Times New Roman" w:hAnsi="Times New Roman"/>
          <w:i/>
          <w:w w:val="105"/>
          <w:position w:val="-5"/>
          <w:sz w:val="14"/>
        </w:rPr>
        <w:t>P</w:t>
      </w:r>
    </w:p>
    <w:p>
      <w:pPr>
        <w:pStyle w:val="BodyText"/>
        <w:spacing w:before="1"/>
        <w:rPr>
          <w:rFonts w:ascii="Times New Roman"/>
          <w:i/>
          <w:sz w:val="17"/>
        </w:rPr>
      </w:pPr>
    </w:p>
    <w:p>
      <w:pPr>
        <w:spacing w:after="0"/>
        <w:rPr>
          <w:rFonts w:ascii="Times New Roman"/>
          <w:sz w:val="17"/>
        </w:rPr>
        <w:sectPr>
          <w:type w:val="continuous"/>
          <w:pgSz w:w="12240" w:h="15840"/>
          <w:pgMar w:top="720" w:bottom="280" w:left="1560" w:right="1560"/>
        </w:sectPr>
      </w:pPr>
    </w:p>
    <w:p>
      <w:pPr>
        <w:pStyle w:val="BodyText"/>
        <w:spacing w:before="70"/>
        <w:ind w:left="142" w:right="-6"/>
      </w:pPr>
      <w:r>
        <w:rPr/>
        <w:t>Este valor (pesos por títulos) depende de las tasas</w:t>
      </w:r>
      <w:r>
        <w:rPr>
          <w:spacing w:val="-15"/>
        </w:rPr>
        <w:t> </w:t>
      </w:r>
      <w:r>
        <w:rPr/>
        <w:t>de</w:t>
      </w:r>
    </w:p>
    <w:p>
      <w:pPr>
        <w:spacing w:before="82"/>
        <w:ind w:left="66" w:right="-16" w:firstLine="0"/>
        <w:jc w:val="left"/>
        <w:rPr>
          <w:rFonts w:ascii="Times New Roman"/>
          <w:i/>
          <w:sz w:val="14"/>
        </w:rPr>
      </w:pPr>
      <w:r>
        <w:rPr/>
        <w:br w:type="column"/>
      </w:r>
      <w:r>
        <w:rPr>
          <w:rFonts w:ascii="Times New Roman"/>
          <w:i/>
          <w:spacing w:val="-2"/>
          <w:position w:val="6"/>
          <w:sz w:val="23"/>
        </w:rPr>
        <w:t>r</w:t>
      </w:r>
      <w:r>
        <w:rPr>
          <w:rFonts w:ascii="Times New Roman"/>
          <w:i/>
          <w:spacing w:val="-2"/>
          <w:sz w:val="14"/>
        </w:rPr>
        <w:t>PL</w:t>
      </w:r>
    </w:p>
    <w:p>
      <w:pPr>
        <w:spacing w:before="71"/>
        <w:ind w:left="77" w:right="0" w:firstLine="0"/>
        <w:jc w:val="left"/>
        <w:rPr>
          <w:rFonts w:ascii="Times New Roman"/>
          <w:i/>
          <w:sz w:val="14"/>
        </w:rPr>
      </w:pPr>
      <w:r>
        <w:rPr/>
        <w:br w:type="column"/>
      </w:r>
      <w:r>
        <w:rPr>
          <w:position w:val="6"/>
          <w:sz w:val="24"/>
        </w:rPr>
        <w:t>y </w:t>
      </w:r>
      <w:r>
        <w:rPr>
          <w:rFonts w:ascii="Times New Roman"/>
          <w:i/>
          <w:position w:val="6"/>
          <w:sz w:val="24"/>
        </w:rPr>
        <w:t>r</w:t>
      </w:r>
      <w:r>
        <w:rPr>
          <w:rFonts w:ascii="Times New Roman"/>
          <w:i/>
          <w:sz w:val="14"/>
        </w:rPr>
        <w:t>PC</w:t>
      </w:r>
    </w:p>
    <w:p>
      <w:pPr>
        <w:spacing w:after="0"/>
        <w:jc w:val="left"/>
        <w:rPr>
          <w:rFonts w:ascii="Times New Roman"/>
          <w:sz w:val="14"/>
        </w:rPr>
        <w:sectPr>
          <w:type w:val="continuous"/>
          <w:pgSz w:w="12240" w:h="15840"/>
          <w:pgMar w:top="720" w:bottom="280" w:left="1560" w:right="1560"/>
          <w:cols w:num="3" w:equalWidth="0">
            <w:col w:w="5878" w:space="40"/>
            <w:col w:w="317" w:space="40"/>
            <w:col w:w="2845"/>
          </w:cols>
        </w:sectPr>
      </w:pPr>
    </w:p>
    <w:p>
      <w:pPr>
        <w:pStyle w:val="BodyText"/>
        <w:spacing w:before="3"/>
        <w:rPr>
          <w:rFonts w:ascii="Times New Roman"/>
          <w:i/>
          <w:sz w:val="19"/>
        </w:rPr>
      </w:pPr>
    </w:p>
    <w:p>
      <w:pPr>
        <w:pStyle w:val="BodyText"/>
        <w:tabs>
          <w:tab w:pos="1860" w:val="left" w:leader="none"/>
          <w:tab w:pos="2561" w:val="left" w:leader="none"/>
          <w:tab w:pos="3459" w:val="left" w:leader="none"/>
        </w:tabs>
        <w:spacing w:line="322" w:lineRule="exact" w:before="72"/>
        <w:ind w:left="1289" w:right="786"/>
        <w:rPr>
          <w:rFonts w:ascii="Times New Roman" w:hAnsi="Times New Roman"/>
          <w:i/>
          <w:sz w:val="23"/>
        </w:rPr>
      </w:pPr>
      <w:r>
        <w:rPr/>
        <w:pict>
          <v:line style="position:absolute;mso-position-horizontal-relative:page;mso-position-vertical-relative:paragraph;z-index:-94840" from="181.246948pt,19.579613pt" to="248.880443pt,19.579613pt" stroked="true" strokeweight=".139944pt" strokecolor="#000000">
            <w10:wrap type="none"/>
          </v:line>
        </w:pict>
      </w:r>
      <w:r>
        <w:rPr>
          <w:rFonts w:ascii="Times New Roman" w:hAnsi="Times New Roman"/>
          <w:i/>
          <w:spacing w:val="-3"/>
          <w:position w:val="1"/>
        </w:rPr>
        <w:t>VM</w:t>
        <w:tab/>
      </w:r>
      <w:r>
        <w:rPr>
          <w:rFonts w:ascii="Symbol" w:hAnsi="Symbol"/>
          <w:position w:val="1"/>
        </w:rPr>
        <w:t></w:t>
      </w:r>
      <w:r>
        <w:rPr>
          <w:rFonts w:ascii="Times New Roman" w:hAnsi="Times New Roman"/>
          <w:position w:val="1"/>
        </w:rPr>
        <w:tab/>
      </w:r>
      <w:r>
        <w:rPr>
          <w:rFonts w:ascii="Times New Roman" w:hAnsi="Times New Roman"/>
          <w:i/>
          <w:spacing w:val="-3"/>
          <w:position w:val="16"/>
        </w:rPr>
        <w:t>VN</w:t>
        <w:tab/>
      </w:r>
      <w:r>
        <w:rPr/>
        <w:t>; el riesgo es que suba la tasa</w:t>
      </w:r>
      <w:r>
        <w:rPr>
          <w:spacing w:val="28"/>
        </w:rPr>
        <w:t> </w:t>
      </w:r>
      <w:r>
        <w:rPr>
          <w:rFonts w:ascii="Times New Roman" w:hAnsi="Times New Roman"/>
          <w:i/>
          <w:sz w:val="23"/>
        </w:rPr>
        <w:t>r</w:t>
      </w:r>
    </w:p>
    <w:p>
      <w:pPr>
        <w:tabs>
          <w:tab w:pos="2372" w:val="left" w:leader="none"/>
          <w:tab w:pos="2832" w:val="left" w:leader="none"/>
          <w:tab w:pos="6834" w:val="left" w:leader="none"/>
        </w:tabs>
        <w:spacing w:line="182" w:lineRule="exact" w:before="0"/>
        <w:ind w:left="1682" w:right="786" w:firstLine="0"/>
        <w:jc w:val="left"/>
        <w:rPr>
          <w:rFonts w:ascii="Times New Roman" w:hAnsi="Times New Roman"/>
          <w:i/>
          <w:sz w:val="14"/>
        </w:rPr>
      </w:pPr>
      <w:r>
        <w:rPr>
          <w:rFonts w:ascii="Times New Roman" w:hAnsi="Times New Roman"/>
          <w:i/>
          <w:position w:val="14"/>
          <w:sz w:val="14"/>
        </w:rPr>
        <w:t>A</w:t>
        <w:tab/>
      </w:r>
      <w:r>
        <w:rPr>
          <w:rFonts w:ascii="Symbol" w:hAnsi="Symbol"/>
          <w:sz w:val="24"/>
        </w:rPr>
        <w:t></w:t>
      </w:r>
      <w:r>
        <w:rPr>
          <w:rFonts w:ascii="Times New Roman" w:hAnsi="Times New Roman"/>
          <w:spacing w:val="-12"/>
          <w:sz w:val="24"/>
        </w:rPr>
        <w:t> </w:t>
      </w:r>
      <w:r>
        <w:rPr>
          <w:rFonts w:ascii="Times New Roman" w:hAnsi="Times New Roman"/>
          <w:i/>
          <w:position w:val="2"/>
          <w:sz w:val="24"/>
        </w:rPr>
        <w:t>r</w:t>
        <w:tab/>
      </w:r>
      <w:r>
        <w:rPr>
          <w:rFonts w:ascii="Symbol" w:hAnsi="Symbol"/>
          <w:position w:val="2"/>
          <w:sz w:val="24"/>
        </w:rPr>
        <w:t></w:t>
      </w:r>
      <w:r>
        <w:rPr>
          <w:rFonts w:ascii="Times New Roman" w:hAnsi="Times New Roman"/>
          <w:spacing w:val="7"/>
          <w:position w:val="2"/>
          <w:sz w:val="24"/>
        </w:rPr>
        <w:t> </w:t>
      </w:r>
      <w:r>
        <w:rPr>
          <w:rFonts w:ascii="Times New Roman" w:hAnsi="Times New Roman"/>
          <w:i/>
          <w:position w:val="2"/>
          <w:sz w:val="24"/>
        </w:rPr>
        <w:t>p </w:t>
      </w:r>
      <w:r>
        <w:rPr>
          <w:rFonts w:ascii="Times New Roman" w:hAnsi="Times New Roman"/>
          <w:i/>
          <w:spacing w:val="48"/>
          <w:position w:val="2"/>
          <w:sz w:val="24"/>
        </w:rPr>
        <w:t> </w:t>
      </w:r>
      <w:r>
        <w:rPr>
          <w:rFonts w:ascii="Symbol" w:hAnsi="Symbol"/>
          <w:sz w:val="24"/>
        </w:rPr>
        <w:t></w:t>
      </w:r>
      <w:r>
        <w:rPr>
          <w:rFonts w:ascii="Times New Roman" w:hAnsi="Times New Roman"/>
          <w:sz w:val="24"/>
        </w:rPr>
        <w:tab/>
      </w:r>
      <w:r>
        <w:rPr>
          <w:rFonts w:ascii="Times New Roman" w:hAnsi="Times New Roman"/>
          <w:i/>
          <w:position w:val="13"/>
          <w:sz w:val="14"/>
        </w:rPr>
        <w:t>PL</w:t>
      </w:r>
    </w:p>
    <w:p>
      <w:pPr>
        <w:tabs>
          <w:tab w:pos="3155" w:val="left" w:leader="none"/>
        </w:tabs>
        <w:spacing w:line="205" w:lineRule="exact" w:before="0"/>
        <w:ind w:left="2049" w:right="786" w:firstLine="0"/>
        <w:jc w:val="left"/>
        <w:rPr>
          <w:rFonts w:ascii="Symbol" w:hAnsi="Symbol"/>
          <w:sz w:val="24"/>
        </w:rPr>
      </w:pPr>
      <w:r>
        <w:rPr>
          <w:rFonts w:ascii="Times New Roman" w:hAnsi="Times New Roman"/>
          <w:position w:val="-9"/>
          <w:sz w:val="24"/>
        </w:rPr>
        <w:t>1</w:t>
      </w:r>
      <w:r>
        <w:rPr>
          <w:rFonts w:ascii="Times New Roman" w:hAnsi="Times New Roman"/>
          <w:spacing w:val="-50"/>
          <w:position w:val="-9"/>
          <w:sz w:val="24"/>
        </w:rPr>
        <w:t> </w:t>
      </w:r>
      <w:r>
        <w:rPr>
          <w:rFonts w:ascii="Symbol" w:hAnsi="Symbol"/>
          <w:position w:val="-9"/>
          <w:sz w:val="24"/>
        </w:rPr>
        <w:t></w:t>
      </w:r>
      <w:r>
        <w:rPr>
          <w:rFonts w:ascii="Times New Roman" w:hAnsi="Times New Roman"/>
          <w:position w:val="-9"/>
          <w:sz w:val="24"/>
        </w:rPr>
        <w:t> </w:t>
      </w:r>
      <w:r>
        <w:rPr>
          <w:rFonts w:ascii="Symbol" w:hAnsi="Symbol"/>
          <w:position w:val="-10"/>
          <w:sz w:val="24"/>
        </w:rPr>
        <w:t></w:t>
      </w:r>
      <w:r>
        <w:rPr>
          <w:rFonts w:ascii="Times New Roman" w:hAnsi="Times New Roman"/>
          <w:position w:val="-10"/>
          <w:sz w:val="24"/>
        </w:rPr>
        <w:t> </w:t>
      </w:r>
      <w:r>
        <w:rPr>
          <w:rFonts w:ascii="Times New Roman" w:hAnsi="Times New Roman"/>
          <w:spacing w:val="14"/>
          <w:position w:val="-10"/>
          <w:sz w:val="24"/>
        </w:rPr>
        <w:t> </w:t>
      </w:r>
      <w:r>
        <w:rPr>
          <w:rFonts w:ascii="Times New Roman" w:hAnsi="Times New Roman"/>
          <w:i/>
          <w:sz w:val="14"/>
          <w:u w:val="single"/>
        </w:rPr>
        <w:t>PL</w:t>
        <w:tab/>
        <w:t>L </w:t>
      </w:r>
      <w:r>
        <w:rPr>
          <w:rFonts w:ascii="Times New Roman" w:hAnsi="Times New Roman"/>
          <w:i/>
          <w:spacing w:val="5"/>
          <w:sz w:val="14"/>
          <w:u w:val="single"/>
        </w:rPr>
        <w:t> </w:t>
      </w:r>
      <w:r>
        <w:rPr>
          <w:rFonts w:ascii="Symbol" w:hAnsi="Symbol"/>
          <w:position w:val="-10"/>
          <w:sz w:val="24"/>
        </w:rPr>
        <w:t></w:t>
      </w:r>
    </w:p>
    <w:p>
      <w:pPr>
        <w:spacing w:after="0" w:line="205" w:lineRule="exact"/>
        <w:jc w:val="left"/>
        <w:rPr>
          <w:rFonts w:ascii="Symbol" w:hAnsi="Symbol"/>
          <w:sz w:val="24"/>
        </w:rPr>
        <w:sectPr>
          <w:type w:val="continuous"/>
          <w:pgSz w:w="12240" w:h="15840"/>
          <w:pgMar w:top="720" w:bottom="280" w:left="1560" w:right="1560"/>
        </w:sectPr>
      </w:pPr>
    </w:p>
    <w:p>
      <w:pPr>
        <w:pStyle w:val="BodyText"/>
        <w:rPr>
          <w:rFonts w:ascii="Symbol" w:hAnsi="Symbol"/>
        </w:rPr>
      </w:pPr>
    </w:p>
    <w:p>
      <w:pPr>
        <w:pStyle w:val="BodyText"/>
        <w:rPr>
          <w:rFonts w:ascii="Symbol" w:hAnsi="Symbol"/>
          <w:sz w:val="32"/>
        </w:rPr>
      </w:pPr>
    </w:p>
    <w:p>
      <w:pPr>
        <w:tabs>
          <w:tab w:pos="1860" w:val="left" w:leader="none"/>
        </w:tabs>
        <w:spacing w:line="189" w:lineRule="exact" w:before="0"/>
        <w:ind w:left="1289" w:right="0" w:firstLine="0"/>
        <w:jc w:val="left"/>
        <w:rPr>
          <w:rFonts w:ascii="Symbol" w:hAnsi="Symbol"/>
          <w:sz w:val="24"/>
        </w:rPr>
      </w:pPr>
      <w:r>
        <w:rPr>
          <w:rFonts w:ascii="Times New Roman" w:hAnsi="Times New Roman"/>
          <w:i/>
          <w:spacing w:val="-3"/>
          <w:sz w:val="24"/>
        </w:rPr>
        <w:t>VM</w:t>
        <w:tab/>
      </w:r>
      <w:r>
        <w:rPr>
          <w:rFonts w:ascii="Symbol" w:hAnsi="Symbol"/>
          <w:sz w:val="24"/>
        </w:rPr>
        <w:t></w:t>
      </w:r>
    </w:p>
    <w:p>
      <w:pPr>
        <w:pStyle w:val="BodyText"/>
        <w:spacing w:line="287" w:lineRule="exact"/>
        <w:ind w:left="339"/>
        <w:jc w:val="center"/>
        <w:rPr>
          <w:rFonts w:ascii="Times New Roman" w:hAnsi="Times New Roman"/>
        </w:rPr>
      </w:pPr>
      <w:r>
        <w:rPr/>
        <w:br w:type="column"/>
      </w:r>
      <w:r>
        <w:rPr>
          <w:rFonts w:ascii="Symbol" w:hAnsi="Symbol"/>
          <w:position w:val="-3"/>
        </w:rPr>
        <w:t></w:t>
      </w:r>
      <w:r>
        <w:rPr>
          <w:rFonts w:ascii="Times New Roman" w:hAnsi="Times New Roman"/>
          <w:position w:val="-3"/>
        </w:rPr>
        <w:t>  </w:t>
      </w:r>
      <w:r>
        <w:rPr>
          <w:rFonts w:ascii="Times New Roman" w:hAnsi="Times New Roman"/>
        </w:rPr>
        <w:t>36000</w:t>
      </w:r>
    </w:p>
    <w:p>
      <w:pPr>
        <w:pStyle w:val="BodyText"/>
        <w:spacing w:before="1"/>
        <w:rPr>
          <w:rFonts w:ascii="Times New Roman"/>
          <w:sz w:val="23"/>
        </w:rPr>
      </w:pPr>
    </w:p>
    <w:p>
      <w:pPr>
        <w:spacing w:before="0"/>
        <w:ind w:left="282" w:right="0" w:firstLine="0"/>
        <w:jc w:val="center"/>
        <w:rPr>
          <w:rFonts w:ascii="Times New Roman"/>
          <w:i/>
          <w:sz w:val="24"/>
        </w:rPr>
      </w:pPr>
      <w:r>
        <w:rPr>
          <w:rFonts w:ascii="Times New Roman"/>
          <w:i/>
          <w:sz w:val="24"/>
        </w:rPr>
        <w:t>Ps</w:t>
      </w:r>
    </w:p>
    <w:p>
      <w:pPr>
        <w:spacing w:line="282" w:lineRule="exact" w:before="0"/>
        <w:ind w:left="80" w:right="-18" w:firstLine="0"/>
        <w:jc w:val="left"/>
        <w:rPr>
          <w:rFonts w:ascii="Symbol" w:hAnsi="Symbol"/>
          <w:sz w:val="24"/>
        </w:rPr>
      </w:pPr>
      <w:r>
        <w:rPr/>
        <w:br w:type="column"/>
      </w:r>
      <w:r>
        <w:rPr>
          <w:rFonts w:ascii="Symbol" w:hAnsi="Symbol"/>
          <w:sz w:val="24"/>
        </w:rPr>
        <w:t></w:t>
      </w:r>
    </w:p>
    <w:p>
      <w:pPr>
        <w:pStyle w:val="BodyText"/>
        <w:spacing w:before="3"/>
        <w:rPr>
          <w:rFonts w:ascii="Symbol" w:hAnsi="Symbol"/>
          <w:sz w:val="34"/>
        </w:rPr>
      </w:pPr>
    </w:p>
    <w:p>
      <w:pPr>
        <w:pStyle w:val="BodyText"/>
        <w:spacing w:line="173" w:lineRule="exact"/>
        <w:ind w:left="265" w:right="-18"/>
      </w:pPr>
      <w:r>
        <w:rPr/>
        <w:pict>
          <v:line style="position:absolute;mso-position-horizontal-relative:page;mso-position-vertical-relative:paragraph;z-index:5128" from="181.233704pt,8.516695pt" to="250.657094pt,8.516695pt" stroked="true" strokeweight=".138605pt" strokecolor="#000000">
            <w10:wrap type="none"/>
          </v:line>
        </w:pict>
      </w:r>
      <w:r>
        <w:rPr/>
        <w:t>; el riesgo es que</w:t>
      </w:r>
    </w:p>
    <w:p>
      <w:pPr>
        <w:pStyle w:val="BodyText"/>
      </w:pPr>
      <w:r>
        <w:rPr/>
        <w:br w:type="column"/>
      </w:r>
      <w:r>
        <w:rPr/>
      </w:r>
    </w:p>
    <w:p>
      <w:pPr>
        <w:pStyle w:val="BodyText"/>
      </w:pPr>
    </w:p>
    <w:p>
      <w:pPr>
        <w:pStyle w:val="BodyText"/>
        <w:tabs>
          <w:tab w:pos="452" w:val="left" w:leader="none"/>
        </w:tabs>
        <w:spacing w:line="171" w:lineRule="exact" w:before="152"/>
        <w:ind w:left="61"/>
        <w:rPr>
          <w:rFonts w:ascii="Times New Roman"/>
          <w:i/>
          <w:sz w:val="23"/>
        </w:rPr>
      </w:pPr>
      <w:r>
        <w:rPr>
          <w:rFonts w:ascii="Times New Roman"/>
          <w:i/>
        </w:rPr>
        <w:t>r</w:t>
        <w:tab/>
      </w:r>
      <w:r>
        <w:rPr/>
        <w:t>baje o suba menos que</w:t>
      </w:r>
      <w:r>
        <w:rPr>
          <w:spacing w:val="30"/>
        </w:rPr>
        <w:t> </w:t>
      </w:r>
      <w:r>
        <w:rPr>
          <w:rFonts w:ascii="Times New Roman"/>
          <w:i/>
          <w:sz w:val="23"/>
        </w:rPr>
        <w:t>r</w:t>
      </w:r>
    </w:p>
    <w:p>
      <w:pPr>
        <w:spacing w:after="0" w:line="171" w:lineRule="exact"/>
        <w:rPr>
          <w:rFonts w:ascii="Times New Roman"/>
          <w:sz w:val="23"/>
        </w:rPr>
        <w:sectPr>
          <w:type w:val="continuous"/>
          <w:pgSz w:w="12240" w:h="15840"/>
          <w:pgMar w:top="720" w:bottom="280" w:left="1560" w:right="1560"/>
          <w:cols w:num="4" w:equalWidth="0">
            <w:col w:w="1993" w:space="40"/>
            <w:col w:w="1158" w:space="40"/>
            <w:col w:w="2095" w:space="40"/>
            <w:col w:w="3754"/>
          </w:cols>
        </w:sectPr>
      </w:pPr>
    </w:p>
    <w:p>
      <w:pPr>
        <w:tabs>
          <w:tab w:pos="2372" w:val="left" w:leader="none"/>
        </w:tabs>
        <w:spacing w:line="181" w:lineRule="exact" w:before="0"/>
        <w:ind w:left="1675" w:right="0" w:firstLine="0"/>
        <w:jc w:val="left"/>
        <w:rPr>
          <w:rFonts w:ascii="Times New Roman" w:hAnsi="Times New Roman"/>
          <w:i/>
          <w:sz w:val="24"/>
        </w:rPr>
      </w:pPr>
      <w:r>
        <w:rPr>
          <w:rFonts w:ascii="Times New Roman" w:hAnsi="Times New Roman"/>
          <w:i/>
          <w:position w:val="14"/>
          <w:sz w:val="14"/>
        </w:rPr>
        <w:t>P</w:t>
        <w:tab/>
      </w:r>
      <w:r>
        <w:rPr>
          <w:rFonts w:ascii="Symbol" w:hAnsi="Symbol"/>
          <w:sz w:val="24"/>
        </w:rPr>
        <w:t></w:t>
      </w:r>
      <w:r>
        <w:rPr>
          <w:rFonts w:ascii="Times New Roman" w:hAnsi="Times New Roman"/>
          <w:spacing w:val="-13"/>
          <w:sz w:val="24"/>
        </w:rPr>
        <w:t> </w:t>
      </w:r>
      <w:r>
        <w:rPr>
          <w:rFonts w:ascii="Times New Roman" w:hAnsi="Times New Roman"/>
          <w:i/>
          <w:position w:val="2"/>
          <w:sz w:val="24"/>
        </w:rPr>
        <w:t>r</w:t>
      </w:r>
    </w:p>
    <w:p>
      <w:pPr>
        <w:pStyle w:val="ListParagraph"/>
        <w:numPr>
          <w:ilvl w:val="0"/>
          <w:numId w:val="22"/>
        </w:numPr>
        <w:tabs>
          <w:tab w:pos="397" w:val="left" w:leader="none"/>
          <w:tab w:pos="2865" w:val="left" w:leader="none"/>
          <w:tab w:pos="5852" w:val="left" w:leader="none"/>
        </w:tabs>
        <w:spacing w:line="181" w:lineRule="exact" w:before="0" w:after="0"/>
        <w:ind w:left="396" w:right="0" w:hanging="187"/>
        <w:jc w:val="left"/>
        <w:rPr>
          <w:rFonts w:ascii="Times New Roman" w:hAnsi="Times New Roman"/>
          <w:i/>
          <w:sz w:val="14"/>
        </w:rPr>
      </w:pPr>
      <w:r>
        <w:rPr>
          <w:rFonts w:ascii="Times New Roman" w:hAnsi="Times New Roman"/>
          <w:i/>
          <w:w w:val="100"/>
          <w:position w:val="-11"/>
          <w:sz w:val="24"/>
        </w:rPr>
        <w:br w:type="column"/>
      </w:r>
      <w:r>
        <w:rPr>
          <w:rFonts w:ascii="Times New Roman" w:hAnsi="Times New Roman"/>
          <w:i/>
          <w:position w:val="-11"/>
          <w:sz w:val="24"/>
        </w:rPr>
        <w:t>p  </w:t>
      </w:r>
      <w:r>
        <w:rPr>
          <w:rFonts w:ascii="Times New Roman" w:hAnsi="Times New Roman"/>
          <w:i/>
          <w:spacing w:val="2"/>
          <w:position w:val="-11"/>
          <w:sz w:val="24"/>
        </w:rPr>
        <w:t> </w:t>
      </w:r>
      <w:r>
        <w:rPr>
          <w:rFonts w:ascii="Symbol" w:hAnsi="Symbol"/>
          <w:position w:val="-13"/>
          <w:sz w:val="24"/>
        </w:rPr>
        <w:t></w:t>
      </w:r>
      <w:r>
        <w:rPr>
          <w:rFonts w:ascii="Times New Roman" w:hAnsi="Times New Roman"/>
          <w:position w:val="-13"/>
          <w:sz w:val="24"/>
        </w:rPr>
        <w:tab/>
      </w:r>
      <w:r>
        <w:rPr>
          <w:rFonts w:ascii="Times New Roman" w:hAnsi="Times New Roman"/>
          <w:i/>
          <w:sz w:val="14"/>
        </w:rPr>
        <w:t>PC</w:t>
        <w:tab/>
        <w:t>PL</w:t>
      </w:r>
    </w:p>
    <w:p>
      <w:pPr>
        <w:spacing w:after="0" w:line="181" w:lineRule="exact"/>
        <w:jc w:val="left"/>
        <w:rPr>
          <w:rFonts w:ascii="Times New Roman" w:hAnsi="Times New Roman"/>
          <w:sz w:val="14"/>
        </w:rPr>
        <w:sectPr>
          <w:type w:val="continuous"/>
          <w:pgSz w:w="12240" w:h="15840"/>
          <w:pgMar w:top="720" w:bottom="280" w:left="1560" w:right="1560"/>
          <w:cols w:num="2" w:equalWidth="0">
            <w:col w:w="2606" w:space="40"/>
            <w:col w:w="6474"/>
          </w:cols>
        </w:sectPr>
      </w:pPr>
    </w:p>
    <w:p>
      <w:pPr>
        <w:tabs>
          <w:tab w:pos="3169" w:val="left" w:leader="none"/>
        </w:tabs>
        <w:spacing w:line="207" w:lineRule="exact" w:before="0"/>
        <w:ind w:left="2049" w:right="786" w:firstLine="0"/>
        <w:jc w:val="left"/>
        <w:rPr>
          <w:rFonts w:ascii="Symbol" w:hAnsi="Symbol"/>
          <w:sz w:val="24"/>
        </w:rPr>
      </w:pPr>
      <w:r>
        <w:rPr>
          <w:rFonts w:ascii="Times New Roman" w:hAnsi="Times New Roman"/>
          <w:position w:val="-9"/>
          <w:sz w:val="24"/>
        </w:rPr>
        <w:t>1</w:t>
      </w:r>
      <w:r>
        <w:rPr>
          <w:rFonts w:ascii="Times New Roman" w:hAnsi="Times New Roman"/>
          <w:spacing w:val="-50"/>
          <w:position w:val="-9"/>
          <w:sz w:val="24"/>
        </w:rPr>
        <w:t> </w:t>
      </w:r>
      <w:r>
        <w:rPr>
          <w:rFonts w:ascii="Symbol" w:hAnsi="Symbol"/>
          <w:position w:val="-9"/>
          <w:sz w:val="24"/>
        </w:rPr>
        <w:t></w:t>
      </w:r>
      <w:r>
        <w:rPr>
          <w:rFonts w:ascii="Times New Roman" w:hAnsi="Times New Roman"/>
          <w:position w:val="-9"/>
          <w:sz w:val="24"/>
        </w:rPr>
        <w:t> </w:t>
      </w:r>
      <w:r>
        <w:rPr>
          <w:rFonts w:ascii="Symbol" w:hAnsi="Symbol"/>
          <w:position w:val="-10"/>
          <w:sz w:val="24"/>
        </w:rPr>
        <w:t></w:t>
      </w:r>
      <w:r>
        <w:rPr>
          <w:rFonts w:ascii="Times New Roman" w:hAnsi="Times New Roman"/>
          <w:position w:val="-10"/>
          <w:sz w:val="24"/>
        </w:rPr>
        <w:t> </w:t>
      </w:r>
      <w:r>
        <w:rPr>
          <w:rFonts w:ascii="Times New Roman" w:hAnsi="Times New Roman"/>
          <w:spacing w:val="14"/>
          <w:position w:val="-10"/>
          <w:sz w:val="24"/>
        </w:rPr>
        <w:t> </w:t>
      </w:r>
      <w:r>
        <w:rPr>
          <w:rFonts w:ascii="Times New Roman" w:hAnsi="Times New Roman"/>
          <w:i/>
          <w:sz w:val="14"/>
          <w:u w:val="single"/>
        </w:rPr>
        <w:t>PC</w:t>
        <w:tab/>
        <w:t>C </w:t>
      </w:r>
      <w:r>
        <w:rPr>
          <w:rFonts w:ascii="Times New Roman" w:hAnsi="Times New Roman"/>
          <w:i/>
          <w:spacing w:val="12"/>
          <w:sz w:val="14"/>
          <w:u w:val="single"/>
        </w:rPr>
        <w:t> </w:t>
      </w:r>
      <w:r>
        <w:rPr>
          <w:rFonts w:ascii="Symbol" w:hAnsi="Symbol"/>
          <w:position w:val="-10"/>
          <w:sz w:val="24"/>
        </w:rPr>
        <w:t></w:t>
      </w:r>
    </w:p>
    <w:p>
      <w:pPr>
        <w:pStyle w:val="BodyText"/>
        <w:spacing w:line="285" w:lineRule="exact"/>
        <w:ind w:left="2372" w:right="786"/>
        <w:rPr>
          <w:rFonts w:ascii="Symbol" w:hAnsi="Symbol"/>
        </w:rPr>
      </w:pPr>
      <w:r>
        <w:rPr>
          <w:rFonts w:ascii="Symbol" w:hAnsi="Symbol"/>
          <w:position w:val="-3"/>
        </w:rPr>
        <w:t></w:t>
      </w:r>
      <w:r>
        <w:rPr>
          <w:rFonts w:ascii="Times New Roman" w:hAnsi="Times New Roman"/>
          <w:position w:val="-3"/>
        </w:rPr>
        <w:t>  </w:t>
      </w:r>
      <w:r>
        <w:rPr>
          <w:rFonts w:ascii="Times New Roman" w:hAnsi="Times New Roman"/>
        </w:rPr>
        <w:t>36000  </w:t>
      </w:r>
      <w:r>
        <w:rPr>
          <w:rFonts w:ascii="Symbol" w:hAnsi="Symbol"/>
          <w:position w:val="-3"/>
        </w:rPr>
        <w:t></w:t>
      </w:r>
    </w:p>
    <w:p>
      <w:pPr>
        <w:pStyle w:val="BodyText"/>
        <w:rPr>
          <w:rFonts w:ascii="Symbol" w:hAnsi="Symbol"/>
          <w:sz w:val="20"/>
        </w:rPr>
      </w:pPr>
    </w:p>
    <w:p>
      <w:pPr>
        <w:pStyle w:val="BodyText"/>
        <w:rPr>
          <w:rFonts w:ascii="Symbol" w:hAnsi="Symbol"/>
          <w:sz w:val="20"/>
        </w:rPr>
      </w:pPr>
    </w:p>
    <w:p>
      <w:pPr>
        <w:pStyle w:val="BodyText"/>
        <w:spacing w:before="3"/>
        <w:rPr>
          <w:rFonts w:ascii="Symbol" w:hAnsi="Symbol"/>
        </w:rPr>
      </w:pPr>
      <w:r>
        <w:rPr/>
        <w:pict>
          <v:line style="position:absolute;mso-position-horizontal-relative:page;mso-position-vertical-relative:paragraph;z-index:4936;mso-wrap-distance-left:0;mso-wrap-distance-right:0" from="85.103996pt,17.130327pt" to="229.123996pt,17.130327pt" stroked="true" strokeweight=".599980pt" strokecolor="#000000">
            <w10:wrap type="topAndBottom"/>
          </v:line>
        </w:pict>
      </w:r>
    </w:p>
    <w:p>
      <w:pPr>
        <w:spacing w:before="78"/>
        <w:ind w:left="142" w:right="786" w:firstLine="0"/>
        <w:jc w:val="left"/>
        <w:rPr>
          <w:sz w:val="20"/>
        </w:rPr>
      </w:pPr>
      <w:r>
        <w:rPr>
          <w:position w:val="6"/>
          <w:sz w:val="13"/>
        </w:rPr>
        <w:t>77 </w:t>
      </w:r>
      <w:r>
        <w:rPr>
          <w:sz w:val="20"/>
        </w:rPr>
        <w:t>El reporto es un miniforward</w:t>
      </w:r>
    </w:p>
    <w:p>
      <w:pPr>
        <w:spacing w:after="0"/>
        <w:jc w:val="left"/>
        <w:rPr>
          <w:sz w:val="20"/>
        </w:rPr>
        <w:sectPr>
          <w:type w:val="continuous"/>
          <w:pgSz w:w="12240" w:h="15840"/>
          <w:pgMar w:top="720" w:bottom="280" w:left="1560" w:right="1560"/>
        </w:sectPr>
      </w:pPr>
    </w:p>
    <w:p>
      <w:pPr>
        <w:pStyle w:val="BodyText"/>
        <w:rPr>
          <w:sz w:val="20"/>
        </w:rPr>
      </w:pPr>
    </w:p>
    <w:p>
      <w:pPr>
        <w:pStyle w:val="BodyText"/>
        <w:rPr>
          <w:sz w:val="16"/>
        </w:rPr>
      </w:pPr>
    </w:p>
    <w:p>
      <w:pPr>
        <w:spacing w:after="0"/>
        <w:rPr>
          <w:sz w:val="16"/>
        </w:rPr>
        <w:sectPr>
          <w:pgSz w:w="12240" w:h="15840"/>
          <w:pgMar w:header="731" w:footer="737" w:top="1180" w:bottom="920" w:left="1560" w:right="1560"/>
        </w:sectPr>
      </w:pPr>
    </w:p>
    <w:p>
      <w:pPr>
        <w:pStyle w:val="BodyText"/>
        <w:spacing w:before="70"/>
        <w:ind w:left="142" w:right="-6"/>
      </w:pPr>
      <w:r>
        <w:rPr/>
        <w:t>Riesgo:</w:t>
      </w:r>
    </w:p>
    <w:p>
      <w:pPr>
        <w:pStyle w:val="BodyText"/>
        <w:spacing w:before="151"/>
        <w:ind w:left="850" w:right="-6"/>
      </w:pPr>
      <w:r>
        <w:rPr/>
        <w:t>Que la</w:t>
      </w:r>
    </w:p>
    <w:p>
      <w:pPr>
        <w:pStyle w:val="BodyText"/>
        <w:rPr>
          <w:sz w:val="28"/>
        </w:rPr>
      </w:pPr>
      <w:r>
        <w:rPr/>
        <w:br w:type="column"/>
      </w:r>
      <w:r>
        <w:rPr>
          <w:sz w:val="28"/>
        </w:rPr>
      </w:r>
    </w:p>
    <w:p>
      <w:pPr>
        <w:spacing w:before="188"/>
        <w:ind w:left="74" w:right="-16" w:firstLine="0"/>
        <w:jc w:val="left"/>
        <w:rPr>
          <w:rFonts w:ascii="Times New Roman"/>
          <w:i/>
          <w:sz w:val="14"/>
        </w:rPr>
      </w:pPr>
      <w:r>
        <w:rPr>
          <w:rFonts w:ascii="Times New Roman"/>
          <w:i/>
          <w:spacing w:val="-2"/>
          <w:position w:val="6"/>
          <w:sz w:val="23"/>
        </w:rPr>
        <w:t>r</w:t>
      </w:r>
      <w:r>
        <w:rPr>
          <w:rFonts w:ascii="Times New Roman"/>
          <w:i/>
          <w:spacing w:val="-2"/>
          <w:sz w:val="14"/>
        </w:rPr>
        <w:t>PL</w:t>
      </w:r>
    </w:p>
    <w:p>
      <w:pPr>
        <w:pStyle w:val="BodyText"/>
        <w:rPr>
          <w:rFonts w:ascii="Times New Roman"/>
          <w:i/>
        </w:rPr>
      </w:pPr>
      <w:r>
        <w:rPr/>
        <w:br w:type="column"/>
      </w:r>
      <w:r>
        <w:rPr>
          <w:rFonts w:ascii="Times New Roman"/>
          <w:i/>
        </w:rPr>
      </w:r>
    </w:p>
    <w:p>
      <w:pPr>
        <w:pStyle w:val="BodyText"/>
        <w:spacing w:before="2"/>
        <w:rPr>
          <w:rFonts w:ascii="Times New Roman"/>
          <w:i/>
          <w:sz w:val="19"/>
        </w:rPr>
      </w:pPr>
    </w:p>
    <w:p>
      <w:pPr>
        <w:pStyle w:val="BodyText"/>
        <w:ind w:left="88"/>
      </w:pPr>
      <w:r>
        <w:rPr/>
        <w:t>suba, por lo tanto para cubrir el reporto es vendiendo futuros  de</w:t>
      </w:r>
    </w:p>
    <w:p>
      <w:pPr>
        <w:spacing w:after="0"/>
        <w:sectPr>
          <w:type w:val="continuous"/>
          <w:pgSz w:w="12240" w:h="15840"/>
          <w:pgMar w:top="720" w:bottom="280" w:left="1560" w:right="1560"/>
          <w:cols w:num="3" w:equalWidth="0">
            <w:col w:w="1572" w:space="40"/>
            <w:col w:w="325" w:space="40"/>
            <w:col w:w="7143"/>
          </w:cols>
        </w:sectPr>
      </w:pPr>
    </w:p>
    <w:p>
      <w:pPr>
        <w:pStyle w:val="BodyText"/>
        <w:spacing w:before="142"/>
        <w:ind w:left="142" w:right="786"/>
      </w:pPr>
      <w:r>
        <w:rPr/>
        <w:t>tasa o futuro forward.</w:t>
      </w:r>
    </w:p>
    <w:p>
      <w:pPr>
        <w:pStyle w:val="BodyText"/>
        <w:spacing w:before="6"/>
        <w:rPr>
          <w:sz w:val="22"/>
        </w:rPr>
      </w:pPr>
    </w:p>
    <w:p>
      <w:pPr>
        <w:pStyle w:val="BodyText"/>
        <w:ind w:left="142" w:right="786"/>
      </w:pPr>
      <w:r>
        <w:rPr/>
        <w:t>El Reporto es un derivado:</w:t>
      </w:r>
    </w:p>
    <w:p>
      <w:pPr>
        <w:pStyle w:val="ListParagraph"/>
        <w:numPr>
          <w:ilvl w:val="1"/>
          <w:numId w:val="22"/>
        </w:numPr>
        <w:tabs>
          <w:tab w:pos="1274" w:val="left" w:leader="none"/>
          <w:tab w:pos="1275" w:val="left" w:leader="none"/>
        </w:tabs>
        <w:spacing w:line="240" w:lineRule="auto" w:before="137" w:after="0"/>
        <w:ind w:left="1274" w:right="0" w:hanging="357"/>
        <w:jc w:val="left"/>
        <w:rPr>
          <w:sz w:val="24"/>
        </w:rPr>
      </w:pPr>
      <w:r>
        <w:rPr>
          <w:position w:val="1"/>
          <w:sz w:val="24"/>
        </w:rPr>
        <w:t>Si VM</w:t>
      </w:r>
      <w:r>
        <w:rPr>
          <w:sz w:val="16"/>
        </w:rPr>
        <w:t>A </w:t>
      </w:r>
      <w:r>
        <w:rPr>
          <w:rFonts w:ascii="Symbol" w:hAnsi="Symbol"/>
          <w:position w:val="1"/>
          <w:sz w:val="24"/>
        </w:rPr>
        <w:t></w:t>
      </w:r>
      <w:r>
        <w:rPr>
          <w:rFonts w:ascii="Times New Roman" w:hAnsi="Times New Roman"/>
          <w:position w:val="1"/>
          <w:sz w:val="24"/>
        </w:rPr>
        <w:t> </w:t>
      </w:r>
      <w:r>
        <w:rPr>
          <w:position w:val="1"/>
          <w:sz w:val="24"/>
        </w:rPr>
        <w:t>VM</w:t>
      </w:r>
      <w:r>
        <w:rPr>
          <w:sz w:val="16"/>
        </w:rPr>
        <w:t>P  </w:t>
      </w:r>
      <w:r>
        <w:rPr>
          <w:rFonts w:ascii="Symbol" w:hAnsi="Symbol"/>
          <w:position w:val="1"/>
          <w:sz w:val="24"/>
        </w:rPr>
        <w:t></w:t>
      </w:r>
      <w:r>
        <w:rPr>
          <w:rFonts w:ascii="Times New Roman" w:hAnsi="Times New Roman"/>
          <w:position w:val="1"/>
          <w:sz w:val="24"/>
        </w:rPr>
        <w:t> </w:t>
      </w:r>
      <w:r>
        <w:rPr>
          <w:position w:val="1"/>
          <w:sz w:val="24"/>
        </w:rPr>
        <w:t>VM</w:t>
      </w:r>
      <w:r>
        <w:rPr>
          <w:sz w:val="16"/>
        </w:rPr>
        <w:t>R </w:t>
      </w:r>
      <w:r>
        <w:rPr>
          <w:rFonts w:ascii="Symbol" w:hAnsi="Symbol"/>
          <w:position w:val="1"/>
          <w:sz w:val="24"/>
        </w:rPr>
        <w:t></w:t>
      </w:r>
      <w:r>
        <w:rPr>
          <w:rFonts w:ascii="Times New Roman" w:hAnsi="Times New Roman"/>
          <w:position w:val="1"/>
          <w:sz w:val="24"/>
        </w:rPr>
        <w:t> </w:t>
      </w:r>
      <w:r>
        <w:rPr>
          <w:position w:val="1"/>
          <w:sz w:val="24"/>
        </w:rPr>
        <w:t>0 por lo tanto se tiene una</w:t>
      </w:r>
      <w:r>
        <w:rPr>
          <w:spacing w:val="20"/>
          <w:position w:val="1"/>
          <w:sz w:val="24"/>
        </w:rPr>
        <w:t> </w:t>
      </w:r>
      <w:r>
        <w:rPr>
          <w:position w:val="1"/>
          <w:sz w:val="24"/>
        </w:rPr>
        <w:t>pérdida.</w:t>
      </w:r>
    </w:p>
    <w:p>
      <w:pPr>
        <w:pStyle w:val="ListParagraph"/>
        <w:numPr>
          <w:ilvl w:val="1"/>
          <w:numId w:val="22"/>
        </w:numPr>
        <w:tabs>
          <w:tab w:pos="1274" w:val="left" w:leader="none"/>
          <w:tab w:pos="1275" w:val="left" w:leader="none"/>
        </w:tabs>
        <w:spacing w:line="240" w:lineRule="auto" w:before="147" w:after="0"/>
        <w:ind w:left="1274" w:right="0" w:hanging="357"/>
        <w:jc w:val="left"/>
        <w:rPr>
          <w:sz w:val="24"/>
        </w:rPr>
      </w:pPr>
      <w:r>
        <w:rPr>
          <w:position w:val="1"/>
          <w:sz w:val="24"/>
        </w:rPr>
        <w:t>Si VM</w:t>
      </w:r>
      <w:r>
        <w:rPr>
          <w:sz w:val="16"/>
        </w:rPr>
        <w:t>A </w:t>
      </w:r>
      <w:r>
        <w:rPr>
          <w:rFonts w:ascii="Symbol" w:hAnsi="Symbol"/>
          <w:position w:val="1"/>
          <w:sz w:val="24"/>
        </w:rPr>
        <w:t></w:t>
      </w:r>
      <w:r>
        <w:rPr>
          <w:rFonts w:ascii="Times New Roman" w:hAnsi="Times New Roman"/>
          <w:position w:val="1"/>
          <w:sz w:val="24"/>
        </w:rPr>
        <w:t> </w:t>
      </w:r>
      <w:r>
        <w:rPr>
          <w:position w:val="1"/>
          <w:sz w:val="24"/>
        </w:rPr>
        <w:t>VM</w:t>
      </w:r>
      <w:r>
        <w:rPr>
          <w:sz w:val="16"/>
        </w:rPr>
        <w:t>P  </w:t>
      </w:r>
      <w:r>
        <w:rPr>
          <w:rFonts w:ascii="Symbol" w:hAnsi="Symbol"/>
          <w:position w:val="1"/>
          <w:sz w:val="24"/>
        </w:rPr>
        <w:t></w:t>
      </w:r>
      <w:r>
        <w:rPr>
          <w:rFonts w:ascii="Times New Roman" w:hAnsi="Times New Roman"/>
          <w:position w:val="1"/>
          <w:sz w:val="24"/>
        </w:rPr>
        <w:t> </w:t>
      </w:r>
      <w:r>
        <w:rPr>
          <w:position w:val="1"/>
          <w:sz w:val="24"/>
        </w:rPr>
        <w:t>VM</w:t>
      </w:r>
      <w:r>
        <w:rPr>
          <w:sz w:val="16"/>
        </w:rPr>
        <w:t>R </w:t>
      </w:r>
      <w:r>
        <w:rPr>
          <w:rFonts w:ascii="Symbol" w:hAnsi="Symbol"/>
          <w:position w:val="1"/>
          <w:sz w:val="24"/>
        </w:rPr>
        <w:t></w:t>
      </w:r>
      <w:r>
        <w:rPr>
          <w:rFonts w:ascii="Times New Roman" w:hAnsi="Times New Roman"/>
          <w:position w:val="1"/>
          <w:sz w:val="24"/>
        </w:rPr>
        <w:t> </w:t>
      </w:r>
      <w:r>
        <w:rPr>
          <w:position w:val="1"/>
          <w:sz w:val="24"/>
        </w:rPr>
        <w:t>0 por lo tanto se tiene una</w:t>
      </w:r>
      <w:r>
        <w:rPr>
          <w:spacing w:val="19"/>
          <w:position w:val="1"/>
          <w:sz w:val="24"/>
        </w:rPr>
        <w:t> </w:t>
      </w:r>
      <w:r>
        <w:rPr>
          <w:position w:val="1"/>
          <w:sz w:val="24"/>
        </w:rPr>
        <w:t>ganancia.</w:t>
      </w:r>
    </w:p>
    <w:p>
      <w:pPr>
        <w:pStyle w:val="BodyText"/>
        <w:spacing w:before="8"/>
        <w:rPr>
          <w:sz w:val="10"/>
        </w:rPr>
      </w:pPr>
    </w:p>
    <w:p>
      <w:pPr>
        <w:spacing w:after="0"/>
        <w:rPr>
          <w:sz w:val="10"/>
        </w:rPr>
        <w:sectPr>
          <w:type w:val="continuous"/>
          <w:pgSz w:w="12240" w:h="15840"/>
          <w:pgMar w:top="720" w:bottom="280" w:left="1560" w:right="1560"/>
        </w:sectPr>
      </w:pPr>
    </w:p>
    <w:p>
      <w:pPr>
        <w:pStyle w:val="BodyText"/>
        <w:spacing w:line="224" w:lineRule="exact" w:before="55"/>
        <w:ind w:right="795"/>
        <w:jc w:val="right"/>
        <w:rPr>
          <w:rFonts w:ascii="Symbol" w:hAnsi="Symbol"/>
        </w:rPr>
      </w:pPr>
      <w:r>
        <w:rPr>
          <w:rFonts w:ascii="Symbol" w:hAnsi="Symbol"/>
          <w:w w:val="100"/>
        </w:rPr>
        <w:t></w:t>
      </w:r>
    </w:p>
    <w:p>
      <w:pPr>
        <w:pStyle w:val="BodyText"/>
        <w:spacing w:line="176" w:lineRule="exact"/>
        <w:ind w:right="795"/>
        <w:jc w:val="right"/>
        <w:rPr>
          <w:rFonts w:ascii="Symbol" w:hAnsi="Symbol"/>
        </w:rPr>
      </w:pPr>
      <w:r>
        <w:rPr>
          <w:rFonts w:ascii="Symbol" w:hAnsi="Symbol"/>
          <w:w w:val="100"/>
        </w:rPr>
        <w:t></w:t>
      </w:r>
    </w:p>
    <w:p>
      <w:pPr>
        <w:tabs>
          <w:tab w:pos="3202" w:val="left" w:leader="none"/>
          <w:tab w:pos="3834" w:val="left" w:leader="none"/>
        </w:tabs>
        <w:spacing w:line="130" w:lineRule="exact" w:before="0"/>
        <w:ind w:left="2708" w:right="0" w:firstLine="0"/>
        <w:jc w:val="left"/>
        <w:rPr>
          <w:rFonts w:ascii="Times New Roman" w:hAnsi="Times New Roman"/>
          <w:i/>
          <w:sz w:val="24"/>
        </w:rPr>
      </w:pPr>
      <w:r>
        <w:rPr>
          <w:rFonts w:ascii="Times New Roman" w:hAnsi="Times New Roman"/>
          <w:i/>
          <w:spacing w:val="-3"/>
          <w:position w:val="-14"/>
          <w:sz w:val="24"/>
        </w:rPr>
        <w:t>Ps</w:t>
        <w:tab/>
      </w:r>
      <w:r>
        <w:rPr>
          <w:rFonts w:ascii="Symbol" w:hAnsi="Symbol"/>
          <w:position w:val="-4"/>
          <w:sz w:val="24"/>
        </w:rPr>
        <w:t></w:t>
      </w:r>
      <w:r>
        <w:rPr>
          <w:rFonts w:ascii="Times New Roman" w:hAnsi="Times New Roman"/>
          <w:position w:val="-4"/>
          <w:sz w:val="24"/>
        </w:rPr>
        <w:tab/>
      </w:r>
      <w:r>
        <w:rPr>
          <w:rFonts w:ascii="Times New Roman" w:hAnsi="Times New Roman"/>
          <w:i/>
          <w:spacing w:val="-6"/>
          <w:sz w:val="24"/>
        </w:rPr>
        <w:t>Vn</w:t>
      </w:r>
    </w:p>
    <w:p>
      <w:pPr>
        <w:spacing w:line="224" w:lineRule="exact" w:before="55"/>
        <w:ind w:left="526" w:right="0" w:firstLine="0"/>
        <w:jc w:val="left"/>
        <w:rPr>
          <w:rFonts w:ascii="Symbol" w:hAnsi="Symbol"/>
          <w:sz w:val="24"/>
        </w:rPr>
      </w:pPr>
      <w:r>
        <w:rPr/>
        <w:br w:type="column"/>
      </w:r>
      <w:r>
        <w:rPr>
          <w:rFonts w:ascii="Symbol" w:hAnsi="Symbol"/>
          <w:sz w:val="24"/>
        </w:rPr>
        <w:t></w:t>
      </w:r>
    </w:p>
    <w:p>
      <w:pPr>
        <w:pStyle w:val="BodyText"/>
        <w:spacing w:line="166" w:lineRule="exact"/>
        <w:ind w:left="526"/>
        <w:rPr>
          <w:rFonts w:ascii="Symbol" w:hAnsi="Symbol"/>
        </w:rPr>
      </w:pPr>
      <w:r>
        <w:rPr>
          <w:rFonts w:ascii="Symbol" w:hAnsi="Symbol"/>
          <w:w w:val="100"/>
        </w:rPr>
        <w:t></w:t>
      </w:r>
    </w:p>
    <w:p>
      <w:pPr>
        <w:tabs>
          <w:tab w:pos="1218" w:val="left" w:leader="none"/>
        </w:tabs>
        <w:spacing w:line="140" w:lineRule="exact" w:before="0"/>
        <w:ind w:left="526" w:right="0" w:firstLine="0"/>
        <w:jc w:val="left"/>
        <w:rPr>
          <w:rFonts w:ascii="Symbol" w:hAnsi="Symbol"/>
          <w:sz w:val="24"/>
        </w:rPr>
      </w:pPr>
      <w:r>
        <w:rPr>
          <w:rFonts w:ascii="Symbol" w:hAnsi="Symbol"/>
          <w:position w:val="-2"/>
          <w:sz w:val="24"/>
        </w:rPr>
        <w:t></w:t>
      </w:r>
      <w:r>
        <w:rPr>
          <w:rFonts w:ascii="Times New Roman" w:hAnsi="Times New Roman"/>
          <w:position w:val="-2"/>
          <w:sz w:val="24"/>
        </w:rPr>
        <w:t>  </w:t>
      </w:r>
      <w:r>
        <w:rPr>
          <w:rFonts w:ascii="Times New Roman" w:hAnsi="Times New Roman"/>
          <w:spacing w:val="4"/>
          <w:position w:val="-2"/>
          <w:sz w:val="24"/>
        </w:rPr>
        <w:t> </w:t>
      </w:r>
      <w:r>
        <w:rPr>
          <w:rFonts w:ascii="Symbol" w:hAnsi="Symbol"/>
          <w:position w:val="2"/>
          <w:sz w:val="24"/>
        </w:rPr>
        <w:t></w:t>
      </w:r>
      <w:r>
        <w:rPr>
          <w:rFonts w:ascii="Times New Roman" w:hAnsi="Times New Roman"/>
          <w:position w:val="2"/>
          <w:sz w:val="24"/>
        </w:rPr>
        <w:tab/>
      </w:r>
      <w:r>
        <w:rPr>
          <w:rFonts w:ascii="Symbol" w:hAnsi="Symbol"/>
          <w:sz w:val="24"/>
        </w:rPr>
        <w:t></w:t>
      </w:r>
      <w:r>
        <w:rPr>
          <w:rFonts w:ascii="Times New Roman" w:hAnsi="Times New Roman"/>
          <w:spacing w:val="-27"/>
          <w:sz w:val="24"/>
        </w:rPr>
        <w:t> </w:t>
      </w:r>
      <w:r>
        <w:rPr>
          <w:rFonts w:ascii="Times New Roman" w:hAnsi="Times New Roman"/>
          <w:i/>
          <w:position w:val="2"/>
          <w:sz w:val="24"/>
        </w:rPr>
        <w:t>Tp</w:t>
      </w:r>
      <w:r>
        <w:rPr>
          <w:rFonts w:ascii="Times New Roman" w:hAnsi="Times New Roman"/>
          <w:i/>
          <w:spacing w:val="-16"/>
          <w:position w:val="2"/>
          <w:sz w:val="24"/>
        </w:rPr>
        <w:t> </w:t>
      </w:r>
      <w:r>
        <w:rPr>
          <w:rFonts w:ascii="Symbol" w:hAnsi="Symbol"/>
          <w:spacing w:val="2"/>
          <w:position w:val="2"/>
          <w:sz w:val="24"/>
        </w:rPr>
        <w:t></w:t>
      </w:r>
      <w:r>
        <w:rPr>
          <w:rFonts w:ascii="Times New Roman" w:hAnsi="Times New Roman"/>
          <w:i/>
          <w:spacing w:val="2"/>
          <w:position w:val="2"/>
          <w:sz w:val="24"/>
        </w:rPr>
        <w:t>Vn</w:t>
      </w:r>
      <w:r>
        <w:rPr>
          <w:rFonts w:ascii="Times New Roman" w:hAnsi="Times New Roman"/>
          <w:i/>
          <w:spacing w:val="-14"/>
          <w:position w:val="2"/>
          <w:sz w:val="24"/>
        </w:rPr>
        <w:t> </w:t>
      </w:r>
      <w:r>
        <w:rPr>
          <w:rFonts w:ascii="Symbol" w:hAnsi="Symbol"/>
          <w:spacing w:val="9"/>
          <w:sz w:val="24"/>
        </w:rPr>
        <w:t></w:t>
      </w:r>
      <w:r>
        <w:rPr>
          <w:rFonts w:ascii="Symbol" w:hAnsi="Symbol"/>
          <w:spacing w:val="9"/>
          <w:position w:val="2"/>
          <w:sz w:val="24"/>
        </w:rPr>
        <w:t></w:t>
      </w:r>
    </w:p>
    <w:p>
      <w:pPr>
        <w:spacing w:after="0" w:line="140" w:lineRule="exact"/>
        <w:jc w:val="left"/>
        <w:rPr>
          <w:rFonts w:ascii="Symbol" w:hAnsi="Symbol"/>
          <w:sz w:val="24"/>
        </w:rPr>
        <w:sectPr>
          <w:type w:val="continuous"/>
          <w:pgSz w:w="12240" w:h="15840"/>
          <w:pgMar w:top="720" w:bottom="280" w:left="1560" w:right="1560"/>
          <w:cols w:num="2" w:equalWidth="0">
            <w:col w:w="4093" w:space="40"/>
            <w:col w:w="4987"/>
          </w:cols>
        </w:sectPr>
      </w:pPr>
    </w:p>
    <w:p>
      <w:pPr>
        <w:pStyle w:val="BodyText"/>
        <w:tabs>
          <w:tab w:pos="3637" w:val="left" w:leader="none"/>
        </w:tabs>
        <w:spacing w:line="216" w:lineRule="exact"/>
        <w:ind w:left="3015" w:right="786"/>
        <w:rPr>
          <w:rFonts w:ascii="Symbol" w:hAnsi="Symbol"/>
        </w:rPr>
      </w:pPr>
      <w:r>
        <w:rPr/>
        <w:pict>
          <v:line style="position:absolute;mso-position-horizontal-relative:page;mso-position-vertical-relative:paragraph;z-index:-94720" from="244.592331pt,7.088188pt" to="309.698512pt,7.088188pt" stroked="true" strokeweight=".137824pt" strokecolor="#000000">
            <w10:wrap type="none"/>
          </v:line>
        </w:pict>
      </w:r>
      <w:r>
        <w:rPr/>
        <w:pict>
          <v:line style="position:absolute;mso-position-horizontal-relative:page;mso-position-vertical-relative:paragraph;z-index:-94696" from="351.971741pt,7.088188pt" to="387.430824pt,7.088188pt" stroked="true" strokeweight=".137824pt" strokecolor="#000000">
            <w10:wrap type="none"/>
          </v:line>
        </w:pict>
      </w:r>
      <w:r>
        <w:rPr>
          <w:rFonts w:ascii="Symbol" w:hAnsi="Symbol"/>
          <w:position w:val="20"/>
        </w:rPr>
        <w:t></w:t>
      </w:r>
      <w:r>
        <w:rPr>
          <w:rFonts w:ascii="Times New Roman" w:hAnsi="Times New Roman"/>
          <w:spacing w:val="-6"/>
          <w:position w:val="20"/>
        </w:rPr>
        <w:t> </w:t>
      </w:r>
      <w:r>
        <w:rPr>
          <w:rFonts w:ascii="Symbol" w:hAnsi="Symbol"/>
          <w:position w:val="7"/>
        </w:rPr>
        <w:t></w:t>
      </w:r>
      <w:r>
        <w:rPr>
          <w:rFonts w:ascii="Times New Roman" w:hAnsi="Times New Roman"/>
          <w:position w:val="7"/>
        </w:rPr>
        <w:tab/>
      </w:r>
      <w:r>
        <w:rPr>
          <w:rFonts w:ascii="Symbol" w:hAnsi="Symbol"/>
        </w:rPr>
        <w:t></w:t>
      </w:r>
      <w:r>
        <w:rPr>
          <w:rFonts w:ascii="Times New Roman" w:hAnsi="Times New Roman"/>
          <w:spacing w:val="-28"/>
        </w:rPr>
        <w:t> </w:t>
      </w:r>
      <w:r>
        <w:rPr>
          <w:rFonts w:ascii="Times New Roman" w:hAnsi="Times New Roman"/>
          <w:i/>
          <w:position w:val="2"/>
        </w:rPr>
        <w:t>Tr</w:t>
      </w:r>
      <w:r>
        <w:rPr>
          <w:rFonts w:ascii="Times New Roman" w:hAnsi="Times New Roman"/>
          <w:i/>
          <w:spacing w:val="-7"/>
          <w:position w:val="2"/>
        </w:rPr>
        <w:t> </w:t>
      </w:r>
      <w:r>
        <w:rPr>
          <w:rFonts w:ascii="Symbol" w:hAnsi="Symbol"/>
          <w:position w:val="2"/>
        </w:rPr>
        <w:t></w:t>
      </w:r>
      <w:r>
        <w:rPr>
          <w:rFonts w:ascii="Times New Roman" w:hAnsi="Times New Roman"/>
          <w:spacing w:val="-16"/>
          <w:position w:val="2"/>
        </w:rPr>
        <w:t> </w:t>
      </w:r>
      <w:r>
        <w:rPr>
          <w:rFonts w:ascii="Times New Roman" w:hAnsi="Times New Roman"/>
          <w:i/>
          <w:position w:val="2"/>
        </w:rPr>
        <w:t>Dv</w:t>
      </w:r>
      <w:r>
        <w:rPr>
          <w:rFonts w:ascii="Times New Roman" w:hAnsi="Times New Roman"/>
          <w:i/>
          <w:spacing w:val="-20"/>
          <w:position w:val="2"/>
        </w:rPr>
        <w:t> </w:t>
      </w:r>
      <w:r>
        <w:rPr>
          <w:rFonts w:ascii="Symbol" w:hAnsi="Symbol"/>
        </w:rPr>
        <w:t></w:t>
      </w:r>
      <w:r>
        <w:rPr>
          <w:rFonts w:ascii="Times New Roman" w:hAnsi="Times New Roman"/>
          <w:spacing w:val="-21"/>
        </w:rPr>
        <w:t> </w:t>
      </w:r>
      <w:r>
        <w:rPr>
          <w:rFonts w:ascii="Symbol" w:hAnsi="Symbol"/>
          <w:position w:val="7"/>
        </w:rPr>
        <w:t></w:t>
      </w:r>
      <w:r>
        <w:rPr>
          <w:rFonts w:ascii="Times New Roman" w:hAnsi="Times New Roman"/>
          <w:spacing w:val="-26"/>
          <w:position w:val="7"/>
        </w:rPr>
        <w:t> </w:t>
      </w:r>
      <w:r>
        <w:rPr>
          <w:rFonts w:ascii="Symbol" w:hAnsi="Symbol"/>
          <w:spacing w:val="9"/>
          <w:position w:val="20"/>
        </w:rPr>
        <w:t></w:t>
      </w:r>
      <w:r>
        <w:rPr>
          <w:rFonts w:ascii="Times New Roman" w:hAnsi="Times New Roman"/>
          <w:spacing w:val="9"/>
          <w:position w:val="20"/>
        </w:rPr>
        <w:t>1</w:t>
      </w:r>
      <w:r>
        <w:rPr>
          <w:rFonts w:ascii="Times New Roman" w:hAnsi="Times New Roman"/>
          <w:spacing w:val="-35"/>
          <w:position w:val="20"/>
        </w:rPr>
        <w:t> </w:t>
      </w:r>
      <w:r>
        <w:rPr>
          <w:rFonts w:ascii="Symbol" w:hAnsi="Symbol"/>
          <w:position w:val="20"/>
        </w:rPr>
        <w:t></w:t>
      </w:r>
      <w:r>
        <w:rPr>
          <w:rFonts w:ascii="Times New Roman" w:hAnsi="Times New Roman"/>
          <w:spacing w:val="-17"/>
          <w:position w:val="20"/>
        </w:rPr>
        <w:t> </w:t>
      </w:r>
      <w:r>
        <w:rPr>
          <w:rFonts w:ascii="Symbol" w:hAnsi="Symbol"/>
          <w:position w:val="18"/>
        </w:rPr>
        <w:t></w:t>
      </w:r>
      <w:r>
        <w:rPr>
          <w:rFonts w:ascii="Times New Roman" w:hAnsi="Times New Roman"/>
          <w:spacing w:val="27"/>
          <w:position w:val="18"/>
        </w:rPr>
        <w:t> </w:t>
      </w:r>
      <w:r>
        <w:rPr>
          <w:rFonts w:ascii="Times New Roman" w:hAnsi="Times New Roman"/>
          <w:position w:val="1"/>
        </w:rPr>
        <w:t>36000</w:t>
      </w:r>
      <w:r>
        <w:rPr>
          <w:rFonts w:ascii="Times New Roman" w:hAnsi="Times New Roman"/>
          <w:spacing w:val="23"/>
          <w:position w:val="1"/>
        </w:rPr>
        <w:t> </w:t>
      </w:r>
      <w:r>
        <w:rPr>
          <w:rFonts w:ascii="Symbol" w:hAnsi="Symbol"/>
          <w:spacing w:val="9"/>
          <w:position w:val="18"/>
        </w:rPr>
        <w:t></w:t>
      </w:r>
      <w:r>
        <w:rPr>
          <w:rFonts w:ascii="Symbol" w:hAnsi="Symbol"/>
          <w:spacing w:val="9"/>
          <w:position w:val="20"/>
        </w:rPr>
        <w:t></w:t>
      </w:r>
    </w:p>
    <w:p>
      <w:pPr>
        <w:spacing w:after="0" w:line="216" w:lineRule="exact"/>
        <w:rPr>
          <w:rFonts w:ascii="Symbol" w:hAnsi="Symbol"/>
        </w:rPr>
        <w:sectPr>
          <w:type w:val="continuous"/>
          <w:pgSz w:w="12240" w:h="15840"/>
          <w:pgMar w:top="720" w:bottom="280" w:left="1560" w:right="1560"/>
        </w:sectPr>
      </w:pPr>
    </w:p>
    <w:p>
      <w:pPr>
        <w:pStyle w:val="BodyText"/>
        <w:spacing w:line="236" w:lineRule="exact" w:before="70"/>
        <w:jc w:val="right"/>
        <w:rPr>
          <w:rFonts w:ascii="Symbol" w:hAnsi="Symbol"/>
        </w:rPr>
      </w:pPr>
      <w:r>
        <w:rPr>
          <w:rFonts w:ascii="Symbol" w:hAnsi="Symbol"/>
          <w:spacing w:val="10"/>
          <w:position w:val="-2"/>
        </w:rPr>
        <w:t></w:t>
      </w:r>
      <w:r>
        <w:rPr>
          <w:rFonts w:ascii="Times New Roman" w:hAnsi="Times New Roman"/>
          <w:spacing w:val="10"/>
        </w:rPr>
        <w:t>1</w:t>
      </w:r>
      <w:r>
        <w:rPr>
          <w:rFonts w:ascii="Times New Roman" w:hAnsi="Times New Roman"/>
          <w:spacing w:val="-50"/>
        </w:rPr>
        <w:t> </w:t>
      </w:r>
      <w:r>
        <w:rPr>
          <w:rFonts w:ascii="Symbol" w:hAnsi="Symbol"/>
        </w:rPr>
        <w:t></w:t>
      </w:r>
      <w:r>
        <w:rPr>
          <w:rFonts w:ascii="Times New Roman" w:hAnsi="Times New Roman"/>
        </w:rPr>
        <w:t> </w:t>
      </w:r>
      <w:r>
        <w:rPr>
          <w:rFonts w:ascii="Symbol" w:hAnsi="Symbol"/>
          <w:position w:val="-1"/>
        </w:rPr>
        <w:t></w:t>
      </w:r>
    </w:p>
    <w:p>
      <w:pPr>
        <w:pStyle w:val="BodyText"/>
        <w:tabs>
          <w:tab w:pos="1580" w:val="left" w:leader="none"/>
          <w:tab w:pos="2443" w:val="left" w:leader="none"/>
        </w:tabs>
        <w:spacing w:line="306" w:lineRule="exact"/>
        <w:ind w:left="756"/>
        <w:rPr>
          <w:rFonts w:ascii="Symbol" w:hAnsi="Symbol"/>
        </w:rPr>
      </w:pPr>
      <w:r>
        <w:rPr/>
        <w:br w:type="column"/>
      </w:r>
      <w:r>
        <w:rPr>
          <w:rFonts w:ascii="Symbol" w:hAnsi="Symbol"/>
          <w:position w:val="-11"/>
        </w:rPr>
        <w:t></w:t>
      </w:r>
      <w:r>
        <w:rPr>
          <w:rFonts w:ascii="Times New Roman" w:hAnsi="Times New Roman"/>
          <w:spacing w:val="-21"/>
          <w:position w:val="-11"/>
        </w:rPr>
        <w:t> </w:t>
      </w:r>
      <w:r>
        <w:rPr>
          <w:rFonts w:ascii="Symbol" w:hAnsi="Symbol"/>
          <w:position w:val="-11"/>
        </w:rPr>
        <w:t></w:t>
      </w:r>
      <w:r>
        <w:rPr>
          <w:rFonts w:ascii="Times New Roman" w:hAnsi="Times New Roman"/>
          <w:position w:val="-11"/>
        </w:rPr>
        <w:t>  </w:t>
      </w:r>
      <w:r>
        <w:rPr>
          <w:rFonts w:ascii="Times New Roman" w:hAnsi="Times New Roman"/>
          <w:spacing w:val="4"/>
          <w:position w:val="-11"/>
        </w:rPr>
        <w:t> </w:t>
      </w:r>
      <w:r>
        <w:rPr>
          <w:rFonts w:ascii="Symbol" w:hAnsi="Symbol"/>
        </w:rPr>
        <w:t></w:t>
      </w:r>
      <w:r>
        <w:rPr>
          <w:rFonts w:ascii="Times New Roman" w:hAnsi="Times New Roman"/>
        </w:rPr>
        <w:tab/>
      </w:r>
      <w:r>
        <w:rPr>
          <w:rFonts w:ascii="Symbol" w:hAnsi="Symbol"/>
          <w:position w:val="2"/>
        </w:rPr>
        <w:t></w:t>
      </w:r>
      <w:r>
        <w:rPr>
          <w:rFonts w:ascii="Times New Roman" w:hAnsi="Times New Roman"/>
          <w:position w:val="2"/>
        </w:rPr>
        <w:tab/>
      </w:r>
      <w:r>
        <w:rPr>
          <w:rFonts w:ascii="Symbol" w:hAnsi="Symbol"/>
          <w:spacing w:val="9"/>
          <w:position w:val="2"/>
        </w:rPr>
        <w:t></w:t>
      </w:r>
      <w:r>
        <w:rPr>
          <w:rFonts w:ascii="Symbol" w:hAnsi="Symbol"/>
          <w:spacing w:val="9"/>
        </w:rPr>
        <w:t></w:t>
      </w:r>
    </w:p>
    <w:p>
      <w:pPr>
        <w:spacing w:after="0" w:line="306" w:lineRule="exact"/>
        <w:rPr>
          <w:rFonts w:ascii="Symbol" w:hAnsi="Symbol"/>
        </w:rPr>
        <w:sectPr>
          <w:type w:val="continuous"/>
          <w:pgSz w:w="12240" w:h="15840"/>
          <w:pgMar w:top="720" w:bottom="280" w:left="1560" w:right="1560"/>
          <w:cols w:num="2" w:equalWidth="0">
            <w:col w:w="3731" w:space="40"/>
            <w:col w:w="5349"/>
          </w:cols>
        </w:sectPr>
      </w:pPr>
    </w:p>
    <w:p>
      <w:pPr>
        <w:pStyle w:val="BodyText"/>
        <w:tabs>
          <w:tab w:pos="434" w:val="left" w:leader="none"/>
        </w:tabs>
        <w:spacing w:line="295" w:lineRule="exact"/>
        <w:ind w:right="1163"/>
        <w:jc w:val="center"/>
        <w:rPr>
          <w:rFonts w:ascii="Symbol" w:hAnsi="Symbol"/>
        </w:rPr>
      </w:pPr>
      <w:r>
        <w:rPr/>
        <w:pict>
          <v:line style="position:absolute;mso-position-horizontal-relative:page;mso-position-vertical-relative:paragraph;z-index:5200" from="266.310638pt,-2.446421pt" to="303.086376pt,-2.446421pt" stroked="true" strokeweight=".137824pt" strokecolor="#000000">
            <w10:wrap type="none"/>
          </v:line>
        </w:pict>
      </w:r>
      <w:r>
        <w:rPr>
          <w:rFonts w:ascii="Symbol" w:hAnsi="Symbol"/>
          <w:position w:val="-4"/>
        </w:rPr>
        <w:t></w:t>
      </w:r>
      <w:r>
        <w:rPr>
          <w:rFonts w:ascii="Times New Roman" w:hAnsi="Times New Roman"/>
          <w:position w:val="-4"/>
        </w:rPr>
        <w:tab/>
      </w:r>
      <w:r>
        <w:rPr>
          <w:rFonts w:ascii="Symbol" w:hAnsi="Symbol"/>
          <w:position w:val="-2"/>
        </w:rPr>
        <w:t></w:t>
      </w:r>
      <w:r>
        <w:rPr>
          <w:rFonts w:ascii="Times New Roman" w:hAnsi="Times New Roman"/>
          <w:position w:val="-2"/>
        </w:rPr>
        <w:t> </w:t>
      </w:r>
      <w:r>
        <w:rPr>
          <w:rFonts w:ascii="Times New Roman" w:hAnsi="Times New Roman"/>
        </w:rPr>
        <w:t>36000 </w:t>
      </w:r>
      <w:r>
        <w:rPr>
          <w:rFonts w:ascii="Symbol" w:hAnsi="Symbol"/>
          <w:position w:val="-2"/>
        </w:rPr>
        <w:t></w:t>
      </w:r>
      <w:r>
        <w:rPr>
          <w:rFonts w:ascii="Times New Roman" w:hAnsi="Times New Roman"/>
          <w:spacing w:val="56"/>
          <w:position w:val="-2"/>
        </w:rPr>
        <w:t> </w:t>
      </w:r>
      <w:r>
        <w:rPr>
          <w:rFonts w:ascii="Symbol" w:hAnsi="Symbol"/>
          <w:position w:val="-4"/>
        </w:rPr>
        <w:t></w:t>
      </w:r>
    </w:p>
    <w:p>
      <w:pPr>
        <w:pStyle w:val="BodyText"/>
        <w:spacing w:before="5"/>
        <w:rPr>
          <w:rFonts w:ascii="Symbol" w:hAnsi="Symbol"/>
          <w:sz w:val="14"/>
        </w:rPr>
      </w:pPr>
    </w:p>
    <w:p>
      <w:pPr>
        <w:spacing w:after="0"/>
        <w:rPr>
          <w:rFonts w:ascii="Symbol" w:hAnsi="Symbol"/>
          <w:sz w:val="14"/>
        </w:rPr>
        <w:sectPr>
          <w:type w:val="continuous"/>
          <w:pgSz w:w="12240" w:h="15840"/>
          <w:pgMar w:top="720" w:bottom="280" w:left="1560" w:right="1560"/>
        </w:sectPr>
      </w:pPr>
    </w:p>
    <w:p>
      <w:pPr>
        <w:spacing w:before="74"/>
        <w:ind w:left="142" w:right="0" w:firstLine="0"/>
        <w:jc w:val="left"/>
        <w:rPr>
          <w:sz w:val="20"/>
        </w:rPr>
      </w:pPr>
      <w:r>
        <w:rPr>
          <w:w w:val="95"/>
          <w:sz w:val="20"/>
        </w:rPr>
        <w:t>Donde:</w:t>
      </w:r>
    </w:p>
    <w:p>
      <w:pPr>
        <w:pStyle w:val="BodyText"/>
        <w:spacing w:before="5"/>
        <w:rPr>
          <w:sz w:val="26"/>
        </w:rPr>
      </w:pPr>
      <w:r>
        <w:rPr/>
        <w:br w:type="column"/>
      </w:r>
      <w:r>
        <w:rPr>
          <w:sz w:val="26"/>
        </w:rPr>
      </w:r>
    </w:p>
    <w:p>
      <w:pPr>
        <w:spacing w:before="1"/>
        <w:ind w:left="24" w:right="377" w:firstLine="0"/>
        <w:jc w:val="left"/>
        <w:rPr>
          <w:sz w:val="20"/>
        </w:rPr>
      </w:pPr>
      <w:r>
        <w:rPr>
          <w:sz w:val="20"/>
        </w:rPr>
        <w:t>Ps: Precio de salida Vn: Valor nominal</w:t>
      </w:r>
    </w:p>
    <w:p>
      <w:pPr>
        <w:spacing w:before="0"/>
        <w:ind w:left="24" w:right="0" w:firstLine="0"/>
        <w:jc w:val="both"/>
        <w:rPr>
          <w:sz w:val="20"/>
        </w:rPr>
      </w:pPr>
      <w:r>
        <w:rPr>
          <w:sz w:val="20"/>
        </w:rPr>
        <w:t>Tr: Tasa de rendimiento Dv: Días de</w:t>
      </w:r>
      <w:r>
        <w:rPr>
          <w:spacing w:val="-7"/>
          <w:sz w:val="20"/>
        </w:rPr>
        <w:t> </w:t>
      </w:r>
      <w:r>
        <w:rPr>
          <w:sz w:val="20"/>
        </w:rPr>
        <w:t>vencimiento Tp: Tasa</w:t>
      </w:r>
      <w:r>
        <w:rPr>
          <w:spacing w:val="-3"/>
          <w:sz w:val="20"/>
        </w:rPr>
        <w:t> </w:t>
      </w:r>
      <w:r>
        <w:rPr>
          <w:sz w:val="20"/>
        </w:rPr>
        <w:t>premio</w:t>
      </w:r>
    </w:p>
    <w:p>
      <w:pPr>
        <w:pStyle w:val="BodyText"/>
        <w:rPr>
          <w:sz w:val="26"/>
        </w:rPr>
      </w:pPr>
      <w:r>
        <w:rPr/>
        <w:br w:type="column"/>
      </w:r>
      <w:r>
        <w:rPr>
          <w:sz w:val="26"/>
        </w:rPr>
      </w:r>
    </w:p>
    <w:p>
      <w:pPr>
        <w:pStyle w:val="BodyText"/>
        <w:rPr>
          <w:sz w:val="26"/>
        </w:rPr>
      </w:pPr>
    </w:p>
    <w:p>
      <w:pPr>
        <w:pStyle w:val="BodyText"/>
        <w:rPr>
          <w:sz w:val="26"/>
        </w:rPr>
      </w:pPr>
    </w:p>
    <w:p>
      <w:pPr>
        <w:pStyle w:val="BodyText"/>
        <w:rPr>
          <w:sz w:val="26"/>
        </w:rPr>
      </w:pPr>
    </w:p>
    <w:p>
      <w:pPr>
        <w:pStyle w:val="BodyText"/>
        <w:spacing w:before="3"/>
        <w:rPr>
          <w:sz w:val="25"/>
        </w:rPr>
      </w:pPr>
    </w:p>
    <w:p>
      <w:pPr>
        <w:tabs>
          <w:tab w:pos="584" w:val="left" w:leader="none"/>
          <w:tab w:pos="1911" w:val="left" w:leader="none"/>
        </w:tabs>
        <w:spacing w:line="198" w:lineRule="exact" w:before="0"/>
        <w:ind w:left="142" w:right="0" w:firstLine="0"/>
        <w:jc w:val="left"/>
        <w:rPr>
          <w:rFonts w:ascii="Symbol" w:hAnsi="Symbol"/>
          <w:sz w:val="24"/>
        </w:rPr>
      </w:pPr>
      <w:r>
        <w:rPr>
          <w:rFonts w:ascii="Symbol" w:hAnsi="Symbol"/>
          <w:position w:val="2"/>
          <w:sz w:val="24"/>
        </w:rPr>
        <w:t></w:t>
      </w:r>
      <w:r>
        <w:rPr>
          <w:rFonts w:ascii="Times New Roman" w:hAnsi="Times New Roman"/>
          <w:position w:val="2"/>
          <w:sz w:val="24"/>
        </w:rPr>
        <w:tab/>
      </w:r>
      <w:r>
        <w:rPr>
          <w:rFonts w:ascii="Symbol" w:hAnsi="Symbol"/>
          <w:sz w:val="24"/>
        </w:rPr>
        <w:t></w:t>
      </w:r>
      <w:r>
        <w:rPr>
          <w:rFonts w:ascii="Times New Roman" w:hAnsi="Times New Roman"/>
          <w:spacing w:val="-28"/>
          <w:sz w:val="24"/>
        </w:rPr>
        <w:t> </w:t>
      </w:r>
      <w:r>
        <w:rPr>
          <w:rFonts w:ascii="Times New Roman" w:hAnsi="Times New Roman"/>
          <w:i/>
          <w:position w:val="2"/>
          <w:sz w:val="24"/>
        </w:rPr>
        <w:t>Tr</w:t>
      </w:r>
      <w:r>
        <w:rPr>
          <w:rFonts w:ascii="Times New Roman" w:hAnsi="Times New Roman"/>
          <w:i/>
          <w:spacing w:val="-9"/>
          <w:position w:val="2"/>
          <w:sz w:val="24"/>
        </w:rPr>
        <w:t> </w:t>
      </w:r>
      <w:r>
        <w:rPr>
          <w:rFonts w:ascii="Symbol" w:hAnsi="Symbol"/>
          <w:position w:val="2"/>
          <w:sz w:val="24"/>
        </w:rPr>
        <w:t></w:t>
      </w:r>
      <w:r>
        <w:rPr>
          <w:rFonts w:ascii="Times New Roman" w:hAnsi="Times New Roman"/>
          <w:spacing w:val="-17"/>
          <w:position w:val="2"/>
          <w:sz w:val="24"/>
        </w:rPr>
        <w:t> </w:t>
      </w:r>
      <w:r>
        <w:rPr>
          <w:rFonts w:ascii="Times New Roman" w:hAnsi="Times New Roman"/>
          <w:i/>
          <w:position w:val="2"/>
          <w:sz w:val="24"/>
        </w:rPr>
        <w:t>Dv</w:t>
      </w:r>
      <w:r>
        <w:rPr>
          <w:rFonts w:ascii="Times New Roman" w:hAnsi="Times New Roman"/>
          <w:i/>
          <w:spacing w:val="-20"/>
          <w:position w:val="2"/>
          <w:sz w:val="24"/>
        </w:rPr>
        <w:t> </w:t>
      </w:r>
      <w:r>
        <w:rPr>
          <w:rFonts w:ascii="Symbol" w:hAnsi="Symbol"/>
          <w:sz w:val="24"/>
        </w:rPr>
        <w:t></w:t>
      </w:r>
      <w:r>
        <w:rPr>
          <w:rFonts w:ascii="Times New Roman" w:hAnsi="Times New Roman"/>
          <w:sz w:val="24"/>
        </w:rPr>
        <w:tab/>
      </w:r>
      <w:r>
        <w:rPr>
          <w:rFonts w:ascii="Symbol" w:hAnsi="Symbol"/>
          <w:position w:val="2"/>
          <w:sz w:val="24"/>
        </w:rPr>
        <w:t></w:t>
      </w:r>
    </w:p>
    <w:p>
      <w:pPr>
        <w:spacing w:after="0" w:line="198" w:lineRule="exact"/>
        <w:jc w:val="left"/>
        <w:rPr>
          <w:rFonts w:ascii="Symbol" w:hAnsi="Symbol"/>
          <w:sz w:val="24"/>
        </w:rPr>
        <w:sectPr>
          <w:type w:val="continuous"/>
          <w:pgSz w:w="12240" w:h="15840"/>
          <w:pgMar w:top="720" w:bottom="280" w:left="1560" w:right="1560"/>
          <w:cols w:num="3" w:equalWidth="0">
            <w:col w:w="786" w:space="40"/>
            <w:col w:w="2189" w:space="1443"/>
            <w:col w:w="4662"/>
          </w:cols>
        </w:sectPr>
      </w:pPr>
    </w:p>
    <w:p>
      <w:pPr>
        <w:pStyle w:val="BodyText"/>
        <w:tabs>
          <w:tab w:pos="5931" w:val="left" w:leader="none"/>
          <w:tab w:pos="6369" w:val="left" w:leader="none"/>
        </w:tabs>
        <w:spacing w:line="184" w:lineRule="exact"/>
        <w:ind w:left="4599" w:right="786"/>
        <w:rPr>
          <w:rFonts w:ascii="Symbol" w:hAnsi="Symbol"/>
        </w:rPr>
      </w:pPr>
      <w:r>
        <w:rPr/>
        <w:pict>
          <v:line style="position:absolute;mso-position-horizontal-relative:page;mso-position-vertical-relative:paragraph;z-index:-94624" from="336.563232pt,7.088188pt" to="373.3061pt,7.088188pt" stroked="true" strokeweight=".137824pt" strokecolor="#000000">
            <w10:wrap type="none"/>
          </v:line>
        </w:pict>
      </w:r>
      <w:r>
        <w:rPr>
          <w:rFonts w:ascii="Symbol" w:hAnsi="Symbol"/>
          <w:position w:val="2"/>
        </w:rPr>
        <w:t></w:t>
      </w:r>
      <w:r>
        <w:rPr>
          <w:rFonts w:ascii="Times New Roman" w:hAnsi="Times New Roman"/>
          <w:spacing w:val="-32"/>
          <w:position w:val="2"/>
        </w:rPr>
        <w:t> </w:t>
      </w:r>
      <w:r>
        <w:rPr>
          <w:rFonts w:ascii="Times New Roman" w:hAnsi="Times New Roman"/>
          <w:position w:val="2"/>
        </w:rPr>
        <w:t>1</w:t>
      </w:r>
      <w:r>
        <w:rPr>
          <w:rFonts w:ascii="Times New Roman" w:hAnsi="Times New Roman"/>
          <w:spacing w:val="-36"/>
          <w:position w:val="2"/>
        </w:rPr>
        <w:t> </w:t>
      </w:r>
      <w:r>
        <w:rPr>
          <w:rFonts w:ascii="Symbol" w:hAnsi="Symbol"/>
          <w:position w:val="2"/>
        </w:rPr>
        <w:t></w:t>
      </w:r>
      <w:r>
        <w:rPr>
          <w:rFonts w:ascii="Times New Roman" w:hAnsi="Times New Roman"/>
          <w:spacing w:val="-17"/>
          <w:position w:val="2"/>
        </w:rPr>
        <w:t> </w:t>
      </w:r>
      <w:r>
        <w:rPr>
          <w:rFonts w:ascii="Symbol" w:hAnsi="Symbol"/>
        </w:rPr>
        <w:t></w:t>
      </w:r>
      <w:r>
        <w:rPr>
          <w:rFonts w:ascii="Times New Roman" w:hAnsi="Times New Roman"/>
        </w:rPr>
        <w:tab/>
      </w:r>
      <w:r>
        <w:rPr>
          <w:rFonts w:ascii="Symbol" w:hAnsi="Symbol"/>
        </w:rPr>
        <w:t></w:t>
      </w:r>
      <w:r>
        <w:rPr>
          <w:rFonts w:ascii="Times New Roman" w:hAnsi="Times New Roman"/>
        </w:rPr>
        <w:tab/>
      </w:r>
      <w:r>
        <w:rPr>
          <w:rFonts w:ascii="Symbol" w:hAnsi="Symbol"/>
          <w:position w:val="2"/>
        </w:rPr>
        <w:t></w:t>
      </w:r>
    </w:p>
    <w:p>
      <w:pPr>
        <w:spacing w:after="0" w:line="184" w:lineRule="exact"/>
        <w:rPr>
          <w:rFonts w:ascii="Symbol" w:hAnsi="Symbol"/>
        </w:rPr>
        <w:sectPr>
          <w:type w:val="continuous"/>
          <w:pgSz w:w="12240" w:h="15840"/>
          <w:pgMar w:top="720" w:bottom="280" w:left="1560" w:right="1560"/>
        </w:sectPr>
      </w:pPr>
    </w:p>
    <w:p>
      <w:pPr>
        <w:spacing w:line="146" w:lineRule="exact" w:before="0"/>
        <w:ind w:left="0" w:right="0" w:firstLine="0"/>
        <w:jc w:val="right"/>
        <w:rPr>
          <w:rFonts w:ascii="Times New Roman" w:hAnsi="Times New Roman"/>
          <w:i/>
          <w:sz w:val="23"/>
        </w:rPr>
      </w:pPr>
      <w:r>
        <w:rPr>
          <w:rFonts w:ascii="Symbol" w:hAnsi="Symbol"/>
          <w:w w:val="105"/>
          <w:sz w:val="23"/>
        </w:rPr>
        <w:t></w:t>
      </w:r>
      <w:r>
        <w:rPr>
          <w:rFonts w:ascii="Times New Roman" w:hAnsi="Times New Roman"/>
          <w:w w:val="105"/>
          <w:sz w:val="23"/>
        </w:rPr>
        <w:t> </w:t>
      </w:r>
      <w:r>
        <w:rPr>
          <w:rFonts w:ascii="Times New Roman" w:hAnsi="Times New Roman"/>
          <w:i/>
          <w:w w:val="105"/>
          <w:position w:val="2"/>
          <w:sz w:val="23"/>
        </w:rPr>
        <w:t>Vn</w:t>
      </w:r>
    </w:p>
    <w:p>
      <w:pPr>
        <w:spacing w:line="146" w:lineRule="exact" w:before="0"/>
        <w:ind w:left="313" w:right="0" w:firstLine="0"/>
        <w:jc w:val="left"/>
        <w:rPr>
          <w:rFonts w:ascii="Symbol" w:hAnsi="Symbol"/>
          <w:sz w:val="23"/>
        </w:rPr>
      </w:pPr>
      <w:r>
        <w:rPr/>
        <w:br w:type="column"/>
      </w:r>
      <w:r>
        <w:rPr>
          <w:rFonts w:ascii="Symbol" w:hAnsi="Symbol"/>
          <w:w w:val="105"/>
          <w:sz w:val="23"/>
        </w:rPr>
        <w:t></w:t>
      </w:r>
      <w:r>
        <w:rPr>
          <w:rFonts w:ascii="Times New Roman" w:hAnsi="Times New Roman"/>
          <w:w w:val="105"/>
          <w:sz w:val="23"/>
        </w:rPr>
        <w:t>   </w:t>
      </w:r>
      <w:r>
        <w:rPr>
          <w:rFonts w:ascii="Symbol" w:hAnsi="Symbol"/>
          <w:w w:val="105"/>
          <w:sz w:val="23"/>
        </w:rPr>
        <w:t></w:t>
      </w:r>
      <w:r>
        <w:rPr>
          <w:rFonts w:ascii="Times New Roman" w:hAnsi="Times New Roman"/>
          <w:w w:val="105"/>
          <w:sz w:val="23"/>
        </w:rPr>
        <w:t>  </w:t>
      </w:r>
      <w:r>
        <w:rPr>
          <w:rFonts w:ascii="Times New Roman" w:hAnsi="Times New Roman"/>
          <w:w w:val="105"/>
          <w:position w:val="2"/>
          <w:sz w:val="23"/>
        </w:rPr>
        <w:t>36000  </w:t>
      </w:r>
      <w:r>
        <w:rPr>
          <w:rFonts w:ascii="Symbol" w:hAnsi="Symbol"/>
          <w:w w:val="105"/>
          <w:sz w:val="23"/>
        </w:rPr>
        <w:t></w:t>
      </w:r>
    </w:p>
    <w:p>
      <w:pPr>
        <w:pStyle w:val="BodyText"/>
        <w:tabs>
          <w:tab w:pos="1079" w:val="left" w:leader="none"/>
          <w:tab w:pos="2287" w:val="left" w:leader="none"/>
        </w:tabs>
        <w:spacing w:line="146" w:lineRule="exact"/>
        <w:ind w:left="636"/>
        <w:rPr>
          <w:rFonts w:ascii="Symbol" w:hAnsi="Symbol"/>
        </w:rPr>
      </w:pPr>
      <w:r>
        <w:rPr/>
        <w:br w:type="column"/>
      </w:r>
      <w:r>
        <w:rPr>
          <w:rFonts w:ascii="Symbol" w:hAnsi="Symbol"/>
          <w:position w:val="-2"/>
        </w:rPr>
        <w:t></w:t>
      </w:r>
      <w:r>
        <w:rPr>
          <w:rFonts w:ascii="Times New Roman" w:hAnsi="Times New Roman"/>
          <w:position w:val="-2"/>
        </w:rPr>
        <w:tab/>
      </w:r>
      <w:r>
        <w:rPr>
          <w:rFonts w:ascii="Symbol" w:hAnsi="Symbol"/>
          <w:position w:val="-1"/>
        </w:rPr>
        <w:t></w:t>
      </w:r>
      <w:r>
        <w:rPr>
          <w:rFonts w:ascii="Times New Roman" w:hAnsi="Times New Roman"/>
          <w:spacing w:val="38"/>
          <w:position w:val="-1"/>
        </w:rPr>
        <w:t> </w:t>
      </w:r>
      <w:r>
        <w:rPr>
          <w:rFonts w:ascii="Times New Roman" w:hAnsi="Times New Roman"/>
          <w:position w:val="1"/>
        </w:rPr>
        <w:t>36000</w:t>
      </w:r>
      <w:r>
        <w:rPr>
          <w:rFonts w:ascii="Times New Roman" w:hAnsi="Times New Roman"/>
          <w:spacing w:val="34"/>
          <w:position w:val="1"/>
        </w:rPr>
        <w:t> </w:t>
      </w:r>
      <w:r>
        <w:rPr>
          <w:rFonts w:ascii="Symbol" w:hAnsi="Symbol"/>
          <w:position w:val="-1"/>
        </w:rPr>
        <w:t></w:t>
      </w:r>
      <w:r>
        <w:rPr>
          <w:rFonts w:ascii="Times New Roman" w:hAnsi="Times New Roman"/>
          <w:position w:val="-1"/>
        </w:rPr>
        <w:tab/>
      </w:r>
      <w:r>
        <w:rPr>
          <w:rFonts w:ascii="Times New Roman" w:hAnsi="Times New Roman"/>
          <w:position w:val="-12"/>
        </w:rPr>
        <w:t>1</w:t>
      </w:r>
      <w:r>
        <w:rPr>
          <w:rFonts w:ascii="Symbol" w:hAnsi="Symbol"/>
          <w:position w:val="-2"/>
        </w:rPr>
        <w:t></w:t>
      </w:r>
      <w:r>
        <w:rPr>
          <w:rFonts w:ascii="Times New Roman" w:hAnsi="Times New Roman"/>
          <w:position w:val="-2"/>
        </w:rPr>
        <w:t>  </w:t>
      </w:r>
      <w:r>
        <w:rPr>
          <w:rFonts w:ascii="Times New Roman" w:hAnsi="Times New Roman"/>
          <w:spacing w:val="4"/>
          <w:position w:val="-2"/>
        </w:rPr>
        <w:t> </w:t>
      </w:r>
      <w:r>
        <w:rPr>
          <w:rFonts w:ascii="Symbol" w:hAnsi="Symbol"/>
        </w:rPr>
        <w:t></w:t>
      </w:r>
    </w:p>
    <w:p>
      <w:pPr>
        <w:pStyle w:val="BodyText"/>
        <w:spacing w:line="146" w:lineRule="exact"/>
        <w:ind w:left="105"/>
        <w:rPr>
          <w:rFonts w:ascii="Symbol" w:hAnsi="Symbol"/>
        </w:rPr>
      </w:pPr>
      <w:r>
        <w:rPr/>
        <w:br w:type="column"/>
      </w:r>
      <w:r>
        <w:rPr>
          <w:rFonts w:ascii="Times New Roman" w:hAnsi="Times New Roman"/>
          <w:position w:val="2"/>
        </w:rPr>
        <w:t>36000  </w:t>
      </w:r>
      <w:r>
        <w:rPr>
          <w:rFonts w:ascii="Symbol" w:hAnsi="Symbol"/>
        </w:rPr>
        <w:t></w:t>
      </w:r>
    </w:p>
    <w:p>
      <w:pPr>
        <w:spacing w:after="0" w:line="146" w:lineRule="exact"/>
        <w:rPr>
          <w:rFonts w:ascii="Symbol" w:hAnsi="Symbol"/>
        </w:rPr>
        <w:sectPr>
          <w:type w:val="continuous"/>
          <w:pgSz w:w="12240" w:h="15840"/>
          <w:pgMar w:top="720" w:bottom="280" w:left="1560" w:right="1560"/>
          <w:cols w:num="4" w:equalWidth="0">
            <w:col w:w="2219" w:space="40"/>
            <w:col w:w="1665" w:space="40"/>
            <w:col w:w="2777" w:space="40"/>
            <w:col w:w="2339"/>
          </w:cols>
        </w:sectPr>
      </w:pPr>
    </w:p>
    <w:p>
      <w:pPr>
        <w:spacing w:line="181" w:lineRule="exact" w:before="0"/>
        <w:ind w:left="0" w:right="0" w:firstLine="0"/>
        <w:jc w:val="right"/>
        <w:rPr>
          <w:rFonts w:ascii="Symbol" w:hAnsi="Symbol"/>
          <w:sz w:val="23"/>
        </w:rPr>
      </w:pPr>
      <w:r>
        <w:rPr>
          <w:rFonts w:ascii="Times New Roman" w:hAnsi="Times New Roman"/>
          <w:i/>
          <w:w w:val="105"/>
          <w:position w:val="2"/>
          <w:sz w:val="23"/>
        </w:rPr>
        <w:t>r</w:t>
      </w:r>
      <w:r>
        <w:rPr>
          <w:rFonts w:ascii="Times New Roman" w:hAnsi="Times New Roman"/>
          <w:i/>
          <w:w w:val="105"/>
          <w:position w:val="-3"/>
          <w:sz w:val="14"/>
        </w:rPr>
        <w:t>S   </w:t>
      </w:r>
      <w:r>
        <w:rPr>
          <w:rFonts w:ascii="Symbol" w:hAnsi="Symbol"/>
          <w:w w:val="105"/>
          <w:position w:val="2"/>
          <w:sz w:val="23"/>
        </w:rPr>
        <w:t></w:t>
      </w:r>
      <w:r>
        <w:rPr>
          <w:rFonts w:ascii="Times New Roman" w:hAnsi="Times New Roman"/>
          <w:w w:val="105"/>
          <w:position w:val="2"/>
          <w:sz w:val="23"/>
        </w:rPr>
        <w:t> </w:t>
      </w:r>
      <w:r>
        <w:rPr>
          <w:rFonts w:ascii="Symbol" w:hAnsi="Symbol"/>
          <w:w w:val="105"/>
          <w:sz w:val="23"/>
        </w:rPr>
        <w:t></w:t>
      </w:r>
    </w:p>
    <w:p>
      <w:pPr>
        <w:spacing w:line="181" w:lineRule="exact" w:before="0"/>
        <w:ind w:left="325" w:right="0" w:firstLine="0"/>
        <w:jc w:val="left"/>
        <w:rPr>
          <w:rFonts w:ascii="Symbol" w:hAnsi="Symbol"/>
          <w:sz w:val="23"/>
        </w:rPr>
      </w:pPr>
      <w:r>
        <w:rPr/>
        <w:br w:type="column"/>
      </w:r>
      <w:r>
        <w:rPr>
          <w:rFonts w:ascii="Symbol" w:hAnsi="Symbol"/>
          <w:w w:val="105"/>
          <w:position w:val="2"/>
          <w:sz w:val="23"/>
        </w:rPr>
        <w:t></w:t>
      </w:r>
      <w:r>
        <w:rPr>
          <w:rFonts w:ascii="Times New Roman" w:hAnsi="Times New Roman"/>
          <w:w w:val="105"/>
          <w:position w:val="2"/>
          <w:sz w:val="23"/>
        </w:rPr>
        <w:t>1</w:t>
      </w:r>
      <w:r>
        <w:rPr>
          <w:rFonts w:ascii="Symbol" w:hAnsi="Symbol"/>
          <w:w w:val="105"/>
          <w:sz w:val="23"/>
        </w:rPr>
        <w:t></w:t>
      </w:r>
      <w:r>
        <w:rPr>
          <w:rFonts w:ascii="Times New Roman" w:hAnsi="Times New Roman"/>
          <w:w w:val="105"/>
          <w:sz w:val="23"/>
        </w:rPr>
        <w:t> </w:t>
      </w:r>
      <w:r>
        <w:rPr>
          <w:rFonts w:ascii="Symbol" w:hAnsi="Symbol"/>
          <w:w w:val="105"/>
          <w:position w:val="2"/>
          <w:sz w:val="23"/>
        </w:rPr>
        <w:t></w:t>
      </w:r>
      <w:r>
        <w:rPr>
          <w:rFonts w:ascii="Symbol" w:hAnsi="Symbol"/>
          <w:w w:val="105"/>
          <w:sz w:val="23"/>
        </w:rPr>
        <w:t></w:t>
      </w:r>
    </w:p>
    <w:p>
      <w:pPr>
        <w:tabs>
          <w:tab w:pos="1241" w:val="left" w:leader="none"/>
          <w:tab w:pos="1618" w:val="left" w:leader="none"/>
        </w:tabs>
        <w:spacing w:line="181" w:lineRule="exact" w:before="0"/>
        <w:ind w:left="848" w:right="0" w:firstLine="0"/>
        <w:jc w:val="left"/>
        <w:rPr>
          <w:rFonts w:ascii="Symbol" w:hAnsi="Symbol"/>
          <w:sz w:val="24"/>
        </w:rPr>
      </w:pPr>
      <w:r>
        <w:rPr/>
        <w:br w:type="column"/>
      </w:r>
      <w:r>
        <w:rPr>
          <w:rFonts w:ascii="Symbol" w:hAnsi="Symbol"/>
          <w:position w:val="-1"/>
          <w:sz w:val="23"/>
        </w:rPr>
        <w:t></w:t>
      </w:r>
      <w:r>
        <w:rPr>
          <w:rFonts w:ascii="Times New Roman" w:hAnsi="Times New Roman"/>
          <w:position w:val="-1"/>
          <w:sz w:val="23"/>
        </w:rPr>
        <w:tab/>
      </w:r>
      <w:r>
        <w:rPr>
          <w:rFonts w:ascii="Times New Roman" w:hAnsi="Times New Roman"/>
          <w:sz w:val="20"/>
        </w:rPr>
        <w:t>o</w:t>
        <w:tab/>
      </w:r>
      <w:r>
        <w:rPr>
          <w:rFonts w:ascii="Symbol" w:hAnsi="Symbol"/>
          <w:position w:val="-12"/>
          <w:sz w:val="24"/>
        </w:rPr>
        <w:t></w:t>
      </w:r>
    </w:p>
    <w:p>
      <w:pPr>
        <w:spacing w:line="30" w:lineRule="exact" w:before="150"/>
        <w:ind w:left="302" w:right="-18" w:firstLine="0"/>
        <w:jc w:val="left"/>
        <w:rPr>
          <w:rFonts w:ascii="Times New Roman" w:hAnsi="Times New Roman"/>
          <w:i/>
          <w:sz w:val="24"/>
        </w:rPr>
      </w:pPr>
      <w:r>
        <w:rPr/>
        <w:br w:type="column"/>
      </w:r>
      <w:r>
        <w:rPr>
          <w:rFonts w:ascii="Symbol" w:hAnsi="Symbol"/>
          <w:sz w:val="24"/>
        </w:rPr>
        <w:t></w:t>
      </w:r>
      <w:r>
        <w:rPr>
          <w:rFonts w:ascii="Times New Roman" w:hAnsi="Times New Roman"/>
          <w:spacing w:val="-27"/>
          <w:sz w:val="24"/>
        </w:rPr>
        <w:t> </w:t>
      </w:r>
      <w:r>
        <w:rPr>
          <w:rFonts w:ascii="Times New Roman" w:hAnsi="Times New Roman"/>
          <w:i/>
          <w:spacing w:val="-4"/>
          <w:position w:val="2"/>
          <w:sz w:val="24"/>
        </w:rPr>
        <w:t>Tp</w:t>
      </w:r>
    </w:p>
    <w:p>
      <w:pPr>
        <w:spacing w:line="200" w:lineRule="exact" w:before="0"/>
        <w:ind w:left="649" w:right="-18" w:firstLine="0"/>
        <w:jc w:val="left"/>
        <w:rPr>
          <w:rFonts w:ascii="Symbol" w:hAnsi="Symbol"/>
          <w:sz w:val="24"/>
        </w:rPr>
      </w:pPr>
      <w:r>
        <w:rPr/>
        <w:br w:type="column"/>
      </w:r>
      <w:r>
        <w:rPr>
          <w:rFonts w:ascii="Symbol" w:hAnsi="Symbol"/>
          <w:sz w:val="24"/>
        </w:rPr>
        <w:t></w:t>
      </w:r>
    </w:p>
    <w:p>
      <w:pPr>
        <w:spacing w:line="19" w:lineRule="exact" w:before="0"/>
        <w:ind w:left="172" w:right="-18" w:firstLine="0"/>
        <w:jc w:val="left"/>
        <w:rPr>
          <w:rFonts w:ascii="Symbol" w:hAnsi="Symbol"/>
          <w:sz w:val="24"/>
        </w:rPr>
      </w:pPr>
      <w:r>
        <w:rPr/>
        <w:pict>
          <v:line style="position:absolute;mso-position-horizontal-relative:page;mso-position-vertical-relative:paragraph;z-index:-94576" from="314.438660pt,-1.936327pt" to="380.292655pt,-1.936327pt" stroked="true" strokeweight=".137824pt" strokecolor="#000000">
            <w10:wrap type="none"/>
          </v:line>
        </w:pict>
      </w:r>
      <w:r>
        <w:rPr/>
        <w:pict>
          <v:line style="position:absolute;mso-position-horizontal-relative:page;mso-position-vertical-relative:paragraph;z-index:-94552" from="416.789612pt,-1.936327pt" to="458.209098pt,-1.936327pt" stroked="true" strokeweight=".137824pt" strokecolor="#000000">
            <w10:wrap type="none"/>
          </v:line>
        </w:pict>
      </w:r>
      <w:r>
        <w:rPr>
          <w:rFonts w:ascii="Times New Roman" w:hAnsi="Times New Roman"/>
          <w:i/>
          <w:position w:val="2"/>
          <w:sz w:val="24"/>
        </w:rPr>
        <w:t>Dr </w:t>
      </w:r>
      <w:r>
        <w:rPr>
          <w:rFonts w:ascii="Symbol" w:hAnsi="Symbol"/>
          <w:sz w:val="24"/>
        </w:rPr>
        <w:t></w:t>
      </w:r>
    </w:p>
    <w:p>
      <w:pPr>
        <w:tabs>
          <w:tab w:pos="1040" w:val="left" w:leader="none"/>
        </w:tabs>
        <w:spacing w:line="181" w:lineRule="exact" w:before="0"/>
        <w:ind w:left="100" w:right="0" w:firstLine="0"/>
        <w:jc w:val="left"/>
        <w:rPr>
          <w:rFonts w:ascii="Symbol" w:hAnsi="Symbol"/>
          <w:sz w:val="24"/>
        </w:rPr>
      </w:pPr>
      <w:r>
        <w:rPr/>
        <w:br w:type="column"/>
      </w:r>
      <w:r>
        <w:rPr>
          <w:rFonts w:ascii="Symbol" w:hAnsi="Symbol"/>
          <w:position w:val="6"/>
          <w:sz w:val="24"/>
        </w:rPr>
        <w:t></w:t>
      </w:r>
      <w:r>
        <w:rPr>
          <w:rFonts w:ascii="Times New Roman" w:hAnsi="Times New Roman"/>
          <w:spacing w:val="-26"/>
          <w:position w:val="6"/>
          <w:sz w:val="24"/>
        </w:rPr>
        <w:t> </w:t>
      </w:r>
      <w:r>
        <w:rPr>
          <w:rFonts w:ascii="Symbol" w:hAnsi="Symbol"/>
          <w:spacing w:val="14"/>
          <w:position w:val="19"/>
          <w:sz w:val="24"/>
        </w:rPr>
        <w:t></w:t>
      </w:r>
      <w:r>
        <w:rPr>
          <w:rFonts w:ascii="Symbol" w:hAnsi="Symbol"/>
          <w:spacing w:val="14"/>
          <w:position w:val="17"/>
          <w:sz w:val="24"/>
        </w:rPr>
        <w:t></w:t>
      </w:r>
      <w:r>
        <w:rPr>
          <w:rFonts w:ascii="Times New Roman" w:hAnsi="Times New Roman"/>
          <w:spacing w:val="-6"/>
          <w:position w:val="17"/>
          <w:sz w:val="24"/>
        </w:rPr>
        <w:t> </w:t>
      </w:r>
      <w:r>
        <w:rPr>
          <w:rFonts w:ascii="Times New Roman" w:hAnsi="Times New Roman"/>
          <w:i/>
          <w:sz w:val="24"/>
        </w:rPr>
        <w:t>Dv</w:t>
        <w:tab/>
        <w:t>Dr</w:t>
      </w:r>
      <w:r>
        <w:rPr>
          <w:rFonts w:ascii="Times New Roman" w:hAnsi="Times New Roman"/>
          <w:i/>
          <w:spacing w:val="-8"/>
          <w:sz w:val="24"/>
        </w:rPr>
        <w:t> </w:t>
      </w:r>
      <w:r>
        <w:rPr>
          <w:rFonts w:ascii="Symbol" w:hAnsi="Symbol"/>
          <w:position w:val="17"/>
          <w:sz w:val="24"/>
        </w:rPr>
        <w:t></w:t>
      </w:r>
    </w:p>
    <w:p>
      <w:pPr>
        <w:spacing w:after="0" w:line="181" w:lineRule="exact"/>
        <w:jc w:val="left"/>
        <w:rPr>
          <w:rFonts w:ascii="Symbol" w:hAnsi="Symbol"/>
          <w:sz w:val="24"/>
        </w:rPr>
        <w:sectPr>
          <w:type w:val="continuous"/>
          <w:pgSz w:w="12240" w:h="15840"/>
          <w:pgMar w:top="720" w:bottom="280" w:left="1560" w:right="1560"/>
          <w:cols w:num="6" w:equalWidth="0">
            <w:col w:w="1934" w:space="40"/>
            <w:col w:w="968" w:space="40"/>
            <w:col w:w="1712" w:space="40"/>
            <w:col w:w="675" w:space="40"/>
            <w:col w:w="783" w:space="40"/>
            <w:col w:w="2848"/>
          </w:cols>
        </w:sectPr>
      </w:pPr>
    </w:p>
    <w:p>
      <w:pPr>
        <w:spacing w:line="260" w:lineRule="exact" w:before="0"/>
        <w:ind w:left="0" w:right="0" w:firstLine="0"/>
        <w:jc w:val="right"/>
        <w:rPr>
          <w:rFonts w:ascii="Times New Roman" w:hAnsi="Times New Roman"/>
          <w:i/>
          <w:sz w:val="23"/>
        </w:rPr>
      </w:pPr>
      <w:r>
        <w:rPr/>
        <w:pict>
          <v:line style="position:absolute;mso-position-horizontal-relative:page;mso-position-vertical-relative:paragraph;z-index:5272" from="176.455582pt,-2.971194pt" to="190.39251pt,-2.971194pt" stroked="true" strokeweight=".136247pt" strokecolor="#000000">
            <w10:wrap type="none"/>
          </v:line>
        </w:pict>
      </w:r>
      <w:r>
        <w:rPr>
          <w:rFonts w:ascii="Symbol" w:hAnsi="Symbol"/>
          <w:w w:val="105"/>
          <w:position w:val="-2"/>
          <w:sz w:val="23"/>
        </w:rPr>
        <w:t></w:t>
      </w:r>
      <w:r>
        <w:rPr>
          <w:rFonts w:ascii="Times New Roman" w:hAnsi="Times New Roman"/>
          <w:w w:val="105"/>
          <w:position w:val="-2"/>
          <w:sz w:val="23"/>
        </w:rPr>
        <w:t> </w:t>
      </w:r>
      <w:r>
        <w:rPr>
          <w:rFonts w:ascii="Times New Roman" w:hAnsi="Times New Roman"/>
          <w:i/>
          <w:w w:val="105"/>
          <w:sz w:val="23"/>
        </w:rPr>
        <w:t>Ps</w:t>
      </w:r>
    </w:p>
    <w:p>
      <w:pPr>
        <w:spacing w:line="260" w:lineRule="exact" w:before="0"/>
        <w:ind w:left="313" w:right="-16" w:firstLine="0"/>
        <w:jc w:val="left"/>
        <w:rPr>
          <w:rFonts w:ascii="Symbol" w:hAnsi="Symbol"/>
          <w:sz w:val="23"/>
        </w:rPr>
      </w:pPr>
      <w:r>
        <w:rPr/>
        <w:br w:type="column"/>
      </w:r>
      <w:r>
        <w:rPr>
          <w:rFonts w:ascii="Symbol" w:hAnsi="Symbol"/>
          <w:w w:val="105"/>
          <w:position w:val="-2"/>
          <w:sz w:val="23"/>
        </w:rPr>
        <w:t></w:t>
      </w:r>
      <w:r>
        <w:rPr>
          <w:rFonts w:ascii="Times New Roman" w:hAnsi="Times New Roman"/>
          <w:w w:val="105"/>
          <w:position w:val="-2"/>
          <w:sz w:val="23"/>
        </w:rPr>
        <w:t>   </w:t>
      </w:r>
      <w:r>
        <w:rPr>
          <w:rFonts w:ascii="Symbol" w:hAnsi="Symbol"/>
          <w:w w:val="105"/>
          <w:position w:val="-2"/>
          <w:sz w:val="23"/>
        </w:rPr>
        <w:t></w:t>
      </w:r>
      <w:r>
        <w:rPr>
          <w:rFonts w:ascii="Times New Roman" w:hAnsi="Times New Roman"/>
          <w:w w:val="105"/>
          <w:position w:val="-2"/>
          <w:sz w:val="23"/>
        </w:rPr>
        <w:t> </w:t>
      </w:r>
      <w:r>
        <w:rPr>
          <w:rFonts w:ascii="Times New Roman" w:hAnsi="Times New Roman"/>
          <w:i/>
          <w:w w:val="105"/>
          <w:sz w:val="23"/>
        </w:rPr>
        <w:t>Dv </w:t>
      </w:r>
      <w:r>
        <w:rPr>
          <w:rFonts w:ascii="Symbol" w:hAnsi="Symbol"/>
          <w:w w:val="105"/>
          <w:sz w:val="23"/>
        </w:rPr>
        <w:t></w:t>
      </w:r>
      <w:r>
        <w:rPr>
          <w:rFonts w:ascii="Times New Roman" w:hAnsi="Times New Roman"/>
          <w:w w:val="105"/>
          <w:sz w:val="23"/>
        </w:rPr>
        <w:t> </w:t>
      </w:r>
      <w:r>
        <w:rPr>
          <w:rFonts w:ascii="Times New Roman" w:hAnsi="Times New Roman"/>
          <w:i/>
          <w:w w:val="105"/>
          <w:sz w:val="23"/>
        </w:rPr>
        <w:t>Dr</w:t>
      </w:r>
      <w:r>
        <w:rPr>
          <w:rFonts w:ascii="Times New Roman" w:hAnsi="Times New Roman"/>
          <w:i/>
          <w:spacing w:val="-35"/>
          <w:w w:val="105"/>
          <w:sz w:val="23"/>
        </w:rPr>
        <w:t> </w:t>
      </w:r>
      <w:r>
        <w:rPr>
          <w:rFonts w:ascii="Symbol" w:hAnsi="Symbol"/>
          <w:w w:val="105"/>
          <w:position w:val="-2"/>
          <w:sz w:val="23"/>
        </w:rPr>
        <w:t></w:t>
      </w:r>
    </w:p>
    <w:p>
      <w:pPr>
        <w:spacing w:line="158" w:lineRule="exact" w:before="0"/>
        <w:ind w:left="0" w:right="0" w:firstLine="0"/>
        <w:jc w:val="right"/>
        <w:rPr>
          <w:rFonts w:ascii="Symbol" w:hAnsi="Symbol"/>
          <w:sz w:val="24"/>
        </w:rPr>
      </w:pPr>
      <w:r>
        <w:rPr/>
        <w:br w:type="column"/>
      </w:r>
      <w:r>
        <w:rPr>
          <w:rFonts w:ascii="Symbol" w:hAnsi="Symbol"/>
          <w:sz w:val="24"/>
        </w:rPr>
        <w:t></w:t>
      </w:r>
    </w:p>
    <w:p>
      <w:pPr>
        <w:pStyle w:val="BodyText"/>
        <w:spacing w:line="164" w:lineRule="exact"/>
        <w:ind w:left="636"/>
        <w:rPr>
          <w:rFonts w:ascii="Symbol" w:hAnsi="Symbol"/>
        </w:rPr>
      </w:pPr>
      <w:r>
        <w:rPr/>
        <w:pict>
          <v:line style="position:absolute;mso-position-horizontal-relative:page;mso-position-vertical-relative:paragraph;z-index:5296" from="226.854355pt,-10.887637pt" to="268.238379pt,-10.887637pt" stroked="true" strokeweight=".136247pt" strokecolor="#000000">
            <w10:wrap type="none"/>
          </v:line>
        </w:pict>
      </w:r>
      <w:r>
        <w:rPr/>
        <w:pict>
          <v:line style="position:absolute;mso-position-horizontal-relative:page;mso-position-vertical-relative:paragraph;z-index:5344" from="336.191864pt,5.768217pt" to="373.727278pt,5.768217pt" stroked="true" strokeweight=".137824pt" strokecolor="#000000">
            <w10:wrap type="none"/>
          </v:line>
        </w:pict>
      </w:r>
      <w:r>
        <w:rPr>
          <w:rFonts w:ascii="Symbol" w:hAnsi="Symbol"/>
          <w:spacing w:val="10"/>
          <w:position w:val="-2"/>
        </w:rPr>
        <w:t></w:t>
      </w:r>
      <w:r>
        <w:rPr>
          <w:rFonts w:ascii="Times New Roman" w:hAnsi="Times New Roman"/>
          <w:spacing w:val="10"/>
        </w:rPr>
        <w:t>1</w:t>
      </w:r>
      <w:r>
        <w:rPr>
          <w:rFonts w:ascii="Times New Roman" w:hAnsi="Times New Roman"/>
          <w:spacing w:val="-50"/>
        </w:rPr>
        <w:t> </w:t>
      </w:r>
      <w:r>
        <w:rPr>
          <w:rFonts w:ascii="Symbol" w:hAnsi="Symbol"/>
        </w:rPr>
        <w:t></w:t>
      </w:r>
      <w:r>
        <w:rPr>
          <w:rFonts w:ascii="Times New Roman" w:hAnsi="Times New Roman"/>
        </w:rPr>
        <w:t> </w:t>
      </w:r>
      <w:r>
        <w:rPr>
          <w:rFonts w:ascii="Symbol" w:hAnsi="Symbol"/>
          <w:position w:val="-1"/>
        </w:rPr>
        <w:t></w:t>
      </w:r>
    </w:p>
    <w:p>
      <w:pPr>
        <w:pStyle w:val="BodyText"/>
        <w:tabs>
          <w:tab w:pos="753" w:val="left" w:leader="none"/>
          <w:tab w:pos="1506" w:val="left" w:leader="none"/>
          <w:tab w:pos="2012" w:val="left" w:leader="none"/>
        </w:tabs>
        <w:spacing w:line="323" w:lineRule="exact"/>
        <w:ind w:left="322"/>
        <w:rPr>
          <w:rFonts w:ascii="Symbol" w:hAnsi="Symbol"/>
        </w:rPr>
      </w:pPr>
      <w:r>
        <w:rPr/>
        <w:br w:type="column"/>
      </w:r>
      <w:r>
        <w:rPr>
          <w:rFonts w:ascii="Symbol" w:hAnsi="Symbol"/>
          <w:position w:val="-13"/>
        </w:rPr>
        <w:t></w:t>
      </w:r>
      <w:r>
        <w:rPr>
          <w:rFonts w:ascii="Times New Roman" w:hAnsi="Times New Roman"/>
          <w:position w:val="-13"/>
        </w:rPr>
        <w:tab/>
      </w:r>
      <w:r>
        <w:rPr>
          <w:rFonts w:ascii="Symbol" w:hAnsi="Symbol"/>
          <w:position w:val="-13"/>
        </w:rPr>
        <w:t></w:t>
      </w:r>
      <w:r>
        <w:rPr>
          <w:rFonts w:ascii="Times New Roman" w:hAnsi="Times New Roman"/>
          <w:position w:val="-13"/>
        </w:rPr>
        <w:t>  </w:t>
      </w:r>
      <w:r>
        <w:rPr>
          <w:rFonts w:ascii="Times New Roman" w:hAnsi="Times New Roman"/>
          <w:spacing w:val="4"/>
          <w:position w:val="-13"/>
        </w:rPr>
        <w:t> </w:t>
      </w:r>
      <w:r>
        <w:rPr>
          <w:rFonts w:ascii="Symbol" w:hAnsi="Symbol"/>
        </w:rPr>
        <w:t></w:t>
      </w:r>
      <w:r>
        <w:rPr>
          <w:rFonts w:ascii="Times New Roman" w:hAnsi="Times New Roman"/>
        </w:rPr>
        <w:tab/>
      </w:r>
      <w:r>
        <w:rPr>
          <w:rFonts w:ascii="Symbol" w:hAnsi="Symbol"/>
          <w:position w:val="3"/>
        </w:rPr>
        <w:t></w:t>
      </w:r>
      <w:r>
        <w:rPr>
          <w:rFonts w:ascii="Times New Roman" w:hAnsi="Times New Roman"/>
          <w:position w:val="3"/>
        </w:rPr>
        <w:tab/>
      </w:r>
      <w:r>
        <w:rPr>
          <w:rFonts w:ascii="Symbol" w:hAnsi="Symbol"/>
        </w:rPr>
        <w:t></w:t>
      </w:r>
    </w:p>
    <w:p>
      <w:pPr>
        <w:spacing w:after="0" w:line="323" w:lineRule="exact"/>
        <w:rPr>
          <w:rFonts w:ascii="Symbol" w:hAnsi="Symbol"/>
        </w:rPr>
        <w:sectPr>
          <w:type w:val="continuous"/>
          <w:pgSz w:w="12240" w:h="15840"/>
          <w:pgMar w:top="720" w:bottom="280" w:left="1560" w:right="1560"/>
          <w:cols w:num="4" w:equalWidth="0">
            <w:col w:w="2218" w:space="40"/>
            <w:col w:w="1666" w:space="40"/>
            <w:col w:w="1614" w:space="40"/>
            <w:col w:w="3502"/>
          </w:cols>
        </w:sectPr>
      </w:pPr>
    </w:p>
    <w:p>
      <w:pPr>
        <w:pStyle w:val="BodyText"/>
        <w:tabs>
          <w:tab w:pos="5034" w:val="left" w:leader="none"/>
          <w:tab w:pos="6369" w:val="left" w:leader="none"/>
        </w:tabs>
        <w:spacing w:line="295" w:lineRule="exact"/>
        <w:ind w:left="4599" w:right="786"/>
        <w:rPr>
          <w:rFonts w:ascii="Symbol" w:hAnsi="Symbol"/>
        </w:rPr>
      </w:pPr>
      <w:r>
        <w:rPr>
          <w:rFonts w:ascii="Symbol" w:hAnsi="Symbol"/>
          <w:position w:val="-4"/>
        </w:rPr>
        <w:t></w:t>
      </w:r>
      <w:r>
        <w:rPr>
          <w:rFonts w:ascii="Times New Roman" w:hAnsi="Times New Roman"/>
          <w:position w:val="-4"/>
        </w:rPr>
        <w:tab/>
      </w:r>
      <w:r>
        <w:rPr>
          <w:rFonts w:ascii="Symbol" w:hAnsi="Symbol"/>
          <w:position w:val="-2"/>
        </w:rPr>
        <w:t></w:t>
      </w:r>
      <w:r>
        <w:rPr>
          <w:rFonts w:ascii="Times New Roman" w:hAnsi="Times New Roman"/>
          <w:spacing w:val="46"/>
          <w:position w:val="-2"/>
        </w:rPr>
        <w:t> </w:t>
      </w:r>
      <w:r>
        <w:rPr>
          <w:rFonts w:ascii="Times New Roman" w:hAnsi="Times New Roman"/>
        </w:rPr>
        <w:t>36000</w:t>
      </w:r>
      <w:r>
        <w:rPr>
          <w:rFonts w:ascii="Times New Roman" w:hAnsi="Times New Roman"/>
          <w:spacing w:val="42"/>
        </w:rPr>
        <w:t> </w:t>
      </w:r>
      <w:r>
        <w:rPr>
          <w:rFonts w:ascii="Symbol" w:hAnsi="Symbol"/>
          <w:position w:val="-2"/>
        </w:rPr>
        <w:t></w:t>
      </w:r>
      <w:r>
        <w:rPr>
          <w:rFonts w:ascii="Times New Roman" w:hAnsi="Times New Roman"/>
          <w:position w:val="-2"/>
        </w:rPr>
        <w:tab/>
      </w:r>
      <w:r>
        <w:rPr>
          <w:rFonts w:ascii="Symbol" w:hAnsi="Symbol"/>
          <w:position w:val="-4"/>
        </w:rPr>
        <w:t></w:t>
      </w:r>
    </w:p>
    <w:p>
      <w:pPr>
        <w:pStyle w:val="BodyText"/>
        <w:spacing w:before="7"/>
        <w:rPr>
          <w:rFonts w:ascii="Symbol" w:hAnsi="Symbol"/>
          <w:sz w:val="14"/>
        </w:rPr>
      </w:pPr>
    </w:p>
    <w:p>
      <w:pPr>
        <w:spacing w:after="0"/>
        <w:rPr>
          <w:rFonts w:ascii="Symbol" w:hAnsi="Symbol"/>
          <w:sz w:val="14"/>
        </w:rPr>
        <w:sectPr>
          <w:type w:val="continuous"/>
          <w:pgSz w:w="12240" w:h="15840"/>
          <w:pgMar w:top="720" w:bottom="280" w:left="1560" w:right="1560"/>
        </w:sectPr>
      </w:pPr>
    </w:p>
    <w:p>
      <w:pPr>
        <w:spacing w:before="74"/>
        <w:ind w:left="142" w:right="0" w:firstLine="0"/>
        <w:jc w:val="left"/>
        <w:rPr>
          <w:sz w:val="20"/>
        </w:rPr>
      </w:pPr>
      <w:r>
        <w:rPr>
          <w:w w:val="95"/>
          <w:sz w:val="20"/>
        </w:rPr>
        <w:t>Donde:</w:t>
      </w:r>
    </w:p>
    <w:p>
      <w:pPr>
        <w:pStyle w:val="BodyText"/>
        <w:spacing w:before="3"/>
        <w:rPr>
          <w:sz w:val="28"/>
        </w:rPr>
      </w:pPr>
      <w:r>
        <w:rPr/>
        <w:br w:type="column"/>
      </w:r>
      <w:r>
        <w:rPr>
          <w:sz w:val="28"/>
        </w:rPr>
      </w:r>
    </w:p>
    <w:p>
      <w:pPr>
        <w:spacing w:line="252" w:lineRule="auto" w:before="0"/>
        <w:ind w:left="24" w:right="6482" w:firstLine="37"/>
        <w:jc w:val="left"/>
        <w:rPr>
          <w:sz w:val="20"/>
        </w:rPr>
      </w:pPr>
      <w:r>
        <w:rPr>
          <w:rFonts w:ascii="Times New Roman" w:hAnsi="Times New Roman"/>
          <w:i/>
          <w:sz w:val="24"/>
        </w:rPr>
        <w:t>r</w:t>
      </w:r>
      <w:r>
        <w:rPr>
          <w:rFonts w:ascii="Times New Roman" w:hAnsi="Times New Roman"/>
          <w:i/>
          <w:position w:val="-5"/>
          <w:sz w:val="14"/>
        </w:rPr>
        <w:t>S </w:t>
      </w:r>
      <w:r>
        <w:rPr>
          <w:rFonts w:ascii="Times New Roman" w:hAnsi="Times New Roman"/>
          <w:sz w:val="24"/>
        </w:rPr>
        <w:t>: </w:t>
      </w:r>
      <w:r>
        <w:rPr>
          <w:sz w:val="20"/>
        </w:rPr>
        <w:t>Tasa implícita Vn: Valor nominal Ps: Precio de salida</w:t>
      </w:r>
    </w:p>
    <w:p>
      <w:pPr>
        <w:spacing w:line="240" w:lineRule="auto" w:before="0"/>
        <w:ind w:left="24" w:right="6104" w:firstLine="0"/>
        <w:jc w:val="both"/>
        <w:rPr>
          <w:sz w:val="20"/>
        </w:rPr>
      </w:pPr>
      <w:r>
        <w:rPr>
          <w:sz w:val="20"/>
        </w:rPr>
        <w:t>Tr: Tasa de rendimiento Dv: Días de</w:t>
      </w:r>
      <w:r>
        <w:rPr>
          <w:spacing w:val="-7"/>
          <w:sz w:val="20"/>
        </w:rPr>
        <w:t> </w:t>
      </w:r>
      <w:r>
        <w:rPr>
          <w:sz w:val="20"/>
        </w:rPr>
        <w:t>vencimiento Dr: Días de rendimiento Tp: Tasa</w:t>
      </w:r>
      <w:r>
        <w:rPr>
          <w:spacing w:val="-3"/>
          <w:sz w:val="20"/>
        </w:rPr>
        <w:t> </w:t>
      </w:r>
      <w:r>
        <w:rPr>
          <w:sz w:val="20"/>
        </w:rPr>
        <w:t>premio</w:t>
      </w:r>
    </w:p>
    <w:p>
      <w:pPr>
        <w:spacing w:after="0" w:line="240" w:lineRule="auto"/>
        <w:jc w:val="both"/>
        <w:rPr>
          <w:sz w:val="20"/>
        </w:rPr>
        <w:sectPr>
          <w:type w:val="continuous"/>
          <w:pgSz w:w="12240" w:h="15840"/>
          <w:pgMar w:top="720" w:bottom="280" w:left="1560" w:right="1560"/>
          <w:cols w:num="2" w:equalWidth="0">
            <w:col w:w="786" w:space="40"/>
            <w:col w:w="8294"/>
          </w:cols>
        </w:sectPr>
      </w:pPr>
    </w:p>
    <w:p>
      <w:pPr>
        <w:pStyle w:val="BodyText"/>
        <w:spacing w:before="6"/>
        <w:rPr>
          <w:sz w:val="15"/>
        </w:rPr>
      </w:pPr>
    </w:p>
    <w:p>
      <w:pPr>
        <w:pStyle w:val="BodyText"/>
        <w:spacing w:line="369" w:lineRule="auto" w:before="71"/>
        <w:ind w:left="142" w:right="143" w:firstLine="707"/>
        <w:jc w:val="both"/>
      </w:pPr>
      <w:r>
        <w:rPr/>
        <w:t>La tasa implícita ( </w:t>
      </w:r>
      <w:r>
        <w:rPr>
          <w:rFonts w:ascii="Times New Roman" w:hAnsi="Times New Roman"/>
          <w:i/>
        </w:rPr>
        <w:t>r</w:t>
      </w:r>
      <w:r>
        <w:rPr>
          <w:rFonts w:ascii="Times New Roman" w:hAnsi="Times New Roman"/>
          <w:i/>
          <w:position w:val="-5"/>
          <w:sz w:val="14"/>
        </w:rPr>
        <w:t>S </w:t>
      </w:r>
      <w:r>
        <w:rPr/>
        <w:t>), es la tasa a la que tiene que aumentar el Precio de Salida (</w:t>
      </w:r>
      <w:r>
        <w:rPr>
          <w:i/>
        </w:rPr>
        <w:t>Ps</w:t>
      </w:r>
      <w:r>
        <w:rPr/>
        <w:t>) para llegar al Valor Nominal (VN) en el periodo entre los días de vencimiento y los del reporto (</w:t>
      </w:r>
      <w:r>
        <w:rPr>
          <w:i/>
        </w:rPr>
        <w:t>Dv-Dr</w:t>
      </w:r>
      <w:r>
        <w:rPr/>
        <w:t>).</w:t>
      </w:r>
    </w:p>
    <w:p>
      <w:pPr>
        <w:spacing w:after="0" w:line="369" w:lineRule="auto"/>
        <w:jc w:val="both"/>
        <w:sectPr>
          <w:type w:val="continuous"/>
          <w:pgSz w:w="12240" w:h="15840"/>
          <w:pgMar w:top="720" w:bottom="280" w:left="1560" w:right="1560"/>
        </w:sectPr>
      </w:pPr>
    </w:p>
    <w:p>
      <w:pPr>
        <w:pStyle w:val="BodyText"/>
        <w:rPr>
          <w:sz w:val="20"/>
        </w:rPr>
      </w:pPr>
    </w:p>
    <w:p>
      <w:pPr>
        <w:pStyle w:val="BodyText"/>
        <w:spacing w:before="9"/>
        <w:rPr>
          <w:sz w:val="15"/>
        </w:rPr>
      </w:pPr>
    </w:p>
    <w:p>
      <w:pPr>
        <w:pStyle w:val="Heading3"/>
        <w:spacing w:before="70"/>
      </w:pPr>
      <w:r>
        <w:rPr/>
        <w:t>VaR de forward en dólares</w:t>
      </w:r>
    </w:p>
    <w:p>
      <w:pPr>
        <w:pStyle w:val="BodyText"/>
        <w:spacing w:line="362" w:lineRule="auto" w:before="62"/>
        <w:ind w:left="142" w:right="85" w:firstLine="707"/>
      </w:pPr>
      <w:r>
        <w:rPr>
          <w:position w:val="1"/>
        </w:rPr>
        <w:t>Es un derivado en tres partes: activo, pasivo y VM</w:t>
      </w:r>
      <w:r>
        <w:rPr>
          <w:sz w:val="16"/>
        </w:rPr>
        <w:t>fwd </w:t>
      </w:r>
      <w:r>
        <w:rPr>
          <w:position w:val="1"/>
        </w:rPr>
        <w:t>(ver fórmula para activo </w:t>
      </w:r>
      <w:r>
        <w:rPr/>
        <w:t>y pasivo).</w:t>
      </w:r>
    </w:p>
    <w:p>
      <w:pPr>
        <w:pStyle w:val="BodyText"/>
        <w:spacing w:line="360" w:lineRule="auto" w:after="5"/>
        <w:ind w:left="142" w:right="157" w:firstLine="707"/>
      </w:pPr>
      <w:r>
        <w:rPr/>
        <w:t>El VaR de un forward en dólares tiene tres riesgos (que el mercado del forward baje):</w:t>
      </w:r>
    </w:p>
    <w:tbl>
      <w:tblPr>
        <w:tblW w:w="0" w:type="auto"/>
        <w:jc w:val="left"/>
        <w:tblInd w:w="1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90"/>
        <w:gridCol w:w="221"/>
        <w:gridCol w:w="1877"/>
        <w:gridCol w:w="223"/>
        <w:gridCol w:w="1992"/>
      </w:tblGrid>
      <w:tr>
        <w:trPr>
          <w:trHeight w:val="274" w:hRule="exact"/>
        </w:trPr>
        <w:tc>
          <w:tcPr>
            <w:tcW w:w="2590" w:type="dxa"/>
            <w:tcBorders>
              <w:left w:val="nil"/>
              <w:bottom w:val="double" w:sz="4" w:space="0" w:color="000000"/>
              <w:right w:val="nil"/>
            </w:tcBorders>
            <w:shd w:val="clear" w:color="auto" w:fill="DDDDDD"/>
          </w:tcPr>
          <w:p>
            <w:pPr>
              <w:pStyle w:val="TableParagraph"/>
              <w:spacing w:line="251" w:lineRule="exact"/>
              <w:ind w:left="499"/>
              <w:rPr>
                <w:sz w:val="22"/>
              </w:rPr>
            </w:pPr>
            <w:r>
              <w:rPr>
                <w:sz w:val="22"/>
              </w:rPr>
              <w:t>Factor de riesgo</w:t>
            </w:r>
          </w:p>
        </w:tc>
        <w:tc>
          <w:tcPr>
            <w:tcW w:w="221" w:type="dxa"/>
            <w:tcBorders>
              <w:top w:val="nil"/>
              <w:left w:val="single" w:sz="43" w:space="0" w:color="DDDDDD"/>
              <w:bottom w:val="nil"/>
              <w:right w:val="single" w:sz="43" w:space="0" w:color="DDDDDD"/>
            </w:tcBorders>
          </w:tcPr>
          <w:p>
            <w:pPr/>
          </w:p>
        </w:tc>
        <w:tc>
          <w:tcPr>
            <w:tcW w:w="1877" w:type="dxa"/>
            <w:tcBorders>
              <w:left w:val="nil"/>
              <w:bottom w:val="double" w:sz="4" w:space="0" w:color="000000"/>
              <w:right w:val="nil"/>
            </w:tcBorders>
            <w:shd w:val="clear" w:color="auto" w:fill="DDDDDD"/>
          </w:tcPr>
          <w:p>
            <w:pPr>
              <w:pStyle w:val="TableParagraph"/>
              <w:spacing w:line="251" w:lineRule="exact"/>
              <w:ind w:left="626"/>
              <w:rPr>
                <w:sz w:val="22"/>
              </w:rPr>
            </w:pPr>
            <w:r>
              <w:rPr>
                <w:sz w:val="22"/>
              </w:rPr>
              <w:t>Efecto</w:t>
            </w:r>
          </w:p>
        </w:tc>
        <w:tc>
          <w:tcPr>
            <w:tcW w:w="223" w:type="dxa"/>
            <w:tcBorders>
              <w:top w:val="nil"/>
              <w:left w:val="single" w:sz="43" w:space="0" w:color="DDDDDD"/>
              <w:bottom w:val="nil"/>
              <w:right w:val="single" w:sz="43" w:space="0" w:color="DDDDDD"/>
            </w:tcBorders>
          </w:tcPr>
          <w:p>
            <w:pPr/>
          </w:p>
        </w:tc>
        <w:tc>
          <w:tcPr>
            <w:tcW w:w="1992" w:type="dxa"/>
            <w:tcBorders>
              <w:left w:val="nil"/>
              <w:bottom w:val="double" w:sz="4" w:space="0" w:color="000000"/>
              <w:right w:val="nil"/>
            </w:tcBorders>
            <w:shd w:val="clear" w:color="auto" w:fill="DDDDDD"/>
          </w:tcPr>
          <w:p>
            <w:pPr>
              <w:pStyle w:val="TableParagraph"/>
              <w:spacing w:line="251" w:lineRule="exact"/>
              <w:ind w:left="108"/>
              <w:rPr>
                <w:sz w:val="22"/>
              </w:rPr>
            </w:pPr>
            <w:r>
              <w:rPr>
                <w:sz w:val="22"/>
              </w:rPr>
              <w:t>Precio del forward</w:t>
            </w:r>
          </w:p>
        </w:tc>
      </w:tr>
      <w:tr>
        <w:trPr>
          <w:trHeight w:val="376" w:hRule="exact"/>
        </w:trPr>
        <w:tc>
          <w:tcPr>
            <w:tcW w:w="2590" w:type="dxa"/>
            <w:tcBorders>
              <w:top w:val="double" w:sz="4" w:space="0" w:color="000000"/>
              <w:left w:val="nil"/>
              <w:bottom w:val="nil"/>
              <w:right w:val="nil"/>
            </w:tcBorders>
          </w:tcPr>
          <w:p>
            <w:pPr>
              <w:pStyle w:val="TableParagraph"/>
              <w:spacing w:line="332" w:lineRule="exact"/>
              <w:ind w:left="107"/>
              <w:rPr>
                <w:rFonts w:ascii="Times New Roman" w:hAnsi="Times New Roman"/>
                <w:i/>
                <w:sz w:val="14"/>
              </w:rPr>
            </w:pPr>
            <w:r>
              <w:rPr>
                <w:sz w:val="22"/>
              </w:rPr>
              <w:t>1. Tasa de cambio = </w:t>
            </w:r>
            <w:r>
              <w:rPr>
                <w:rFonts w:ascii="Symbol" w:hAnsi="Symbol"/>
                <w:i/>
                <w:sz w:val="25"/>
              </w:rPr>
              <w:t></w:t>
            </w:r>
            <w:r>
              <w:rPr>
                <w:rFonts w:ascii="Times New Roman" w:hAnsi="Times New Roman"/>
                <w:i/>
                <w:sz w:val="25"/>
              </w:rPr>
              <w:t> </w:t>
            </w:r>
            <w:r>
              <w:rPr>
                <w:rFonts w:ascii="Times New Roman" w:hAnsi="Times New Roman"/>
                <w:i/>
                <w:position w:val="-5"/>
                <w:sz w:val="14"/>
              </w:rPr>
              <w:t>S</w:t>
            </w:r>
          </w:p>
        </w:tc>
        <w:tc>
          <w:tcPr>
            <w:tcW w:w="221" w:type="dxa"/>
            <w:tcBorders>
              <w:top w:val="nil"/>
              <w:left w:val="nil"/>
              <w:bottom w:val="nil"/>
              <w:right w:val="nil"/>
            </w:tcBorders>
          </w:tcPr>
          <w:p>
            <w:pPr/>
          </w:p>
        </w:tc>
        <w:tc>
          <w:tcPr>
            <w:tcW w:w="1877" w:type="dxa"/>
            <w:tcBorders>
              <w:top w:val="double" w:sz="4" w:space="0" w:color="000000"/>
              <w:left w:val="nil"/>
              <w:bottom w:val="nil"/>
              <w:right w:val="nil"/>
            </w:tcBorders>
          </w:tcPr>
          <w:p>
            <w:pPr>
              <w:pStyle w:val="TableParagraph"/>
              <w:spacing w:line="269" w:lineRule="exact"/>
              <w:ind w:left="108"/>
              <w:rPr>
                <w:rFonts w:ascii="Symbol" w:hAnsi="Symbol"/>
                <w:sz w:val="22"/>
              </w:rPr>
            </w:pPr>
            <w:r>
              <w:rPr>
                <w:sz w:val="22"/>
              </w:rPr>
              <w:t>VMfwd </w:t>
            </w:r>
            <w:r>
              <w:rPr>
                <w:rFonts w:ascii="Symbol" w:hAnsi="Symbol"/>
                <w:sz w:val="22"/>
              </w:rPr>
              <w:t></w:t>
            </w:r>
            <w:r>
              <w:rPr>
                <w:rFonts w:ascii="Times New Roman" w:hAnsi="Times New Roman"/>
                <w:sz w:val="22"/>
              </w:rPr>
              <w:t> </w:t>
            </w:r>
            <w:r>
              <w:rPr>
                <w:sz w:val="22"/>
              </w:rPr>
              <w:t>si </w:t>
            </w:r>
            <w:r>
              <w:rPr>
                <w:i/>
                <w:sz w:val="22"/>
              </w:rPr>
              <w:t>S </w:t>
            </w:r>
            <w:r>
              <w:rPr>
                <w:rFonts w:ascii="Symbol" w:hAnsi="Symbol"/>
                <w:sz w:val="22"/>
              </w:rPr>
              <w:t></w:t>
            </w:r>
          </w:p>
        </w:tc>
        <w:tc>
          <w:tcPr>
            <w:tcW w:w="223" w:type="dxa"/>
            <w:vMerge w:val="restart"/>
            <w:tcBorders>
              <w:top w:val="nil"/>
              <w:left w:val="nil"/>
              <w:right w:val="nil"/>
            </w:tcBorders>
          </w:tcPr>
          <w:p>
            <w:pPr/>
          </w:p>
        </w:tc>
        <w:tc>
          <w:tcPr>
            <w:tcW w:w="1992" w:type="dxa"/>
            <w:vMerge w:val="restart"/>
            <w:tcBorders>
              <w:top w:val="double" w:sz="4" w:space="0" w:color="000000"/>
              <w:left w:val="nil"/>
              <w:right w:val="nil"/>
            </w:tcBorders>
          </w:tcPr>
          <w:p>
            <w:pPr>
              <w:pStyle w:val="TableParagraph"/>
              <w:spacing w:line="377" w:lineRule="exact" w:before="101"/>
              <w:ind w:left="852"/>
              <w:rPr>
                <w:rFonts w:ascii="Symbol" w:hAnsi="Symbol"/>
                <w:sz w:val="37"/>
              </w:rPr>
            </w:pPr>
            <w:r>
              <w:rPr>
                <w:rFonts w:ascii="Times New Roman" w:hAnsi="Times New Roman"/>
                <w:i/>
                <w:w w:val="95"/>
                <w:sz w:val="24"/>
              </w:rPr>
              <w:t>S </w:t>
            </w:r>
            <w:r>
              <w:rPr>
                <w:rFonts w:ascii="Symbol" w:hAnsi="Symbol"/>
                <w:w w:val="95"/>
                <w:sz w:val="24"/>
              </w:rPr>
              <w:t></w:t>
            </w:r>
            <w:r>
              <w:rPr>
                <w:rFonts w:ascii="Times New Roman" w:hAnsi="Times New Roman"/>
                <w:w w:val="95"/>
                <w:sz w:val="24"/>
              </w:rPr>
              <w:t> </w:t>
            </w:r>
            <w:r>
              <w:rPr>
                <w:rFonts w:ascii="Symbol" w:hAnsi="Symbol"/>
                <w:w w:val="95"/>
                <w:sz w:val="37"/>
              </w:rPr>
              <w:t></w:t>
            </w:r>
            <w:r>
              <w:rPr>
                <w:rFonts w:ascii="Times New Roman" w:hAnsi="Times New Roman"/>
                <w:w w:val="95"/>
                <w:sz w:val="24"/>
              </w:rPr>
              <w:t>1 </w:t>
            </w:r>
            <w:r>
              <w:rPr>
                <w:rFonts w:ascii="Symbol" w:hAnsi="Symbol"/>
                <w:w w:val="95"/>
                <w:sz w:val="24"/>
              </w:rPr>
              <w:t></w:t>
            </w:r>
            <w:r>
              <w:rPr>
                <w:rFonts w:ascii="Times New Roman" w:hAnsi="Times New Roman"/>
                <w:w w:val="95"/>
                <w:sz w:val="24"/>
              </w:rPr>
              <w:t> </w:t>
            </w:r>
            <w:r>
              <w:rPr>
                <w:rFonts w:ascii="Times New Roman" w:hAnsi="Times New Roman"/>
                <w:i/>
                <w:w w:val="95"/>
                <w:sz w:val="24"/>
              </w:rPr>
              <w:t>r </w:t>
            </w:r>
            <w:r>
              <w:rPr>
                <w:rFonts w:ascii="Symbol" w:hAnsi="Symbol"/>
                <w:w w:val="95"/>
                <w:sz w:val="37"/>
              </w:rPr>
              <w:t></w:t>
            </w:r>
          </w:p>
          <w:p>
            <w:pPr>
              <w:pStyle w:val="TableParagraph"/>
              <w:tabs>
                <w:tab w:pos="481" w:val="left" w:leader="none"/>
                <w:tab w:pos="1498" w:val="left" w:leader="none"/>
              </w:tabs>
              <w:spacing w:line="175" w:lineRule="exact"/>
              <w:ind w:left="0" w:right="117"/>
              <w:jc w:val="center"/>
              <w:rPr>
                <w:rFonts w:ascii="Times New Roman" w:hAnsi="Times New Roman"/>
                <w:i/>
                <w:sz w:val="14"/>
              </w:rPr>
            </w:pPr>
            <w:r>
              <w:rPr>
                <w:rFonts w:ascii="Times New Roman" w:hAnsi="Times New Roman"/>
                <w:i/>
                <w:sz w:val="24"/>
              </w:rPr>
              <w:t>P</w:t>
              <w:tab/>
            </w:r>
            <w:r>
              <w:rPr>
                <w:rFonts w:ascii="Symbol" w:hAnsi="Symbol"/>
                <w:sz w:val="24"/>
              </w:rPr>
              <w:t></w:t>
            </w:r>
            <w:r>
              <w:rPr>
                <w:rFonts w:ascii="Times New Roman" w:hAnsi="Times New Roman"/>
                <w:sz w:val="24"/>
              </w:rPr>
              <w:tab/>
            </w:r>
            <w:r>
              <w:rPr>
                <w:rFonts w:ascii="Times New Roman" w:hAnsi="Times New Roman"/>
                <w:i/>
                <w:position w:val="13"/>
                <w:sz w:val="14"/>
              </w:rPr>
              <w:t>p</w:t>
            </w:r>
          </w:p>
          <w:p>
            <w:pPr>
              <w:pStyle w:val="TableParagraph"/>
              <w:tabs>
                <w:tab w:pos="781" w:val="left" w:leader="none"/>
              </w:tabs>
              <w:spacing w:line="189" w:lineRule="exact"/>
              <w:ind w:left="0" w:right="510"/>
              <w:jc w:val="right"/>
              <w:rPr>
                <w:rFonts w:ascii="Times New Roman" w:hAnsi="Times New Roman"/>
                <w:i/>
                <w:sz w:val="24"/>
              </w:rPr>
            </w:pPr>
            <w:r>
              <w:rPr>
                <w:rFonts w:ascii="Times New Roman" w:hAnsi="Times New Roman"/>
                <w:i/>
                <w:sz w:val="14"/>
              </w:rPr>
              <w:t>Fwd</w:t>
              <w:tab/>
            </w:r>
            <w:r>
              <w:rPr>
                <w:rFonts w:ascii="Times New Roman" w:hAnsi="Times New Roman"/>
                <w:position w:val="-12"/>
                <w:sz w:val="24"/>
              </w:rPr>
              <w:t>1 </w:t>
            </w:r>
            <w:r>
              <w:rPr>
                <w:rFonts w:ascii="Symbol" w:hAnsi="Symbol"/>
                <w:position w:val="-12"/>
                <w:sz w:val="24"/>
              </w:rPr>
              <w:t></w:t>
            </w:r>
            <w:r>
              <w:rPr>
                <w:rFonts w:ascii="Times New Roman" w:hAnsi="Times New Roman"/>
                <w:spacing w:val="-42"/>
                <w:position w:val="-12"/>
                <w:sz w:val="24"/>
              </w:rPr>
              <w:t> </w:t>
            </w:r>
            <w:r>
              <w:rPr>
                <w:rFonts w:ascii="Times New Roman" w:hAnsi="Times New Roman"/>
                <w:i/>
                <w:position w:val="-12"/>
                <w:sz w:val="24"/>
              </w:rPr>
              <w:t>r</w:t>
            </w:r>
          </w:p>
          <w:p>
            <w:pPr>
              <w:pStyle w:val="TableParagraph"/>
              <w:spacing w:line="99" w:lineRule="exact"/>
              <w:ind w:left="0" w:right="452"/>
              <w:jc w:val="right"/>
              <w:rPr>
                <w:rFonts w:ascii="Times New Roman"/>
                <w:i/>
                <w:sz w:val="14"/>
              </w:rPr>
            </w:pPr>
            <w:r>
              <w:rPr>
                <w:rFonts w:ascii="Times New Roman"/>
                <w:i/>
                <w:w w:val="101"/>
                <w:sz w:val="14"/>
              </w:rPr>
              <w:t>d</w:t>
            </w:r>
          </w:p>
        </w:tc>
      </w:tr>
      <w:tr>
        <w:trPr>
          <w:trHeight w:val="374" w:hRule="exact"/>
        </w:trPr>
        <w:tc>
          <w:tcPr>
            <w:tcW w:w="2590" w:type="dxa"/>
            <w:tcBorders>
              <w:top w:val="nil"/>
              <w:left w:val="nil"/>
              <w:bottom w:val="nil"/>
              <w:right w:val="nil"/>
            </w:tcBorders>
          </w:tcPr>
          <w:p>
            <w:pPr>
              <w:pStyle w:val="TableParagraph"/>
              <w:spacing w:line="334" w:lineRule="exact"/>
              <w:ind w:left="107"/>
              <w:rPr>
                <w:rFonts w:ascii="Times New Roman" w:hAnsi="Times New Roman"/>
                <w:i/>
                <w:sz w:val="14"/>
              </w:rPr>
            </w:pPr>
            <w:r>
              <w:rPr>
                <w:sz w:val="22"/>
              </w:rPr>
              <w:t>2. Tasa pesos = </w:t>
            </w:r>
            <w:r>
              <w:rPr>
                <w:rFonts w:ascii="Symbol" w:hAnsi="Symbol"/>
                <w:i/>
                <w:sz w:val="26"/>
              </w:rPr>
              <w:t></w:t>
            </w:r>
            <w:r>
              <w:rPr>
                <w:rFonts w:ascii="Times New Roman" w:hAnsi="Times New Roman"/>
                <w:i/>
                <w:sz w:val="26"/>
              </w:rPr>
              <w:t> </w:t>
            </w:r>
            <w:r>
              <w:rPr>
                <w:rFonts w:ascii="Times New Roman" w:hAnsi="Times New Roman"/>
                <w:i/>
                <w:position w:val="-5"/>
                <w:sz w:val="14"/>
              </w:rPr>
              <w:t>rp</w:t>
            </w:r>
          </w:p>
        </w:tc>
        <w:tc>
          <w:tcPr>
            <w:tcW w:w="221" w:type="dxa"/>
            <w:tcBorders>
              <w:top w:val="nil"/>
              <w:left w:val="nil"/>
              <w:bottom w:val="nil"/>
              <w:right w:val="nil"/>
            </w:tcBorders>
          </w:tcPr>
          <w:p>
            <w:pPr/>
          </w:p>
        </w:tc>
        <w:tc>
          <w:tcPr>
            <w:tcW w:w="1877" w:type="dxa"/>
            <w:tcBorders>
              <w:top w:val="nil"/>
              <w:left w:val="nil"/>
              <w:bottom w:val="nil"/>
              <w:right w:val="nil"/>
            </w:tcBorders>
          </w:tcPr>
          <w:p>
            <w:pPr>
              <w:pStyle w:val="TableParagraph"/>
              <w:spacing w:line="268" w:lineRule="exact"/>
              <w:ind w:left="108"/>
              <w:rPr>
                <w:rFonts w:ascii="Symbol" w:hAnsi="Symbol"/>
                <w:sz w:val="22"/>
              </w:rPr>
            </w:pPr>
            <w:r>
              <w:rPr>
                <w:position w:val="2"/>
                <w:sz w:val="22"/>
              </w:rPr>
              <w:t>VMfwd </w:t>
            </w:r>
            <w:r>
              <w:rPr>
                <w:rFonts w:ascii="Symbol" w:hAnsi="Symbol"/>
                <w:position w:val="2"/>
                <w:sz w:val="22"/>
              </w:rPr>
              <w:t></w:t>
            </w:r>
            <w:r>
              <w:rPr>
                <w:rFonts w:ascii="Times New Roman" w:hAnsi="Times New Roman"/>
                <w:position w:val="2"/>
                <w:sz w:val="22"/>
              </w:rPr>
              <w:t> </w:t>
            </w:r>
            <w:r>
              <w:rPr>
                <w:position w:val="2"/>
                <w:sz w:val="22"/>
              </w:rPr>
              <w:t>si </w:t>
            </w:r>
            <w:r>
              <w:rPr>
                <w:i/>
                <w:position w:val="2"/>
                <w:sz w:val="22"/>
              </w:rPr>
              <w:t>r</w:t>
            </w:r>
            <w:r>
              <w:rPr>
                <w:i/>
                <w:sz w:val="14"/>
              </w:rPr>
              <w:t>p </w:t>
            </w:r>
            <w:r>
              <w:rPr>
                <w:rFonts w:ascii="Symbol" w:hAnsi="Symbol"/>
                <w:position w:val="2"/>
                <w:sz w:val="22"/>
              </w:rPr>
              <w:t></w:t>
            </w:r>
          </w:p>
        </w:tc>
        <w:tc>
          <w:tcPr>
            <w:tcW w:w="223" w:type="dxa"/>
            <w:vMerge/>
            <w:tcBorders>
              <w:left w:val="nil"/>
              <w:right w:val="nil"/>
            </w:tcBorders>
          </w:tcPr>
          <w:p>
            <w:pPr/>
          </w:p>
        </w:tc>
        <w:tc>
          <w:tcPr>
            <w:tcW w:w="1992" w:type="dxa"/>
            <w:vMerge/>
            <w:tcBorders>
              <w:left w:val="nil"/>
              <w:right w:val="nil"/>
            </w:tcBorders>
          </w:tcPr>
          <w:p>
            <w:pPr/>
          </w:p>
        </w:tc>
      </w:tr>
      <w:tr>
        <w:trPr>
          <w:trHeight w:val="374" w:hRule="exact"/>
        </w:trPr>
        <w:tc>
          <w:tcPr>
            <w:tcW w:w="2590" w:type="dxa"/>
            <w:tcBorders>
              <w:top w:val="nil"/>
              <w:left w:val="nil"/>
              <w:right w:val="nil"/>
            </w:tcBorders>
          </w:tcPr>
          <w:p>
            <w:pPr>
              <w:pStyle w:val="TableParagraph"/>
              <w:spacing w:line="340" w:lineRule="exact"/>
              <w:ind w:left="107"/>
              <w:rPr>
                <w:rFonts w:ascii="Times New Roman" w:hAnsi="Times New Roman"/>
                <w:i/>
                <w:sz w:val="14"/>
              </w:rPr>
            </w:pPr>
            <w:r>
              <w:rPr>
                <w:sz w:val="24"/>
              </w:rPr>
              <w:t>2. Tasa dólares = </w:t>
            </w:r>
            <w:r>
              <w:rPr>
                <w:rFonts w:ascii="Symbol" w:hAnsi="Symbol"/>
                <w:i/>
                <w:sz w:val="25"/>
              </w:rPr>
              <w:t></w:t>
            </w:r>
            <w:r>
              <w:rPr>
                <w:rFonts w:ascii="Times New Roman" w:hAnsi="Times New Roman"/>
                <w:i/>
                <w:sz w:val="25"/>
              </w:rPr>
              <w:t> </w:t>
            </w:r>
            <w:r>
              <w:rPr>
                <w:rFonts w:ascii="Times New Roman" w:hAnsi="Times New Roman"/>
                <w:i/>
                <w:position w:val="-5"/>
                <w:sz w:val="14"/>
              </w:rPr>
              <w:t>rd</w:t>
            </w:r>
          </w:p>
        </w:tc>
        <w:tc>
          <w:tcPr>
            <w:tcW w:w="221" w:type="dxa"/>
            <w:tcBorders>
              <w:top w:val="nil"/>
              <w:left w:val="nil"/>
              <w:bottom w:val="nil"/>
              <w:right w:val="nil"/>
            </w:tcBorders>
          </w:tcPr>
          <w:p>
            <w:pPr/>
          </w:p>
        </w:tc>
        <w:tc>
          <w:tcPr>
            <w:tcW w:w="1877" w:type="dxa"/>
            <w:tcBorders>
              <w:top w:val="nil"/>
              <w:left w:val="nil"/>
              <w:right w:val="nil"/>
            </w:tcBorders>
          </w:tcPr>
          <w:p>
            <w:pPr>
              <w:pStyle w:val="TableParagraph"/>
              <w:spacing w:before="3"/>
              <w:ind w:left="108"/>
              <w:rPr>
                <w:rFonts w:ascii="Symbol" w:hAnsi="Symbol"/>
                <w:sz w:val="24"/>
              </w:rPr>
            </w:pPr>
            <w:r>
              <w:rPr>
                <w:position w:val="2"/>
                <w:sz w:val="24"/>
              </w:rPr>
              <w:t>VMfwd </w:t>
            </w:r>
            <w:r>
              <w:rPr>
                <w:rFonts w:ascii="Symbol" w:hAnsi="Symbol"/>
                <w:position w:val="2"/>
                <w:sz w:val="24"/>
              </w:rPr>
              <w:t></w:t>
            </w:r>
            <w:r>
              <w:rPr>
                <w:rFonts w:ascii="Times New Roman" w:hAnsi="Times New Roman"/>
                <w:position w:val="2"/>
                <w:sz w:val="24"/>
              </w:rPr>
              <w:t> </w:t>
            </w:r>
            <w:r>
              <w:rPr>
                <w:position w:val="2"/>
                <w:sz w:val="24"/>
              </w:rPr>
              <w:t>si </w:t>
            </w:r>
            <w:r>
              <w:rPr>
                <w:i/>
                <w:position w:val="2"/>
                <w:sz w:val="24"/>
              </w:rPr>
              <w:t>r</w:t>
            </w:r>
            <w:r>
              <w:rPr>
                <w:i/>
                <w:sz w:val="16"/>
              </w:rPr>
              <w:t>d </w:t>
            </w:r>
            <w:r>
              <w:rPr>
                <w:rFonts w:ascii="Symbol" w:hAnsi="Symbol"/>
                <w:position w:val="2"/>
                <w:sz w:val="24"/>
              </w:rPr>
              <w:t></w:t>
            </w:r>
          </w:p>
        </w:tc>
        <w:tc>
          <w:tcPr>
            <w:tcW w:w="223" w:type="dxa"/>
            <w:vMerge/>
            <w:tcBorders>
              <w:left w:val="nil"/>
              <w:bottom w:val="nil"/>
              <w:right w:val="nil"/>
            </w:tcBorders>
          </w:tcPr>
          <w:p>
            <w:pPr/>
          </w:p>
        </w:tc>
        <w:tc>
          <w:tcPr>
            <w:tcW w:w="1992" w:type="dxa"/>
            <w:vMerge/>
            <w:tcBorders>
              <w:left w:val="nil"/>
              <w:right w:val="nil"/>
            </w:tcBorders>
          </w:tcPr>
          <w:p>
            <w:pPr/>
          </w:p>
        </w:tc>
      </w:tr>
    </w:tbl>
    <w:p>
      <w:pPr>
        <w:pStyle w:val="BodyText"/>
        <w:spacing w:before="2"/>
        <w:rPr>
          <w:sz w:val="28"/>
        </w:rPr>
      </w:pPr>
    </w:p>
    <w:p>
      <w:pPr>
        <w:pStyle w:val="BodyText"/>
        <w:spacing w:before="70"/>
        <w:ind w:left="142" w:right="786"/>
      </w:pPr>
      <w:r>
        <w:rPr/>
        <w:pict>
          <v:line style="position:absolute;mso-position-horizontal-relative:page;mso-position-vertical-relative:paragraph;z-index:-94528" from="420.908203pt,-41.552044pt" to="470.771524pt,-41.552044pt" stroked="true" strokeweight=".137263pt" strokecolor="#000000">
            <w10:wrap type="none"/>
          </v:line>
        </w:pict>
      </w:r>
      <w:r>
        <w:rPr/>
        <w:t>Var del portafolio</w:t>
      </w:r>
    </w:p>
    <w:p>
      <w:pPr>
        <w:pStyle w:val="BodyText"/>
        <w:rPr>
          <w:sz w:val="20"/>
        </w:rPr>
      </w:pPr>
    </w:p>
    <w:p>
      <w:pPr>
        <w:pStyle w:val="BodyText"/>
        <w:rPr>
          <w:sz w:val="20"/>
        </w:rPr>
      </w:pPr>
    </w:p>
    <w:p>
      <w:pPr>
        <w:pStyle w:val="BodyText"/>
        <w:spacing w:before="5"/>
        <w:rPr>
          <w:sz w:val="29"/>
        </w:rPr>
      </w:pPr>
    </w:p>
    <w:p>
      <w:pPr>
        <w:spacing w:before="56"/>
        <w:ind w:left="798" w:right="786" w:firstLine="0"/>
        <w:jc w:val="left"/>
        <w:rPr>
          <w:rFonts w:ascii="Symbol" w:hAnsi="Symbol"/>
          <w:sz w:val="24"/>
        </w:rPr>
      </w:pPr>
      <w:r>
        <w:rPr/>
        <w:pict>
          <v:group style="position:absolute;margin-left:156.453781pt;margin-top:-26.505863pt;width:335.75pt;height:76.3pt;mso-position-horizontal-relative:page;mso-position-vertical-relative:paragraph;z-index:6160" coordorigin="3129,-530" coordsize="6715,1526">
            <v:line style="position:absolute" from="3131,411" to="3166,393" stroked="true" strokeweight=".139391pt" strokecolor="#000000"/>
            <v:line style="position:absolute" from="3161,388" to="3215,988" stroked="true" strokeweight=".13974pt" strokecolor="#000000"/>
            <v:shape style="position:absolute;left:877;top:7719;width:6634;height:1530" coordorigin="877,7719" coordsize="6634,1530" path="m3220,994l3274,-529m3274,-529l9842,-529e" filled="false" stroked="true" strokeweight=".139525pt" strokecolor="#000000">
              <v:path arrowok="t"/>
            </v:shape>
            <v:shape style="position:absolute;left:6145;top:-503;width:635;height:684" type="#_x0000_t202" filled="false" stroked="false">
              <v:textbox inset="0,0,0,0">
                <w:txbxContent>
                  <w:p>
                    <w:pPr>
                      <w:spacing w:line="246" w:lineRule="exact" w:before="0"/>
                      <w:ind w:left="421" w:right="0" w:firstLine="0"/>
                      <w:jc w:val="left"/>
                      <w:rPr>
                        <w:rFonts w:ascii="Times New Roman"/>
                        <w:i/>
                        <w:sz w:val="24"/>
                      </w:rPr>
                    </w:pPr>
                    <w:r>
                      <w:rPr>
                        <w:rFonts w:ascii="Times New Roman"/>
                        <w:i/>
                        <w:w w:val="100"/>
                        <w:sz w:val="24"/>
                      </w:rPr>
                      <w:t>S</w:t>
                    </w:r>
                  </w:p>
                  <w:p>
                    <w:pPr>
                      <w:tabs>
                        <w:tab w:pos="513" w:val="left" w:leader="none"/>
                      </w:tabs>
                      <w:spacing w:line="298" w:lineRule="exact" w:before="140"/>
                      <w:ind w:left="0" w:right="0" w:firstLine="0"/>
                      <w:jc w:val="left"/>
                      <w:rPr>
                        <w:rFonts w:ascii="Times New Roman" w:hAnsi="Times New Roman"/>
                        <w:sz w:val="24"/>
                      </w:rPr>
                    </w:pPr>
                    <w:r>
                      <w:rPr>
                        <w:rFonts w:ascii="Times New Roman" w:hAnsi="Times New Roman"/>
                        <w:i/>
                        <w:sz w:val="24"/>
                      </w:rPr>
                      <w:t>S</w:t>
                    </w:r>
                    <w:r>
                      <w:rPr>
                        <w:rFonts w:ascii="Times New Roman" w:hAnsi="Times New Roman"/>
                        <w:i/>
                        <w:spacing w:val="25"/>
                        <w:sz w:val="24"/>
                      </w:rPr>
                      <w:t> </w:t>
                    </w:r>
                    <w:r>
                      <w:rPr>
                        <w:rFonts w:ascii="Symbol" w:hAnsi="Symbol"/>
                        <w:position w:val="1"/>
                        <w:sz w:val="24"/>
                      </w:rPr>
                      <w:t></w:t>
                    </w:r>
                    <w:r>
                      <w:rPr>
                        <w:rFonts w:ascii="Times New Roman" w:hAnsi="Times New Roman"/>
                        <w:position w:val="1"/>
                        <w:sz w:val="24"/>
                      </w:rPr>
                      <w:tab/>
                    </w:r>
                    <w:r>
                      <w:rPr>
                        <w:rFonts w:ascii="Times New Roman" w:hAnsi="Times New Roman"/>
                        <w:sz w:val="24"/>
                      </w:rPr>
                      <w:t>1</w:t>
                    </w:r>
                  </w:p>
                </w:txbxContent>
              </v:textbox>
              <w10:wrap type="none"/>
            </v:shape>
            <v:shape style="position:absolute;left:3261;top:158;width:3626;height:385" type="#_x0000_t202" filled="false" stroked="false">
              <v:textbox inset="0,0,0,0">
                <w:txbxContent>
                  <w:p>
                    <w:pPr>
                      <w:spacing w:line="385" w:lineRule="exact" w:before="0"/>
                      <w:ind w:left="0" w:right="0" w:firstLine="0"/>
                      <w:jc w:val="left"/>
                      <w:rPr>
                        <w:rFonts w:ascii="Times New Roman" w:hAnsi="Times New Roman"/>
                        <w:i/>
                        <w:sz w:val="24"/>
                      </w:rPr>
                    </w:pPr>
                    <w:r>
                      <w:rPr>
                        <w:rFonts w:ascii="Times New Roman" w:hAnsi="Times New Roman"/>
                        <w:i/>
                        <w:sz w:val="24"/>
                      </w:rPr>
                      <w:t>VaR</w:t>
                    </w:r>
                    <w:r>
                      <w:rPr>
                        <w:rFonts w:ascii="Times New Roman" w:hAnsi="Times New Roman"/>
                        <w:sz w:val="24"/>
                      </w:rPr>
                      <w:t>(</w:t>
                    </w:r>
                    <w:r>
                      <w:rPr>
                        <w:rFonts w:ascii="Times New Roman" w:hAnsi="Times New Roman"/>
                        <w:i/>
                        <w:sz w:val="24"/>
                      </w:rPr>
                      <w:t>S </w:t>
                    </w:r>
                    <w:r>
                      <w:rPr>
                        <w:rFonts w:ascii="Times New Roman" w:hAnsi="Times New Roman"/>
                        <w:sz w:val="24"/>
                      </w:rPr>
                      <w:t>)  </w:t>
                    </w:r>
                    <w:r>
                      <w:rPr>
                        <w:rFonts w:ascii="Times New Roman" w:hAnsi="Times New Roman"/>
                        <w:i/>
                        <w:sz w:val="24"/>
                      </w:rPr>
                      <w:t>VaR</w:t>
                    </w:r>
                    <w:r>
                      <w:rPr>
                        <w:rFonts w:ascii="Times New Roman" w:hAnsi="Times New Roman"/>
                        <w:sz w:val="24"/>
                      </w:rPr>
                      <w:t>(</w:t>
                    </w:r>
                    <w:r>
                      <w:rPr>
                        <w:rFonts w:ascii="Times New Roman" w:hAnsi="Times New Roman"/>
                        <w:i/>
                        <w:sz w:val="24"/>
                      </w:rPr>
                      <w:t>r  </w:t>
                    </w:r>
                    <w:r>
                      <w:rPr>
                        <w:rFonts w:ascii="Times New Roman" w:hAnsi="Times New Roman"/>
                        <w:sz w:val="24"/>
                      </w:rPr>
                      <w:t>)  (</w:t>
                    </w:r>
                    <w:r>
                      <w:rPr>
                        <w:rFonts w:ascii="Times New Roman" w:hAnsi="Times New Roman"/>
                        <w:i/>
                        <w:sz w:val="24"/>
                      </w:rPr>
                      <w:t>VaR</w:t>
                    </w:r>
                    <w:r>
                      <w:rPr>
                        <w:rFonts w:ascii="Times New Roman" w:hAnsi="Times New Roman"/>
                        <w:sz w:val="24"/>
                      </w:rPr>
                      <w:t>(</w:t>
                    </w:r>
                    <w:r>
                      <w:rPr>
                        <w:rFonts w:ascii="Times New Roman" w:hAnsi="Times New Roman"/>
                        <w:i/>
                        <w:sz w:val="24"/>
                      </w:rPr>
                      <w:t>r  </w:t>
                    </w:r>
                    <w:r>
                      <w:rPr>
                        <w:rFonts w:ascii="Times New Roman" w:hAnsi="Times New Roman"/>
                        <w:sz w:val="24"/>
                      </w:rPr>
                      <w:t>)   </w:t>
                    </w:r>
                    <w:r>
                      <w:rPr>
                        <w:rFonts w:ascii="Times New Roman" w:hAnsi="Times New Roman"/>
                        <w:i/>
                        <w:sz w:val="24"/>
                      </w:rPr>
                      <w:t>r  </w:t>
                    </w:r>
                    <w:r>
                      <w:rPr>
                        <w:rFonts w:ascii="Symbol" w:hAnsi="Symbol"/>
                        <w:position w:val="14"/>
                        <w:sz w:val="24"/>
                      </w:rPr>
                      <w:t></w:t>
                    </w:r>
                    <w:r>
                      <w:rPr>
                        <w:rFonts w:ascii="Times New Roman" w:hAnsi="Times New Roman"/>
                        <w:i/>
                        <w:sz w:val="24"/>
                      </w:rPr>
                      <w:t>Rs</w:t>
                    </w:r>
                    <w:r>
                      <w:rPr>
                        <w:rFonts w:ascii="Times New Roman" w:hAnsi="Times New Roman"/>
                        <w:sz w:val="24"/>
                      </w:rPr>
                      <w:t>, </w:t>
                    </w:r>
                    <w:r>
                      <w:rPr>
                        <w:rFonts w:ascii="Times New Roman" w:hAnsi="Times New Roman"/>
                        <w:i/>
                        <w:sz w:val="24"/>
                      </w:rPr>
                      <w:t>r</w:t>
                    </w:r>
                  </w:p>
                </w:txbxContent>
              </v:textbox>
              <w10:wrap type="none"/>
            </v:shape>
            <v:shape style="position:absolute;left:4724;top:443;width:71;height:141" type="#_x0000_t202" filled="false" stroked="false">
              <v:textbox inset="0,0,0,0">
                <w:txbxContent>
                  <w:p>
                    <w:pPr>
                      <w:spacing w:line="141" w:lineRule="exact" w:before="0"/>
                      <w:ind w:left="0" w:right="0" w:firstLine="0"/>
                      <w:jc w:val="left"/>
                      <w:rPr>
                        <w:rFonts w:ascii="Times New Roman"/>
                        <w:i/>
                        <w:sz w:val="14"/>
                      </w:rPr>
                    </w:pPr>
                    <w:r>
                      <w:rPr>
                        <w:rFonts w:ascii="Times New Roman"/>
                        <w:i/>
                        <w:w w:val="100"/>
                        <w:sz w:val="14"/>
                      </w:rPr>
                      <w:t>d</w:t>
                    </w:r>
                  </w:p>
                </w:txbxContent>
              </v:textbox>
              <w10:wrap type="none"/>
            </v:shape>
            <v:shape style="position:absolute;left:5755;top:443;width:512;height:141" type="#_x0000_t202" filled="false" stroked="false">
              <v:textbox inset="0,0,0,0">
                <w:txbxContent>
                  <w:p>
                    <w:pPr>
                      <w:tabs>
                        <w:tab w:pos="440" w:val="left" w:leader="none"/>
                      </w:tabs>
                      <w:spacing w:line="141" w:lineRule="exact" w:before="0"/>
                      <w:ind w:left="0" w:right="0" w:firstLine="0"/>
                      <w:jc w:val="left"/>
                      <w:rPr>
                        <w:rFonts w:ascii="Times New Roman"/>
                        <w:i/>
                        <w:sz w:val="14"/>
                      </w:rPr>
                    </w:pPr>
                    <w:r>
                      <w:rPr>
                        <w:rFonts w:ascii="Times New Roman"/>
                        <w:i/>
                        <w:sz w:val="14"/>
                      </w:rPr>
                      <w:t>p</w:t>
                      <w:tab/>
                      <w:t>d</w:t>
                    </w:r>
                  </w:p>
                </w:txbxContent>
              </v:textbox>
              <w10:wrap type="none"/>
            </v:shape>
            <v:shape style="position:absolute;left:6352;top:389;width:93;height:241" type="#_x0000_t202" filled="false" stroked="false">
              <v:textbox inset="0,0,0,0">
                <w:txbxContent>
                  <w:p>
                    <w:pPr>
                      <w:spacing w:line="241" w:lineRule="exact" w:before="0"/>
                      <w:ind w:left="0" w:right="0" w:firstLine="0"/>
                      <w:jc w:val="left"/>
                      <w:rPr>
                        <w:rFonts w:ascii="Symbol" w:hAnsi="Symbol"/>
                        <w:sz w:val="24"/>
                      </w:rPr>
                    </w:pPr>
                    <w:r>
                      <w:rPr>
                        <w:rFonts w:ascii="Symbol" w:hAnsi="Symbol"/>
                        <w:w w:val="100"/>
                        <w:sz w:val="24"/>
                      </w:rPr>
                      <w:t></w:t>
                    </w:r>
                  </w:p>
                </w:txbxContent>
              </v:textbox>
              <w10:wrap type="none"/>
            </v:shape>
            <v:shape style="position:absolute;left:6874;top:443;width:71;height:141" type="#_x0000_t202" filled="false" stroked="false">
              <v:textbox inset="0,0,0,0">
                <w:txbxContent>
                  <w:p>
                    <w:pPr>
                      <w:spacing w:line="141" w:lineRule="exact" w:before="0"/>
                      <w:ind w:left="0" w:right="0" w:firstLine="0"/>
                      <w:jc w:val="left"/>
                      <w:rPr>
                        <w:rFonts w:ascii="Times New Roman"/>
                        <w:i/>
                        <w:sz w:val="14"/>
                      </w:rPr>
                    </w:pPr>
                    <w:r>
                      <w:rPr>
                        <w:rFonts w:ascii="Times New Roman"/>
                        <w:i/>
                        <w:w w:val="100"/>
                        <w:sz w:val="14"/>
                      </w:rPr>
                      <w:t>d</w:t>
                    </w:r>
                  </w:p>
                </w:txbxContent>
              </v:textbox>
              <w10:wrap type="none"/>
            </v:shape>
            <v:shape style="position:absolute;left:6111;top:664;width:773;height:241" type="#_x0000_t202" filled="false" stroked="false">
              <v:textbox inset="0,0,0,0">
                <w:txbxContent>
                  <w:p>
                    <w:pPr>
                      <w:tabs>
                        <w:tab w:pos="345" w:val="left" w:leader="none"/>
                      </w:tabs>
                      <w:spacing w:line="241" w:lineRule="exact" w:before="0"/>
                      <w:ind w:left="0" w:right="0" w:firstLine="0"/>
                      <w:jc w:val="left"/>
                      <w:rPr>
                        <w:rFonts w:ascii="Times New Roman"/>
                        <w:i/>
                        <w:sz w:val="24"/>
                      </w:rPr>
                    </w:pPr>
                    <w:r>
                      <w:rPr>
                        <w:rFonts w:ascii="Times New Roman"/>
                        <w:i/>
                        <w:sz w:val="24"/>
                      </w:rPr>
                      <w:t>r</w:t>
                      <w:tab/>
                      <w:t>Rs</w:t>
                    </w:r>
                    <w:r>
                      <w:rPr>
                        <w:rFonts w:ascii="Times New Roman"/>
                        <w:sz w:val="24"/>
                      </w:rPr>
                      <w:t>,</w:t>
                    </w:r>
                    <w:r>
                      <w:rPr>
                        <w:rFonts w:ascii="Times New Roman"/>
                        <w:spacing w:val="-28"/>
                        <w:sz w:val="24"/>
                      </w:rPr>
                      <w:t> </w:t>
                    </w:r>
                    <w:r>
                      <w:rPr>
                        <w:rFonts w:ascii="Times New Roman"/>
                        <w:i/>
                        <w:sz w:val="24"/>
                      </w:rPr>
                      <w:t>r</w:t>
                    </w:r>
                  </w:p>
                </w:txbxContent>
              </v:textbox>
              <w10:wrap type="none"/>
            </v:shape>
            <v:shape style="position:absolute;left:6209;top:805;width:71;height:141" type="#_x0000_t202" filled="false" stroked="false">
              <v:textbox inset="0,0,0,0">
                <w:txbxContent>
                  <w:p>
                    <w:pPr>
                      <w:spacing w:line="141" w:lineRule="exact" w:before="0"/>
                      <w:ind w:left="0" w:right="0" w:firstLine="0"/>
                      <w:jc w:val="left"/>
                      <w:rPr>
                        <w:rFonts w:ascii="Times New Roman"/>
                        <w:i/>
                        <w:sz w:val="14"/>
                      </w:rPr>
                    </w:pPr>
                    <w:r>
                      <w:rPr>
                        <w:rFonts w:ascii="Times New Roman"/>
                        <w:i/>
                        <w:w w:val="100"/>
                        <w:sz w:val="14"/>
                      </w:rPr>
                      <w:t>p</w:t>
                    </w:r>
                  </w:p>
                </w:txbxContent>
              </v:textbox>
              <w10:wrap type="none"/>
            </v:shape>
            <v:shape style="position:absolute;left:6352;top:620;width:93;height:241" type="#_x0000_t202" filled="false" stroked="false">
              <v:textbox inset="0,0,0,0">
                <w:txbxContent>
                  <w:p>
                    <w:pPr>
                      <w:spacing w:line="241" w:lineRule="exact" w:before="0"/>
                      <w:ind w:left="0" w:right="0" w:firstLine="0"/>
                      <w:jc w:val="left"/>
                      <w:rPr>
                        <w:rFonts w:ascii="Symbol" w:hAnsi="Symbol"/>
                        <w:sz w:val="24"/>
                      </w:rPr>
                    </w:pPr>
                    <w:r>
                      <w:rPr>
                        <w:rFonts w:ascii="Symbol" w:hAnsi="Symbol"/>
                        <w:w w:val="100"/>
                        <w:sz w:val="24"/>
                      </w:rPr>
                      <w:t></w:t>
                    </w:r>
                  </w:p>
                </w:txbxContent>
              </v:textbox>
              <w10:wrap type="none"/>
            </v:shape>
            <v:shape style="position:absolute;left:6352;top:752;width:93;height:241" type="#_x0000_t202" filled="false" stroked="false">
              <v:textbox inset="0,0,0,0">
                <w:txbxContent>
                  <w:p>
                    <w:pPr>
                      <w:spacing w:line="241" w:lineRule="exact" w:before="0"/>
                      <w:ind w:left="0" w:right="0" w:firstLine="0"/>
                      <w:jc w:val="left"/>
                      <w:rPr>
                        <w:rFonts w:ascii="Symbol" w:hAnsi="Symbol"/>
                        <w:sz w:val="24"/>
                      </w:rPr>
                    </w:pPr>
                    <w:r>
                      <w:rPr>
                        <w:rFonts w:ascii="Symbol" w:hAnsi="Symbol"/>
                        <w:w w:val="100"/>
                        <w:sz w:val="24"/>
                      </w:rPr>
                      <w:t></w:t>
                    </w:r>
                  </w:p>
                </w:txbxContent>
              </v:textbox>
              <w10:wrap type="none"/>
            </v:shape>
            <v:shape style="position:absolute;left:6888;top:805;width:71;height:141" type="#_x0000_t202" filled="false" stroked="false">
              <v:textbox inset="0,0,0,0">
                <w:txbxContent>
                  <w:p>
                    <w:pPr>
                      <w:spacing w:line="141" w:lineRule="exact" w:before="0"/>
                      <w:ind w:left="0" w:right="0" w:firstLine="0"/>
                      <w:jc w:val="left"/>
                      <w:rPr>
                        <w:rFonts w:ascii="Times New Roman"/>
                        <w:i/>
                        <w:sz w:val="14"/>
                      </w:rPr>
                    </w:pPr>
                    <w:r>
                      <w:rPr>
                        <w:rFonts w:ascii="Times New Roman"/>
                        <w:i/>
                        <w:w w:val="100"/>
                        <w:sz w:val="14"/>
                      </w:rPr>
                      <w:t>p</w:t>
                    </w:r>
                  </w:p>
                </w:txbxContent>
              </v:textbox>
              <w10:wrap type="none"/>
            </v:shape>
            <v:shape style="position:absolute;left:7228;top:-503;width:602;height:1449" type="#_x0000_t202" filled="false" stroked="false">
              <v:textbox inset="0,0,0,0">
                <w:txbxContent>
                  <w:p>
                    <w:pPr>
                      <w:spacing w:line="284" w:lineRule="exact" w:before="0"/>
                      <w:ind w:left="109" w:right="0" w:firstLine="0"/>
                      <w:jc w:val="left"/>
                      <w:rPr>
                        <w:rFonts w:ascii="Times New Roman"/>
                        <w:i/>
                        <w:sz w:val="14"/>
                      </w:rPr>
                    </w:pPr>
                    <w:r>
                      <w:rPr>
                        <w:rFonts w:ascii="Times New Roman"/>
                        <w:i/>
                        <w:sz w:val="24"/>
                      </w:rPr>
                      <w:t>r</w:t>
                    </w:r>
                    <w:r>
                      <w:rPr>
                        <w:rFonts w:ascii="Times New Roman"/>
                        <w:i/>
                        <w:position w:val="-5"/>
                        <w:sz w:val="14"/>
                      </w:rPr>
                      <w:t>d</w:t>
                    </w:r>
                  </w:p>
                  <w:p>
                    <w:pPr>
                      <w:spacing w:before="129"/>
                      <w:ind w:left="53" w:right="0" w:firstLine="0"/>
                      <w:jc w:val="left"/>
                      <w:rPr>
                        <w:rFonts w:ascii="Times New Roman"/>
                        <w:i/>
                        <w:sz w:val="14"/>
                      </w:rPr>
                    </w:pPr>
                    <w:r>
                      <w:rPr>
                        <w:rFonts w:ascii="Times New Roman"/>
                        <w:i/>
                        <w:sz w:val="24"/>
                      </w:rPr>
                      <w:t>Rs</w:t>
                    </w:r>
                    <w:r>
                      <w:rPr>
                        <w:rFonts w:ascii="Times New Roman"/>
                        <w:sz w:val="24"/>
                      </w:rPr>
                      <w:t>, </w:t>
                    </w:r>
                    <w:r>
                      <w:rPr>
                        <w:rFonts w:ascii="Times New Roman"/>
                        <w:i/>
                        <w:sz w:val="24"/>
                      </w:rPr>
                      <w:t>r</w:t>
                    </w:r>
                    <w:r>
                      <w:rPr>
                        <w:rFonts w:ascii="Times New Roman"/>
                        <w:i/>
                        <w:position w:val="-5"/>
                        <w:sz w:val="14"/>
                      </w:rPr>
                      <w:t>d</w:t>
                    </w:r>
                  </w:p>
                  <w:p>
                    <w:pPr>
                      <w:spacing w:before="47"/>
                      <w:ind w:left="24" w:right="0" w:firstLine="0"/>
                      <w:jc w:val="center"/>
                      <w:rPr>
                        <w:rFonts w:ascii="Times New Roman"/>
                        <w:sz w:val="24"/>
                      </w:rPr>
                    </w:pPr>
                    <w:r>
                      <w:rPr>
                        <w:rFonts w:ascii="Times New Roman"/>
                        <w:w w:val="100"/>
                        <w:sz w:val="24"/>
                      </w:rPr>
                      <w:t>1</w:t>
                    </w:r>
                  </w:p>
                  <w:p>
                    <w:pPr>
                      <w:spacing w:line="312" w:lineRule="exact" w:before="85"/>
                      <w:ind w:left="0" w:right="0" w:firstLine="0"/>
                      <w:jc w:val="center"/>
                      <w:rPr>
                        <w:rFonts w:ascii="Times New Roman"/>
                        <w:i/>
                        <w:sz w:val="14"/>
                      </w:rPr>
                    </w:pPr>
                    <w:r>
                      <w:rPr>
                        <w:rFonts w:ascii="Times New Roman"/>
                        <w:i/>
                        <w:spacing w:val="-4"/>
                        <w:sz w:val="24"/>
                      </w:rPr>
                      <w:t>Rr</w:t>
                    </w:r>
                    <w:r>
                      <w:rPr>
                        <w:rFonts w:ascii="Times New Roman"/>
                        <w:i/>
                        <w:spacing w:val="-4"/>
                        <w:position w:val="-5"/>
                        <w:sz w:val="14"/>
                      </w:rPr>
                      <w:t>S </w:t>
                    </w:r>
                    <w:r>
                      <w:rPr>
                        <w:rFonts w:ascii="Times New Roman"/>
                        <w:sz w:val="24"/>
                      </w:rPr>
                      <w:t>,</w:t>
                    </w:r>
                    <w:r>
                      <w:rPr>
                        <w:rFonts w:ascii="Times New Roman"/>
                        <w:spacing w:val="-13"/>
                        <w:sz w:val="24"/>
                      </w:rPr>
                      <w:t> </w:t>
                    </w:r>
                    <w:r>
                      <w:rPr>
                        <w:rFonts w:ascii="Times New Roman"/>
                        <w:i/>
                        <w:sz w:val="24"/>
                      </w:rPr>
                      <w:t>r</w:t>
                    </w:r>
                    <w:r>
                      <w:rPr>
                        <w:rFonts w:ascii="Times New Roman"/>
                        <w:i/>
                        <w:position w:val="-5"/>
                        <w:sz w:val="14"/>
                      </w:rPr>
                      <w:t>p</w:t>
                    </w:r>
                  </w:p>
                </w:txbxContent>
              </v:textbox>
              <w10:wrap type="none"/>
            </v:shape>
            <v:shape style="position:absolute;left:8151;top:-503;width:1669;height:725" type="#_x0000_t202" filled="false" stroked="false">
              <v:textbox inset="0,0,0,0">
                <w:txbxContent>
                  <w:p>
                    <w:pPr>
                      <w:spacing w:line="284" w:lineRule="exact" w:before="0"/>
                      <w:ind w:left="17" w:right="-12" w:firstLine="0"/>
                      <w:jc w:val="left"/>
                      <w:rPr>
                        <w:rFonts w:ascii="Times New Roman"/>
                        <w:i/>
                        <w:sz w:val="14"/>
                      </w:rPr>
                    </w:pPr>
                    <w:r>
                      <w:rPr>
                        <w:rFonts w:ascii="Times New Roman"/>
                        <w:i/>
                        <w:sz w:val="24"/>
                      </w:rPr>
                      <w:t>r</w:t>
                    </w:r>
                    <w:r>
                      <w:rPr>
                        <w:rFonts w:ascii="Times New Roman"/>
                        <w:i/>
                        <w:position w:val="-5"/>
                        <w:sz w:val="14"/>
                      </w:rPr>
                      <w:t>p</w:t>
                    </w:r>
                  </w:p>
                  <w:p>
                    <w:pPr>
                      <w:spacing w:line="339" w:lineRule="exact" w:before="101"/>
                      <w:ind w:left="0" w:right="-12" w:firstLine="0"/>
                      <w:jc w:val="left"/>
                      <w:rPr>
                        <w:rFonts w:ascii="Symbol" w:hAnsi="Symbol"/>
                        <w:sz w:val="24"/>
                      </w:rPr>
                    </w:pPr>
                    <w:r>
                      <w:rPr>
                        <w:rFonts w:ascii="Times New Roman" w:hAnsi="Times New Roman"/>
                        <w:i/>
                        <w:sz w:val="24"/>
                      </w:rPr>
                      <w:t>Rs</w:t>
                    </w:r>
                    <w:r>
                      <w:rPr>
                        <w:rFonts w:ascii="Times New Roman" w:hAnsi="Times New Roman"/>
                        <w:sz w:val="24"/>
                      </w:rPr>
                      <w:t>,</w:t>
                    </w:r>
                    <w:r>
                      <w:rPr>
                        <w:rFonts w:ascii="Times New Roman" w:hAnsi="Times New Roman"/>
                        <w:spacing w:val="-29"/>
                        <w:sz w:val="24"/>
                      </w:rPr>
                      <w:t> </w:t>
                    </w:r>
                    <w:r>
                      <w:rPr>
                        <w:rFonts w:ascii="Times New Roman" w:hAnsi="Times New Roman"/>
                        <w:i/>
                        <w:sz w:val="24"/>
                      </w:rPr>
                      <w:t>r</w:t>
                    </w:r>
                    <w:r>
                      <w:rPr>
                        <w:rFonts w:ascii="Times New Roman" w:hAnsi="Times New Roman"/>
                        <w:i/>
                        <w:position w:val="-5"/>
                        <w:sz w:val="14"/>
                      </w:rPr>
                      <w:t>p </w:t>
                    </w:r>
                    <w:r>
                      <w:rPr>
                        <w:rFonts w:ascii="Times New Roman" w:hAnsi="Times New Roman"/>
                        <w:i/>
                        <w:spacing w:val="30"/>
                        <w:position w:val="-5"/>
                        <w:sz w:val="14"/>
                      </w:rPr>
                      <w:t> </w:t>
                    </w:r>
                    <w:r>
                      <w:rPr>
                        <w:rFonts w:ascii="Symbol" w:hAnsi="Symbol"/>
                        <w:spacing w:val="5"/>
                        <w:position w:val="1"/>
                        <w:sz w:val="24"/>
                      </w:rPr>
                      <w:t></w:t>
                    </w:r>
                    <w:r>
                      <w:rPr>
                        <w:rFonts w:ascii="Times New Roman" w:hAnsi="Times New Roman"/>
                        <w:i/>
                        <w:spacing w:val="5"/>
                        <w:sz w:val="24"/>
                      </w:rPr>
                      <w:t>VaR</w:t>
                    </w:r>
                    <w:r>
                      <w:rPr>
                        <w:rFonts w:ascii="Times New Roman" w:hAnsi="Times New Roman"/>
                        <w:spacing w:val="5"/>
                        <w:sz w:val="24"/>
                      </w:rPr>
                      <w:t>(</w:t>
                    </w:r>
                    <w:r>
                      <w:rPr>
                        <w:rFonts w:ascii="Times New Roman" w:hAnsi="Times New Roman"/>
                        <w:i/>
                        <w:spacing w:val="5"/>
                        <w:sz w:val="24"/>
                      </w:rPr>
                      <w:t>S</w:t>
                    </w:r>
                    <w:r>
                      <w:rPr>
                        <w:rFonts w:ascii="Times New Roman" w:hAnsi="Times New Roman"/>
                        <w:i/>
                        <w:spacing w:val="-37"/>
                        <w:sz w:val="24"/>
                      </w:rPr>
                      <w:t> </w:t>
                    </w:r>
                    <w:r>
                      <w:rPr>
                        <w:rFonts w:ascii="Times New Roman" w:hAnsi="Times New Roman"/>
                        <w:sz w:val="24"/>
                      </w:rPr>
                      <w:t>)</w:t>
                    </w:r>
                    <w:r>
                      <w:rPr>
                        <w:rFonts w:ascii="Times New Roman" w:hAnsi="Times New Roman"/>
                        <w:spacing w:val="-21"/>
                        <w:sz w:val="24"/>
                      </w:rPr>
                      <w:t> </w:t>
                    </w:r>
                    <w:r>
                      <w:rPr>
                        <w:rFonts w:ascii="Symbol" w:hAnsi="Symbol"/>
                        <w:position w:val="1"/>
                        <w:sz w:val="24"/>
                      </w:rPr>
                      <w:t></w:t>
                    </w:r>
                  </w:p>
                </w:txbxContent>
              </v:textbox>
              <w10:wrap type="none"/>
            </v:shape>
            <v:shape style="position:absolute;left:8101;top:302;width:1431;height:241" type="#_x0000_t202" filled="false" stroked="false">
              <v:textbox inset="0,0,0,0">
                <w:txbxContent>
                  <w:p>
                    <w:pPr>
                      <w:tabs>
                        <w:tab w:pos="972" w:val="left" w:leader="none"/>
                      </w:tabs>
                      <w:spacing w:line="241" w:lineRule="exact" w:before="0"/>
                      <w:ind w:left="0" w:right="0" w:firstLine="0"/>
                      <w:jc w:val="left"/>
                      <w:rPr>
                        <w:rFonts w:ascii="Times New Roman"/>
                        <w:i/>
                        <w:sz w:val="24"/>
                      </w:rPr>
                    </w:pPr>
                    <w:r>
                      <w:rPr>
                        <w:rFonts w:ascii="Times New Roman"/>
                        <w:i/>
                        <w:spacing w:val="-3"/>
                        <w:sz w:val="24"/>
                      </w:rPr>
                      <w:t>Rr</w:t>
                    </w:r>
                    <w:r>
                      <w:rPr>
                        <w:rFonts w:ascii="Times New Roman"/>
                        <w:i/>
                        <w:spacing w:val="47"/>
                        <w:sz w:val="24"/>
                      </w:rPr>
                      <w:t> </w:t>
                    </w:r>
                    <w:r>
                      <w:rPr>
                        <w:rFonts w:ascii="Times New Roman"/>
                        <w:sz w:val="24"/>
                      </w:rPr>
                      <w:t>,</w:t>
                    </w:r>
                    <w:r>
                      <w:rPr>
                        <w:rFonts w:ascii="Times New Roman"/>
                        <w:spacing w:val="-31"/>
                        <w:sz w:val="24"/>
                      </w:rPr>
                      <w:t> </w:t>
                    </w:r>
                    <w:r>
                      <w:rPr>
                        <w:rFonts w:ascii="Times New Roman"/>
                        <w:i/>
                        <w:sz w:val="24"/>
                      </w:rPr>
                      <w:t>r</w:t>
                      <w:tab/>
                    </w:r>
                    <w:r>
                      <w:rPr>
                        <w:rFonts w:ascii="Times New Roman"/>
                        <w:i/>
                        <w:spacing w:val="3"/>
                        <w:sz w:val="24"/>
                      </w:rPr>
                      <w:t>aR</w:t>
                    </w:r>
                    <w:r>
                      <w:rPr>
                        <w:rFonts w:ascii="Times New Roman"/>
                        <w:spacing w:val="3"/>
                        <w:sz w:val="24"/>
                      </w:rPr>
                      <w:t>(</w:t>
                    </w:r>
                    <w:r>
                      <w:rPr>
                        <w:rFonts w:ascii="Times New Roman"/>
                        <w:i/>
                        <w:spacing w:val="3"/>
                        <w:sz w:val="24"/>
                      </w:rPr>
                      <w:t>r</w:t>
                    </w:r>
                  </w:p>
                </w:txbxContent>
              </v:textbox>
              <w10:wrap type="none"/>
            </v:shape>
            <v:shape style="position:absolute;left:8745;top:158;width:202;height:241" type="#_x0000_t202" filled="false" stroked="false">
              <v:textbox inset="0,0,0,0">
                <w:txbxContent>
                  <w:p>
                    <w:pPr>
                      <w:spacing w:line="241" w:lineRule="exact" w:before="0"/>
                      <w:ind w:left="0" w:right="-3" w:firstLine="0"/>
                      <w:jc w:val="left"/>
                      <w:rPr>
                        <w:rFonts w:ascii="Symbol" w:hAnsi="Symbol"/>
                        <w:sz w:val="24"/>
                      </w:rPr>
                    </w:pPr>
                    <w:r>
                      <w:rPr>
                        <w:rFonts w:ascii="Symbol" w:hAnsi="Symbol"/>
                        <w:sz w:val="24"/>
                      </w:rPr>
                      <w:t></w:t>
                    </w:r>
                  </w:p>
                </w:txbxContent>
              </v:textbox>
              <w10:wrap type="none"/>
            </v:shape>
            <v:shape style="position:absolute;left:8329;top:443;width:71;height:141" type="#_x0000_t202" filled="false" stroked="false">
              <v:textbox inset="0,0,0,0">
                <w:txbxContent>
                  <w:p>
                    <w:pPr>
                      <w:spacing w:line="141" w:lineRule="exact" w:before="0"/>
                      <w:ind w:left="0" w:right="0" w:firstLine="0"/>
                      <w:jc w:val="left"/>
                      <w:rPr>
                        <w:rFonts w:ascii="Times New Roman"/>
                        <w:i/>
                        <w:sz w:val="14"/>
                      </w:rPr>
                    </w:pPr>
                    <w:r>
                      <w:rPr>
                        <w:rFonts w:ascii="Times New Roman"/>
                        <w:i/>
                        <w:w w:val="100"/>
                        <w:sz w:val="14"/>
                      </w:rPr>
                      <w:t>d</w:t>
                    </w:r>
                  </w:p>
                </w:txbxContent>
              </v:textbox>
              <w10:wrap type="none"/>
            </v:shape>
            <v:shape style="position:absolute;left:8633;top:302;width:447;height:328" type="#_x0000_t202" filled="false" stroked="false">
              <v:textbox inset="0,0,0,0">
                <w:txbxContent>
                  <w:p>
                    <w:pPr>
                      <w:spacing w:line="328" w:lineRule="exact" w:before="0"/>
                      <w:ind w:left="0" w:right="-9" w:firstLine="0"/>
                      <w:jc w:val="left"/>
                      <w:rPr>
                        <w:rFonts w:ascii="Times New Roman" w:hAnsi="Times New Roman"/>
                        <w:i/>
                        <w:sz w:val="24"/>
                      </w:rPr>
                    </w:pPr>
                    <w:r>
                      <w:rPr>
                        <w:rFonts w:ascii="Times New Roman" w:hAnsi="Times New Roman"/>
                        <w:i/>
                        <w:position w:val="3"/>
                        <w:sz w:val="14"/>
                      </w:rPr>
                      <w:t>p </w:t>
                    </w:r>
                    <w:r>
                      <w:rPr>
                        <w:rFonts w:ascii="Symbol" w:hAnsi="Symbol"/>
                        <w:sz w:val="24"/>
                      </w:rPr>
                      <w:t></w:t>
                    </w:r>
                    <w:r>
                      <w:rPr>
                        <w:rFonts w:ascii="Times New Roman" w:hAnsi="Times New Roman"/>
                        <w:i/>
                        <w:position w:val="9"/>
                        <w:sz w:val="24"/>
                      </w:rPr>
                      <w:t>V</w:t>
                    </w:r>
                  </w:p>
                </w:txbxContent>
              </v:textbox>
              <w10:wrap type="none"/>
            </v:shape>
            <v:shape style="position:absolute;left:9519;top:443;width:71;height:141" type="#_x0000_t202" filled="false" stroked="false">
              <v:textbox inset="0,0,0,0">
                <w:txbxContent>
                  <w:p>
                    <w:pPr>
                      <w:spacing w:line="141" w:lineRule="exact" w:before="0"/>
                      <w:ind w:left="0" w:right="0" w:firstLine="0"/>
                      <w:jc w:val="left"/>
                      <w:rPr>
                        <w:rFonts w:ascii="Times New Roman"/>
                        <w:i/>
                        <w:sz w:val="14"/>
                      </w:rPr>
                    </w:pPr>
                    <w:r>
                      <w:rPr>
                        <w:rFonts w:ascii="Times New Roman"/>
                        <w:i/>
                        <w:w w:val="100"/>
                        <w:sz w:val="14"/>
                      </w:rPr>
                      <w:t>d</w:t>
                    </w:r>
                  </w:p>
                </w:txbxContent>
              </v:textbox>
              <w10:wrap type="none"/>
            </v:shape>
            <v:shape style="position:absolute;left:9639;top:158;width:182;height:385" type="#_x0000_t202" filled="false" stroked="false">
              <v:textbox inset="0,0,0,0">
                <w:txbxContent>
                  <w:p>
                    <w:pPr>
                      <w:spacing w:line="385" w:lineRule="exact" w:before="0"/>
                      <w:ind w:left="0" w:right="-11" w:firstLine="0"/>
                      <w:jc w:val="left"/>
                      <w:rPr>
                        <w:rFonts w:ascii="Symbol" w:hAnsi="Symbol"/>
                        <w:sz w:val="24"/>
                      </w:rPr>
                    </w:pPr>
                    <w:r>
                      <w:rPr>
                        <w:rFonts w:ascii="Times New Roman" w:hAnsi="Times New Roman"/>
                        <w:position w:val="-13"/>
                        <w:sz w:val="24"/>
                      </w:rPr>
                      <w:t>)</w:t>
                    </w:r>
                    <w:r>
                      <w:rPr>
                        <w:rFonts w:ascii="Symbol" w:hAnsi="Symbol"/>
                        <w:sz w:val="24"/>
                      </w:rPr>
                      <w:t></w:t>
                    </w:r>
                  </w:p>
                </w:txbxContent>
              </v:textbox>
              <w10:wrap type="none"/>
            </v:shape>
            <v:shape style="position:absolute;left:9727;top:389;width:93;height:241" type="#_x0000_t202" filled="false" stroked="false">
              <v:textbox inset="0,0,0,0">
                <w:txbxContent>
                  <w:p>
                    <w:pPr>
                      <w:spacing w:line="241" w:lineRule="exact" w:before="0"/>
                      <w:ind w:left="0" w:right="0" w:firstLine="0"/>
                      <w:jc w:val="left"/>
                      <w:rPr>
                        <w:rFonts w:ascii="Symbol" w:hAnsi="Symbol"/>
                        <w:sz w:val="24"/>
                      </w:rPr>
                    </w:pPr>
                    <w:r>
                      <w:rPr>
                        <w:rFonts w:ascii="Symbol" w:hAnsi="Symbol"/>
                        <w:w w:val="100"/>
                        <w:sz w:val="24"/>
                      </w:rPr>
                      <w:t></w:t>
                    </w:r>
                  </w:p>
                </w:txbxContent>
              </v:textbox>
              <w10:wrap type="none"/>
            </v:shape>
            <v:shape style="position:absolute;left:8354;top:664;width:1369;height:241" type="#_x0000_t202" filled="false" stroked="false">
              <v:textbox inset="0,0,0,0">
                <w:txbxContent>
                  <w:p>
                    <w:pPr>
                      <w:tabs>
                        <w:tab w:pos="575" w:val="left" w:leader="none"/>
                      </w:tabs>
                      <w:spacing w:line="241" w:lineRule="exact" w:before="0"/>
                      <w:ind w:left="0" w:right="0" w:firstLine="0"/>
                      <w:jc w:val="left"/>
                      <w:rPr>
                        <w:rFonts w:ascii="Times New Roman"/>
                        <w:sz w:val="24"/>
                      </w:rPr>
                    </w:pPr>
                    <w:r>
                      <w:rPr>
                        <w:rFonts w:ascii="Times New Roman"/>
                        <w:sz w:val="24"/>
                      </w:rPr>
                      <w:t>1</w:t>
                      <w:tab/>
                    </w:r>
                    <w:r>
                      <w:rPr>
                        <w:rFonts w:ascii="Times New Roman"/>
                        <w:i/>
                        <w:sz w:val="24"/>
                      </w:rPr>
                      <w:t>VaR</w:t>
                    </w:r>
                    <w:r>
                      <w:rPr>
                        <w:rFonts w:ascii="Times New Roman"/>
                        <w:sz w:val="24"/>
                      </w:rPr>
                      <w:t>(</w:t>
                    </w:r>
                    <w:r>
                      <w:rPr>
                        <w:rFonts w:ascii="Times New Roman"/>
                        <w:i/>
                        <w:sz w:val="24"/>
                      </w:rPr>
                      <w:t>r </w:t>
                    </w:r>
                    <w:r>
                      <w:rPr>
                        <w:rFonts w:ascii="Times New Roman"/>
                        <w:i/>
                        <w:spacing w:val="4"/>
                        <w:sz w:val="24"/>
                      </w:rPr>
                      <w:t> </w:t>
                    </w:r>
                    <w:r>
                      <w:rPr>
                        <w:rFonts w:ascii="Times New Roman"/>
                        <w:sz w:val="24"/>
                      </w:rPr>
                      <w:t>)</w:t>
                    </w:r>
                  </w:p>
                </w:txbxContent>
              </v:textbox>
              <w10:wrap type="none"/>
            </v:shape>
            <v:shape style="position:absolute;left:8745;top:620;width:202;height:241" type="#_x0000_t202" filled="false" stroked="false">
              <v:textbox inset="0,0,0,0">
                <w:txbxContent>
                  <w:p>
                    <w:pPr>
                      <w:spacing w:line="241" w:lineRule="exact" w:before="0"/>
                      <w:ind w:left="0" w:right="-3" w:firstLine="0"/>
                      <w:jc w:val="left"/>
                      <w:rPr>
                        <w:rFonts w:ascii="Symbol" w:hAnsi="Symbol"/>
                        <w:sz w:val="24"/>
                      </w:rPr>
                    </w:pPr>
                    <w:r>
                      <w:rPr>
                        <w:rFonts w:ascii="Symbol" w:hAnsi="Symbol"/>
                        <w:sz w:val="24"/>
                      </w:rPr>
                      <w:t></w:t>
                    </w:r>
                  </w:p>
                </w:txbxContent>
              </v:textbox>
              <w10:wrap type="none"/>
            </v:shape>
            <v:shape style="position:absolute;left:8745;top:752;width:202;height:241" type="#_x0000_t202" filled="false" stroked="false">
              <v:textbox inset="0,0,0,0">
                <w:txbxContent>
                  <w:p>
                    <w:pPr>
                      <w:spacing w:line="241" w:lineRule="exact" w:before="0"/>
                      <w:ind w:left="0" w:right="-3" w:firstLine="0"/>
                      <w:jc w:val="left"/>
                      <w:rPr>
                        <w:rFonts w:ascii="Symbol" w:hAnsi="Symbol"/>
                        <w:sz w:val="24"/>
                      </w:rPr>
                    </w:pPr>
                    <w:r>
                      <w:rPr>
                        <w:rFonts w:ascii="Symbol" w:hAnsi="Symbol"/>
                        <w:sz w:val="24"/>
                      </w:rPr>
                      <w:t></w:t>
                    </w:r>
                  </w:p>
                </w:txbxContent>
              </v:textbox>
              <w10:wrap type="none"/>
            </v:shape>
            <v:shape style="position:absolute;left:9532;top:805;width:71;height:141" type="#_x0000_t202" filled="false" stroked="false">
              <v:textbox inset="0,0,0,0">
                <w:txbxContent>
                  <w:p>
                    <w:pPr>
                      <w:spacing w:line="141" w:lineRule="exact" w:before="0"/>
                      <w:ind w:left="0" w:right="0" w:firstLine="0"/>
                      <w:jc w:val="left"/>
                      <w:rPr>
                        <w:rFonts w:ascii="Times New Roman"/>
                        <w:i/>
                        <w:sz w:val="14"/>
                      </w:rPr>
                    </w:pPr>
                    <w:r>
                      <w:rPr>
                        <w:rFonts w:ascii="Times New Roman"/>
                        <w:i/>
                        <w:w w:val="100"/>
                        <w:sz w:val="14"/>
                      </w:rPr>
                      <w:t>p</w:t>
                    </w:r>
                  </w:p>
                </w:txbxContent>
              </v:textbox>
              <w10:wrap type="none"/>
            </v:shape>
            <v:shape style="position:absolute;left:9727;top:620;width:93;height:241" type="#_x0000_t202" filled="false" stroked="false">
              <v:textbox inset="0,0,0,0">
                <w:txbxContent>
                  <w:p>
                    <w:pPr>
                      <w:spacing w:line="241" w:lineRule="exact" w:before="0"/>
                      <w:ind w:left="0" w:right="0" w:firstLine="0"/>
                      <w:jc w:val="left"/>
                      <w:rPr>
                        <w:rFonts w:ascii="Symbol" w:hAnsi="Symbol"/>
                        <w:sz w:val="24"/>
                      </w:rPr>
                    </w:pPr>
                    <w:r>
                      <w:rPr>
                        <w:rFonts w:ascii="Symbol" w:hAnsi="Symbol"/>
                        <w:w w:val="100"/>
                        <w:sz w:val="24"/>
                      </w:rPr>
                      <w:t></w:t>
                    </w:r>
                  </w:p>
                </w:txbxContent>
              </v:textbox>
              <w10:wrap type="none"/>
            </v:shape>
            <v:shape style="position:absolute;left:9727;top:752;width:93;height:241" type="#_x0000_t202" filled="false" stroked="false">
              <v:textbox inset="0,0,0,0">
                <w:txbxContent>
                  <w:p>
                    <w:pPr>
                      <w:spacing w:line="241" w:lineRule="exact" w:before="0"/>
                      <w:ind w:left="0" w:right="0" w:firstLine="0"/>
                      <w:jc w:val="left"/>
                      <w:rPr>
                        <w:rFonts w:ascii="Symbol" w:hAnsi="Symbol"/>
                        <w:sz w:val="24"/>
                      </w:rPr>
                    </w:pPr>
                    <w:r>
                      <w:rPr>
                        <w:rFonts w:ascii="Symbol" w:hAnsi="Symbol"/>
                        <w:w w:val="100"/>
                        <w:sz w:val="24"/>
                      </w:rPr>
                      <w:t></w:t>
                    </w:r>
                  </w:p>
                </w:txbxContent>
              </v:textbox>
              <w10:wrap type="none"/>
            </v:shape>
            <w10:wrap type="none"/>
          </v:group>
        </w:pict>
      </w:r>
      <w:r>
        <w:rPr>
          <w:rFonts w:ascii="Times New Roman" w:hAnsi="Times New Roman"/>
          <w:i/>
          <w:sz w:val="24"/>
        </w:rPr>
        <w:t>VaRp </w:t>
      </w:r>
      <w:r>
        <w:rPr>
          <w:rFonts w:ascii="Symbol" w:hAnsi="Symbol"/>
          <w:sz w:val="24"/>
        </w:rPr>
        <w:t></w:t>
      </w: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before="2"/>
        <w:rPr>
          <w:rFonts w:ascii="Symbol" w:hAnsi="Symbol"/>
          <w:sz w:val="20"/>
        </w:rPr>
      </w:pPr>
    </w:p>
    <w:p>
      <w:pPr>
        <w:pStyle w:val="BodyText"/>
        <w:spacing w:line="360" w:lineRule="auto"/>
        <w:ind w:left="142" w:right="157" w:firstLine="707"/>
      </w:pPr>
      <w:r>
        <w:rPr/>
        <w:t>El VaR del portafolio es el </w:t>
      </w:r>
      <w:r>
        <w:rPr>
          <w:u w:val="single"/>
        </w:rPr>
        <w:t>VaR diversificado</w:t>
      </w:r>
      <w:r>
        <w:rPr/>
        <w:t>: se incoporan las correlaciones entre los factores de riesgo.</w:t>
      </w:r>
    </w:p>
    <w:p>
      <w:pPr>
        <w:pStyle w:val="BodyText"/>
        <w:spacing w:before="5"/>
        <w:ind w:left="850" w:right="786"/>
        <w:rPr>
          <w:rFonts w:ascii="Symbol" w:hAnsi="Symbol"/>
        </w:rPr>
      </w:pPr>
      <w:r>
        <w:rPr>
          <w:position w:val="1"/>
        </w:rPr>
        <w:t>El VaR </w:t>
      </w:r>
      <w:r>
        <w:rPr>
          <w:position w:val="1"/>
          <w:u w:val="single"/>
        </w:rPr>
        <w:t>no </w:t>
      </w:r>
      <w:r>
        <w:rPr>
          <w:position w:val="1"/>
        </w:rPr>
        <w:t>diversificado: </w:t>
      </w:r>
      <w:r>
        <w:rPr>
          <w:rFonts w:ascii="Symbol" w:hAnsi="Symbol"/>
          <w:position w:val="1"/>
        </w:rPr>
        <w:t></w:t>
      </w:r>
      <w:r>
        <w:rPr>
          <w:position w:val="1"/>
        </w:rPr>
        <w:t>VaR(S)</w:t>
      </w:r>
      <w:r>
        <w:rPr>
          <w:rFonts w:ascii="Symbol" w:hAnsi="Symbol"/>
          <w:position w:val="1"/>
        </w:rPr>
        <w:t></w:t>
      </w:r>
      <w:r>
        <w:rPr>
          <w:position w:val="1"/>
        </w:rPr>
        <w:t>+</w:t>
      </w:r>
      <w:r>
        <w:rPr>
          <w:rFonts w:ascii="Symbol" w:hAnsi="Symbol"/>
          <w:position w:val="1"/>
        </w:rPr>
        <w:t></w:t>
      </w:r>
      <w:r>
        <w:rPr>
          <w:position w:val="1"/>
        </w:rPr>
        <w:t>VaR(r</w:t>
      </w:r>
      <w:r>
        <w:rPr>
          <w:sz w:val="16"/>
        </w:rPr>
        <w:t>d</w:t>
      </w:r>
      <w:r>
        <w:rPr>
          <w:position w:val="1"/>
        </w:rPr>
        <w:t>)</w:t>
      </w:r>
      <w:r>
        <w:rPr>
          <w:rFonts w:ascii="Symbol" w:hAnsi="Symbol"/>
          <w:position w:val="1"/>
        </w:rPr>
        <w:t></w:t>
      </w:r>
      <w:r>
        <w:rPr>
          <w:position w:val="1"/>
        </w:rPr>
        <w:t>+</w:t>
      </w:r>
      <w:r>
        <w:rPr>
          <w:rFonts w:ascii="Symbol" w:hAnsi="Symbol"/>
          <w:position w:val="1"/>
        </w:rPr>
        <w:t></w:t>
      </w:r>
      <w:r>
        <w:rPr>
          <w:position w:val="1"/>
        </w:rPr>
        <w:t>VaR(r</w:t>
      </w:r>
      <w:r>
        <w:rPr>
          <w:sz w:val="16"/>
        </w:rPr>
        <w:t>p</w:t>
      </w:r>
      <w:r>
        <w:rPr>
          <w:position w:val="1"/>
        </w:rPr>
        <w:t>)</w:t>
      </w:r>
      <w:r>
        <w:rPr>
          <w:rFonts w:ascii="Symbol" w:hAnsi="Symbol"/>
          <w:position w:val="1"/>
        </w:rPr>
        <w:t></w:t>
      </w:r>
    </w:p>
    <w:p>
      <w:pPr>
        <w:pStyle w:val="BodyText"/>
        <w:spacing w:line="357" w:lineRule="auto" w:before="148"/>
        <w:ind w:left="850" w:right="634"/>
      </w:pPr>
      <w:r>
        <w:rPr/>
        <w:t>VaR diversificado </w:t>
      </w:r>
      <w:r>
        <w:rPr>
          <w:rFonts w:ascii="Symbol" w:hAnsi="Symbol"/>
        </w:rPr>
        <w:t></w:t>
      </w:r>
      <w:r>
        <w:rPr>
          <w:rFonts w:ascii="Times New Roman" w:hAnsi="Times New Roman"/>
        </w:rPr>
        <w:t> </w:t>
      </w:r>
      <w:r>
        <w:rPr/>
        <w:t>VaR no diversificado = Ganancia por diversificación VaR diversificado = VaR no diversificado cuando la R = 1 o </w:t>
      </w:r>
      <w:r>
        <w:rPr>
          <w:rFonts w:ascii="Symbol" w:hAnsi="Symbol"/>
        </w:rPr>
        <w:t></w:t>
      </w:r>
      <w:r>
        <w:rPr/>
        <w:t>1</w:t>
      </w:r>
    </w:p>
    <w:p>
      <w:pPr>
        <w:spacing w:line="336" w:lineRule="exact" w:before="0"/>
        <w:ind w:left="479" w:right="496" w:firstLine="0"/>
        <w:jc w:val="center"/>
        <w:rPr>
          <w:rFonts w:ascii="Times New Roman" w:hAnsi="Times New Roman"/>
          <w:i/>
          <w:sz w:val="14"/>
        </w:rPr>
      </w:pPr>
      <w:r>
        <w:rPr>
          <w:rFonts w:ascii="Times New Roman" w:hAnsi="Times New Roman"/>
          <w:i/>
          <w:w w:val="105"/>
          <w:sz w:val="24"/>
        </w:rPr>
        <w:t>VaR</w:t>
      </w:r>
      <w:r>
        <w:rPr>
          <w:rFonts w:ascii="Times New Roman" w:hAnsi="Times New Roman"/>
          <w:w w:val="105"/>
          <w:sz w:val="24"/>
        </w:rPr>
        <w:t>(</w:t>
      </w:r>
      <w:r>
        <w:rPr>
          <w:rFonts w:ascii="Times New Roman" w:hAnsi="Times New Roman"/>
          <w:i/>
          <w:w w:val="105"/>
          <w:sz w:val="24"/>
        </w:rPr>
        <w:t>s</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Symbol" w:hAnsi="Symbol"/>
          <w:i/>
          <w:w w:val="105"/>
          <w:sz w:val="25"/>
        </w:rPr>
        <w:t></w:t>
      </w:r>
      <w:r>
        <w:rPr>
          <w:rFonts w:ascii="Times New Roman" w:hAnsi="Times New Roman"/>
          <w:i/>
          <w:w w:val="105"/>
          <w:sz w:val="25"/>
        </w:rPr>
        <w:t> </w:t>
      </w:r>
      <w:r>
        <w:rPr>
          <w:rFonts w:ascii="Times New Roman" w:hAnsi="Times New Roman"/>
          <w:i/>
          <w:w w:val="105"/>
          <w:position w:val="-5"/>
          <w:sz w:val="14"/>
        </w:rPr>
        <w:t>s </w:t>
      </w:r>
      <w:r>
        <w:rPr>
          <w:rFonts w:ascii="Symbol" w:hAnsi="Symbol"/>
          <w:w w:val="105"/>
          <w:sz w:val="24"/>
        </w:rPr>
        <w:t></w:t>
      </w:r>
      <w:r>
        <w:rPr>
          <w:rFonts w:ascii="Times New Roman" w:hAnsi="Times New Roman"/>
          <w:i/>
          <w:w w:val="105"/>
          <w:sz w:val="24"/>
        </w:rPr>
        <w:t>VM </w:t>
      </w:r>
      <w:r>
        <w:rPr>
          <w:rFonts w:ascii="Times New Roman" w:hAnsi="Times New Roman"/>
          <w:i/>
          <w:w w:val="105"/>
          <w:position w:val="-5"/>
          <w:sz w:val="14"/>
        </w:rPr>
        <w:t>A</w:t>
      </w:r>
    </w:p>
    <w:p>
      <w:pPr>
        <w:pStyle w:val="BodyText"/>
        <w:spacing w:before="1"/>
        <w:rPr>
          <w:rFonts w:ascii="Times New Roman"/>
          <w:i/>
          <w:sz w:val="17"/>
        </w:rPr>
      </w:pPr>
    </w:p>
    <w:p>
      <w:pPr>
        <w:pStyle w:val="BodyText"/>
        <w:spacing w:before="70"/>
        <w:ind w:left="850" w:right="157"/>
      </w:pPr>
      <w:r>
        <w:rPr/>
        <w:t>Efecto de la volatilidad de la tasa (dólares o pesos) sobre el valor del activo</w:t>
      </w:r>
    </w:p>
    <w:p>
      <w:pPr>
        <w:spacing w:before="131"/>
        <w:ind w:left="2804" w:right="786" w:firstLine="0"/>
        <w:jc w:val="left"/>
        <w:rPr>
          <w:rFonts w:ascii="Times New Roman" w:hAnsi="Times New Roman"/>
          <w:i/>
          <w:sz w:val="14"/>
        </w:rPr>
      </w:pPr>
      <w:r>
        <w:rPr>
          <w:rFonts w:ascii="Times New Roman" w:hAnsi="Times New Roman"/>
          <w:i/>
          <w:w w:val="105"/>
          <w:sz w:val="24"/>
        </w:rPr>
        <w:t>VaR</w:t>
      </w:r>
      <w:r>
        <w:rPr>
          <w:rFonts w:ascii="Times New Roman" w:hAnsi="Times New Roman"/>
          <w:w w:val="105"/>
          <w:sz w:val="24"/>
        </w:rPr>
        <w:t>(</w:t>
      </w:r>
      <w:r>
        <w:rPr>
          <w:rFonts w:ascii="Times New Roman" w:hAnsi="Times New Roman"/>
          <w:i/>
          <w:w w:val="105"/>
          <w:sz w:val="24"/>
        </w:rPr>
        <w:t>r</w:t>
      </w:r>
      <w:r>
        <w:rPr>
          <w:rFonts w:ascii="Times New Roman" w:hAnsi="Times New Roman"/>
          <w:i/>
          <w:w w:val="105"/>
          <w:position w:val="-5"/>
          <w:sz w:val="14"/>
        </w:rPr>
        <w:t>d </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Symbol" w:hAnsi="Symbol"/>
          <w:i/>
          <w:w w:val="105"/>
          <w:sz w:val="25"/>
        </w:rPr>
        <w:t></w:t>
      </w:r>
      <w:r>
        <w:rPr>
          <w:rFonts w:ascii="Times New Roman" w:hAnsi="Times New Roman"/>
          <w:i/>
          <w:w w:val="105"/>
          <w:sz w:val="25"/>
        </w:rPr>
        <w:t> </w:t>
      </w:r>
      <w:r>
        <w:rPr>
          <w:rFonts w:ascii="Times New Roman" w:hAnsi="Times New Roman"/>
          <w:i/>
          <w:w w:val="105"/>
          <w:position w:val="-5"/>
          <w:sz w:val="14"/>
        </w:rPr>
        <w:t>rd  </w:t>
      </w:r>
      <w:r>
        <w:rPr>
          <w:rFonts w:ascii="Symbol" w:hAnsi="Symbol"/>
          <w:w w:val="105"/>
          <w:sz w:val="24"/>
        </w:rPr>
        <w:t></w:t>
      </w:r>
      <w:r>
        <w:rPr>
          <w:rFonts w:ascii="Times New Roman" w:hAnsi="Times New Roman"/>
          <w:w w:val="105"/>
          <w:sz w:val="24"/>
        </w:rPr>
        <w:t> </w:t>
      </w:r>
      <w:r>
        <w:rPr>
          <w:rFonts w:ascii="Times New Roman" w:hAnsi="Times New Roman"/>
          <w:i/>
          <w:w w:val="105"/>
          <w:sz w:val="24"/>
        </w:rPr>
        <w:t>r</w:t>
      </w:r>
      <w:r>
        <w:rPr>
          <w:rFonts w:ascii="Times New Roman" w:hAnsi="Times New Roman"/>
          <w:i/>
          <w:w w:val="105"/>
          <w:position w:val="-5"/>
          <w:sz w:val="14"/>
        </w:rPr>
        <w:t>d  </w:t>
      </w:r>
      <w:r>
        <w:rPr>
          <w:rFonts w:ascii="Symbol" w:hAnsi="Symbol"/>
          <w:w w:val="105"/>
          <w:sz w:val="24"/>
        </w:rPr>
        <w:t></w:t>
      </w:r>
      <w:r>
        <w:rPr>
          <w:rFonts w:ascii="Times New Roman" w:hAnsi="Times New Roman"/>
          <w:w w:val="105"/>
          <w:sz w:val="24"/>
        </w:rPr>
        <w:t> </w:t>
      </w:r>
      <w:r>
        <w:rPr>
          <w:rFonts w:ascii="Symbol" w:hAnsi="Symbol"/>
          <w:w w:val="105"/>
          <w:sz w:val="24"/>
        </w:rPr>
        <w:t></w:t>
      </w:r>
      <w:r>
        <w:rPr>
          <w:rFonts w:ascii="Times New Roman" w:hAnsi="Times New Roman"/>
          <w:i/>
          <w:w w:val="105"/>
          <w:sz w:val="24"/>
        </w:rPr>
        <w:t>DMr</w:t>
      </w:r>
      <w:r>
        <w:rPr>
          <w:rFonts w:ascii="Times New Roman" w:hAnsi="Times New Roman"/>
          <w:i/>
          <w:w w:val="105"/>
          <w:position w:val="-5"/>
          <w:sz w:val="14"/>
        </w:rPr>
        <w:t>d  </w:t>
      </w:r>
      <w:r>
        <w:rPr>
          <w:rFonts w:ascii="Symbol" w:hAnsi="Symbol"/>
          <w:w w:val="105"/>
          <w:sz w:val="24"/>
        </w:rPr>
        <w:t></w:t>
      </w:r>
      <w:r>
        <w:rPr>
          <w:rFonts w:ascii="Times New Roman" w:hAnsi="Times New Roman"/>
          <w:i/>
          <w:w w:val="105"/>
          <w:sz w:val="24"/>
        </w:rPr>
        <w:t>VM </w:t>
      </w:r>
      <w:r>
        <w:rPr>
          <w:rFonts w:ascii="Times New Roman" w:hAnsi="Times New Roman"/>
          <w:i/>
          <w:w w:val="105"/>
          <w:position w:val="-5"/>
          <w:sz w:val="14"/>
        </w:rPr>
        <w:t>A</w:t>
      </w:r>
    </w:p>
    <w:p>
      <w:pPr>
        <w:pStyle w:val="BodyText"/>
        <w:spacing w:before="5"/>
        <w:rPr>
          <w:rFonts w:ascii="Times New Roman"/>
          <w:i/>
          <w:sz w:val="17"/>
        </w:rPr>
      </w:pPr>
    </w:p>
    <w:p>
      <w:pPr>
        <w:spacing w:before="51"/>
        <w:ind w:left="2804" w:right="786" w:firstLine="0"/>
        <w:jc w:val="left"/>
        <w:rPr>
          <w:rFonts w:ascii="Times New Roman" w:hAnsi="Times New Roman"/>
          <w:i/>
          <w:sz w:val="14"/>
        </w:rPr>
      </w:pPr>
      <w:r>
        <w:rPr>
          <w:rFonts w:ascii="Times New Roman" w:hAnsi="Times New Roman"/>
          <w:i/>
          <w:w w:val="105"/>
          <w:sz w:val="24"/>
        </w:rPr>
        <w:t>VaR</w:t>
      </w:r>
      <w:r>
        <w:rPr>
          <w:rFonts w:ascii="Times New Roman" w:hAnsi="Times New Roman"/>
          <w:w w:val="105"/>
          <w:sz w:val="24"/>
        </w:rPr>
        <w:t>(</w:t>
      </w:r>
      <w:r>
        <w:rPr>
          <w:rFonts w:ascii="Times New Roman" w:hAnsi="Times New Roman"/>
          <w:i/>
          <w:w w:val="105"/>
          <w:sz w:val="24"/>
        </w:rPr>
        <w:t>r</w:t>
      </w:r>
      <w:r>
        <w:rPr>
          <w:rFonts w:ascii="Times New Roman" w:hAnsi="Times New Roman"/>
          <w:i/>
          <w:w w:val="105"/>
          <w:position w:val="-5"/>
          <w:sz w:val="14"/>
        </w:rPr>
        <w:t>p </w:t>
      </w: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Symbol" w:hAnsi="Symbol"/>
          <w:i/>
          <w:w w:val="105"/>
          <w:sz w:val="26"/>
        </w:rPr>
        <w:t></w:t>
      </w:r>
      <w:r>
        <w:rPr>
          <w:rFonts w:ascii="Times New Roman" w:hAnsi="Times New Roman"/>
          <w:i/>
          <w:w w:val="105"/>
          <w:sz w:val="26"/>
        </w:rPr>
        <w:t> </w:t>
      </w:r>
      <w:r>
        <w:rPr>
          <w:rFonts w:ascii="Times New Roman" w:hAnsi="Times New Roman"/>
          <w:i/>
          <w:w w:val="105"/>
          <w:position w:val="-5"/>
          <w:sz w:val="14"/>
        </w:rPr>
        <w:t>rp </w:t>
      </w:r>
      <w:r>
        <w:rPr>
          <w:rFonts w:ascii="Symbol" w:hAnsi="Symbol"/>
          <w:w w:val="105"/>
          <w:sz w:val="24"/>
        </w:rPr>
        <w:t></w:t>
      </w:r>
      <w:r>
        <w:rPr>
          <w:rFonts w:ascii="Times New Roman" w:hAnsi="Times New Roman"/>
          <w:w w:val="105"/>
          <w:sz w:val="24"/>
        </w:rPr>
        <w:t> </w:t>
      </w:r>
      <w:r>
        <w:rPr>
          <w:rFonts w:ascii="Times New Roman" w:hAnsi="Times New Roman"/>
          <w:i/>
          <w:w w:val="105"/>
          <w:sz w:val="24"/>
        </w:rPr>
        <w:t>r</w:t>
      </w:r>
      <w:r>
        <w:rPr>
          <w:rFonts w:ascii="Times New Roman" w:hAnsi="Times New Roman"/>
          <w:i/>
          <w:w w:val="105"/>
          <w:position w:val="-5"/>
          <w:sz w:val="14"/>
        </w:rPr>
        <w:t>p </w:t>
      </w:r>
      <w:r>
        <w:rPr>
          <w:rFonts w:ascii="Symbol" w:hAnsi="Symbol"/>
          <w:w w:val="105"/>
          <w:sz w:val="24"/>
        </w:rPr>
        <w:t></w:t>
      </w:r>
      <w:r>
        <w:rPr>
          <w:rFonts w:ascii="Times New Roman" w:hAnsi="Times New Roman"/>
          <w:w w:val="105"/>
          <w:sz w:val="24"/>
        </w:rPr>
        <w:t> </w:t>
      </w:r>
      <w:r>
        <w:rPr>
          <w:rFonts w:ascii="Symbol" w:hAnsi="Symbol"/>
          <w:w w:val="105"/>
          <w:sz w:val="24"/>
        </w:rPr>
        <w:t></w:t>
      </w:r>
      <w:r>
        <w:rPr>
          <w:rFonts w:ascii="Times New Roman" w:hAnsi="Times New Roman"/>
          <w:i/>
          <w:w w:val="105"/>
          <w:sz w:val="24"/>
        </w:rPr>
        <w:t>DMr</w:t>
      </w:r>
      <w:r>
        <w:rPr>
          <w:rFonts w:ascii="Times New Roman" w:hAnsi="Times New Roman"/>
          <w:i/>
          <w:w w:val="105"/>
          <w:position w:val="-5"/>
          <w:sz w:val="14"/>
        </w:rPr>
        <w:t>p </w:t>
      </w:r>
      <w:r>
        <w:rPr>
          <w:rFonts w:ascii="Symbol" w:hAnsi="Symbol"/>
          <w:w w:val="105"/>
          <w:sz w:val="24"/>
        </w:rPr>
        <w:t></w:t>
      </w:r>
      <w:r>
        <w:rPr>
          <w:rFonts w:ascii="Times New Roman" w:hAnsi="Times New Roman"/>
          <w:i/>
          <w:w w:val="105"/>
          <w:sz w:val="24"/>
        </w:rPr>
        <w:t>VM </w:t>
      </w:r>
      <w:r>
        <w:rPr>
          <w:rFonts w:ascii="Times New Roman" w:hAnsi="Times New Roman"/>
          <w:i/>
          <w:w w:val="105"/>
          <w:position w:val="-5"/>
          <w:sz w:val="14"/>
        </w:rPr>
        <w:t>p</w:t>
      </w:r>
    </w:p>
    <w:p>
      <w:pPr>
        <w:pStyle w:val="BodyText"/>
        <w:spacing w:before="2"/>
        <w:rPr>
          <w:rFonts w:ascii="Times New Roman"/>
          <w:i/>
          <w:sz w:val="20"/>
        </w:rPr>
      </w:pPr>
    </w:p>
    <w:p>
      <w:pPr>
        <w:pStyle w:val="BodyText"/>
        <w:spacing w:before="55"/>
        <w:ind w:left="850" w:right="786"/>
        <w:rPr>
          <w:sz w:val="16"/>
        </w:rPr>
      </w:pPr>
      <w:r>
        <w:rPr>
          <w:position w:val="1"/>
        </w:rPr>
        <w:t>El valor de mercado del forward (caso: compra) VMfwd = VM</w:t>
      </w:r>
      <w:r>
        <w:rPr>
          <w:sz w:val="16"/>
        </w:rPr>
        <w:t>A  </w:t>
      </w:r>
      <w:r>
        <w:rPr>
          <w:rFonts w:ascii="Symbol" w:hAnsi="Symbol"/>
          <w:position w:val="1"/>
        </w:rPr>
        <w:t></w:t>
      </w:r>
      <w:r>
        <w:rPr>
          <w:rFonts w:ascii="Times New Roman" w:hAnsi="Times New Roman"/>
          <w:position w:val="1"/>
        </w:rPr>
        <w:t> </w:t>
      </w:r>
      <w:r>
        <w:rPr>
          <w:position w:val="1"/>
        </w:rPr>
        <w:t>VM</w:t>
      </w:r>
      <w:r>
        <w:rPr>
          <w:sz w:val="16"/>
        </w:rPr>
        <w:t>p:</w:t>
      </w:r>
    </w:p>
    <w:p>
      <w:pPr>
        <w:pStyle w:val="BodyText"/>
        <w:spacing w:before="2"/>
        <w:rPr>
          <w:sz w:val="11"/>
        </w:rPr>
      </w:pPr>
    </w:p>
    <w:p>
      <w:pPr>
        <w:spacing w:after="0"/>
        <w:rPr>
          <w:sz w:val="11"/>
        </w:rPr>
        <w:sectPr>
          <w:pgSz w:w="12240" w:h="15840"/>
          <w:pgMar w:header="731" w:footer="737" w:top="1180" w:bottom="920" w:left="1560" w:right="1560"/>
        </w:sectPr>
      </w:pPr>
    </w:p>
    <w:p>
      <w:pPr>
        <w:pStyle w:val="BodyText"/>
        <w:spacing w:line="224" w:lineRule="exact" w:before="113"/>
        <w:jc w:val="right"/>
        <w:rPr>
          <w:rFonts w:ascii="Symbol" w:hAnsi="Symbol"/>
        </w:rPr>
      </w:pPr>
      <w:r>
        <w:rPr>
          <w:rFonts w:ascii="Symbol" w:hAnsi="Symbol"/>
          <w:w w:val="100"/>
        </w:rPr>
        <w:t></w:t>
      </w:r>
    </w:p>
    <w:p>
      <w:pPr>
        <w:pStyle w:val="BodyText"/>
        <w:spacing w:line="191" w:lineRule="exact"/>
        <w:jc w:val="right"/>
        <w:rPr>
          <w:rFonts w:ascii="Symbol" w:hAnsi="Symbol"/>
        </w:rPr>
      </w:pPr>
      <w:r>
        <w:rPr>
          <w:rFonts w:ascii="Symbol" w:hAnsi="Symbol"/>
          <w:w w:val="100"/>
        </w:rPr>
        <w:t></w:t>
      </w:r>
    </w:p>
    <w:p>
      <w:pPr>
        <w:spacing w:line="132" w:lineRule="exact" w:before="0"/>
        <w:ind w:left="0" w:right="0" w:firstLine="0"/>
        <w:jc w:val="right"/>
        <w:rPr>
          <w:rFonts w:ascii="Symbol" w:hAnsi="Symbol"/>
          <w:sz w:val="24"/>
        </w:rPr>
      </w:pPr>
      <w:r>
        <w:rPr>
          <w:rFonts w:ascii="Times New Roman" w:hAnsi="Times New Roman"/>
          <w:i/>
          <w:sz w:val="24"/>
        </w:rPr>
        <w:t>VMfwd </w:t>
      </w:r>
      <w:r>
        <w:rPr>
          <w:rFonts w:ascii="Symbol" w:hAnsi="Symbol"/>
          <w:sz w:val="24"/>
        </w:rPr>
        <w:t></w:t>
      </w:r>
      <w:r>
        <w:rPr>
          <w:rFonts w:ascii="Times New Roman" w:hAnsi="Times New Roman"/>
          <w:sz w:val="24"/>
        </w:rPr>
        <w:t> </w:t>
      </w:r>
      <w:r>
        <w:rPr>
          <w:rFonts w:ascii="Symbol" w:hAnsi="Symbol"/>
          <w:position w:val="12"/>
          <w:sz w:val="24"/>
        </w:rPr>
        <w:t></w:t>
      </w:r>
    </w:p>
    <w:p>
      <w:pPr>
        <w:pStyle w:val="BodyText"/>
        <w:rPr>
          <w:rFonts w:ascii="Symbol" w:hAnsi="Symbol"/>
        </w:rPr>
      </w:pPr>
      <w:r>
        <w:rPr/>
        <w:br w:type="column"/>
      </w:r>
      <w:r>
        <w:rPr>
          <w:rFonts w:ascii="Symbol" w:hAnsi="Symbol"/>
        </w:rPr>
      </w:r>
    </w:p>
    <w:p>
      <w:pPr>
        <w:spacing w:line="196" w:lineRule="exact" w:before="169"/>
        <w:ind w:left="334" w:right="-18" w:firstLine="0"/>
        <w:jc w:val="left"/>
        <w:rPr>
          <w:rFonts w:ascii="Times New Roman" w:hAnsi="Times New Roman"/>
          <w:i/>
          <w:sz w:val="24"/>
        </w:rPr>
      </w:pPr>
      <w:r>
        <w:rPr>
          <w:rFonts w:ascii="Times New Roman" w:hAnsi="Times New Roman"/>
          <w:i/>
          <w:sz w:val="24"/>
        </w:rPr>
        <w:t>Md </w:t>
      </w:r>
      <w:r>
        <w:rPr>
          <w:rFonts w:ascii="Symbol" w:hAnsi="Symbol"/>
          <w:sz w:val="24"/>
        </w:rPr>
        <w:t></w:t>
      </w:r>
      <w:r>
        <w:rPr>
          <w:rFonts w:ascii="Times New Roman" w:hAnsi="Times New Roman"/>
          <w:spacing w:val="-21"/>
          <w:sz w:val="24"/>
        </w:rPr>
        <w:t> </w:t>
      </w:r>
      <w:r>
        <w:rPr>
          <w:rFonts w:ascii="Times New Roman" w:hAnsi="Times New Roman"/>
          <w:i/>
          <w:sz w:val="24"/>
        </w:rPr>
        <w:t>S</w:t>
      </w:r>
    </w:p>
    <w:p>
      <w:pPr>
        <w:tabs>
          <w:tab w:pos="2174" w:val="left" w:leader="none"/>
        </w:tabs>
        <w:spacing w:line="224" w:lineRule="exact" w:before="56"/>
        <w:ind w:left="656" w:right="0" w:firstLine="0"/>
        <w:jc w:val="left"/>
        <w:rPr>
          <w:rFonts w:ascii="Symbol" w:hAnsi="Symbol"/>
          <w:sz w:val="24"/>
        </w:rPr>
      </w:pPr>
      <w:r>
        <w:rPr/>
        <w:br w:type="column"/>
      </w:r>
      <w:r>
        <w:rPr>
          <w:rFonts w:ascii="Symbol" w:hAnsi="Symbol"/>
          <w:sz w:val="24"/>
        </w:rPr>
        <w:t></w:t>
      </w:r>
      <w:r>
        <w:rPr>
          <w:rFonts w:ascii="Times New Roman" w:hAnsi="Times New Roman"/>
          <w:sz w:val="24"/>
        </w:rPr>
        <w:tab/>
      </w:r>
      <w:r>
        <w:rPr>
          <w:rFonts w:ascii="Symbol" w:hAnsi="Symbol"/>
          <w:sz w:val="24"/>
        </w:rPr>
        <w:t></w:t>
      </w:r>
    </w:p>
    <w:p>
      <w:pPr>
        <w:pStyle w:val="BodyText"/>
        <w:tabs>
          <w:tab w:pos="656" w:val="left" w:leader="none"/>
          <w:tab w:pos="2174" w:val="left" w:leader="none"/>
        </w:tabs>
        <w:spacing w:line="216" w:lineRule="exact"/>
        <w:ind w:left="345"/>
        <w:rPr>
          <w:rFonts w:ascii="Symbol" w:hAnsi="Symbol"/>
        </w:rPr>
      </w:pPr>
      <w:r>
        <w:rPr/>
        <w:pict>
          <v:shape style="position:absolute;margin-left:319.144653pt;margin-top:-6.081674pt;width:4.650pt;height:12pt;mso-position-horizontal-relative:page;mso-position-vertical-relative:paragraph;z-index:-93760" type="#_x0000_t202" filled="false" stroked="false">
            <v:textbox inset="0,0,0,0">
              <w:txbxContent>
                <w:p>
                  <w:pPr>
                    <w:pStyle w:val="BodyText"/>
                    <w:spacing w:line="239" w:lineRule="exact"/>
                    <w:rPr>
                      <w:rFonts w:ascii="Symbol" w:hAnsi="Symbol"/>
                    </w:rPr>
                  </w:pPr>
                  <w:r>
                    <w:rPr>
                      <w:rFonts w:ascii="Symbol" w:hAnsi="Symbol"/>
                      <w:w w:val="100"/>
                    </w:rPr>
                    <w:t></w:t>
                  </w:r>
                </w:p>
              </w:txbxContent>
            </v:textbox>
            <w10:wrap type="none"/>
          </v:shape>
        </w:pict>
      </w:r>
      <w:r>
        <w:rPr>
          <w:rFonts w:ascii="Symbol" w:hAnsi="Symbol"/>
          <w:position w:val="-5"/>
        </w:rPr>
        <w:t></w:t>
      </w:r>
      <w:r>
        <w:rPr>
          <w:rFonts w:ascii="Times New Roman" w:hAnsi="Times New Roman"/>
          <w:position w:val="-5"/>
        </w:rPr>
        <w:tab/>
      </w:r>
      <w:r>
        <w:rPr>
          <w:rFonts w:ascii="Symbol" w:hAnsi="Symbol"/>
        </w:rPr>
        <w:t></w:t>
      </w:r>
      <w:r>
        <w:rPr>
          <w:rFonts w:ascii="Times New Roman" w:hAnsi="Times New Roman"/>
        </w:rPr>
        <w:tab/>
      </w:r>
      <w:r>
        <w:rPr>
          <w:rFonts w:ascii="Symbol" w:hAnsi="Symbol"/>
        </w:rPr>
        <w:t></w:t>
      </w:r>
    </w:p>
    <w:p>
      <w:pPr>
        <w:tabs>
          <w:tab w:pos="656" w:val="left" w:leader="none"/>
          <w:tab w:pos="1063" w:val="left" w:leader="none"/>
          <w:tab w:pos="2174" w:val="left" w:leader="none"/>
        </w:tabs>
        <w:spacing w:line="164" w:lineRule="exact" w:before="0"/>
        <w:ind w:left="345" w:right="0" w:firstLine="0"/>
        <w:jc w:val="left"/>
        <w:rPr>
          <w:rFonts w:ascii="Symbol" w:hAnsi="Symbol"/>
          <w:sz w:val="24"/>
        </w:rPr>
      </w:pPr>
      <w:r>
        <w:rPr>
          <w:rFonts w:ascii="Symbol" w:hAnsi="Symbol"/>
          <w:position w:val="-5"/>
          <w:sz w:val="24"/>
        </w:rPr>
        <w:t></w:t>
      </w:r>
      <w:r>
        <w:rPr>
          <w:rFonts w:ascii="Times New Roman" w:hAnsi="Times New Roman"/>
          <w:position w:val="-5"/>
          <w:sz w:val="24"/>
        </w:rPr>
        <w:tab/>
      </w:r>
      <w:r>
        <w:rPr>
          <w:rFonts w:ascii="Symbol" w:hAnsi="Symbol"/>
          <w:sz w:val="24"/>
        </w:rPr>
        <w:t></w:t>
      </w:r>
      <w:r>
        <w:rPr>
          <w:rFonts w:ascii="Times New Roman" w:hAnsi="Times New Roman"/>
          <w:sz w:val="24"/>
        </w:rPr>
        <w:tab/>
      </w:r>
      <w:r>
        <w:rPr>
          <w:rFonts w:ascii="Times New Roman" w:hAnsi="Times New Roman"/>
          <w:i/>
          <w:position w:val="1"/>
          <w:sz w:val="24"/>
        </w:rPr>
        <w:t>Md </w:t>
      </w:r>
      <w:r>
        <w:rPr>
          <w:rFonts w:ascii="Symbol" w:hAnsi="Symbol"/>
          <w:position w:val="1"/>
          <w:sz w:val="24"/>
        </w:rPr>
        <w:t></w:t>
      </w:r>
      <w:r>
        <w:rPr>
          <w:rFonts w:ascii="Times New Roman" w:hAnsi="Times New Roman"/>
          <w:spacing w:val="-17"/>
          <w:position w:val="1"/>
          <w:sz w:val="24"/>
        </w:rPr>
        <w:t> </w:t>
      </w:r>
      <w:r>
        <w:rPr>
          <w:rFonts w:ascii="Times New Roman" w:hAnsi="Times New Roman"/>
          <w:i/>
          <w:spacing w:val="4"/>
          <w:position w:val="1"/>
          <w:sz w:val="24"/>
        </w:rPr>
        <w:t>F</w:t>
      </w:r>
      <w:r>
        <w:rPr>
          <w:rFonts w:ascii="Times New Roman" w:hAnsi="Times New Roman"/>
          <w:i/>
          <w:spacing w:val="4"/>
          <w:position w:val="-4"/>
          <w:sz w:val="14"/>
        </w:rPr>
        <w:t>p</w:t>
        <w:tab/>
      </w:r>
      <w:r>
        <w:rPr>
          <w:rFonts w:ascii="Symbol" w:hAnsi="Symbol"/>
          <w:sz w:val="24"/>
        </w:rPr>
        <w:t></w:t>
      </w:r>
    </w:p>
    <w:p>
      <w:pPr>
        <w:spacing w:after="0" w:line="164" w:lineRule="exact"/>
        <w:jc w:val="left"/>
        <w:rPr>
          <w:rFonts w:ascii="Symbol" w:hAnsi="Symbol"/>
          <w:sz w:val="24"/>
        </w:rPr>
        <w:sectPr>
          <w:type w:val="continuous"/>
          <w:pgSz w:w="12240" w:h="15840"/>
          <w:pgMar w:top="720" w:bottom="280" w:left="1560" w:right="1560"/>
          <w:cols w:num="3" w:equalWidth="0">
            <w:col w:w="3403" w:space="40"/>
            <w:col w:w="995" w:space="40"/>
            <w:col w:w="4642"/>
          </w:cols>
        </w:sectPr>
      </w:pPr>
    </w:p>
    <w:p>
      <w:pPr>
        <w:tabs>
          <w:tab w:pos="436" w:val="left" w:leader="none"/>
        </w:tabs>
        <w:spacing w:line="277" w:lineRule="exact" w:before="63"/>
        <w:ind w:left="0" w:right="0" w:firstLine="0"/>
        <w:jc w:val="right"/>
        <w:rPr>
          <w:rFonts w:ascii="Symbol" w:hAnsi="Symbol"/>
          <w:sz w:val="24"/>
        </w:rPr>
      </w:pPr>
      <w:r>
        <w:rPr/>
        <w:pict>
          <v:line style="position:absolute;mso-position-horizontal-relative:page;mso-position-vertical-relative:paragraph;z-index:-94480" from="249.987pt,7.095408pt" to="317.9255pt,7.095408pt" stroked="true" strokeweight=".139338pt" strokecolor="#000000">
            <w10:wrap type="none"/>
          </v:line>
        </w:pict>
      </w:r>
      <w:r>
        <w:rPr>
          <w:rFonts w:ascii="Symbol" w:hAnsi="Symbol"/>
          <w:position w:val="9"/>
          <w:sz w:val="24"/>
        </w:rPr>
        <w:t></w:t>
      </w:r>
      <w:r>
        <w:rPr>
          <w:rFonts w:ascii="Times New Roman" w:hAnsi="Times New Roman"/>
          <w:position w:val="9"/>
          <w:sz w:val="24"/>
        </w:rPr>
        <w:tab/>
      </w:r>
      <w:r>
        <w:rPr>
          <w:rFonts w:ascii="Symbol" w:hAnsi="Symbol"/>
          <w:sz w:val="24"/>
        </w:rPr>
        <w:t></w:t>
      </w:r>
      <w:r>
        <w:rPr>
          <w:rFonts w:ascii="Times New Roman" w:hAnsi="Times New Roman"/>
          <w:sz w:val="24"/>
        </w:rPr>
        <w:t> </w:t>
      </w:r>
      <w:r>
        <w:rPr>
          <w:rFonts w:ascii="Times New Roman" w:hAnsi="Times New Roman"/>
          <w:i/>
          <w:spacing w:val="-6"/>
          <w:position w:val="2"/>
          <w:sz w:val="24"/>
        </w:rPr>
        <w:t>r</w:t>
      </w:r>
      <w:r>
        <w:rPr>
          <w:rFonts w:ascii="Times New Roman" w:hAnsi="Times New Roman"/>
          <w:i/>
          <w:spacing w:val="-6"/>
          <w:position w:val="-3"/>
          <w:sz w:val="14"/>
        </w:rPr>
        <w:t>d  </w:t>
      </w:r>
      <w:r>
        <w:rPr>
          <w:rFonts w:ascii="Symbol" w:hAnsi="Symbol"/>
          <w:position w:val="2"/>
          <w:sz w:val="24"/>
        </w:rPr>
        <w:t></w:t>
      </w:r>
      <w:r>
        <w:rPr>
          <w:rFonts w:ascii="Times New Roman" w:hAnsi="Times New Roman"/>
          <w:position w:val="2"/>
          <w:sz w:val="24"/>
        </w:rPr>
        <w:t> </w:t>
      </w:r>
      <w:r>
        <w:rPr>
          <w:rFonts w:ascii="Times New Roman" w:hAnsi="Times New Roman"/>
          <w:i/>
          <w:position w:val="2"/>
          <w:sz w:val="24"/>
        </w:rPr>
        <w:t>Pzo</w:t>
      </w:r>
      <w:r>
        <w:rPr>
          <w:rFonts w:ascii="Times New Roman" w:hAnsi="Times New Roman"/>
          <w:i/>
          <w:spacing w:val="-23"/>
          <w:position w:val="2"/>
          <w:sz w:val="24"/>
        </w:rPr>
        <w:t> </w:t>
      </w:r>
      <w:r>
        <w:rPr>
          <w:rFonts w:ascii="Symbol" w:hAnsi="Symbol"/>
          <w:sz w:val="24"/>
        </w:rPr>
        <w:t></w:t>
      </w:r>
    </w:p>
    <w:p>
      <w:pPr>
        <w:pStyle w:val="BodyText"/>
        <w:spacing w:line="299" w:lineRule="exact"/>
        <w:jc w:val="right"/>
        <w:rPr>
          <w:rFonts w:ascii="Symbol" w:hAnsi="Symbol"/>
        </w:rPr>
      </w:pPr>
      <w:r>
        <w:rPr/>
        <w:br w:type="column"/>
      </w:r>
      <w:r>
        <w:rPr>
          <w:rFonts w:ascii="Symbol" w:hAnsi="Symbol"/>
          <w:position w:val="-10"/>
        </w:rPr>
        <w:t></w:t>
      </w:r>
      <w:r>
        <w:rPr>
          <w:rFonts w:ascii="Times New Roman" w:hAnsi="Times New Roman"/>
          <w:position w:val="-10"/>
        </w:rPr>
        <w:t> </w:t>
      </w:r>
      <w:r>
        <w:rPr>
          <w:rFonts w:ascii="Symbol" w:hAnsi="Symbol"/>
        </w:rPr>
        <w:t></w:t>
      </w:r>
      <w:r>
        <w:rPr>
          <w:rFonts w:ascii="Times New Roman" w:hAnsi="Times New Roman"/>
          <w:spacing w:val="-34"/>
        </w:rPr>
        <w:t> </w:t>
      </w:r>
      <w:r>
        <w:rPr>
          <w:rFonts w:ascii="Symbol" w:hAnsi="Symbol"/>
          <w:position w:val="-4"/>
        </w:rPr>
        <w:t></w:t>
      </w:r>
    </w:p>
    <w:p>
      <w:pPr>
        <w:pStyle w:val="BodyText"/>
        <w:spacing w:line="41" w:lineRule="exact"/>
        <w:jc w:val="right"/>
        <w:rPr>
          <w:rFonts w:ascii="Symbol" w:hAnsi="Symbol"/>
        </w:rPr>
      </w:pPr>
      <w:r>
        <w:rPr>
          <w:rFonts w:ascii="Symbol" w:hAnsi="Symbol"/>
          <w:w w:val="100"/>
        </w:rPr>
        <w:t></w:t>
      </w:r>
    </w:p>
    <w:p>
      <w:pPr>
        <w:spacing w:line="328" w:lineRule="exact" w:before="13"/>
        <w:ind w:left="266" w:right="2335" w:firstLine="0"/>
        <w:jc w:val="center"/>
        <w:rPr>
          <w:rFonts w:ascii="Symbol" w:hAnsi="Symbol"/>
          <w:sz w:val="24"/>
        </w:rPr>
      </w:pPr>
      <w:r>
        <w:rPr/>
        <w:br w:type="column"/>
      </w:r>
      <w:r>
        <w:rPr>
          <w:rFonts w:ascii="Symbol" w:hAnsi="Symbol"/>
          <w:sz w:val="24"/>
        </w:rPr>
        <w:t></w:t>
      </w:r>
      <w:r>
        <w:rPr>
          <w:rFonts w:ascii="Times New Roman" w:hAnsi="Times New Roman"/>
          <w:sz w:val="24"/>
        </w:rPr>
        <w:t> </w:t>
      </w:r>
      <w:r>
        <w:rPr>
          <w:rFonts w:ascii="Times New Roman" w:hAnsi="Times New Roman"/>
          <w:i/>
          <w:position w:val="2"/>
          <w:sz w:val="24"/>
        </w:rPr>
        <w:t>r  </w:t>
      </w:r>
      <w:r>
        <w:rPr>
          <w:rFonts w:ascii="Symbol" w:hAnsi="Symbol"/>
          <w:position w:val="2"/>
          <w:sz w:val="24"/>
        </w:rPr>
        <w:t></w:t>
      </w:r>
      <w:r>
        <w:rPr>
          <w:rFonts w:ascii="Times New Roman" w:hAnsi="Times New Roman"/>
          <w:position w:val="2"/>
          <w:sz w:val="24"/>
        </w:rPr>
        <w:t> </w:t>
      </w:r>
      <w:r>
        <w:rPr>
          <w:rFonts w:ascii="Times New Roman" w:hAnsi="Times New Roman"/>
          <w:i/>
          <w:position w:val="2"/>
          <w:sz w:val="24"/>
        </w:rPr>
        <w:t>Pzo </w:t>
      </w:r>
      <w:r>
        <w:rPr>
          <w:rFonts w:ascii="Symbol" w:hAnsi="Symbol"/>
          <w:sz w:val="24"/>
        </w:rPr>
        <w:t></w:t>
      </w:r>
      <w:r>
        <w:rPr>
          <w:rFonts w:ascii="Times New Roman" w:hAnsi="Times New Roman"/>
          <w:sz w:val="24"/>
        </w:rPr>
        <w:t> </w:t>
      </w:r>
      <w:r>
        <w:rPr>
          <w:rFonts w:ascii="Symbol" w:hAnsi="Symbol"/>
          <w:position w:val="14"/>
          <w:sz w:val="24"/>
        </w:rPr>
        <w:t></w:t>
      </w:r>
    </w:p>
    <w:p>
      <w:pPr>
        <w:pStyle w:val="ListParagraph"/>
        <w:numPr>
          <w:ilvl w:val="0"/>
          <w:numId w:val="23"/>
        </w:numPr>
        <w:tabs>
          <w:tab w:pos="414" w:val="left" w:leader="none"/>
          <w:tab w:pos="543" w:val="left" w:leader="none"/>
          <w:tab w:pos="1257" w:val="left" w:leader="none"/>
        </w:tabs>
        <w:spacing w:line="2" w:lineRule="exact" w:before="0" w:after="0"/>
        <w:ind w:left="542" w:right="2245" w:hanging="415"/>
        <w:jc w:val="center"/>
        <w:rPr>
          <w:rFonts w:ascii="Symbol" w:hAnsi="Symbol"/>
          <w:sz w:val="24"/>
        </w:rPr>
      </w:pPr>
      <w:r>
        <w:rPr/>
        <w:pict>
          <v:line style="position:absolute;mso-position-horizontal-relative:page;mso-position-vertical-relative:paragraph;z-index:5488" from="362.98465pt,8.527821pt" to="402.717455pt,8.527821pt" stroked="true" strokeweight=".139338pt" strokecolor="#000000">
            <w10:wrap type="none"/>
          </v:line>
        </w:pict>
      </w:r>
      <w:r>
        <w:rPr/>
        <w:pict>
          <v:line style="position:absolute;mso-position-horizontal-relative:page;mso-position-vertical-relative:paragraph;z-index:-94432" from="341.169586pt,-9.893651pt" to="409.332933pt,-9.893651pt" stroked="true" strokeweight=".139338pt" strokecolor="#000000">
            <w10:wrap type="none"/>
          </v:line>
        </w:pict>
      </w:r>
      <w:r>
        <w:rPr>
          <w:rFonts w:ascii="Times New Roman" w:hAnsi="Times New Roman"/>
          <w:i/>
          <w:sz w:val="14"/>
        </w:rPr>
        <w:t>p</w:t>
        <w:tab/>
      </w:r>
      <w:r>
        <w:rPr>
          <w:rFonts w:ascii="Symbol" w:hAnsi="Symbol"/>
          <w:position w:val="-3"/>
          <w:sz w:val="24"/>
        </w:rPr>
        <w:t></w:t>
      </w:r>
    </w:p>
    <w:p>
      <w:pPr>
        <w:spacing w:after="0" w:line="2" w:lineRule="exact"/>
        <w:jc w:val="center"/>
        <w:rPr>
          <w:rFonts w:ascii="Symbol" w:hAnsi="Symbol"/>
          <w:sz w:val="24"/>
        </w:rPr>
        <w:sectPr>
          <w:type w:val="continuous"/>
          <w:pgSz w:w="12240" w:h="15840"/>
          <w:pgMar w:top="720" w:bottom="280" w:left="1560" w:right="1560"/>
          <w:cols w:num="3" w:equalWidth="0">
            <w:col w:w="4783" w:space="40"/>
            <w:col w:w="405" w:space="40"/>
            <w:col w:w="3852"/>
          </w:cols>
        </w:sectPr>
      </w:pPr>
    </w:p>
    <w:p>
      <w:pPr>
        <w:pStyle w:val="BodyText"/>
        <w:spacing w:line="218" w:lineRule="exact"/>
        <w:jc w:val="right"/>
        <w:rPr>
          <w:rFonts w:ascii="Symbol" w:hAnsi="Symbol"/>
        </w:rPr>
      </w:pPr>
      <w:r>
        <w:rPr>
          <w:rFonts w:ascii="Symbol" w:hAnsi="Symbol"/>
          <w:position w:val="-7"/>
        </w:rPr>
        <w:t></w:t>
      </w:r>
      <w:r>
        <w:rPr>
          <w:rFonts w:ascii="Symbol" w:hAnsi="Symbol"/>
          <w:position w:val="1"/>
        </w:rPr>
        <w:t></w:t>
      </w:r>
      <w:r>
        <w:rPr>
          <w:rFonts w:ascii="Times New Roman" w:hAnsi="Times New Roman"/>
          <w:position w:val="1"/>
        </w:rPr>
        <w:t> 1 </w:t>
      </w:r>
      <w:r>
        <w:rPr>
          <w:rFonts w:ascii="Symbol" w:hAnsi="Symbol"/>
          <w:position w:val="1"/>
        </w:rPr>
        <w:t></w:t>
      </w:r>
      <w:r>
        <w:rPr>
          <w:rFonts w:ascii="Times New Roman" w:hAnsi="Times New Roman"/>
          <w:position w:val="1"/>
        </w:rPr>
        <w:t> </w:t>
      </w:r>
      <w:r>
        <w:rPr>
          <w:rFonts w:ascii="Symbol" w:hAnsi="Symbol"/>
        </w:rPr>
        <w:t></w:t>
      </w:r>
    </w:p>
    <w:p>
      <w:pPr>
        <w:pStyle w:val="BodyText"/>
        <w:spacing w:line="60" w:lineRule="exact" w:before="157"/>
        <w:ind w:left="85" w:right="-17"/>
        <w:rPr>
          <w:rFonts w:ascii="Times New Roman"/>
        </w:rPr>
      </w:pPr>
      <w:r>
        <w:rPr/>
        <w:br w:type="column"/>
      </w:r>
      <w:r>
        <w:rPr>
          <w:rFonts w:ascii="Times New Roman"/>
        </w:rPr>
        <w:t>36000</w:t>
      </w:r>
    </w:p>
    <w:p>
      <w:pPr>
        <w:pStyle w:val="BodyText"/>
        <w:spacing w:line="218" w:lineRule="exact"/>
        <w:ind w:left="83" w:right="-19"/>
        <w:rPr>
          <w:rFonts w:ascii="Symbol" w:hAnsi="Symbol"/>
        </w:rPr>
      </w:pPr>
      <w:r>
        <w:rPr/>
        <w:br w:type="column"/>
      </w:r>
      <w:r>
        <w:rPr>
          <w:rFonts w:ascii="Symbol" w:hAnsi="Symbol"/>
        </w:rPr>
        <w:t></w:t>
      </w:r>
      <w:r>
        <w:rPr>
          <w:rFonts w:ascii="Times New Roman" w:hAnsi="Times New Roman"/>
          <w:spacing w:val="-18"/>
        </w:rPr>
        <w:t> </w:t>
      </w:r>
      <w:r>
        <w:rPr>
          <w:rFonts w:ascii="Symbol" w:hAnsi="Symbol"/>
          <w:spacing w:val="-47"/>
          <w:position w:val="-7"/>
        </w:rPr>
        <w:t></w:t>
      </w:r>
      <w:r>
        <w:rPr>
          <w:rFonts w:ascii="Symbol" w:hAnsi="Symbol"/>
          <w:spacing w:val="-47"/>
          <w:position w:val="1"/>
        </w:rPr>
        <w:t></w:t>
      </w:r>
    </w:p>
    <w:p>
      <w:pPr>
        <w:pStyle w:val="BodyText"/>
        <w:tabs>
          <w:tab w:pos="615" w:val="left" w:leader="none"/>
        </w:tabs>
        <w:spacing w:line="218" w:lineRule="exact"/>
        <w:ind w:left="178"/>
        <w:rPr>
          <w:rFonts w:ascii="Symbol" w:hAnsi="Symbol"/>
        </w:rPr>
      </w:pPr>
      <w:r>
        <w:rPr/>
        <w:br w:type="column"/>
      </w:r>
      <w:r>
        <w:rPr>
          <w:rFonts w:ascii="Symbol" w:hAnsi="Symbol"/>
          <w:position w:val="-11"/>
        </w:rPr>
        <w:t></w:t>
      </w:r>
      <w:r>
        <w:rPr>
          <w:rFonts w:ascii="Times New Roman" w:hAnsi="Times New Roman"/>
          <w:spacing w:val="-39"/>
          <w:position w:val="-11"/>
        </w:rPr>
        <w:t> </w:t>
      </w:r>
      <w:r>
        <w:rPr>
          <w:rFonts w:ascii="Times New Roman" w:hAnsi="Times New Roman"/>
        </w:rPr>
        <w:t>1</w:t>
        <w:tab/>
      </w:r>
      <w:r>
        <w:rPr>
          <w:rFonts w:ascii="Symbol" w:hAnsi="Symbol"/>
          <w:spacing w:val="-47"/>
          <w:position w:val="-9"/>
        </w:rPr>
        <w:t></w:t>
      </w:r>
      <w:r>
        <w:rPr>
          <w:rFonts w:ascii="Symbol" w:hAnsi="Symbol"/>
          <w:spacing w:val="-47"/>
          <w:position w:val="2"/>
        </w:rPr>
        <w:t></w:t>
      </w:r>
    </w:p>
    <w:p>
      <w:pPr>
        <w:pStyle w:val="BodyText"/>
        <w:spacing w:line="218" w:lineRule="exact"/>
        <w:ind w:left="816"/>
        <w:rPr>
          <w:rFonts w:ascii="Symbol" w:hAnsi="Symbol"/>
        </w:rPr>
      </w:pPr>
      <w:r>
        <w:rPr/>
        <w:br w:type="column"/>
      </w:r>
      <w:r>
        <w:rPr>
          <w:rFonts w:ascii="Symbol" w:hAnsi="Symbol"/>
          <w:position w:val="2"/>
        </w:rPr>
        <w:t></w:t>
      </w:r>
      <w:r>
        <w:rPr>
          <w:rFonts w:ascii="Symbol" w:hAnsi="Symbol"/>
          <w:position w:val="14"/>
        </w:rPr>
        <w:t></w:t>
      </w:r>
      <w:r>
        <w:rPr>
          <w:rFonts w:ascii="Times New Roman" w:hAnsi="Times New Roman"/>
          <w:position w:val="14"/>
        </w:rPr>
        <w:t>   </w:t>
      </w:r>
      <w:r>
        <w:rPr>
          <w:rFonts w:ascii="Symbol" w:hAnsi="Symbol"/>
        </w:rPr>
        <w:t></w:t>
      </w:r>
    </w:p>
    <w:p>
      <w:pPr>
        <w:spacing w:after="0" w:line="218" w:lineRule="exact"/>
        <w:rPr>
          <w:rFonts w:ascii="Symbol" w:hAnsi="Symbol"/>
        </w:rPr>
        <w:sectPr>
          <w:type w:val="continuous"/>
          <w:pgSz w:w="12240" w:h="15840"/>
          <w:pgMar w:top="720" w:bottom="280" w:left="1560" w:right="1560"/>
          <w:cols w:num="5" w:equalWidth="0">
            <w:col w:w="3840" w:space="40"/>
            <w:col w:w="688" w:space="40"/>
            <w:col w:w="309" w:space="40"/>
            <w:col w:w="708" w:space="40"/>
            <w:col w:w="3415"/>
          </w:cols>
        </w:sectPr>
      </w:pPr>
    </w:p>
    <w:p>
      <w:pPr>
        <w:pStyle w:val="BodyText"/>
        <w:tabs>
          <w:tab w:pos="3747" w:val="left" w:leader="none"/>
          <w:tab w:pos="4689" w:val="left" w:leader="none"/>
          <w:tab w:pos="5134" w:val="left" w:leader="none"/>
        </w:tabs>
        <w:spacing w:line="334" w:lineRule="exact"/>
        <w:ind w:left="3310"/>
        <w:rPr>
          <w:rFonts w:ascii="Symbol" w:hAnsi="Symbol"/>
        </w:rPr>
      </w:pPr>
      <w:r>
        <w:rPr/>
        <w:pict>
          <v:line style="position:absolute;mso-position-horizontal-relative:page;mso-position-vertical-relative:paragraph;z-index:5440" from="271.820038pt,-3.886162pt" to="311.260044pt,-3.886162pt" stroked="true" strokeweight=".139338pt" strokecolor="#000000">
            <w10:wrap type="none"/>
          </v:line>
        </w:pict>
      </w:r>
      <w:r>
        <w:rPr>
          <w:rFonts w:ascii="Symbol" w:hAnsi="Symbol"/>
        </w:rPr>
        <w:t></w:t>
      </w:r>
      <w:r>
        <w:rPr>
          <w:rFonts w:ascii="Times New Roman" w:hAnsi="Times New Roman"/>
        </w:rPr>
        <w:tab/>
      </w:r>
      <w:r>
        <w:rPr>
          <w:rFonts w:ascii="Symbol" w:hAnsi="Symbol"/>
          <w:position w:val="2"/>
        </w:rPr>
        <w:t></w:t>
      </w:r>
      <w:r>
        <w:rPr>
          <w:rFonts w:ascii="Times New Roman" w:hAnsi="Times New Roman"/>
          <w:position w:val="2"/>
        </w:rPr>
        <w:tab/>
      </w:r>
      <w:r>
        <w:rPr>
          <w:rFonts w:ascii="Symbol" w:hAnsi="Symbol"/>
          <w:position w:val="2"/>
        </w:rPr>
        <w:t></w:t>
      </w:r>
      <w:r>
        <w:rPr>
          <w:rFonts w:ascii="Times New Roman" w:hAnsi="Times New Roman"/>
          <w:spacing w:val="-20"/>
          <w:position w:val="2"/>
        </w:rPr>
        <w:t> </w:t>
      </w:r>
      <w:r>
        <w:rPr>
          <w:rFonts w:ascii="Symbol" w:hAnsi="Symbol"/>
        </w:rPr>
        <w:t></w:t>
      </w:r>
      <w:r>
        <w:rPr>
          <w:rFonts w:ascii="Times New Roman" w:hAnsi="Times New Roman"/>
        </w:rPr>
        <w:tab/>
      </w:r>
      <w:r>
        <w:rPr>
          <w:rFonts w:ascii="Symbol" w:hAnsi="Symbol"/>
          <w:position w:val="-5"/>
        </w:rPr>
        <w:t></w:t>
      </w:r>
    </w:p>
    <w:p>
      <w:pPr>
        <w:pStyle w:val="BodyText"/>
        <w:spacing w:line="335" w:lineRule="exact"/>
        <w:ind w:left="304"/>
        <w:rPr>
          <w:rFonts w:ascii="Symbol" w:hAnsi="Symbol"/>
        </w:rPr>
      </w:pPr>
      <w:r>
        <w:rPr/>
        <w:br w:type="column"/>
      </w:r>
      <w:r>
        <w:rPr>
          <w:rFonts w:ascii="Symbol" w:hAnsi="Symbol"/>
          <w:position w:val="-6"/>
        </w:rPr>
        <w:t></w:t>
      </w:r>
      <w:r>
        <w:rPr>
          <w:rFonts w:ascii="Times New Roman" w:hAnsi="Times New Roman"/>
          <w:position w:val="-6"/>
        </w:rPr>
        <w:t>  </w:t>
      </w:r>
      <w:r>
        <w:rPr>
          <w:rFonts w:ascii="Times New Roman" w:hAnsi="Times New Roman"/>
        </w:rPr>
        <w:t>36000  </w:t>
      </w:r>
      <w:r>
        <w:rPr>
          <w:rFonts w:ascii="Symbol" w:hAnsi="Symbol"/>
          <w:position w:val="-6"/>
        </w:rPr>
        <w:t></w:t>
      </w:r>
      <w:r>
        <w:rPr>
          <w:rFonts w:ascii="Times New Roman" w:hAnsi="Times New Roman"/>
          <w:position w:val="-6"/>
        </w:rPr>
        <w:t> </w:t>
      </w:r>
      <w:r>
        <w:rPr>
          <w:rFonts w:ascii="Symbol" w:hAnsi="Symbol"/>
          <w:position w:val="-8"/>
        </w:rPr>
        <w:t></w:t>
      </w:r>
    </w:p>
    <w:p>
      <w:pPr>
        <w:spacing w:after="0" w:line="335" w:lineRule="exact"/>
        <w:rPr>
          <w:rFonts w:ascii="Symbol" w:hAnsi="Symbol"/>
        </w:rPr>
        <w:sectPr>
          <w:type w:val="continuous"/>
          <w:pgSz w:w="12240" w:h="15840"/>
          <w:pgMar w:top="720" w:bottom="280" w:left="1560" w:right="1560"/>
          <w:cols w:num="2" w:equalWidth="0">
            <w:col w:w="5227" w:space="40"/>
            <w:col w:w="3853"/>
          </w:cols>
        </w:sectPr>
      </w:pPr>
    </w:p>
    <w:p>
      <w:pPr>
        <w:pStyle w:val="BodyText"/>
        <w:rPr>
          <w:rFonts w:ascii="Symbol" w:hAnsi="Symbol"/>
          <w:sz w:val="20"/>
        </w:rPr>
      </w:pPr>
    </w:p>
    <w:p>
      <w:pPr>
        <w:pStyle w:val="BodyText"/>
        <w:spacing w:before="6"/>
        <w:rPr>
          <w:rFonts w:ascii="Symbol" w:hAnsi="Symbol"/>
          <w:sz w:val="19"/>
        </w:rPr>
      </w:pPr>
    </w:p>
    <w:p>
      <w:pPr>
        <w:pStyle w:val="BodyText"/>
        <w:ind w:left="142" w:right="786"/>
      </w:pPr>
      <w:r>
        <w:rPr/>
        <w:t>Forward o futuro de dólares</w:t>
      </w:r>
    </w:p>
    <w:p>
      <w:pPr>
        <w:pStyle w:val="BodyText"/>
        <w:spacing w:before="199"/>
        <w:ind w:left="850" w:right="786"/>
      </w:pPr>
      <w:r>
        <w:rPr/>
        <w:t>Futuro de dólar (pesos por dólar)</w:t>
      </w:r>
    </w:p>
    <w:p>
      <w:pPr>
        <w:spacing w:line="218" w:lineRule="exact" w:before="159"/>
        <w:ind w:left="517" w:right="0" w:firstLine="0"/>
        <w:jc w:val="center"/>
        <w:rPr>
          <w:rFonts w:ascii="Symbol" w:hAnsi="Symbol"/>
          <w:sz w:val="24"/>
        </w:rPr>
      </w:pPr>
      <w:r>
        <w:rPr>
          <w:rFonts w:ascii="Symbol" w:hAnsi="Symbol"/>
          <w:sz w:val="24"/>
        </w:rPr>
        <w:t></w:t>
      </w:r>
      <w:r>
        <w:rPr>
          <w:rFonts w:ascii="Times New Roman" w:hAnsi="Times New Roman"/>
          <w:sz w:val="24"/>
        </w:rPr>
        <w:t> </w:t>
      </w:r>
      <w:r>
        <w:rPr>
          <w:rFonts w:ascii="Times New Roman" w:hAnsi="Times New Roman"/>
          <w:i/>
          <w:position w:val="2"/>
          <w:sz w:val="24"/>
        </w:rPr>
        <w:t>r</w:t>
      </w:r>
      <w:r>
        <w:rPr>
          <w:rFonts w:ascii="Times New Roman" w:hAnsi="Times New Roman"/>
          <w:i/>
          <w:position w:val="-3"/>
          <w:sz w:val="14"/>
        </w:rPr>
        <w:t>p  </w:t>
      </w:r>
      <w:r>
        <w:rPr>
          <w:rFonts w:ascii="Symbol" w:hAnsi="Symbol"/>
          <w:position w:val="2"/>
          <w:sz w:val="24"/>
        </w:rPr>
        <w:t></w:t>
      </w:r>
      <w:r>
        <w:rPr>
          <w:rFonts w:ascii="Times New Roman" w:hAnsi="Times New Roman"/>
          <w:position w:val="2"/>
          <w:sz w:val="24"/>
        </w:rPr>
        <w:t> </w:t>
      </w:r>
      <w:r>
        <w:rPr>
          <w:rFonts w:ascii="Times New Roman" w:hAnsi="Times New Roman"/>
          <w:i/>
          <w:position w:val="2"/>
          <w:sz w:val="24"/>
        </w:rPr>
        <w:t>p </w:t>
      </w:r>
      <w:r>
        <w:rPr>
          <w:rFonts w:ascii="Symbol" w:hAnsi="Symbol"/>
          <w:sz w:val="24"/>
        </w:rPr>
        <w:t></w:t>
      </w:r>
    </w:p>
    <w:p>
      <w:pPr>
        <w:pStyle w:val="BodyText"/>
        <w:tabs>
          <w:tab w:pos="1287" w:val="left" w:leader="none"/>
        </w:tabs>
        <w:spacing w:line="208" w:lineRule="exact"/>
        <w:ind w:left="195"/>
        <w:jc w:val="center"/>
        <w:rPr>
          <w:rFonts w:ascii="Symbol" w:hAnsi="Symbol"/>
        </w:rPr>
      </w:pPr>
      <w:r>
        <w:rPr/>
        <w:pict>
          <v:line style="position:absolute;mso-position-horizontal-relative:page;mso-position-vertical-relative:paragraph;z-index:-93712" from="303.828644pt,7.965393pt" to="334.62261pt,7.965393pt" stroked="true" strokeweight=".139554pt" strokecolor="#000000">
            <w10:wrap type="none"/>
          </v:line>
        </w:pict>
      </w:r>
      <w:r>
        <w:rPr>
          <w:rFonts w:ascii="Times New Roman" w:hAnsi="Times New Roman"/>
        </w:rPr>
        <w:t>1</w:t>
      </w:r>
      <w:r>
        <w:rPr>
          <w:rFonts w:ascii="Times New Roman" w:hAnsi="Times New Roman"/>
          <w:spacing w:val="-34"/>
        </w:rPr>
        <w:t> </w:t>
      </w:r>
      <w:r>
        <w:rPr>
          <w:rFonts w:ascii="Symbol" w:hAnsi="Symbol"/>
        </w:rPr>
        <w:t></w:t>
      </w:r>
      <w:r>
        <w:rPr>
          <w:rFonts w:ascii="Times New Roman" w:hAnsi="Times New Roman"/>
          <w:spacing w:val="-16"/>
        </w:rPr>
        <w:t> </w:t>
      </w:r>
      <w:r>
        <w:rPr>
          <w:rFonts w:ascii="Symbol" w:hAnsi="Symbol"/>
          <w:spacing w:val="-47"/>
          <w:position w:val="-9"/>
        </w:rPr>
        <w:t></w:t>
      </w:r>
      <w:r>
        <w:rPr>
          <w:rFonts w:ascii="Symbol" w:hAnsi="Symbol"/>
          <w:spacing w:val="-47"/>
          <w:position w:val="2"/>
        </w:rPr>
        <w:t></w:t>
      </w:r>
      <w:r>
        <w:rPr>
          <w:rFonts w:ascii="Times New Roman" w:hAnsi="Times New Roman"/>
          <w:spacing w:val="-47"/>
          <w:position w:val="2"/>
        </w:rPr>
        <w:tab/>
      </w:r>
      <w:r>
        <w:rPr>
          <w:rFonts w:ascii="Symbol" w:hAnsi="Symbol"/>
          <w:spacing w:val="-47"/>
          <w:position w:val="-9"/>
        </w:rPr>
        <w:t></w:t>
      </w:r>
      <w:r>
        <w:rPr>
          <w:rFonts w:ascii="Symbol" w:hAnsi="Symbol"/>
          <w:spacing w:val="-47"/>
          <w:position w:val="2"/>
        </w:rPr>
        <w:t></w:t>
      </w:r>
    </w:p>
    <w:p>
      <w:pPr>
        <w:spacing w:after="0" w:line="208" w:lineRule="exact"/>
        <w:jc w:val="center"/>
        <w:rPr>
          <w:rFonts w:ascii="Symbol" w:hAnsi="Symbol"/>
        </w:rPr>
        <w:sectPr>
          <w:pgSz w:w="12240" w:h="15840"/>
          <w:pgMar w:header="731" w:footer="737" w:top="1180" w:bottom="920" w:left="1560" w:right="1560"/>
        </w:sectPr>
      </w:pPr>
    </w:p>
    <w:p>
      <w:pPr>
        <w:spacing w:line="243" w:lineRule="exact" w:before="133"/>
        <w:ind w:left="0" w:right="0" w:firstLine="0"/>
        <w:jc w:val="right"/>
        <w:rPr>
          <w:rFonts w:ascii="Symbol" w:hAnsi="Symbol"/>
          <w:sz w:val="24"/>
        </w:rPr>
      </w:pPr>
      <w:r>
        <w:rPr>
          <w:rFonts w:ascii="Times New Roman" w:hAnsi="Times New Roman"/>
          <w:i/>
          <w:sz w:val="24"/>
        </w:rPr>
        <w:t>Fd </w:t>
      </w:r>
      <w:r>
        <w:rPr>
          <w:rFonts w:ascii="Symbol" w:hAnsi="Symbol"/>
          <w:sz w:val="24"/>
        </w:rPr>
        <w:t></w:t>
      </w:r>
    </w:p>
    <w:p>
      <w:pPr>
        <w:pStyle w:val="BodyText"/>
        <w:spacing w:line="371" w:lineRule="exact"/>
        <w:ind w:left="338"/>
        <w:rPr>
          <w:rFonts w:ascii="Times New Roman" w:hAnsi="Times New Roman"/>
          <w:i/>
        </w:rPr>
      </w:pPr>
      <w:r>
        <w:rPr/>
        <w:br w:type="column"/>
      </w:r>
      <w:r>
        <w:rPr>
          <w:rFonts w:ascii="Symbol" w:hAnsi="Symbol"/>
          <w:position w:val="-6"/>
        </w:rPr>
        <w:t></w:t>
      </w:r>
      <w:r>
        <w:rPr>
          <w:rFonts w:ascii="Times New Roman" w:hAnsi="Times New Roman"/>
          <w:position w:val="-6"/>
        </w:rPr>
        <w:t> </w:t>
      </w:r>
      <w:r>
        <w:rPr>
          <w:rFonts w:ascii="Times New Roman" w:hAnsi="Times New Roman"/>
        </w:rPr>
        <w:t>36000 </w:t>
      </w:r>
      <w:r>
        <w:rPr>
          <w:rFonts w:ascii="Symbol" w:hAnsi="Symbol"/>
          <w:position w:val="-6"/>
        </w:rPr>
        <w:t></w:t>
      </w:r>
      <w:r>
        <w:rPr>
          <w:rFonts w:ascii="Times New Roman" w:hAnsi="Times New Roman"/>
          <w:position w:val="-6"/>
        </w:rPr>
        <w:t> </w:t>
      </w:r>
      <w:r>
        <w:rPr>
          <w:rFonts w:ascii="Symbol" w:hAnsi="Symbol"/>
          <w:position w:val="-17"/>
        </w:rPr>
        <w:t></w:t>
      </w:r>
      <w:r>
        <w:rPr>
          <w:rFonts w:ascii="Times New Roman" w:hAnsi="Times New Roman"/>
          <w:position w:val="-17"/>
        </w:rPr>
        <w:t> </w:t>
      </w:r>
      <w:r>
        <w:rPr>
          <w:rFonts w:ascii="Times New Roman" w:hAnsi="Times New Roman"/>
          <w:i/>
          <w:position w:val="-17"/>
        </w:rPr>
        <w:t>S</w:t>
      </w:r>
    </w:p>
    <w:p>
      <w:pPr>
        <w:spacing w:line="6" w:lineRule="exact" w:before="0"/>
        <w:ind w:left="16" w:right="0" w:firstLine="0"/>
        <w:jc w:val="left"/>
        <w:rPr>
          <w:rFonts w:ascii="Symbol" w:hAnsi="Symbol"/>
          <w:sz w:val="24"/>
        </w:rPr>
      </w:pPr>
      <w:r>
        <w:rPr/>
        <w:pict>
          <v:line style="position:absolute;mso-position-horizontal-relative:page;mso-position-vertical-relative:paragraph;z-index:-93688" from="282.034943pt,-2.550707pt" to="341.242536pt,-2.550707pt" stroked="true" strokeweight=".139554pt" strokecolor="#000000">
            <w10:wrap type="none"/>
          </v:line>
        </w:pict>
      </w:r>
      <w:r>
        <w:rPr>
          <w:rFonts w:ascii="Times New Roman" w:hAnsi="Times New Roman"/>
          <w:position w:val="1"/>
          <w:sz w:val="24"/>
        </w:rPr>
        <w:t>1 </w:t>
      </w:r>
      <w:r>
        <w:rPr>
          <w:rFonts w:ascii="Symbol" w:hAnsi="Symbol"/>
          <w:position w:val="1"/>
          <w:sz w:val="24"/>
        </w:rPr>
        <w:t></w:t>
      </w:r>
      <w:r>
        <w:rPr>
          <w:rFonts w:ascii="Times New Roman" w:hAnsi="Times New Roman"/>
          <w:position w:val="1"/>
          <w:sz w:val="24"/>
        </w:rPr>
        <w:t> </w:t>
      </w:r>
      <w:r>
        <w:rPr>
          <w:rFonts w:ascii="Symbol" w:hAnsi="Symbol"/>
          <w:sz w:val="24"/>
        </w:rPr>
        <w:t></w:t>
      </w:r>
      <w:r>
        <w:rPr>
          <w:rFonts w:ascii="Times New Roman" w:hAnsi="Times New Roman"/>
          <w:sz w:val="24"/>
        </w:rPr>
        <w:t> </w:t>
      </w:r>
      <w:r>
        <w:rPr>
          <w:rFonts w:ascii="Times New Roman" w:hAnsi="Times New Roman"/>
          <w:i/>
          <w:position w:val="17"/>
          <w:sz w:val="24"/>
        </w:rPr>
        <w:t>r</w:t>
      </w:r>
      <w:r>
        <w:rPr>
          <w:rFonts w:ascii="Times New Roman" w:hAnsi="Times New Roman"/>
          <w:i/>
          <w:position w:val="11"/>
          <w:sz w:val="14"/>
        </w:rPr>
        <w:t>d   </w:t>
      </w:r>
      <w:r>
        <w:rPr>
          <w:rFonts w:ascii="Symbol" w:hAnsi="Symbol"/>
          <w:position w:val="17"/>
          <w:sz w:val="24"/>
        </w:rPr>
        <w:t></w:t>
      </w:r>
      <w:r>
        <w:rPr>
          <w:rFonts w:ascii="Times New Roman" w:hAnsi="Times New Roman"/>
          <w:position w:val="17"/>
          <w:sz w:val="24"/>
        </w:rPr>
        <w:t> </w:t>
      </w:r>
      <w:r>
        <w:rPr>
          <w:rFonts w:ascii="Times New Roman" w:hAnsi="Times New Roman"/>
          <w:i/>
          <w:position w:val="17"/>
          <w:sz w:val="24"/>
        </w:rPr>
        <w:t>p </w:t>
      </w:r>
      <w:r>
        <w:rPr>
          <w:rFonts w:ascii="Symbol" w:hAnsi="Symbol"/>
          <w:sz w:val="24"/>
        </w:rPr>
        <w:t></w:t>
      </w:r>
    </w:p>
    <w:p>
      <w:pPr>
        <w:spacing w:after="0" w:line="6" w:lineRule="exact"/>
        <w:jc w:val="left"/>
        <w:rPr>
          <w:rFonts w:ascii="Symbol" w:hAnsi="Symbol"/>
          <w:sz w:val="24"/>
        </w:rPr>
        <w:sectPr>
          <w:type w:val="continuous"/>
          <w:pgSz w:w="12240" w:h="15840"/>
          <w:pgMar w:top="720" w:bottom="280" w:left="1560" w:right="1560"/>
          <w:cols w:num="2" w:equalWidth="0">
            <w:col w:w="4009" w:space="40"/>
            <w:col w:w="5071"/>
          </w:cols>
        </w:sectPr>
      </w:pPr>
    </w:p>
    <w:p>
      <w:pPr>
        <w:pStyle w:val="BodyText"/>
        <w:tabs>
          <w:tab w:pos="1287" w:val="left" w:leader="none"/>
        </w:tabs>
        <w:spacing w:line="250" w:lineRule="exact"/>
        <w:ind w:left="517"/>
        <w:jc w:val="center"/>
        <w:rPr>
          <w:rFonts w:ascii="Symbol" w:hAnsi="Symbol"/>
        </w:rPr>
      </w:pPr>
      <w:r>
        <w:rPr/>
        <w:pict>
          <v:line style="position:absolute;mso-position-horizontal-relative:page;mso-position-vertical-relative:paragraph;z-index:6208;mso-wrap-distance-left:0;mso-wrap-distance-right:0" from="303.828644pt,14.22239pt" to="334.62261pt,14.22239pt" stroked="true" strokeweight=".139554pt" strokecolor="#000000">
            <w10:wrap type="topAndBottom"/>
          </v:line>
        </w:pict>
      </w:r>
      <w:r>
        <w:rPr>
          <w:rFonts w:ascii="Symbol" w:hAnsi="Symbol"/>
        </w:rPr>
        <w:t></w:t>
      </w:r>
      <w:r>
        <w:rPr>
          <w:rFonts w:ascii="Times New Roman" w:hAnsi="Times New Roman"/>
        </w:rPr>
        <w:tab/>
      </w:r>
      <w:r>
        <w:rPr>
          <w:rFonts w:ascii="Symbol" w:hAnsi="Symbol"/>
        </w:rPr>
        <w:t></w:t>
      </w:r>
    </w:p>
    <w:p>
      <w:pPr>
        <w:pStyle w:val="BodyText"/>
        <w:ind w:left="517"/>
        <w:jc w:val="center"/>
        <w:rPr>
          <w:rFonts w:ascii="Symbol" w:hAnsi="Symbol"/>
        </w:rPr>
      </w:pPr>
      <w:r>
        <w:rPr>
          <w:rFonts w:ascii="Symbol" w:hAnsi="Symbol"/>
          <w:position w:val="-3"/>
        </w:rPr>
        <w:t></w:t>
      </w:r>
      <w:r>
        <w:rPr>
          <w:rFonts w:ascii="Times New Roman" w:hAnsi="Times New Roman"/>
          <w:position w:val="-3"/>
        </w:rPr>
        <w:t> </w:t>
      </w:r>
      <w:r>
        <w:rPr>
          <w:rFonts w:ascii="Times New Roman" w:hAnsi="Times New Roman"/>
        </w:rPr>
        <w:t>36000 </w:t>
      </w:r>
      <w:r>
        <w:rPr>
          <w:rFonts w:ascii="Symbol" w:hAnsi="Symbol"/>
          <w:position w:val="-3"/>
        </w:rPr>
        <w:t></w:t>
      </w:r>
    </w:p>
    <w:p>
      <w:pPr>
        <w:pStyle w:val="BodyText"/>
        <w:spacing w:before="18"/>
        <w:ind w:left="850" w:right="786"/>
      </w:pPr>
      <w:r>
        <w:rPr/>
        <w:t>Futuro de pesos (dólar por pesos)</w:t>
      </w:r>
    </w:p>
    <w:p>
      <w:pPr>
        <w:spacing w:line="218" w:lineRule="exact" w:before="161"/>
        <w:ind w:left="462" w:right="0" w:firstLine="0"/>
        <w:jc w:val="center"/>
        <w:rPr>
          <w:rFonts w:ascii="Symbol" w:hAnsi="Symbol"/>
          <w:sz w:val="24"/>
        </w:rPr>
      </w:pPr>
      <w:r>
        <w:rPr>
          <w:rFonts w:ascii="Symbol" w:hAnsi="Symbol"/>
          <w:sz w:val="24"/>
        </w:rPr>
        <w:t></w:t>
      </w:r>
      <w:r>
        <w:rPr>
          <w:rFonts w:ascii="Times New Roman" w:hAnsi="Times New Roman"/>
          <w:sz w:val="24"/>
        </w:rPr>
        <w:t> </w:t>
      </w:r>
      <w:r>
        <w:rPr>
          <w:rFonts w:ascii="Times New Roman" w:hAnsi="Times New Roman"/>
          <w:i/>
          <w:position w:val="2"/>
          <w:sz w:val="24"/>
        </w:rPr>
        <w:t>r</w:t>
      </w:r>
      <w:r>
        <w:rPr>
          <w:rFonts w:ascii="Times New Roman" w:hAnsi="Times New Roman"/>
          <w:i/>
          <w:position w:val="-3"/>
          <w:sz w:val="14"/>
        </w:rPr>
        <w:t>p  </w:t>
      </w:r>
      <w:r>
        <w:rPr>
          <w:rFonts w:ascii="Symbol" w:hAnsi="Symbol"/>
          <w:position w:val="2"/>
          <w:sz w:val="24"/>
        </w:rPr>
        <w:t></w:t>
      </w:r>
      <w:r>
        <w:rPr>
          <w:rFonts w:ascii="Times New Roman" w:hAnsi="Times New Roman"/>
          <w:position w:val="2"/>
          <w:sz w:val="24"/>
        </w:rPr>
        <w:t> </w:t>
      </w:r>
      <w:r>
        <w:rPr>
          <w:rFonts w:ascii="Times New Roman" w:hAnsi="Times New Roman"/>
          <w:i/>
          <w:position w:val="2"/>
          <w:sz w:val="24"/>
        </w:rPr>
        <w:t>p </w:t>
      </w:r>
      <w:r>
        <w:rPr>
          <w:rFonts w:ascii="Symbol" w:hAnsi="Symbol"/>
          <w:sz w:val="24"/>
        </w:rPr>
        <w:t></w:t>
      </w:r>
    </w:p>
    <w:p>
      <w:pPr>
        <w:pStyle w:val="BodyText"/>
        <w:tabs>
          <w:tab w:pos="1234" w:val="left" w:leader="none"/>
        </w:tabs>
        <w:spacing w:line="208" w:lineRule="exact"/>
        <w:ind w:left="139"/>
        <w:jc w:val="center"/>
        <w:rPr>
          <w:rFonts w:ascii="Symbol" w:hAnsi="Symbol"/>
        </w:rPr>
      </w:pPr>
      <w:r>
        <w:rPr/>
        <w:pict>
          <v:line style="position:absolute;mso-position-horizontal-relative:page;mso-position-vertical-relative:paragraph;z-index:-93664" from="302.388092pt,7.965393pt" to="333.287453pt,7.965393pt" stroked="true" strokeweight=".139554pt" strokecolor="#000000">
            <w10:wrap type="none"/>
          </v:line>
        </w:pict>
      </w:r>
      <w:r>
        <w:rPr>
          <w:rFonts w:ascii="Times New Roman" w:hAnsi="Times New Roman"/>
        </w:rPr>
        <w:t>1</w:t>
      </w:r>
      <w:r>
        <w:rPr>
          <w:rFonts w:ascii="Times New Roman" w:hAnsi="Times New Roman"/>
          <w:spacing w:val="-34"/>
        </w:rPr>
        <w:t> </w:t>
      </w:r>
      <w:r>
        <w:rPr>
          <w:rFonts w:ascii="Symbol" w:hAnsi="Symbol"/>
        </w:rPr>
        <w:t></w:t>
      </w:r>
      <w:r>
        <w:rPr>
          <w:rFonts w:ascii="Times New Roman" w:hAnsi="Times New Roman"/>
          <w:spacing w:val="-16"/>
        </w:rPr>
        <w:t> </w:t>
      </w:r>
      <w:r>
        <w:rPr>
          <w:rFonts w:ascii="Symbol" w:hAnsi="Symbol"/>
          <w:spacing w:val="-47"/>
          <w:position w:val="-9"/>
        </w:rPr>
        <w:t></w:t>
      </w:r>
      <w:r>
        <w:rPr>
          <w:rFonts w:ascii="Symbol" w:hAnsi="Symbol"/>
          <w:spacing w:val="-47"/>
          <w:position w:val="2"/>
        </w:rPr>
        <w:t></w:t>
      </w:r>
      <w:r>
        <w:rPr>
          <w:rFonts w:ascii="Times New Roman" w:hAnsi="Times New Roman"/>
          <w:spacing w:val="-47"/>
          <w:position w:val="2"/>
        </w:rPr>
        <w:tab/>
      </w:r>
      <w:r>
        <w:rPr>
          <w:rFonts w:ascii="Symbol" w:hAnsi="Symbol"/>
          <w:spacing w:val="-47"/>
          <w:position w:val="-9"/>
        </w:rPr>
        <w:t></w:t>
      </w:r>
      <w:r>
        <w:rPr>
          <w:rFonts w:ascii="Symbol" w:hAnsi="Symbol"/>
          <w:spacing w:val="-47"/>
          <w:position w:val="2"/>
        </w:rPr>
        <w:t></w:t>
      </w:r>
    </w:p>
    <w:p>
      <w:pPr>
        <w:spacing w:after="0" w:line="208" w:lineRule="exact"/>
        <w:jc w:val="center"/>
        <w:rPr>
          <w:rFonts w:ascii="Symbol" w:hAnsi="Symbol"/>
        </w:rPr>
        <w:sectPr>
          <w:type w:val="continuous"/>
          <w:pgSz w:w="12240" w:h="15840"/>
          <w:pgMar w:top="720" w:bottom="280" w:left="1560" w:right="1560"/>
        </w:sectPr>
      </w:pPr>
    </w:p>
    <w:p>
      <w:pPr>
        <w:spacing w:line="226" w:lineRule="exact" w:before="133"/>
        <w:ind w:left="0" w:right="0" w:firstLine="0"/>
        <w:jc w:val="right"/>
        <w:rPr>
          <w:rFonts w:ascii="Symbol" w:hAnsi="Symbol"/>
          <w:sz w:val="24"/>
        </w:rPr>
      </w:pPr>
      <w:r>
        <w:rPr>
          <w:rFonts w:ascii="Times New Roman" w:hAnsi="Times New Roman"/>
          <w:i/>
          <w:sz w:val="24"/>
        </w:rPr>
        <w:t>Fp </w:t>
      </w:r>
      <w:r>
        <w:rPr>
          <w:rFonts w:ascii="Symbol" w:hAnsi="Symbol"/>
          <w:sz w:val="24"/>
        </w:rPr>
        <w:t></w:t>
      </w:r>
    </w:p>
    <w:p>
      <w:pPr>
        <w:pStyle w:val="BodyText"/>
        <w:spacing w:line="360" w:lineRule="exact"/>
        <w:ind w:left="339"/>
        <w:rPr>
          <w:rFonts w:ascii="Times New Roman" w:hAnsi="Times New Roman"/>
        </w:rPr>
      </w:pPr>
      <w:r>
        <w:rPr/>
        <w:br w:type="column"/>
      </w:r>
      <w:r>
        <w:rPr>
          <w:rFonts w:ascii="Symbol" w:hAnsi="Symbol"/>
          <w:position w:val="-6"/>
        </w:rPr>
        <w:t></w:t>
      </w:r>
      <w:r>
        <w:rPr>
          <w:rFonts w:ascii="Times New Roman" w:hAnsi="Times New Roman"/>
          <w:position w:val="-6"/>
        </w:rPr>
        <w:t> </w:t>
      </w:r>
      <w:r>
        <w:rPr>
          <w:rFonts w:ascii="Times New Roman" w:hAnsi="Times New Roman"/>
        </w:rPr>
        <w:t>36000 </w:t>
      </w:r>
      <w:r>
        <w:rPr>
          <w:rFonts w:ascii="Symbol" w:hAnsi="Symbol"/>
          <w:position w:val="-6"/>
        </w:rPr>
        <w:t></w:t>
      </w:r>
      <w:r>
        <w:rPr>
          <w:rFonts w:ascii="Times New Roman" w:hAnsi="Times New Roman"/>
          <w:position w:val="-6"/>
        </w:rPr>
        <w:t> </w:t>
      </w:r>
      <w:r>
        <w:rPr>
          <w:rFonts w:ascii="Symbol" w:hAnsi="Symbol"/>
          <w:position w:val="-17"/>
        </w:rPr>
        <w:t></w:t>
      </w:r>
      <w:r>
        <w:rPr>
          <w:rFonts w:ascii="Times New Roman" w:hAnsi="Times New Roman"/>
          <w:position w:val="-17"/>
        </w:rPr>
        <w:t> </w:t>
      </w:r>
      <w:r>
        <w:rPr>
          <w:rFonts w:ascii="Times New Roman" w:hAnsi="Times New Roman"/>
          <w:position w:val="-2"/>
        </w:rPr>
        <w:t>1</w:t>
      </w:r>
    </w:p>
    <w:p>
      <w:pPr>
        <w:spacing w:after="0" w:line="360" w:lineRule="exact"/>
        <w:rPr>
          <w:rFonts w:ascii="Times New Roman" w:hAnsi="Times New Roman"/>
        </w:rPr>
        <w:sectPr>
          <w:type w:val="continuous"/>
          <w:pgSz w:w="12240" w:h="15840"/>
          <w:pgMar w:top="720" w:bottom="280" w:left="1560" w:right="1560"/>
          <w:cols w:num="2" w:equalWidth="0">
            <w:col w:w="3980" w:space="40"/>
            <w:col w:w="5100"/>
          </w:cols>
        </w:sectPr>
      </w:pPr>
    </w:p>
    <w:p>
      <w:pPr>
        <w:tabs>
          <w:tab w:pos="1920" w:val="left" w:leader="none"/>
        </w:tabs>
        <w:spacing w:line="351" w:lineRule="exact" w:before="0"/>
        <w:ind w:left="496" w:right="0" w:firstLine="0"/>
        <w:jc w:val="center"/>
        <w:rPr>
          <w:rFonts w:ascii="Times New Roman" w:hAnsi="Times New Roman"/>
          <w:i/>
          <w:sz w:val="24"/>
        </w:rPr>
      </w:pPr>
      <w:r>
        <w:rPr/>
        <w:pict>
          <v:line style="position:absolute;mso-position-horizontal-relative:page;mso-position-vertical-relative:paragraph;z-index:-93640" from="302.388092pt,15.091612pt" to="333.287453pt,15.091612pt" stroked="true" strokeweight=".139554pt" strokecolor="#000000">
            <w10:wrap type="none"/>
          </v:line>
        </w:pict>
      </w:r>
      <w:r>
        <w:rPr/>
        <w:pict>
          <v:line style="position:absolute;mso-position-horizontal-relative:page;mso-position-vertical-relative:paragraph;z-index:-93616" from="280.596954pt,-1.966856pt" to="339.914153pt,-1.966856pt" stroked="true" strokeweight=".139554pt" strokecolor="#000000">
            <w10:wrap type="none"/>
          </v:line>
        </w:pict>
      </w:r>
      <w:r>
        <w:rPr/>
        <w:pict>
          <v:line style="position:absolute;mso-position-horizontal-relative:page;mso-position-vertical-relative:paragraph;z-index:-93592" from="350.26416pt,-1.966856pt" to="358.829806pt,-1.966856pt" stroked="true" strokeweight=".139554pt" strokecolor="#000000">
            <w10:wrap type="none"/>
          </v:line>
        </w:pict>
      </w:r>
      <w:r>
        <w:rPr/>
        <w:pict>
          <v:shape style="position:absolute;margin-left:295.935944pt;margin-top:8.566614pt;width:4.650pt;height:12.05pt;mso-position-horizontal-relative:page;mso-position-vertical-relative:paragraph;z-index:-93520" type="#_x0000_t202" filled="false" stroked="false">
            <v:textbox inset="0,0,0,0">
              <w:txbxContent>
                <w:p>
                  <w:pPr>
                    <w:pStyle w:val="BodyText"/>
                    <w:spacing w:line="240" w:lineRule="exact"/>
                    <w:rPr>
                      <w:rFonts w:ascii="Symbol" w:hAnsi="Symbol"/>
                    </w:rPr>
                  </w:pPr>
                  <w:r>
                    <w:rPr>
                      <w:rFonts w:ascii="Symbol" w:hAnsi="Symbol"/>
                      <w:w w:val="100"/>
                    </w:rPr>
                    <w:t></w:t>
                  </w:r>
                </w:p>
              </w:txbxContent>
            </v:textbox>
            <w10:wrap type="none"/>
          </v:shape>
        </w:pict>
      </w:r>
      <w:r>
        <w:rPr/>
        <w:pict>
          <v:shape style="position:absolute;margin-left:334.554138pt;margin-top:8.566614pt;width:4.650pt;height:12.05pt;mso-position-horizontal-relative:page;mso-position-vertical-relative:paragraph;z-index:-93496" type="#_x0000_t202" filled="false" stroked="false">
            <v:textbox inset="0,0,0,0">
              <w:txbxContent>
                <w:p>
                  <w:pPr>
                    <w:pStyle w:val="BodyText"/>
                    <w:spacing w:line="240" w:lineRule="exact"/>
                    <w:rPr>
                      <w:rFonts w:ascii="Symbol" w:hAnsi="Symbol"/>
                    </w:rPr>
                  </w:pPr>
                  <w:r>
                    <w:rPr>
                      <w:rFonts w:ascii="Symbol" w:hAnsi="Symbol"/>
                      <w:w w:val="100"/>
                    </w:rPr>
                    <w:t></w:t>
                  </w:r>
                </w:p>
              </w:txbxContent>
            </v:textbox>
            <w10:wrap type="none"/>
          </v:shape>
        </w:pict>
      </w:r>
      <w:r>
        <w:rPr>
          <w:rFonts w:ascii="Times New Roman" w:hAnsi="Times New Roman"/>
          <w:position w:val="-13"/>
          <w:sz w:val="24"/>
        </w:rPr>
        <w:t>1 </w:t>
      </w:r>
      <w:r>
        <w:rPr>
          <w:rFonts w:ascii="Symbol" w:hAnsi="Symbol"/>
          <w:position w:val="-13"/>
          <w:sz w:val="24"/>
        </w:rPr>
        <w:t></w:t>
      </w:r>
      <w:r>
        <w:rPr>
          <w:rFonts w:ascii="Times New Roman" w:hAnsi="Times New Roman"/>
          <w:position w:val="-13"/>
          <w:sz w:val="24"/>
        </w:rPr>
        <w:t> </w:t>
      </w:r>
      <w:r>
        <w:rPr>
          <w:rFonts w:ascii="Symbol" w:hAnsi="Symbol"/>
          <w:sz w:val="24"/>
        </w:rPr>
        <w:t></w:t>
      </w:r>
      <w:r>
        <w:rPr>
          <w:rFonts w:ascii="Times New Roman" w:hAnsi="Times New Roman"/>
          <w:sz w:val="24"/>
        </w:rPr>
        <w:t> </w:t>
      </w:r>
      <w:r>
        <w:rPr>
          <w:rFonts w:ascii="Times New Roman" w:hAnsi="Times New Roman"/>
          <w:i/>
          <w:spacing w:val="-6"/>
          <w:position w:val="2"/>
          <w:sz w:val="24"/>
        </w:rPr>
        <w:t>r</w:t>
      </w:r>
      <w:r>
        <w:rPr>
          <w:rFonts w:ascii="Times New Roman" w:hAnsi="Times New Roman"/>
          <w:i/>
          <w:spacing w:val="-6"/>
          <w:position w:val="-3"/>
          <w:sz w:val="14"/>
        </w:rPr>
        <w:t>d   </w:t>
      </w:r>
      <w:r>
        <w:rPr>
          <w:rFonts w:ascii="Symbol" w:hAnsi="Symbol"/>
          <w:position w:val="2"/>
          <w:sz w:val="24"/>
        </w:rPr>
        <w:t></w:t>
      </w:r>
      <w:r>
        <w:rPr>
          <w:rFonts w:ascii="Times New Roman" w:hAnsi="Times New Roman"/>
          <w:spacing w:val="-37"/>
          <w:position w:val="2"/>
          <w:sz w:val="24"/>
        </w:rPr>
        <w:t> </w:t>
      </w:r>
      <w:r>
        <w:rPr>
          <w:rFonts w:ascii="Times New Roman" w:hAnsi="Times New Roman"/>
          <w:i/>
          <w:position w:val="2"/>
          <w:sz w:val="24"/>
        </w:rPr>
        <w:t>p</w:t>
      </w:r>
      <w:r>
        <w:rPr>
          <w:rFonts w:ascii="Times New Roman" w:hAnsi="Times New Roman"/>
          <w:i/>
          <w:spacing w:val="7"/>
          <w:position w:val="2"/>
          <w:sz w:val="24"/>
        </w:rPr>
        <w:t> </w:t>
      </w:r>
      <w:r>
        <w:rPr>
          <w:rFonts w:ascii="Symbol" w:hAnsi="Symbol"/>
          <w:sz w:val="24"/>
        </w:rPr>
        <w:t></w:t>
      </w:r>
      <w:r>
        <w:rPr>
          <w:rFonts w:ascii="Times New Roman" w:hAnsi="Times New Roman"/>
          <w:sz w:val="24"/>
        </w:rPr>
        <w:tab/>
      </w:r>
      <w:r>
        <w:rPr>
          <w:rFonts w:ascii="Times New Roman" w:hAnsi="Times New Roman"/>
          <w:i/>
          <w:position w:val="1"/>
          <w:sz w:val="24"/>
        </w:rPr>
        <w:t>S</w:t>
      </w:r>
    </w:p>
    <w:p>
      <w:pPr>
        <w:spacing w:after="0" w:line="351" w:lineRule="exact"/>
        <w:jc w:val="center"/>
        <w:rPr>
          <w:rFonts w:ascii="Times New Roman" w:hAnsi="Times New Roman"/>
          <w:sz w:val="24"/>
        </w:rPr>
        <w:sectPr>
          <w:type w:val="continuous"/>
          <w:pgSz w:w="12240" w:h="15840"/>
          <w:pgMar w:top="720" w:bottom="280" w:left="1560" w:right="1560"/>
        </w:sectPr>
      </w:pPr>
    </w:p>
    <w:p>
      <w:pPr>
        <w:pStyle w:val="BodyText"/>
        <w:spacing w:before="6"/>
        <w:rPr>
          <w:rFonts w:ascii="Times New Roman"/>
          <w:i/>
          <w:sz w:val="26"/>
        </w:rPr>
      </w:pPr>
    </w:p>
    <w:p>
      <w:pPr>
        <w:pStyle w:val="BodyText"/>
        <w:ind w:left="850" w:right="-20"/>
      </w:pPr>
      <w:r>
        <w:rPr/>
        <w:t>Valuación</w:t>
      </w:r>
    </w:p>
    <w:p>
      <w:pPr>
        <w:pStyle w:val="BodyText"/>
        <w:spacing w:line="286" w:lineRule="exact"/>
        <w:ind w:left="850"/>
        <w:rPr>
          <w:rFonts w:ascii="Symbol" w:hAnsi="Symbol"/>
        </w:rPr>
      </w:pPr>
      <w:r>
        <w:rPr/>
        <w:br w:type="column"/>
      </w:r>
      <w:r>
        <w:rPr>
          <w:rFonts w:ascii="Symbol" w:hAnsi="Symbol"/>
          <w:position w:val="-3"/>
        </w:rPr>
        <w:t></w:t>
      </w:r>
      <w:r>
        <w:rPr>
          <w:rFonts w:ascii="Times New Roman" w:hAnsi="Times New Roman"/>
          <w:position w:val="-3"/>
        </w:rPr>
        <w:t> </w:t>
      </w:r>
      <w:r>
        <w:rPr>
          <w:rFonts w:ascii="Times New Roman" w:hAnsi="Times New Roman"/>
        </w:rPr>
        <w:t>36000 </w:t>
      </w:r>
      <w:r>
        <w:rPr>
          <w:rFonts w:ascii="Symbol" w:hAnsi="Symbol"/>
          <w:position w:val="-3"/>
        </w:rPr>
        <w:t></w:t>
      </w:r>
    </w:p>
    <w:p>
      <w:pPr>
        <w:spacing w:after="0" w:line="286" w:lineRule="exact"/>
        <w:rPr>
          <w:rFonts w:ascii="Symbol" w:hAnsi="Symbol"/>
        </w:rPr>
        <w:sectPr>
          <w:type w:val="continuous"/>
          <w:pgSz w:w="12240" w:h="15840"/>
          <w:pgMar w:top="720" w:bottom="280" w:left="1560" w:right="1560"/>
          <w:cols w:num="2" w:equalWidth="0">
            <w:col w:w="1905" w:space="1604"/>
            <w:col w:w="5611"/>
          </w:cols>
        </w:sectPr>
      </w:pPr>
    </w:p>
    <w:p>
      <w:pPr>
        <w:pStyle w:val="ListParagraph"/>
        <w:numPr>
          <w:ilvl w:val="1"/>
          <w:numId w:val="23"/>
        </w:numPr>
        <w:tabs>
          <w:tab w:pos="1274" w:val="left" w:leader="none"/>
          <w:tab w:pos="1275" w:val="left" w:leader="none"/>
        </w:tabs>
        <w:spacing w:line="240" w:lineRule="auto" w:before="55" w:after="0"/>
        <w:ind w:left="1274" w:right="0" w:hanging="357"/>
        <w:jc w:val="left"/>
        <w:rPr>
          <w:rFonts w:ascii="Symbol" w:hAnsi="Symbol"/>
          <w:sz w:val="32"/>
        </w:rPr>
      </w:pPr>
      <w:r>
        <w:rPr>
          <w:position w:val="-11"/>
          <w:sz w:val="24"/>
        </w:rPr>
        <w:t>Futuros: </w:t>
      </w:r>
      <w:r>
        <w:rPr>
          <w:rFonts w:ascii="Times New Roman" w:hAnsi="Times New Roman"/>
          <w:i/>
          <w:spacing w:val="-5"/>
          <w:sz w:val="24"/>
        </w:rPr>
        <w:t>UPd </w:t>
      </w:r>
      <w:r>
        <w:rPr>
          <w:rFonts w:ascii="Symbol" w:hAnsi="Symbol"/>
          <w:sz w:val="24"/>
        </w:rPr>
        <w:t></w:t>
      </w:r>
      <w:r>
        <w:rPr>
          <w:rFonts w:ascii="Times New Roman" w:hAnsi="Times New Roman"/>
          <w:sz w:val="24"/>
        </w:rPr>
        <w:t> </w:t>
      </w:r>
      <w:r>
        <w:rPr>
          <w:rFonts w:ascii="Symbol" w:hAnsi="Symbol"/>
          <w:spacing w:val="2"/>
          <w:sz w:val="32"/>
        </w:rPr>
        <w:t></w:t>
      </w:r>
      <w:r>
        <w:rPr>
          <w:rFonts w:ascii="Times New Roman" w:hAnsi="Times New Roman"/>
          <w:i/>
          <w:spacing w:val="2"/>
          <w:sz w:val="24"/>
        </w:rPr>
        <w:t>N</w:t>
      </w:r>
      <w:r>
        <w:rPr>
          <w:rFonts w:ascii="Symbol" w:hAnsi="Symbol"/>
          <w:spacing w:val="2"/>
          <w:sz w:val="24"/>
        </w:rPr>
        <w:t></w:t>
      </w:r>
      <w:r>
        <w:rPr>
          <w:rFonts w:ascii="Times New Roman" w:hAnsi="Times New Roman"/>
          <w:i/>
          <w:spacing w:val="2"/>
          <w:sz w:val="24"/>
        </w:rPr>
        <w:t>contratos</w:t>
      </w:r>
      <w:r>
        <w:rPr>
          <w:rFonts w:ascii="Symbol" w:hAnsi="Symbol"/>
          <w:spacing w:val="2"/>
          <w:sz w:val="32"/>
        </w:rPr>
        <w:t></w:t>
      </w:r>
      <w:r>
        <w:rPr>
          <w:rFonts w:ascii="Symbol" w:hAnsi="Symbol"/>
          <w:spacing w:val="2"/>
          <w:sz w:val="24"/>
        </w:rPr>
        <w:t></w:t>
      </w:r>
      <w:r>
        <w:rPr>
          <w:rFonts w:ascii="Times New Roman" w:hAnsi="Times New Roman"/>
          <w:spacing w:val="2"/>
          <w:sz w:val="24"/>
        </w:rPr>
        <w:t> </w:t>
      </w:r>
      <w:r>
        <w:rPr>
          <w:rFonts w:ascii="Symbol" w:hAnsi="Symbol"/>
          <w:spacing w:val="-9"/>
          <w:sz w:val="32"/>
        </w:rPr>
        <w:t></w:t>
      </w:r>
      <w:r>
        <w:rPr>
          <w:rFonts w:ascii="Times New Roman" w:hAnsi="Times New Roman"/>
          <w:i/>
          <w:spacing w:val="-9"/>
          <w:sz w:val="24"/>
        </w:rPr>
        <w:t>Valor </w:t>
      </w:r>
      <w:r>
        <w:rPr>
          <w:rFonts w:ascii="Times New Roman" w:hAnsi="Times New Roman"/>
          <w:i/>
          <w:spacing w:val="-3"/>
          <w:sz w:val="24"/>
        </w:rPr>
        <w:t>por </w:t>
      </w:r>
      <w:r>
        <w:rPr>
          <w:rFonts w:ascii="Times New Roman" w:hAnsi="Times New Roman"/>
          <w:i/>
          <w:sz w:val="24"/>
        </w:rPr>
        <w:t>contrato</w:t>
      </w:r>
      <w:r>
        <w:rPr>
          <w:rFonts w:ascii="Symbol" w:hAnsi="Symbol"/>
          <w:sz w:val="32"/>
        </w:rPr>
        <w:t></w:t>
      </w:r>
      <w:r>
        <w:rPr>
          <w:rFonts w:ascii="Symbol" w:hAnsi="Symbol"/>
          <w:sz w:val="24"/>
        </w:rPr>
        <w:t></w:t>
      </w:r>
      <w:r>
        <w:rPr>
          <w:rFonts w:ascii="Symbol" w:hAnsi="Symbol"/>
          <w:sz w:val="32"/>
        </w:rPr>
        <w:t></w:t>
      </w:r>
      <w:r>
        <w:rPr>
          <w:rFonts w:ascii="Times New Roman" w:hAnsi="Times New Roman"/>
          <w:i/>
          <w:sz w:val="24"/>
        </w:rPr>
        <w:t>FM </w:t>
      </w:r>
      <w:r>
        <w:rPr>
          <w:rFonts w:ascii="Times New Roman" w:hAnsi="Times New Roman"/>
          <w:i/>
          <w:position w:val="-5"/>
          <w:sz w:val="14"/>
        </w:rPr>
        <w:t>t  </w:t>
      </w:r>
      <w:r>
        <w:rPr>
          <w:rFonts w:ascii="Symbol" w:hAnsi="Symbol"/>
          <w:sz w:val="24"/>
        </w:rPr>
        <w:t></w:t>
      </w:r>
      <w:r>
        <w:rPr>
          <w:rFonts w:ascii="Times New Roman" w:hAnsi="Times New Roman"/>
          <w:sz w:val="24"/>
        </w:rPr>
        <w:t> </w:t>
      </w:r>
      <w:r>
        <w:rPr>
          <w:rFonts w:ascii="Times New Roman" w:hAnsi="Times New Roman"/>
          <w:i/>
          <w:spacing w:val="-5"/>
          <w:sz w:val="24"/>
        </w:rPr>
        <w:t>FM </w:t>
      </w:r>
      <w:r>
        <w:rPr>
          <w:rFonts w:ascii="Times New Roman" w:hAnsi="Times New Roman"/>
          <w:i/>
          <w:position w:val="-5"/>
          <w:sz w:val="14"/>
        </w:rPr>
        <w:t>t </w:t>
      </w:r>
      <w:r>
        <w:rPr>
          <w:rFonts w:ascii="Symbol" w:hAnsi="Symbol"/>
          <w:spacing w:val="-6"/>
          <w:position w:val="-5"/>
          <w:sz w:val="14"/>
        </w:rPr>
        <w:t></w:t>
      </w:r>
      <w:r>
        <w:rPr>
          <w:rFonts w:ascii="Times New Roman" w:hAnsi="Times New Roman"/>
          <w:spacing w:val="-6"/>
          <w:position w:val="-5"/>
          <w:sz w:val="14"/>
        </w:rPr>
        <w:t>1</w:t>
      </w:r>
      <w:r>
        <w:rPr>
          <w:rFonts w:ascii="Times New Roman" w:hAnsi="Times New Roman"/>
          <w:spacing w:val="-17"/>
          <w:position w:val="-5"/>
          <w:sz w:val="14"/>
        </w:rPr>
        <w:t> </w:t>
      </w:r>
      <w:r>
        <w:rPr>
          <w:rFonts w:ascii="Symbol" w:hAnsi="Symbol"/>
          <w:sz w:val="32"/>
        </w:rPr>
        <w:t></w:t>
      </w:r>
    </w:p>
    <w:p>
      <w:pPr>
        <w:pStyle w:val="ListParagraph"/>
        <w:numPr>
          <w:ilvl w:val="1"/>
          <w:numId w:val="23"/>
        </w:numPr>
        <w:tabs>
          <w:tab w:pos="1274" w:val="left" w:leader="none"/>
          <w:tab w:pos="1275" w:val="left" w:leader="none"/>
        </w:tabs>
        <w:spacing w:line="240" w:lineRule="auto" w:before="134" w:after="0"/>
        <w:ind w:left="1274" w:right="0" w:hanging="357"/>
        <w:jc w:val="left"/>
        <w:rPr>
          <w:rFonts w:ascii="Times New Roman" w:hAnsi="Times New Roman"/>
          <w:sz w:val="14"/>
        </w:rPr>
      </w:pPr>
      <w:r>
        <w:rPr>
          <w:sz w:val="24"/>
        </w:rPr>
        <w:t>Forward:</w:t>
      </w:r>
      <w:r>
        <w:rPr>
          <w:spacing w:val="23"/>
          <w:sz w:val="24"/>
        </w:rPr>
        <w:t> </w:t>
      </w:r>
      <w:r>
        <w:rPr>
          <w:rFonts w:ascii="Times New Roman" w:hAnsi="Times New Roman"/>
          <w:i/>
          <w:spacing w:val="-5"/>
          <w:position w:val="12"/>
          <w:sz w:val="24"/>
        </w:rPr>
        <w:t>VM</w:t>
      </w:r>
      <w:r>
        <w:rPr>
          <w:rFonts w:ascii="Times New Roman" w:hAnsi="Times New Roman"/>
          <w:i/>
          <w:spacing w:val="-29"/>
          <w:position w:val="12"/>
          <w:sz w:val="24"/>
        </w:rPr>
        <w:t> </w:t>
      </w:r>
      <w:r>
        <w:rPr>
          <w:rFonts w:ascii="Times New Roman" w:hAnsi="Times New Roman"/>
          <w:i/>
          <w:position w:val="6"/>
          <w:sz w:val="14"/>
        </w:rPr>
        <w:t>t </w:t>
      </w:r>
      <w:r>
        <w:rPr>
          <w:rFonts w:ascii="Times New Roman" w:hAnsi="Times New Roman"/>
          <w:i/>
          <w:spacing w:val="25"/>
          <w:position w:val="6"/>
          <w:sz w:val="14"/>
        </w:rPr>
        <w:t> </w:t>
      </w:r>
      <w:r>
        <w:rPr>
          <w:rFonts w:ascii="Symbol" w:hAnsi="Symbol"/>
          <w:position w:val="12"/>
          <w:sz w:val="24"/>
        </w:rPr>
        <w:t></w:t>
      </w:r>
      <w:r>
        <w:rPr>
          <w:rFonts w:ascii="Times New Roman" w:hAnsi="Times New Roman"/>
          <w:spacing w:val="-37"/>
          <w:position w:val="12"/>
          <w:sz w:val="24"/>
        </w:rPr>
        <w:t> </w:t>
      </w:r>
      <w:r>
        <w:rPr>
          <w:rFonts w:ascii="Times New Roman" w:hAnsi="Times New Roman"/>
          <w:i/>
          <w:spacing w:val="-5"/>
          <w:position w:val="12"/>
          <w:sz w:val="24"/>
        </w:rPr>
        <w:t>VM</w:t>
      </w:r>
      <w:r>
        <w:rPr>
          <w:rFonts w:ascii="Times New Roman" w:hAnsi="Times New Roman"/>
          <w:i/>
          <w:spacing w:val="-29"/>
          <w:position w:val="12"/>
          <w:sz w:val="24"/>
        </w:rPr>
        <w:t> </w:t>
      </w:r>
      <w:r>
        <w:rPr>
          <w:rFonts w:ascii="Times New Roman" w:hAnsi="Times New Roman"/>
          <w:i/>
          <w:position w:val="6"/>
          <w:sz w:val="14"/>
        </w:rPr>
        <w:t>t</w:t>
      </w:r>
      <w:r>
        <w:rPr>
          <w:rFonts w:ascii="Times New Roman" w:hAnsi="Times New Roman"/>
          <w:i/>
          <w:spacing w:val="-20"/>
          <w:position w:val="6"/>
          <w:sz w:val="14"/>
        </w:rPr>
        <w:t> </w:t>
      </w:r>
      <w:r>
        <w:rPr>
          <w:rFonts w:ascii="Symbol" w:hAnsi="Symbol"/>
          <w:spacing w:val="-6"/>
          <w:position w:val="6"/>
          <w:sz w:val="14"/>
        </w:rPr>
        <w:t></w:t>
      </w:r>
      <w:r>
        <w:rPr>
          <w:rFonts w:ascii="Times New Roman" w:hAnsi="Times New Roman"/>
          <w:spacing w:val="-6"/>
          <w:position w:val="6"/>
          <w:sz w:val="14"/>
        </w:rPr>
        <w:t>1</w:t>
      </w:r>
    </w:p>
    <w:p>
      <w:pPr>
        <w:spacing w:line="259" w:lineRule="exact" w:before="68"/>
        <w:ind w:left="718" w:right="0" w:firstLine="0"/>
        <w:jc w:val="center"/>
        <w:rPr>
          <w:rFonts w:ascii="Symbol" w:hAnsi="Symbol"/>
          <w:sz w:val="31"/>
        </w:rPr>
      </w:pPr>
      <w:r>
        <w:rPr>
          <w:rFonts w:ascii="Times New Roman" w:hAnsi="Times New Roman"/>
          <w:i/>
          <w:sz w:val="24"/>
        </w:rPr>
        <w:t>Md </w:t>
      </w:r>
      <w:r>
        <w:rPr>
          <w:rFonts w:ascii="Symbol" w:hAnsi="Symbol"/>
          <w:sz w:val="24"/>
        </w:rPr>
        <w:t></w:t>
      </w:r>
      <w:r>
        <w:rPr>
          <w:rFonts w:ascii="Times New Roman" w:hAnsi="Times New Roman"/>
          <w:sz w:val="24"/>
        </w:rPr>
        <w:t> </w:t>
      </w:r>
      <w:r>
        <w:rPr>
          <w:rFonts w:ascii="Symbol" w:hAnsi="Symbol"/>
          <w:sz w:val="31"/>
        </w:rPr>
        <w:t></w:t>
      </w:r>
      <w:r>
        <w:rPr>
          <w:rFonts w:ascii="Times New Roman" w:hAnsi="Times New Roman"/>
          <w:i/>
          <w:sz w:val="24"/>
        </w:rPr>
        <w:t>FM  </w:t>
      </w:r>
      <w:r>
        <w:rPr>
          <w:rFonts w:ascii="Symbol" w:hAnsi="Symbol"/>
          <w:sz w:val="24"/>
        </w:rPr>
        <w:t></w:t>
      </w:r>
      <w:r>
        <w:rPr>
          <w:rFonts w:ascii="Times New Roman" w:hAnsi="Times New Roman"/>
          <w:sz w:val="24"/>
        </w:rPr>
        <w:t> </w:t>
      </w:r>
      <w:r>
        <w:rPr>
          <w:rFonts w:ascii="Times New Roman" w:hAnsi="Times New Roman"/>
          <w:i/>
          <w:sz w:val="24"/>
        </w:rPr>
        <w:t>Fp</w:t>
      </w:r>
      <w:r>
        <w:rPr>
          <w:rFonts w:ascii="Symbol" w:hAnsi="Symbol"/>
          <w:sz w:val="31"/>
        </w:rPr>
        <w:t></w:t>
      </w:r>
    </w:p>
    <w:p>
      <w:pPr>
        <w:spacing w:after="0" w:line="259" w:lineRule="exact"/>
        <w:jc w:val="center"/>
        <w:rPr>
          <w:rFonts w:ascii="Symbol" w:hAnsi="Symbol"/>
          <w:sz w:val="31"/>
        </w:rPr>
        <w:sectPr>
          <w:type w:val="continuous"/>
          <w:pgSz w:w="12240" w:h="15840"/>
          <w:pgMar w:top="720" w:bottom="280" w:left="1560" w:right="1560"/>
        </w:sectPr>
      </w:pPr>
    </w:p>
    <w:p>
      <w:pPr>
        <w:spacing w:line="302" w:lineRule="exact" w:before="0"/>
        <w:ind w:left="0" w:right="0" w:firstLine="0"/>
        <w:jc w:val="right"/>
        <w:rPr>
          <w:rFonts w:ascii="Times New Roman"/>
          <w:i/>
          <w:sz w:val="14"/>
        </w:rPr>
      </w:pPr>
      <w:r>
        <w:rPr>
          <w:rFonts w:ascii="Times New Roman"/>
          <w:i/>
          <w:sz w:val="24"/>
        </w:rPr>
        <w:t>VM </w:t>
      </w:r>
      <w:r>
        <w:rPr>
          <w:rFonts w:ascii="Times New Roman"/>
          <w:i/>
          <w:position w:val="-5"/>
          <w:sz w:val="14"/>
        </w:rPr>
        <w:t>t</w:t>
      </w:r>
    </w:p>
    <w:p>
      <w:pPr>
        <w:tabs>
          <w:tab w:pos="1276" w:val="left" w:leader="none"/>
          <w:tab w:pos="1950" w:val="left" w:leader="none"/>
        </w:tabs>
        <w:spacing w:line="207" w:lineRule="exact" w:before="0"/>
        <w:ind w:left="64" w:right="0" w:firstLine="0"/>
        <w:jc w:val="left"/>
        <w:rPr>
          <w:rFonts w:ascii="Times New Roman" w:hAnsi="Times New Roman"/>
          <w:i/>
          <w:sz w:val="14"/>
        </w:rPr>
      </w:pPr>
      <w:r>
        <w:rPr/>
        <w:br w:type="column"/>
      </w:r>
      <w:r>
        <w:rPr>
          <w:rFonts w:ascii="Symbol" w:hAnsi="Symbol"/>
          <w:position w:val="-9"/>
          <w:sz w:val="24"/>
        </w:rPr>
        <w:t></w:t>
      </w:r>
      <w:r>
        <w:rPr>
          <w:rFonts w:ascii="Times New Roman" w:hAnsi="Times New Roman"/>
          <w:i/>
          <w:sz w:val="14"/>
          <w:u w:val="single"/>
        </w:rPr>
        <w:t> </w:t>
        <w:tab/>
        <w:t>t</w:t>
        <w:tab/>
      </w:r>
    </w:p>
    <w:p>
      <w:pPr>
        <w:spacing w:line="161" w:lineRule="exact" w:before="0"/>
        <w:ind w:left="823" w:right="0" w:firstLine="0"/>
        <w:jc w:val="left"/>
        <w:rPr>
          <w:rFonts w:ascii="Symbol" w:hAnsi="Symbol"/>
          <w:sz w:val="24"/>
        </w:rPr>
      </w:pPr>
      <w:r>
        <w:rPr>
          <w:rFonts w:ascii="Symbol" w:hAnsi="Symbol"/>
          <w:sz w:val="24"/>
        </w:rPr>
        <w:t></w:t>
      </w:r>
      <w:r>
        <w:rPr>
          <w:rFonts w:ascii="Times New Roman" w:hAnsi="Times New Roman"/>
          <w:sz w:val="24"/>
        </w:rPr>
        <w:t> </w:t>
      </w:r>
      <w:r>
        <w:rPr>
          <w:rFonts w:ascii="Times New Roman" w:hAnsi="Times New Roman"/>
          <w:i/>
          <w:position w:val="2"/>
          <w:sz w:val="24"/>
        </w:rPr>
        <w:t>r</w:t>
      </w:r>
      <w:r>
        <w:rPr>
          <w:rFonts w:ascii="Times New Roman" w:hAnsi="Times New Roman"/>
          <w:i/>
          <w:position w:val="-3"/>
          <w:sz w:val="14"/>
        </w:rPr>
        <w:t>p  </w:t>
      </w:r>
      <w:r>
        <w:rPr>
          <w:rFonts w:ascii="Symbol" w:hAnsi="Symbol"/>
          <w:position w:val="2"/>
          <w:sz w:val="24"/>
        </w:rPr>
        <w:t></w:t>
      </w:r>
      <w:r>
        <w:rPr>
          <w:rFonts w:ascii="Times New Roman" w:hAnsi="Times New Roman"/>
          <w:position w:val="2"/>
          <w:sz w:val="24"/>
        </w:rPr>
        <w:t> </w:t>
      </w:r>
      <w:r>
        <w:rPr>
          <w:rFonts w:ascii="Times New Roman" w:hAnsi="Times New Roman"/>
          <w:i/>
          <w:position w:val="2"/>
          <w:sz w:val="24"/>
        </w:rPr>
        <w:t>p </w:t>
      </w:r>
      <w:r>
        <w:rPr>
          <w:rFonts w:ascii="Symbol" w:hAnsi="Symbol"/>
          <w:sz w:val="24"/>
        </w:rPr>
        <w:t></w:t>
      </w:r>
    </w:p>
    <w:p>
      <w:pPr>
        <w:spacing w:after="0" w:line="161" w:lineRule="exact"/>
        <w:jc w:val="left"/>
        <w:rPr>
          <w:rFonts w:ascii="Symbol" w:hAnsi="Symbol"/>
          <w:sz w:val="24"/>
        </w:rPr>
        <w:sectPr>
          <w:type w:val="continuous"/>
          <w:pgSz w:w="12240" w:h="15840"/>
          <w:pgMar w:top="720" w:bottom="280" w:left="1560" w:right="1560"/>
          <w:cols w:num="2" w:equalWidth="0">
            <w:col w:w="3762" w:space="40"/>
            <w:col w:w="5318"/>
          </w:cols>
        </w:sectPr>
      </w:pPr>
    </w:p>
    <w:p>
      <w:pPr>
        <w:pStyle w:val="BodyText"/>
        <w:tabs>
          <w:tab w:pos="1765" w:val="left" w:leader="none"/>
        </w:tabs>
        <w:spacing w:line="208" w:lineRule="exact"/>
        <w:ind w:left="670"/>
        <w:jc w:val="center"/>
        <w:rPr>
          <w:rFonts w:ascii="Symbol" w:hAnsi="Symbol"/>
        </w:rPr>
      </w:pPr>
      <w:r>
        <w:rPr/>
        <w:pict>
          <v:line style="position:absolute;mso-position-horizontal-relative:page;mso-position-vertical-relative:paragraph;z-index:-93568" from="315.705719pt,7.948696pt" to="346.578899pt,7.948696pt" stroked="true" strokeweight=".13962pt" strokecolor="#000000">
            <w10:wrap type="none"/>
          </v:line>
        </w:pict>
      </w:r>
      <w:r>
        <w:rPr>
          <w:rFonts w:ascii="Times New Roman" w:hAnsi="Times New Roman"/>
        </w:rPr>
        <w:t>1</w:t>
      </w:r>
      <w:r>
        <w:rPr>
          <w:rFonts w:ascii="Times New Roman" w:hAnsi="Times New Roman"/>
          <w:spacing w:val="-35"/>
        </w:rPr>
        <w:t> </w:t>
      </w:r>
      <w:r>
        <w:rPr>
          <w:rFonts w:ascii="Symbol" w:hAnsi="Symbol"/>
        </w:rPr>
        <w:t></w:t>
      </w:r>
      <w:r>
        <w:rPr>
          <w:rFonts w:ascii="Times New Roman" w:hAnsi="Times New Roman"/>
          <w:spacing w:val="-16"/>
        </w:rPr>
        <w:t> </w:t>
      </w:r>
      <w:r>
        <w:rPr>
          <w:rFonts w:ascii="Symbol" w:hAnsi="Symbol"/>
          <w:spacing w:val="-46"/>
          <w:position w:val="-9"/>
        </w:rPr>
        <w:t></w:t>
      </w:r>
      <w:r>
        <w:rPr>
          <w:rFonts w:ascii="Symbol" w:hAnsi="Symbol"/>
          <w:spacing w:val="-46"/>
          <w:position w:val="2"/>
        </w:rPr>
        <w:t></w:t>
      </w:r>
      <w:r>
        <w:rPr>
          <w:rFonts w:ascii="Times New Roman" w:hAnsi="Times New Roman"/>
          <w:spacing w:val="-46"/>
          <w:position w:val="2"/>
        </w:rPr>
        <w:tab/>
      </w:r>
      <w:r>
        <w:rPr>
          <w:rFonts w:ascii="Symbol" w:hAnsi="Symbol"/>
          <w:spacing w:val="-46"/>
          <w:position w:val="-9"/>
        </w:rPr>
        <w:t></w:t>
      </w:r>
      <w:r>
        <w:rPr>
          <w:rFonts w:ascii="Symbol" w:hAnsi="Symbol"/>
          <w:spacing w:val="-46"/>
          <w:position w:val="2"/>
        </w:rPr>
        <w:t></w:t>
      </w:r>
    </w:p>
    <w:p>
      <w:pPr>
        <w:pStyle w:val="BodyText"/>
        <w:spacing w:line="316" w:lineRule="exact"/>
        <w:ind w:left="993"/>
        <w:jc w:val="center"/>
        <w:rPr>
          <w:rFonts w:ascii="Symbol" w:hAnsi="Symbol"/>
        </w:rPr>
      </w:pPr>
      <w:r>
        <w:rPr>
          <w:rFonts w:ascii="Symbol" w:hAnsi="Symbol"/>
          <w:position w:val="-6"/>
        </w:rPr>
        <w:t></w:t>
      </w:r>
      <w:r>
        <w:rPr>
          <w:rFonts w:ascii="Times New Roman" w:hAnsi="Times New Roman"/>
          <w:position w:val="-6"/>
        </w:rPr>
        <w:t> </w:t>
      </w:r>
      <w:r>
        <w:rPr>
          <w:rFonts w:ascii="Times New Roman" w:hAnsi="Times New Roman"/>
        </w:rPr>
        <w:t>36000 </w:t>
      </w:r>
      <w:r>
        <w:rPr>
          <w:rFonts w:ascii="Symbol" w:hAnsi="Symbol"/>
          <w:position w:val="-6"/>
        </w:rPr>
        <w:t></w:t>
      </w:r>
    </w:p>
    <w:p>
      <w:pPr>
        <w:pStyle w:val="BodyText"/>
        <w:rPr>
          <w:rFonts w:ascii="Symbol" w:hAnsi="Symbol"/>
          <w:sz w:val="20"/>
        </w:rPr>
      </w:pPr>
    </w:p>
    <w:p>
      <w:pPr>
        <w:tabs>
          <w:tab w:pos="2095" w:val="left" w:leader="none"/>
        </w:tabs>
        <w:spacing w:line="257" w:lineRule="exact" w:before="224"/>
        <w:ind w:left="837" w:right="0" w:firstLine="0"/>
        <w:jc w:val="center"/>
        <w:rPr>
          <w:rFonts w:ascii="Symbol" w:hAnsi="Symbol"/>
          <w:sz w:val="31"/>
        </w:rPr>
      </w:pPr>
      <w:r>
        <w:rPr>
          <w:rFonts w:ascii="Times New Roman" w:hAnsi="Times New Roman"/>
          <w:i/>
          <w:sz w:val="24"/>
        </w:rPr>
        <w:t>Md</w:t>
      </w:r>
      <w:r>
        <w:rPr>
          <w:rFonts w:ascii="Times New Roman" w:hAnsi="Times New Roman"/>
          <w:i/>
          <w:spacing w:val="-6"/>
          <w:sz w:val="24"/>
        </w:rPr>
        <w:t> </w:t>
      </w:r>
      <w:r>
        <w:rPr>
          <w:rFonts w:ascii="Symbol" w:hAnsi="Symbol"/>
          <w:sz w:val="24"/>
        </w:rPr>
        <w:t></w:t>
      </w:r>
      <w:r>
        <w:rPr>
          <w:rFonts w:ascii="Times New Roman" w:hAnsi="Times New Roman"/>
          <w:spacing w:val="-31"/>
          <w:sz w:val="24"/>
        </w:rPr>
        <w:t> </w:t>
      </w:r>
      <w:r>
        <w:rPr>
          <w:rFonts w:ascii="Symbol" w:hAnsi="Symbol"/>
          <w:sz w:val="31"/>
        </w:rPr>
        <w:t></w:t>
      </w:r>
      <w:r>
        <w:rPr>
          <w:rFonts w:ascii="Times New Roman" w:hAnsi="Times New Roman"/>
          <w:i/>
          <w:sz w:val="24"/>
        </w:rPr>
        <w:t>FM</w:t>
        <w:tab/>
      </w:r>
      <w:r>
        <w:rPr>
          <w:rFonts w:ascii="Symbol" w:hAnsi="Symbol"/>
          <w:sz w:val="24"/>
        </w:rPr>
        <w:t></w:t>
      </w:r>
      <w:r>
        <w:rPr>
          <w:rFonts w:ascii="Times New Roman" w:hAnsi="Times New Roman"/>
          <w:spacing w:val="-28"/>
          <w:sz w:val="24"/>
        </w:rPr>
        <w:t> </w:t>
      </w:r>
      <w:r>
        <w:rPr>
          <w:rFonts w:ascii="Times New Roman" w:hAnsi="Times New Roman"/>
          <w:i/>
          <w:spacing w:val="4"/>
          <w:sz w:val="24"/>
        </w:rPr>
        <w:t>Fp</w:t>
      </w:r>
      <w:r>
        <w:rPr>
          <w:rFonts w:ascii="Symbol" w:hAnsi="Symbol"/>
          <w:spacing w:val="4"/>
          <w:sz w:val="31"/>
        </w:rPr>
        <w:t></w:t>
      </w:r>
    </w:p>
    <w:p>
      <w:pPr>
        <w:tabs>
          <w:tab w:pos="656" w:val="left" w:leader="none"/>
          <w:tab w:pos="1870" w:val="left" w:leader="none"/>
          <w:tab w:pos="2679" w:val="left" w:leader="none"/>
        </w:tabs>
        <w:spacing w:line="159" w:lineRule="exact" w:before="0"/>
        <w:ind w:left="0" w:right="38" w:firstLine="0"/>
        <w:jc w:val="center"/>
        <w:rPr>
          <w:rFonts w:ascii="Times New Roman" w:hAnsi="Times New Roman"/>
          <w:sz w:val="14"/>
        </w:rPr>
      </w:pPr>
      <w:r>
        <w:rPr>
          <w:rFonts w:ascii="Times New Roman" w:hAnsi="Times New Roman"/>
          <w:i/>
          <w:spacing w:val="-3"/>
          <w:position w:val="-9"/>
          <w:sz w:val="24"/>
        </w:rPr>
        <w:t>VM</w:t>
        <w:tab/>
      </w:r>
      <w:r>
        <w:rPr>
          <w:rFonts w:ascii="Symbol" w:hAnsi="Symbol"/>
          <w:position w:val="-9"/>
          <w:sz w:val="24"/>
        </w:rPr>
        <w:t></w:t>
      </w:r>
      <w:r>
        <w:rPr>
          <w:rFonts w:ascii="Times New Roman" w:hAnsi="Times New Roman"/>
          <w:i/>
          <w:sz w:val="14"/>
          <w:u w:val="single"/>
        </w:rPr>
        <w:t> </w:t>
        <w:tab/>
        <w:t>t</w:t>
      </w:r>
      <w:r>
        <w:rPr>
          <w:rFonts w:ascii="Times New Roman" w:hAnsi="Times New Roman"/>
          <w:i/>
          <w:spacing w:val="-20"/>
          <w:sz w:val="14"/>
          <w:u w:val="single"/>
        </w:rPr>
        <w:t> </w:t>
      </w:r>
      <w:r>
        <w:rPr>
          <w:rFonts w:ascii="Symbol" w:hAnsi="Symbol"/>
          <w:spacing w:val="-4"/>
          <w:sz w:val="14"/>
          <w:u w:val="single"/>
        </w:rPr>
        <w:t></w:t>
      </w:r>
      <w:r>
        <w:rPr>
          <w:rFonts w:ascii="Times New Roman" w:hAnsi="Times New Roman"/>
          <w:spacing w:val="-4"/>
          <w:sz w:val="14"/>
          <w:u w:val="single"/>
        </w:rPr>
        <w:t>1</w:t>
        <w:tab/>
      </w:r>
    </w:p>
    <w:p>
      <w:pPr>
        <w:spacing w:after="0" w:line="159" w:lineRule="exact"/>
        <w:jc w:val="center"/>
        <w:rPr>
          <w:rFonts w:ascii="Times New Roman" w:hAnsi="Times New Roman"/>
          <w:sz w:val="14"/>
        </w:rPr>
        <w:sectPr>
          <w:type w:val="continuous"/>
          <w:pgSz w:w="12240" w:h="15840"/>
          <w:pgMar w:top="720" w:bottom="280" w:left="1560" w:right="1560"/>
        </w:sectPr>
      </w:pPr>
    </w:p>
    <w:p>
      <w:pPr>
        <w:spacing w:line="146" w:lineRule="exact" w:before="0"/>
        <w:ind w:left="0" w:right="0" w:firstLine="0"/>
        <w:jc w:val="right"/>
        <w:rPr>
          <w:rFonts w:ascii="Times New Roman" w:hAnsi="Times New Roman"/>
          <w:sz w:val="14"/>
        </w:rPr>
      </w:pPr>
      <w:r>
        <w:rPr>
          <w:rFonts w:ascii="Times New Roman" w:hAnsi="Times New Roman"/>
          <w:i/>
          <w:sz w:val="14"/>
        </w:rPr>
        <w:t>t </w:t>
      </w:r>
      <w:r>
        <w:rPr>
          <w:rFonts w:ascii="Symbol" w:hAnsi="Symbol"/>
          <w:sz w:val="14"/>
        </w:rPr>
        <w:t></w:t>
      </w:r>
      <w:r>
        <w:rPr>
          <w:rFonts w:ascii="Times New Roman" w:hAnsi="Times New Roman"/>
          <w:sz w:val="14"/>
        </w:rPr>
        <w:t>1</w:t>
      </w:r>
    </w:p>
    <w:p>
      <w:pPr>
        <w:spacing w:line="222" w:lineRule="exact" w:before="12"/>
        <w:ind w:left="0" w:right="0" w:firstLine="0"/>
        <w:jc w:val="right"/>
        <w:rPr>
          <w:rFonts w:ascii="Symbol" w:hAnsi="Symbol"/>
          <w:sz w:val="24"/>
        </w:rPr>
      </w:pPr>
      <w:r>
        <w:rPr/>
        <w:br w:type="column"/>
      </w:r>
      <w:r>
        <w:rPr>
          <w:rFonts w:ascii="Symbol" w:hAnsi="Symbol"/>
          <w:sz w:val="24"/>
        </w:rPr>
        <w:t></w:t>
      </w:r>
    </w:p>
    <w:p>
      <w:pPr>
        <w:pStyle w:val="BodyText"/>
        <w:spacing w:line="184" w:lineRule="exact"/>
        <w:jc w:val="right"/>
        <w:rPr>
          <w:rFonts w:ascii="Symbol" w:hAnsi="Symbol"/>
        </w:rPr>
      </w:pPr>
      <w:r>
        <w:rPr>
          <w:rFonts w:ascii="Times New Roman" w:hAnsi="Times New Roman"/>
        </w:rPr>
        <w:t>1 </w:t>
      </w:r>
      <w:r>
        <w:rPr>
          <w:rFonts w:ascii="Symbol" w:hAnsi="Symbol"/>
        </w:rPr>
        <w:t></w:t>
      </w:r>
      <w:r>
        <w:rPr>
          <w:rFonts w:ascii="Times New Roman" w:hAnsi="Times New Roman"/>
        </w:rPr>
        <w:t> </w:t>
      </w:r>
      <w:r>
        <w:rPr>
          <w:rFonts w:ascii="Symbol" w:hAnsi="Symbol"/>
          <w:position w:val="-9"/>
        </w:rPr>
        <w:t></w:t>
      </w:r>
      <w:r>
        <w:rPr>
          <w:rFonts w:ascii="Symbol" w:hAnsi="Symbol"/>
          <w:position w:val="2"/>
        </w:rPr>
        <w:t></w:t>
      </w:r>
    </w:p>
    <w:p>
      <w:pPr>
        <w:spacing w:line="326" w:lineRule="exact" w:before="0"/>
        <w:ind w:left="8" w:right="0" w:firstLine="0"/>
        <w:jc w:val="left"/>
        <w:rPr>
          <w:rFonts w:ascii="Symbol" w:hAnsi="Symbol"/>
          <w:sz w:val="24"/>
        </w:rPr>
      </w:pPr>
      <w:r>
        <w:rPr/>
        <w:br w:type="column"/>
      </w:r>
      <w:r>
        <w:rPr>
          <w:rFonts w:ascii="Times New Roman" w:hAnsi="Times New Roman"/>
          <w:i/>
          <w:sz w:val="24"/>
        </w:rPr>
        <w:t>r</w:t>
      </w:r>
      <w:r>
        <w:rPr>
          <w:rFonts w:ascii="Times New Roman" w:hAnsi="Times New Roman"/>
          <w:i/>
          <w:position w:val="-5"/>
          <w:sz w:val="14"/>
        </w:rPr>
        <w:t>p </w:t>
      </w:r>
      <w:r>
        <w:rPr>
          <w:rFonts w:ascii="Symbol" w:hAnsi="Symbol"/>
          <w:sz w:val="24"/>
        </w:rPr>
        <w:t></w:t>
      </w:r>
    </w:p>
    <w:p>
      <w:pPr>
        <w:spacing w:line="234" w:lineRule="exact" w:before="12"/>
        <w:ind w:left="27" w:right="0" w:firstLine="0"/>
        <w:jc w:val="left"/>
        <w:rPr>
          <w:rFonts w:ascii="Symbol" w:hAnsi="Symbol"/>
          <w:sz w:val="24"/>
        </w:rPr>
      </w:pPr>
      <w:r>
        <w:rPr/>
        <w:br w:type="column"/>
      </w:r>
      <w:r>
        <w:rPr>
          <w:rFonts w:ascii="Times New Roman" w:hAnsi="Times New Roman"/>
          <w:i/>
          <w:position w:val="6"/>
          <w:sz w:val="24"/>
        </w:rPr>
        <w:t>p</w:t>
      </w:r>
      <w:r>
        <w:rPr>
          <w:rFonts w:ascii="Times New Roman" w:hAnsi="Times New Roman"/>
          <w:i/>
          <w:sz w:val="14"/>
        </w:rPr>
        <w:t>t </w:t>
      </w:r>
      <w:r>
        <w:rPr>
          <w:rFonts w:ascii="Symbol" w:hAnsi="Symbol"/>
          <w:sz w:val="14"/>
        </w:rPr>
        <w:t></w:t>
      </w:r>
      <w:r>
        <w:rPr>
          <w:rFonts w:ascii="Times New Roman" w:hAnsi="Times New Roman"/>
          <w:sz w:val="14"/>
        </w:rPr>
        <w:t>1 </w:t>
      </w:r>
      <w:r>
        <w:rPr>
          <w:rFonts w:ascii="Symbol" w:hAnsi="Symbol"/>
          <w:position w:val="4"/>
          <w:sz w:val="24"/>
        </w:rPr>
        <w:t></w:t>
      </w:r>
    </w:p>
    <w:p>
      <w:pPr>
        <w:pStyle w:val="BodyText"/>
        <w:spacing w:line="172" w:lineRule="exact"/>
        <w:ind w:left="411"/>
        <w:rPr>
          <w:rFonts w:ascii="Symbol" w:hAnsi="Symbol"/>
        </w:rPr>
      </w:pPr>
      <w:r>
        <w:rPr/>
        <w:pict>
          <v:line style="position:absolute;mso-position-horizontal-relative:page;mso-position-vertical-relative:paragraph;z-index:6400" from="314.170624pt,6.157759pt" to="354.081833pt,6.157759pt" stroked="true" strokeweight=".13962pt" strokecolor="#000000">
            <w10:wrap type="none"/>
          </v:line>
        </w:pict>
      </w:r>
      <w:r>
        <w:rPr>
          <w:rFonts w:ascii="Symbol" w:hAnsi="Symbol"/>
          <w:position w:val="-11"/>
        </w:rPr>
        <w:t></w:t>
      </w:r>
      <w:r>
        <w:rPr>
          <w:rFonts w:ascii="Symbol" w:hAnsi="Symbol"/>
        </w:rPr>
        <w:t></w:t>
      </w:r>
    </w:p>
    <w:p>
      <w:pPr>
        <w:spacing w:after="0" w:line="172" w:lineRule="exact"/>
        <w:rPr>
          <w:rFonts w:ascii="Symbol" w:hAnsi="Symbol"/>
        </w:rPr>
        <w:sectPr>
          <w:type w:val="continuous"/>
          <w:pgSz w:w="12240" w:h="15840"/>
          <w:pgMar w:top="720" w:bottom="280" w:left="1560" w:right="1560"/>
          <w:cols w:num="4" w:equalWidth="0">
            <w:col w:w="3773" w:space="40"/>
            <w:col w:w="874" w:space="40"/>
            <w:col w:w="370" w:space="40"/>
            <w:col w:w="3983"/>
          </w:cols>
        </w:sectPr>
      </w:pPr>
    </w:p>
    <w:p>
      <w:pPr>
        <w:pStyle w:val="BodyText"/>
        <w:spacing w:line="316" w:lineRule="exact"/>
        <w:ind w:left="1113"/>
        <w:jc w:val="center"/>
        <w:rPr>
          <w:rFonts w:ascii="Symbol" w:hAnsi="Symbol"/>
        </w:rPr>
      </w:pPr>
      <w:r>
        <w:rPr>
          <w:rFonts w:ascii="Symbol" w:hAnsi="Symbol"/>
          <w:position w:val="-6"/>
        </w:rPr>
        <w:t></w:t>
      </w:r>
      <w:r>
        <w:rPr>
          <w:rFonts w:ascii="Times New Roman" w:hAnsi="Times New Roman"/>
          <w:position w:val="-6"/>
        </w:rPr>
        <w:t>  </w:t>
      </w:r>
      <w:r>
        <w:rPr>
          <w:rFonts w:ascii="Times New Roman" w:hAnsi="Times New Roman"/>
        </w:rPr>
        <w:t>36000  </w:t>
      </w:r>
      <w:r>
        <w:rPr>
          <w:rFonts w:ascii="Symbol" w:hAnsi="Symbol"/>
          <w:position w:val="-6"/>
        </w:rPr>
        <w:t></w:t>
      </w:r>
    </w:p>
    <w:sectPr>
      <w:type w:val="continuous"/>
      <w:pgSz w:w="12240" w:h="15840"/>
      <w:pgMar w:top="720" w:bottom="280" w:left="1560" w:right="1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44.172424pt;width:15.05pt;height:13.05pt;mso-position-horizontal-relative:page;mso-position-vertical-relative:page;z-index:-98896" type="#_x0000_t202" filled="false" stroked="false">
          <v:textbox inset="0,0,0,0">
            <w:txbxContent>
              <w:p>
                <w:pPr>
                  <w:spacing w:line="245" w:lineRule="exact" w:before="0"/>
                  <w:ind w:left="40" w:right="0" w:firstLine="0"/>
                  <w:jc w:val="left"/>
                  <w:rPr>
                    <w:rFonts w:ascii="Times New Roman"/>
                    <w:sz w:val="22"/>
                  </w:rPr>
                </w:pPr>
                <w:r>
                  <w:rPr/>
                  <w:fldChar w:fldCharType="begin"/>
                </w:r>
                <w:r>
                  <w:rPr>
                    <w:rFonts w:ascii="Times New Roman"/>
                    <w:sz w:val="22"/>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44.172424pt;width:15.05pt;height:13.05pt;mso-position-horizontal-relative:page;mso-position-vertical-relative:page;z-index:-98872" type="#_x0000_t202" filled="false" stroked="false">
          <v:textbox inset="0,0,0,0">
            <w:txbxContent>
              <w:p>
                <w:pPr>
                  <w:spacing w:line="245" w:lineRule="exact" w:before="0"/>
                  <w:ind w:left="40" w:right="0" w:firstLine="0"/>
                  <w:jc w:val="left"/>
                  <w:rPr>
                    <w:rFonts w:ascii="Times New Roman"/>
                    <w:sz w:val="22"/>
                  </w:rPr>
                </w:pPr>
                <w:r>
                  <w:rPr/>
                  <w:fldChar w:fldCharType="begin"/>
                </w:r>
                <w:r>
                  <w:rPr>
                    <w:rFonts w:ascii="Times New Roman"/>
                    <w:sz w:val="22"/>
                  </w:rPr>
                  <w:instrText> PAGE </w:instrText>
                </w:r>
                <w:r>
                  <w:rPr/>
                  <w:fldChar w:fldCharType="separate"/>
                </w:r>
                <w:r>
                  <w:rPr/>
                  <w:t>35</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44.172424pt;width:15.05pt;height:13.05pt;mso-position-horizontal-relative:page;mso-position-vertical-relative:page;z-index:-98848" type="#_x0000_t202" filled="false" stroked="false">
          <v:textbox inset="0,0,0,0">
            <w:txbxContent>
              <w:p>
                <w:pPr>
                  <w:spacing w:line="245" w:lineRule="exact" w:before="0"/>
                  <w:ind w:left="40" w:right="0" w:firstLine="0"/>
                  <w:jc w:val="left"/>
                  <w:rPr>
                    <w:rFonts w:ascii="Times New Roman"/>
                    <w:sz w:val="22"/>
                  </w:rPr>
                </w:pPr>
                <w:r>
                  <w:rPr/>
                  <w:fldChar w:fldCharType="begin"/>
                </w:r>
                <w:r>
                  <w:rPr>
                    <w:rFonts w:ascii="Times New Roman"/>
                    <w:sz w:val="22"/>
                  </w:rPr>
                  <w:instrText> PAGE </w:instrText>
                </w:r>
                <w:r>
                  <w:rPr/>
                  <w:fldChar w:fldCharType="separate"/>
                </w:r>
                <w:r>
                  <w:rPr/>
                  <w:t>52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44.172424pt;width:15.05pt;height:13.05pt;mso-position-horizontal-relative:page;mso-position-vertical-relative:page;z-index:-98824" type="#_x0000_t202" filled="false" stroked="false">
          <v:textbox inset="0,0,0,0">
            <w:txbxContent>
              <w:p>
                <w:pPr>
                  <w:spacing w:line="245" w:lineRule="exact" w:before="0"/>
                  <w:ind w:left="40" w:right="0" w:firstLine="0"/>
                  <w:jc w:val="left"/>
                  <w:rPr>
                    <w:rFonts w:ascii="Times New Roman"/>
                    <w:sz w:val="22"/>
                  </w:rPr>
                </w:pPr>
                <w:r>
                  <w:rPr/>
                  <w:fldChar w:fldCharType="begin"/>
                </w:r>
                <w:r>
                  <w:rPr>
                    <w:rFonts w:ascii="Times New Roman"/>
                    <w:sz w:val="22"/>
                  </w:rPr>
                  <w:instrText> PAGE </w:instrText>
                </w:r>
                <w:r>
                  <w:rPr/>
                  <w:fldChar w:fldCharType="separate"/>
                </w:r>
                <w:r>
                  <w:rPr/>
                  <w:t>85</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2.664001pt;margin-top:35.569267pt;width:446.8pt;height:25.05pt;mso-position-horizontal-relative:page;mso-position-vertical-relative:page;z-index:-98920" type="#_x0000_t202" filled="false" stroked="false">
          <v:textbox inset="0,0,0,0">
            <w:txbxContent>
              <w:p>
                <w:pPr>
                  <w:tabs>
                    <w:tab w:pos="2643" w:val="left" w:leader="none"/>
                    <w:tab w:pos="8915" w:val="left" w:leader="none"/>
                  </w:tabs>
                  <w:spacing w:line="273" w:lineRule="auto" w:before="0"/>
                  <w:ind w:left="3550" w:right="18" w:hanging="3531"/>
                  <w:jc w:val="left"/>
                  <w:rPr>
                    <w:sz w:val="20"/>
                  </w:rPr>
                </w:pPr>
                <w:r>
                  <w:rPr>
                    <w:w w:val="99"/>
                    <w:sz w:val="20"/>
                    <w:u w:val="single"/>
                  </w:rPr>
                  <w:t> </w:t>
                </w:r>
                <w:r>
                  <w:rPr>
                    <w:sz w:val="20"/>
                    <w:u w:val="single"/>
                  </w:rPr>
                  <w:tab/>
                  <w:t>Perfiles sobre Administración</w:t>
                </w:r>
                <w:r>
                  <w:rPr>
                    <w:spacing w:val="-10"/>
                    <w:sz w:val="20"/>
                    <w:u w:val="single"/>
                  </w:rPr>
                  <w:t> </w:t>
                </w:r>
                <w:r>
                  <w:rPr>
                    <w:sz w:val="20"/>
                    <w:u w:val="single"/>
                  </w:rPr>
                  <w:t>de</w:t>
                </w:r>
                <w:r>
                  <w:rPr>
                    <w:spacing w:val="-4"/>
                    <w:sz w:val="20"/>
                    <w:u w:val="single"/>
                  </w:rPr>
                  <w:t> </w:t>
                </w:r>
                <w:r>
                  <w:rPr>
                    <w:sz w:val="20"/>
                    <w:u w:val="single"/>
                  </w:rPr>
                  <w:t>Riesgos</w:t>
                  <w:tab/>
                </w:r>
                <w:r>
                  <w:rPr>
                    <w:sz w:val="20"/>
                  </w:rPr>
                  <w:t> Categoría:</w:t>
                </w:r>
                <w:r>
                  <w:rPr>
                    <w:spacing w:val="-8"/>
                    <w:sz w:val="20"/>
                  </w:rPr>
                  <w:t> </w:t>
                </w:r>
                <w:r>
                  <w:rPr>
                    <w:sz w:val="20"/>
                  </w:rPr>
                  <w:t>Antología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1"/>
      <w:numFmt w:val="bullet"/>
      <w:lvlText w:val=""/>
      <w:lvlJc w:val="left"/>
      <w:pPr>
        <w:ind w:left="396" w:hanging="188"/>
      </w:pPr>
      <w:rPr>
        <w:rFonts w:hint="default" w:ascii="Symbol" w:hAnsi="Symbol" w:eastAsia="Symbol" w:cs="Symbol"/>
        <w:w w:val="100"/>
        <w:position w:val="-11"/>
        <w:sz w:val="24"/>
        <w:szCs w:val="24"/>
      </w:rPr>
    </w:lvl>
    <w:lvl w:ilvl="1">
      <w:start w:val="1"/>
      <w:numFmt w:val="bullet"/>
      <w:lvlText w:val=""/>
      <w:lvlJc w:val="left"/>
      <w:pPr>
        <w:ind w:left="1274" w:hanging="358"/>
      </w:pPr>
      <w:rPr>
        <w:rFonts w:hint="default" w:ascii="Symbol" w:hAnsi="Symbol" w:eastAsia="Symbol" w:cs="Symbol"/>
        <w:w w:val="100"/>
        <w:position w:val="1"/>
        <w:sz w:val="24"/>
        <w:szCs w:val="24"/>
      </w:rPr>
    </w:lvl>
    <w:lvl w:ilvl="2">
      <w:start w:val="1"/>
      <w:numFmt w:val="bullet"/>
      <w:lvlText w:val="•"/>
      <w:lvlJc w:val="left"/>
      <w:pPr>
        <w:ind w:left="1857" w:hanging="358"/>
      </w:pPr>
      <w:rPr>
        <w:rFonts w:hint="default"/>
      </w:rPr>
    </w:lvl>
    <w:lvl w:ilvl="3">
      <w:start w:val="1"/>
      <w:numFmt w:val="bullet"/>
      <w:lvlText w:val="•"/>
      <w:lvlJc w:val="left"/>
      <w:pPr>
        <w:ind w:left="2434" w:hanging="358"/>
      </w:pPr>
      <w:rPr>
        <w:rFonts w:hint="default"/>
      </w:rPr>
    </w:lvl>
    <w:lvl w:ilvl="4">
      <w:start w:val="1"/>
      <w:numFmt w:val="bullet"/>
      <w:lvlText w:val="•"/>
      <w:lvlJc w:val="left"/>
      <w:pPr>
        <w:ind w:left="3011" w:hanging="358"/>
      </w:pPr>
      <w:rPr>
        <w:rFonts w:hint="default"/>
      </w:rPr>
    </w:lvl>
    <w:lvl w:ilvl="5">
      <w:start w:val="1"/>
      <w:numFmt w:val="bullet"/>
      <w:lvlText w:val="•"/>
      <w:lvlJc w:val="left"/>
      <w:pPr>
        <w:ind w:left="3588" w:hanging="358"/>
      </w:pPr>
      <w:rPr>
        <w:rFonts w:hint="default"/>
      </w:rPr>
    </w:lvl>
    <w:lvl w:ilvl="6">
      <w:start w:val="1"/>
      <w:numFmt w:val="bullet"/>
      <w:lvlText w:val="•"/>
      <w:lvlJc w:val="left"/>
      <w:pPr>
        <w:ind w:left="4165" w:hanging="358"/>
      </w:pPr>
      <w:rPr>
        <w:rFonts w:hint="default"/>
      </w:rPr>
    </w:lvl>
    <w:lvl w:ilvl="7">
      <w:start w:val="1"/>
      <w:numFmt w:val="bullet"/>
      <w:lvlText w:val="•"/>
      <w:lvlJc w:val="left"/>
      <w:pPr>
        <w:ind w:left="4742" w:hanging="358"/>
      </w:pPr>
      <w:rPr>
        <w:rFonts w:hint="default"/>
      </w:rPr>
    </w:lvl>
    <w:lvl w:ilvl="8">
      <w:start w:val="1"/>
      <w:numFmt w:val="bullet"/>
      <w:lvlText w:val="•"/>
      <w:lvlJc w:val="left"/>
      <w:pPr>
        <w:ind w:left="5319" w:hanging="358"/>
      </w:pPr>
      <w:rPr>
        <w:rFonts w:hint="default"/>
      </w:rPr>
    </w:lvl>
  </w:abstractNum>
  <w:abstractNum w:abstractNumId="20">
    <w:multiLevelType w:val="hybridMultilevel"/>
    <w:lvl w:ilvl="0">
      <w:start w:val="1"/>
      <w:numFmt w:val="bullet"/>
      <w:lvlText w:val=""/>
      <w:lvlJc w:val="left"/>
      <w:pPr>
        <w:ind w:left="1274" w:hanging="358"/>
      </w:pPr>
      <w:rPr>
        <w:rFonts w:hint="default" w:ascii="Symbol" w:hAnsi="Symbol" w:eastAsia="Symbol" w:cs="Symbol"/>
        <w:w w:val="100"/>
        <w:sz w:val="24"/>
        <w:szCs w:val="24"/>
      </w:rPr>
    </w:lvl>
    <w:lvl w:ilvl="1">
      <w:start w:val="1"/>
      <w:numFmt w:val="bullet"/>
      <w:lvlText w:val="•"/>
      <w:lvlJc w:val="left"/>
      <w:pPr>
        <w:ind w:left="2064" w:hanging="358"/>
      </w:pPr>
      <w:rPr>
        <w:rFonts w:hint="default"/>
      </w:rPr>
    </w:lvl>
    <w:lvl w:ilvl="2">
      <w:start w:val="1"/>
      <w:numFmt w:val="bullet"/>
      <w:lvlText w:val="•"/>
      <w:lvlJc w:val="left"/>
      <w:pPr>
        <w:ind w:left="2848" w:hanging="358"/>
      </w:pPr>
      <w:rPr>
        <w:rFonts w:hint="default"/>
      </w:rPr>
    </w:lvl>
    <w:lvl w:ilvl="3">
      <w:start w:val="1"/>
      <w:numFmt w:val="bullet"/>
      <w:lvlText w:val="•"/>
      <w:lvlJc w:val="left"/>
      <w:pPr>
        <w:ind w:left="3632" w:hanging="358"/>
      </w:pPr>
      <w:rPr>
        <w:rFonts w:hint="default"/>
      </w:rPr>
    </w:lvl>
    <w:lvl w:ilvl="4">
      <w:start w:val="1"/>
      <w:numFmt w:val="bullet"/>
      <w:lvlText w:val="•"/>
      <w:lvlJc w:val="left"/>
      <w:pPr>
        <w:ind w:left="4416" w:hanging="358"/>
      </w:pPr>
      <w:rPr>
        <w:rFonts w:hint="default"/>
      </w:rPr>
    </w:lvl>
    <w:lvl w:ilvl="5">
      <w:start w:val="1"/>
      <w:numFmt w:val="bullet"/>
      <w:lvlText w:val="•"/>
      <w:lvlJc w:val="left"/>
      <w:pPr>
        <w:ind w:left="5200" w:hanging="358"/>
      </w:pPr>
      <w:rPr>
        <w:rFonts w:hint="default"/>
      </w:rPr>
    </w:lvl>
    <w:lvl w:ilvl="6">
      <w:start w:val="1"/>
      <w:numFmt w:val="bullet"/>
      <w:lvlText w:val="•"/>
      <w:lvlJc w:val="left"/>
      <w:pPr>
        <w:ind w:left="5984" w:hanging="358"/>
      </w:pPr>
      <w:rPr>
        <w:rFonts w:hint="default"/>
      </w:rPr>
    </w:lvl>
    <w:lvl w:ilvl="7">
      <w:start w:val="1"/>
      <w:numFmt w:val="bullet"/>
      <w:lvlText w:val="•"/>
      <w:lvlJc w:val="left"/>
      <w:pPr>
        <w:ind w:left="6768" w:hanging="358"/>
      </w:pPr>
      <w:rPr>
        <w:rFonts w:hint="default"/>
      </w:rPr>
    </w:lvl>
    <w:lvl w:ilvl="8">
      <w:start w:val="1"/>
      <w:numFmt w:val="bullet"/>
      <w:lvlText w:val="•"/>
      <w:lvlJc w:val="left"/>
      <w:pPr>
        <w:ind w:left="7552" w:hanging="358"/>
      </w:pPr>
      <w:rPr>
        <w:rFonts w:hint="default"/>
      </w:rPr>
    </w:lvl>
  </w:abstractNum>
  <w:abstractNum w:abstractNumId="9">
    <w:multiLevelType w:val="hybridMultilevel"/>
    <w:lvl w:ilvl="0">
      <w:start w:val="1"/>
      <w:numFmt w:val="bullet"/>
      <w:lvlText w:val=""/>
      <w:lvlJc w:val="left"/>
      <w:pPr>
        <w:ind w:left="1274" w:hanging="358"/>
      </w:pPr>
      <w:rPr>
        <w:rFonts w:hint="default" w:ascii="Symbol" w:hAnsi="Symbol" w:eastAsia="Symbol" w:cs="Symbol"/>
        <w:w w:val="100"/>
        <w:sz w:val="24"/>
        <w:szCs w:val="24"/>
      </w:rPr>
    </w:lvl>
    <w:lvl w:ilvl="1">
      <w:start w:val="1"/>
      <w:numFmt w:val="bullet"/>
      <w:lvlText w:val="•"/>
      <w:lvlJc w:val="left"/>
      <w:pPr>
        <w:ind w:left="3740" w:hanging="358"/>
      </w:pPr>
      <w:rPr>
        <w:rFonts w:hint="default"/>
      </w:rPr>
    </w:lvl>
    <w:lvl w:ilvl="2">
      <w:start w:val="1"/>
      <w:numFmt w:val="bullet"/>
      <w:lvlText w:val="•"/>
      <w:lvlJc w:val="left"/>
      <w:pPr>
        <w:ind w:left="4180" w:hanging="358"/>
      </w:pPr>
      <w:rPr>
        <w:rFonts w:hint="default"/>
      </w:rPr>
    </w:lvl>
    <w:lvl w:ilvl="3">
      <w:start w:val="1"/>
      <w:numFmt w:val="bullet"/>
      <w:lvlText w:val="•"/>
      <w:lvlJc w:val="left"/>
      <w:pPr>
        <w:ind w:left="4797" w:hanging="358"/>
      </w:pPr>
      <w:rPr>
        <w:rFonts w:hint="default"/>
      </w:rPr>
    </w:lvl>
    <w:lvl w:ilvl="4">
      <w:start w:val="1"/>
      <w:numFmt w:val="bullet"/>
      <w:lvlText w:val="•"/>
      <w:lvlJc w:val="left"/>
      <w:pPr>
        <w:ind w:left="5415" w:hanging="358"/>
      </w:pPr>
      <w:rPr>
        <w:rFonts w:hint="default"/>
      </w:rPr>
    </w:lvl>
    <w:lvl w:ilvl="5">
      <w:start w:val="1"/>
      <w:numFmt w:val="bullet"/>
      <w:lvlText w:val="•"/>
      <w:lvlJc w:val="left"/>
      <w:pPr>
        <w:ind w:left="6032" w:hanging="358"/>
      </w:pPr>
      <w:rPr>
        <w:rFonts w:hint="default"/>
      </w:rPr>
    </w:lvl>
    <w:lvl w:ilvl="6">
      <w:start w:val="1"/>
      <w:numFmt w:val="bullet"/>
      <w:lvlText w:val="•"/>
      <w:lvlJc w:val="left"/>
      <w:pPr>
        <w:ind w:left="6650" w:hanging="358"/>
      </w:pPr>
      <w:rPr>
        <w:rFonts w:hint="default"/>
      </w:rPr>
    </w:lvl>
    <w:lvl w:ilvl="7">
      <w:start w:val="1"/>
      <w:numFmt w:val="bullet"/>
      <w:lvlText w:val="•"/>
      <w:lvlJc w:val="left"/>
      <w:pPr>
        <w:ind w:left="7267" w:hanging="358"/>
      </w:pPr>
      <w:rPr>
        <w:rFonts w:hint="default"/>
      </w:rPr>
    </w:lvl>
    <w:lvl w:ilvl="8">
      <w:start w:val="1"/>
      <w:numFmt w:val="bullet"/>
      <w:lvlText w:val="•"/>
      <w:lvlJc w:val="left"/>
      <w:pPr>
        <w:ind w:left="7885" w:hanging="358"/>
      </w:pPr>
      <w:rPr>
        <w:rFonts w:hint="default"/>
      </w:rPr>
    </w:lvl>
  </w:abstractNum>
  <w:abstractNum w:abstractNumId="22">
    <w:multiLevelType w:val="hybridMultilevel"/>
    <w:lvl w:ilvl="0">
      <w:start w:val="1"/>
      <w:numFmt w:val="bullet"/>
      <w:lvlText w:val=""/>
      <w:lvlJc w:val="left"/>
      <w:pPr>
        <w:ind w:left="542" w:hanging="415"/>
      </w:pPr>
      <w:rPr>
        <w:rFonts w:hint="default" w:ascii="Symbol" w:hAnsi="Symbol" w:eastAsia="Symbol" w:cs="Symbol"/>
        <w:w w:val="100"/>
        <w:position w:val="-12"/>
        <w:sz w:val="24"/>
        <w:szCs w:val="24"/>
      </w:rPr>
    </w:lvl>
    <w:lvl w:ilvl="1">
      <w:start w:val="1"/>
      <w:numFmt w:val="bullet"/>
      <w:lvlText w:val=""/>
      <w:lvlJc w:val="left"/>
      <w:pPr>
        <w:ind w:left="1274" w:hanging="358"/>
      </w:pPr>
      <w:rPr>
        <w:rFonts w:hint="default" w:ascii="Symbol" w:hAnsi="Symbol" w:eastAsia="Symbol" w:cs="Symbol"/>
        <w:w w:val="100"/>
        <w:position w:val="-11"/>
        <w:sz w:val="24"/>
        <w:szCs w:val="24"/>
      </w:rPr>
    </w:lvl>
    <w:lvl w:ilvl="2">
      <w:start w:val="1"/>
      <w:numFmt w:val="bullet"/>
      <w:lvlText w:val="•"/>
      <w:lvlJc w:val="left"/>
      <w:pPr>
        <w:ind w:left="1565" w:hanging="358"/>
      </w:pPr>
      <w:rPr>
        <w:rFonts w:hint="default"/>
      </w:rPr>
    </w:lvl>
    <w:lvl w:ilvl="3">
      <w:start w:val="1"/>
      <w:numFmt w:val="bullet"/>
      <w:lvlText w:val="•"/>
      <w:lvlJc w:val="left"/>
      <w:pPr>
        <w:ind w:left="1851" w:hanging="358"/>
      </w:pPr>
      <w:rPr>
        <w:rFonts w:hint="default"/>
      </w:rPr>
    </w:lvl>
    <w:lvl w:ilvl="4">
      <w:start w:val="1"/>
      <w:numFmt w:val="bullet"/>
      <w:lvlText w:val="•"/>
      <w:lvlJc w:val="left"/>
      <w:pPr>
        <w:ind w:left="2137" w:hanging="358"/>
      </w:pPr>
      <w:rPr>
        <w:rFonts w:hint="default"/>
      </w:rPr>
    </w:lvl>
    <w:lvl w:ilvl="5">
      <w:start w:val="1"/>
      <w:numFmt w:val="bullet"/>
      <w:lvlText w:val="•"/>
      <w:lvlJc w:val="left"/>
      <w:pPr>
        <w:ind w:left="2423" w:hanging="358"/>
      </w:pPr>
      <w:rPr>
        <w:rFonts w:hint="default"/>
      </w:rPr>
    </w:lvl>
    <w:lvl w:ilvl="6">
      <w:start w:val="1"/>
      <w:numFmt w:val="bullet"/>
      <w:lvlText w:val="•"/>
      <w:lvlJc w:val="left"/>
      <w:pPr>
        <w:ind w:left="2709" w:hanging="358"/>
      </w:pPr>
      <w:rPr>
        <w:rFonts w:hint="default"/>
      </w:rPr>
    </w:lvl>
    <w:lvl w:ilvl="7">
      <w:start w:val="1"/>
      <w:numFmt w:val="bullet"/>
      <w:lvlText w:val="•"/>
      <w:lvlJc w:val="left"/>
      <w:pPr>
        <w:ind w:left="2995" w:hanging="358"/>
      </w:pPr>
      <w:rPr>
        <w:rFonts w:hint="default"/>
      </w:rPr>
    </w:lvl>
    <w:lvl w:ilvl="8">
      <w:start w:val="1"/>
      <w:numFmt w:val="bullet"/>
      <w:lvlText w:val="•"/>
      <w:lvlJc w:val="left"/>
      <w:pPr>
        <w:ind w:left="3281" w:hanging="358"/>
      </w:pPr>
      <w:rPr>
        <w:rFonts w:hint="default"/>
      </w:rPr>
    </w:lvl>
  </w:abstractNum>
  <w:abstractNum w:abstractNumId="19">
    <w:multiLevelType w:val="hybridMultilevel"/>
    <w:lvl w:ilvl="0">
      <w:start w:val="16"/>
      <w:numFmt w:val="upperLetter"/>
      <w:lvlText w:val="%1."/>
      <w:lvlJc w:val="left"/>
      <w:pPr>
        <w:ind w:left="24" w:hanging="243"/>
        <w:jc w:val="left"/>
      </w:pPr>
      <w:rPr>
        <w:rFonts w:hint="default" w:ascii="Arial" w:hAnsi="Arial" w:eastAsia="Arial" w:cs="Arial"/>
        <w:spacing w:val="-1"/>
        <w:w w:val="99"/>
        <w:sz w:val="20"/>
        <w:szCs w:val="20"/>
      </w:rPr>
    </w:lvl>
    <w:lvl w:ilvl="1">
      <w:start w:val="1"/>
      <w:numFmt w:val="bullet"/>
      <w:lvlText w:val=""/>
      <w:lvlJc w:val="left"/>
      <w:pPr>
        <w:ind w:left="434" w:hanging="165"/>
      </w:pPr>
      <w:rPr>
        <w:rFonts w:hint="default" w:ascii="Symbol" w:hAnsi="Symbol" w:eastAsia="Symbol" w:cs="Symbol"/>
        <w:w w:val="100"/>
        <w:sz w:val="24"/>
        <w:szCs w:val="24"/>
      </w:rPr>
    </w:lvl>
    <w:lvl w:ilvl="2">
      <w:start w:val="1"/>
      <w:numFmt w:val="bullet"/>
      <w:lvlText w:val="•"/>
      <w:lvlJc w:val="left"/>
      <w:pPr>
        <w:ind w:left="480" w:hanging="165"/>
      </w:pPr>
      <w:rPr>
        <w:rFonts w:hint="default"/>
      </w:rPr>
    </w:lvl>
    <w:lvl w:ilvl="3">
      <w:start w:val="1"/>
      <w:numFmt w:val="bullet"/>
      <w:lvlText w:val="•"/>
      <w:lvlJc w:val="left"/>
      <w:pPr>
        <w:ind w:left="521" w:hanging="165"/>
      </w:pPr>
      <w:rPr>
        <w:rFonts w:hint="default"/>
      </w:rPr>
    </w:lvl>
    <w:lvl w:ilvl="4">
      <w:start w:val="1"/>
      <w:numFmt w:val="bullet"/>
      <w:lvlText w:val="•"/>
      <w:lvlJc w:val="left"/>
      <w:pPr>
        <w:ind w:left="561" w:hanging="165"/>
      </w:pPr>
      <w:rPr>
        <w:rFonts w:hint="default"/>
      </w:rPr>
    </w:lvl>
    <w:lvl w:ilvl="5">
      <w:start w:val="1"/>
      <w:numFmt w:val="bullet"/>
      <w:lvlText w:val="•"/>
      <w:lvlJc w:val="left"/>
      <w:pPr>
        <w:ind w:left="602" w:hanging="165"/>
      </w:pPr>
      <w:rPr>
        <w:rFonts w:hint="default"/>
      </w:rPr>
    </w:lvl>
    <w:lvl w:ilvl="6">
      <w:start w:val="1"/>
      <w:numFmt w:val="bullet"/>
      <w:lvlText w:val="•"/>
      <w:lvlJc w:val="left"/>
      <w:pPr>
        <w:ind w:left="642" w:hanging="165"/>
      </w:pPr>
      <w:rPr>
        <w:rFonts w:hint="default"/>
      </w:rPr>
    </w:lvl>
    <w:lvl w:ilvl="7">
      <w:start w:val="1"/>
      <w:numFmt w:val="bullet"/>
      <w:lvlText w:val="•"/>
      <w:lvlJc w:val="left"/>
      <w:pPr>
        <w:ind w:left="683" w:hanging="165"/>
      </w:pPr>
      <w:rPr>
        <w:rFonts w:hint="default"/>
      </w:rPr>
    </w:lvl>
    <w:lvl w:ilvl="8">
      <w:start w:val="1"/>
      <w:numFmt w:val="bullet"/>
      <w:lvlText w:val="•"/>
      <w:lvlJc w:val="left"/>
      <w:pPr>
        <w:ind w:left="723" w:hanging="165"/>
      </w:pPr>
      <w:rPr>
        <w:rFonts w:hint="default"/>
      </w:rPr>
    </w:lvl>
  </w:abstractNum>
  <w:abstractNum w:abstractNumId="18">
    <w:multiLevelType w:val="hybridMultilevel"/>
    <w:lvl w:ilvl="0">
      <w:start w:val="1"/>
      <w:numFmt w:val="upperLetter"/>
      <w:lvlText w:val="%1."/>
      <w:lvlJc w:val="left"/>
      <w:pPr>
        <w:ind w:left="437" w:hanging="296"/>
        <w:jc w:val="left"/>
      </w:pPr>
      <w:rPr>
        <w:rFonts w:hint="default" w:ascii="Arial" w:hAnsi="Arial" w:eastAsia="Arial" w:cs="Arial"/>
        <w:w w:val="100"/>
        <w:sz w:val="24"/>
        <w:szCs w:val="24"/>
      </w:rPr>
    </w:lvl>
    <w:lvl w:ilvl="1">
      <w:start w:val="1"/>
      <w:numFmt w:val="bullet"/>
      <w:lvlText w:val=""/>
      <w:lvlJc w:val="left"/>
      <w:pPr>
        <w:ind w:left="1274" w:hanging="358"/>
      </w:pPr>
      <w:rPr>
        <w:rFonts w:hint="default" w:ascii="Symbol" w:hAnsi="Symbol" w:eastAsia="Symbol" w:cs="Symbol"/>
        <w:w w:val="100"/>
        <w:sz w:val="24"/>
        <w:szCs w:val="24"/>
      </w:rPr>
    </w:lvl>
    <w:lvl w:ilvl="2">
      <w:start w:val="1"/>
      <w:numFmt w:val="bullet"/>
      <w:lvlText w:val="•"/>
      <w:lvlJc w:val="left"/>
      <w:pPr>
        <w:ind w:left="2151" w:hanging="358"/>
      </w:pPr>
      <w:rPr>
        <w:rFonts w:hint="default"/>
      </w:rPr>
    </w:lvl>
    <w:lvl w:ilvl="3">
      <w:start w:val="1"/>
      <w:numFmt w:val="bullet"/>
      <w:lvlText w:val="•"/>
      <w:lvlJc w:val="left"/>
      <w:pPr>
        <w:ind w:left="3022" w:hanging="358"/>
      </w:pPr>
      <w:rPr>
        <w:rFonts w:hint="default"/>
      </w:rPr>
    </w:lvl>
    <w:lvl w:ilvl="4">
      <w:start w:val="1"/>
      <w:numFmt w:val="bullet"/>
      <w:lvlText w:val="•"/>
      <w:lvlJc w:val="left"/>
      <w:pPr>
        <w:ind w:left="3893" w:hanging="358"/>
      </w:pPr>
      <w:rPr>
        <w:rFonts w:hint="default"/>
      </w:rPr>
    </w:lvl>
    <w:lvl w:ilvl="5">
      <w:start w:val="1"/>
      <w:numFmt w:val="bullet"/>
      <w:lvlText w:val="•"/>
      <w:lvlJc w:val="left"/>
      <w:pPr>
        <w:ind w:left="4764" w:hanging="358"/>
      </w:pPr>
      <w:rPr>
        <w:rFonts w:hint="default"/>
      </w:rPr>
    </w:lvl>
    <w:lvl w:ilvl="6">
      <w:start w:val="1"/>
      <w:numFmt w:val="bullet"/>
      <w:lvlText w:val="•"/>
      <w:lvlJc w:val="left"/>
      <w:pPr>
        <w:ind w:left="5635" w:hanging="358"/>
      </w:pPr>
      <w:rPr>
        <w:rFonts w:hint="default"/>
      </w:rPr>
    </w:lvl>
    <w:lvl w:ilvl="7">
      <w:start w:val="1"/>
      <w:numFmt w:val="bullet"/>
      <w:lvlText w:val="•"/>
      <w:lvlJc w:val="left"/>
      <w:pPr>
        <w:ind w:left="6506" w:hanging="358"/>
      </w:pPr>
      <w:rPr>
        <w:rFonts w:hint="default"/>
      </w:rPr>
    </w:lvl>
    <w:lvl w:ilvl="8">
      <w:start w:val="1"/>
      <w:numFmt w:val="bullet"/>
      <w:lvlText w:val="•"/>
      <w:lvlJc w:val="left"/>
      <w:pPr>
        <w:ind w:left="7377" w:hanging="358"/>
      </w:pPr>
      <w:rPr>
        <w:rFonts w:hint="default"/>
      </w:rPr>
    </w:lvl>
  </w:abstractNum>
  <w:abstractNum w:abstractNumId="17">
    <w:multiLevelType w:val="hybridMultilevel"/>
    <w:lvl w:ilvl="0">
      <w:start w:val="1"/>
      <w:numFmt w:val="decimal"/>
      <w:lvlText w:val="%1"/>
      <w:lvlJc w:val="left"/>
      <w:pPr>
        <w:ind w:left="701" w:hanging="202"/>
        <w:jc w:val="left"/>
      </w:pPr>
      <w:rPr>
        <w:rFonts w:hint="default" w:ascii="Arial" w:hAnsi="Arial" w:eastAsia="Arial" w:cs="Arial"/>
        <w:b/>
        <w:bCs/>
        <w:w w:val="99"/>
        <w:sz w:val="24"/>
        <w:szCs w:val="24"/>
      </w:rPr>
    </w:lvl>
    <w:lvl w:ilvl="1">
      <w:start w:val="1"/>
      <w:numFmt w:val="bullet"/>
      <w:lvlText w:val=""/>
      <w:lvlJc w:val="left"/>
      <w:pPr>
        <w:ind w:left="1274" w:hanging="358"/>
      </w:pPr>
      <w:rPr>
        <w:rFonts w:hint="default" w:ascii="Symbol" w:hAnsi="Symbol" w:eastAsia="Symbol" w:cs="Symbol"/>
        <w:w w:val="100"/>
        <w:sz w:val="24"/>
        <w:szCs w:val="24"/>
      </w:rPr>
    </w:lvl>
    <w:lvl w:ilvl="2">
      <w:start w:val="1"/>
      <w:numFmt w:val="bullet"/>
      <w:lvlText w:val="•"/>
      <w:lvlJc w:val="left"/>
      <w:pPr>
        <w:ind w:left="2151" w:hanging="358"/>
      </w:pPr>
      <w:rPr>
        <w:rFonts w:hint="default"/>
      </w:rPr>
    </w:lvl>
    <w:lvl w:ilvl="3">
      <w:start w:val="1"/>
      <w:numFmt w:val="bullet"/>
      <w:lvlText w:val="•"/>
      <w:lvlJc w:val="left"/>
      <w:pPr>
        <w:ind w:left="3022" w:hanging="358"/>
      </w:pPr>
      <w:rPr>
        <w:rFonts w:hint="default"/>
      </w:rPr>
    </w:lvl>
    <w:lvl w:ilvl="4">
      <w:start w:val="1"/>
      <w:numFmt w:val="bullet"/>
      <w:lvlText w:val="•"/>
      <w:lvlJc w:val="left"/>
      <w:pPr>
        <w:ind w:left="3893" w:hanging="358"/>
      </w:pPr>
      <w:rPr>
        <w:rFonts w:hint="default"/>
      </w:rPr>
    </w:lvl>
    <w:lvl w:ilvl="5">
      <w:start w:val="1"/>
      <w:numFmt w:val="bullet"/>
      <w:lvlText w:val="•"/>
      <w:lvlJc w:val="left"/>
      <w:pPr>
        <w:ind w:left="4764" w:hanging="358"/>
      </w:pPr>
      <w:rPr>
        <w:rFonts w:hint="default"/>
      </w:rPr>
    </w:lvl>
    <w:lvl w:ilvl="6">
      <w:start w:val="1"/>
      <w:numFmt w:val="bullet"/>
      <w:lvlText w:val="•"/>
      <w:lvlJc w:val="left"/>
      <w:pPr>
        <w:ind w:left="5635" w:hanging="358"/>
      </w:pPr>
      <w:rPr>
        <w:rFonts w:hint="default"/>
      </w:rPr>
    </w:lvl>
    <w:lvl w:ilvl="7">
      <w:start w:val="1"/>
      <w:numFmt w:val="bullet"/>
      <w:lvlText w:val="•"/>
      <w:lvlJc w:val="left"/>
      <w:pPr>
        <w:ind w:left="6506" w:hanging="358"/>
      </w:pPr>
      <w:rPr>
        <w:rFonts w:hint="default"/>
      </w:rPr>
    </w:lvl>
    <w:lvl w:ilvl="8">
      <w:start w:val="1"/>
      <w:numFmt w:val="bullet"/>
      <w:lvlText w:val="•"/>
      <w:lvlJc w:val="left"/>
      <w:pPr>
        <w:ind w:left="7377" w:hanging="358"/>
      </w:pPr>
      <w:rPr>
        <w:rFonts w:hint="default"/>
      </w:rPr>
    </w:lvl>
  </w:abstractNum>
  <w:abstractNum w:abstractNumId="16">
    <w:multiLevelType w:val="hybridMultilevel"/>
    <w:lvl w:ilvl="0">
      <w:start w:val="4"/>
      <w:numFmt w:val="decimal"/>
      <w:lvlText w:val="%1"/>
      <w:lvlJc w:val="left"/>
      <w:pPr>
        <w:ind w:left="593" w:hanging="452"/>
        <w:jc w:val="left"/>
      </w:pPr>
      <w:rPr>
        <w:rFonts w:hint="default"/>
      </w:rPr>
    </w:lvl>
    <w:lvl w:ilvl="1">
      <w:start w:val="1"/>
      <w:numFmt w:val="decimal"/>
      <w:lvlText w:val="%1.%2"/>
      <w:lvlJc w:val="left"/>
      <w:pPr>
        <w:ind w:left="593" w:hanging="452"/>
        <w:jc w:val="left"/>
      </w:pPr>
      <w:rPr>
        <w:rFonts w:hint="default" w:ascii="Arial" w:hAnsi="Arial" w:eastAsia="Arial" w:cs="Arial"/>
        <w:b/>
        <w:bCs/>
        <w:w w:val="100"/>
        <w:sz w:val="28"/>
        <w:szCs w:val="28"/>
      </w:rPr>
    </w:lvl>
    <w:lvl w:ilvl="2">
      <w:start w:val="1"/>
      <w:numFmt w:val="bullet"/>
      <w:lvlText w:val=""/>
      <w:lvlJc w:val="left"/>
      <w:pPr>
        <w:ind w:left="862" w:hanging="360"/>
      </w:pPr>
      <w:rPr>
        <w:rFonts w:hint="default"/>
        <w:w w:val="99"/>
      </w:rPr>
    </w:lvl>
    <w:lvl w:ilvl="3">
      <w:start w:val="1"/>
      <w:numFmt w:val="bullet"/>
      <w:lvlText w:val=""/>
      <w:lvlJc w:val="left"/>
      <w:pPr>
        <w:ind w:left="1274" w:hanging="358"/>
      </w:pPr>
      <w:rPr>
        <w:rFonts w:hint="default" w:ascii="Symbol" w:hAnsi="Symbol" w:eastAsia="Symbol" w:cs="Symbol"/>
        <w:w w:val="100"/>
        <w:sz w:val="24"/>
        <w:szCs w:val="24"/>
      </w:rPr>
    </w:lvl>
    <w:lvl w:ilvl="4">
      <w:start w:val="1"/>
      <w:numFmt w:val="bullet"/>
      <w:lvlText w:val="•"/>
      <w:lvlJc w:val="left"/>
      <w:pPr>
        <w:ind w:left="3240" w:hanging="358"/>
      </w:pPr>
      <w:rPr>
        <w:rFonts w:hint="default"/>
      </w:rPr>
    </w:lvl>
    <w:lvl w:ilvl="5">
      <w:start w:val="1"/>
      <w:numFmt w:val="bullet"/>
      <w:lvlText w:val="•"/>
      <w:lvlJc w:val="left"/>
      <w:pPr>
        <w:ind w:left="4220" w:hanging="358"/>
      </w:pPr>
      <w:rPr>
        <w:rFonts w:hint="default"/>
      </w:rPr>
    </w:lvl>
    <w:lvl w:ilvl="6">
      <w:start w:val="1"/>
      <w:numFmt w:val="bullet"/>
      <w:lvlText w:val="•"/>
      <w:lvlJc w:val="left"/>
      <w:pPr>
        <w:ind w:left="5200" w:hanging="358"/>
      </w:pPr>
      <w:rPr>
        <w:rFonts w:hint="default"/>
      </w:rPr>
    </w:lvl>
    <w:lvl w:ilvl="7">
      <w:start w:val="1"/>
      <w:numFmt w:val="bullet"/>
      <w:lvlText w:val="•"/>
      <w:lvlJc w:val="left"/>
      <w:pPr>
        <w:ind w:left="6180" w:hanging="358"/>
      </w:pPr>
      <w:rPr>
        <w:rFonts w:hint="default"/>
      </w:rPr>
    </w:lvl>
    <w:lvl w:ilvl="8">
      <w:start w:val="1"/>
      <w:numFmt w:val="bullet"/>
      <w:lvlText w:val="•"/>
      <w:lvlJc w:val="left"/>
      <w:pPr>
        <w:ind w:left="7160" w:hanging="358"/>
      </w:pPr>
      <w:rPr>
        <w:rFonts w:hint="default"/>
      </w:rPr>
    </w:lvl>
  </w:abstractNum>
  <w:abstractNum w:abstractNumId="15">
    <w:multiLevelType w:val="hybridMultilevel"/>
    <w:lvl w:ilvl="0">
      <w:start w:val="3"/>
      <w:numFmt w:val="decimal"/>
      <w:lvlText w:val="%1"/>
      <w:lvlJc w:val="left"/>
      <w:pPr>
        <w:ind w:left="593" w:hanging="452"/>
        <w:jc w:val="left"/>
      </w:pPr>
      <w:rPr>
        <w:rFonts w:hint="default"/>
      </w:rPr>
    </w:lvl>
    <w:lvl w:ilvl="1">
      <w:start w:val="1"/>
      <w:numFmt w:val="decimal"/>
      <w:lvlText w:val="%1.%2"/>
      <w:lvlJc w:val="left"/>
      <w:pPr>
        <w:ind w:left="593" w:hanging="452"/>
        <w:jc w:val="left"/>
      </w:pPr>
      <w:rPr>
        <w:rFonts w:hint="default" w:ascii="Arial" w:hAnsi="Arial" w:eastAsia="Arial" w:cs="Arial"/>
        <w:b/>
        <w:bCs/>
        <w:w w:val="100"/>
        <w:sz w:val="28"/>
        <w:szCs w:val="28"/>
      </w:rPr>
    </w:lvl>
    <w:lvl w:ilvl="2">
      <w:start w:val="1"/>
      <w:numFmt w:val="bullet"/>
      <w:lvlText w:val=""/>
      <w:lvlJc w:val="left"/>
      <w:pPr>
        <w:ind w:left="1274" w:hanging="358"/>
      </w:pPr>
      <w:rPr>
        <w:rFonts w:hint="default" w:ascii="Symbol" w:hAnsi="Symbol" w:eastAsia="Symbol" w:cs="Symbol"/>
        <w:w w:val="100"/>
        <w:sz w:val="24"/>
        <w:szCs w:val="24"/>
      </w:rPr>
    </w:lvl>
    <w:lvl w:ilvl="3">
      <w:start w:val="1"/>
      <w:numFmt w:val="bullet"/>
      <w:lvlText w:val="•"/>
      <w:lvlJc w:val="left"/>
      <w:pPr>
        <w:ind w:left="3022" w:hanging="358"/>
      </w:pPr>
      <w:rPr>
        <w:rFonts w:hint="default"/>
      </w:rPr>
    </w:lvl>
    <w:lvl w:ilvl="4">
      <w:start w:val="1"/>
      <w:numFmt w:val="bullet"/>
      <w:lvlText w:val="•"/>
      <w:lvlJc w:val="left"/>
      <w:pPr>
        <w:ind w:left="3893" w:hanging="358"/>
      </w:pPr>
      <w:rPr>
        <w:rFonts w:hint="default"/>
      </w:rPr>
    </w:lvl>
    <w:lvl w:ilvl="5">
      <w:start w:val="1"/>
      <w:numFmt w:val="bullet"/>
      <w:lvlText w:val="•"/>
      <w:lvlJc w:val="left"/>
      <w:pPr>
        <w:ind w:left="4764" w:hanging="358"/>
      </w:pPr>
      <w:rPr>
        <w:rFonts w:hint="default"/>
      </w:rPr>
    </w:lvl>
    <w:lvl w:ilvl="6">
      <w:start w:val="1"/>
      <w:numFmt w:val="bullet"/>
      <w:lvlText w:val="•"/>
      <w:lvlJc w:val="left"/>
      <w:pPr>
        <w:ind w:left="5635" w:hanging="358"/>
      </w:pPr>
      <w:rPr>
        <w:rFonts w:hint="default"/>
      </w:rPr>
    </w:lvl>
    <w:lvl w:ilvl="7">
      <w:start w:val="1"/>
      <w:numFmt w:val="bullet"/>
      <w:lvlText w:val="•"/>
      <w:lvlJc w:val="left"/>
      <w:pPr>
        <w:ind w:left="6506" w:hanging="358"/>
      </w:pPr>
      <w:rPr>
        <w:rFonts w:hint="default"/>
      </w:rPr>
    </w:lvl>
    <w:lvl w:ilvl="8">
      <w:start w:val="1"/>
      <w:numFmt w:val="bullet"/>
      <w:lvlText w:val="•"/>
      <w:lvlJc w:val="left"/>
      <w:pPr>
        <w:ind w:left="7377" w:hanging="358"/>
      </w:pPr>
      <w:rPr>
        <w:rFonts w:hint="default"/>
      </w:rPr>
    </w:lvl>
  </w:abstractNum>
  <w:abstractNum w:abstractNumId="14">
    <w:multiLevelType w:val="hybridMultilevel"/>
    <w:lvl w:ilvl="0">
      <w:start w:val="1"/>
      <w:numFmt w:val="bullet"/>
      <w:lvlText w:val=""/>
      <w:lvlJc w:val="left"/>
      <w:pPr>
        <w:ind w:left="1274" w:hanging="358"/>
      </w:pPr>
      <w:rPr>
        <w:rFonts w:hint="default" w:ascii="Symbol" w:hAnsi="Symbol" w:eastAsia="Symbol" w:cs="Symbol"/>
        <w:w w:val="100"/>
        <w:position w:val="1"/>
        <w:sz w:val="24"/>
        <w:szCs w:val="24"/>
      </w:rPr>
    </w:lvl>
    <w:lvl w:ilvl="1">
      <w:start w:val="1"/>
      <w:numFmt w:val="bullet"/>
      <w:lvlText w:val="•"/>
      <w:lvlJc w:val="left"/>
      <w:pPr>
        <w:ind w:left="2064" w:hanging="358"/>
      </w:pPr>
      <w:rPr>
        <w:rFonts w:hint="default"/>
      </w:rPr>
    </w:lvl>
    <w:lvl w:ilvl="2">
      <w:start w:val="1"/>
      <w:numFmt w:val="bullet"/>
      <w:lvlText w:val="•"/>
      <w:lvlJc w:val="left"/>
      <w:pPr>
        <w:ind w:left="2848" w:hanging="358"/>
      </w:pPr>
      <w:rPr>
        <w:rFonts w:hint="default"/>
      </w:rPr>
    </w:lvl>
    <w:lvl w:ilvl="3">
      <w:start w:val="1"/>
      <w:numFmt w:val="bullet"/>
      <w:lvlText w:val="•"/>
      <w:lvlJc w:val="left"/>
      <w:pPr>
        <w:ind w:left="3632" w:hanging="358"/>
      </w:pPr>
      <w:rPr>
        <w:rFonts w:hint="default"/>
      </w:rPr>
    </w:lvl>
    <w:lvl w:ilvl="4">
      <w:start w:val="1"/>
      <w:numFmt w:val="bullet"/>
      <w:lvlText w:val="•"/>
      <w:lvlJc w:val="left"/>
      <w:pPr>
        <w:ind w:left="4416" w:hanging="358"/>
      </w:pPr>
      <w:rPr>
        <w:rFonts w:hint="default"/>
      </w:rPr>
    </w:lvl>
    <w:lvl w:ilvl="5">
      <w:start w:val="1"/>
      <w:numFmt w:val="bullet"/>
      <w:lvlText w:val="•"/>
      <w:lvlJc w:val="left"/>
      <w:pPr>
        <w:ind w:left="5200" w:hanging="358"/>
      </w:pPr>
      <w:rPr>
        <w:rFonts w:hint="default"/>
      </w:rPr>
    </w:lvl>
    <w:lvl w:ilvl="6">
      <w:start w:val="1"/>
      <w:numFmt w:val="bullet"/>
      <w:lvlText w:val="•"/>
      <w:lvlJc w:val="left"/>
      <w:pPr>
        <w:ind w:left="5984" w:hanging="358"/>
      </w:pPr>
      <w:rPr>
        <w:rFonts w:hint="default"/>
      </w:rPr>
    </w:lvl>
    <w:lvl w:ilvl="7">
      <w:start w:val="1"/>
      <w:numFmt w:val="bullet"/>
      <w:lvlText w:val="•"/>
      <w:lvlJc w:val="left"/>
      <w:pPr>
        <w:ind w:left="6768" w:hanging="358"/>
      </w:pPr>
      <w:rPr>
        <w:rFonts w:hint="default"/>
      </w:rPr>
    </w:lvl>
    <w:lvl w:ilvl="8">
      <w:start w:val="1"/>
      <w:numFmt w:val="bullet"/>
      <w:lvlText w:val="•"/>
      <w:lvlJc w:val="left"/>
      <w:pPr>
        <w:ind w:left="7552" w:hanging="358"/>
      </w:pPr>
      <w:rPr>
        <w:rFonts w:hint="default"/>
      </w:rPr>
    </w:lvl>
  </w:abstractNum>
  <w:abstractNum w:abstractNumId="13">
    <w:multiLevelType w:val="hybridMultilevel"/>
    <w:lvl w:ilvl="0">
      <w:start w:val="1"/>
      <w:numFmt w:val="bullet"/>
      <w:lvlText w:val=""/>
      <w:lvlJc w:val="left"/>
      <w:pPr>
        <w:ind w:left="293" w:hanging="152"/>
      </w:pPr>
      <w:rPr>
        <w:rFonts w:hint="default" w:ascii="Symbol" w:hAnsi="Symbol" w:eastAsia="Symbol" w:cs="Symbol"/>
        <w:w w:val="99"/>
        <w:position w:val="-14"/>
        <w:sz w:val="24"/>
        <w:szCs w:val="24"/>
      </w:rPr>
    </w:lvl>
    <w:lvl w:ilvl="1">
      <w:start w:val="1"/>
      <w:numFmt w:val="bullet"/>
      <w:lvlText w:val="•"/>
      <w:lvlJc w:val="left"/>
      <w:pPr>
        <w:ind w:left="717" w:hanging="152"/>
      </w:pPr>
      <w:rPr>
        <w:rFonts w:hint="default"/>
      </w:rPr>
    </w:lvl>
    <w:lvl w:ilvl="2">
      <w:start w:val="1"/>
      <w:numFmt w:val="bullet"/>
      <w:lvlText w:val="•"/>
      <w:lvlJc w:val="left"/>
      <w:pPr>
        <w:ind w:left="1135" w:hanging="152"/>
      </w:pPr>
      <w:rPr>
        <w:rFonts w:hint="default"/>
      </w:rPr>
    </w:lvl>
    <w:lvl w:ilvl="3">
      <w:start w:val="1"/>
      <w:numFmt w:val="bullet"/>
      <w:lvlText w:val="•"/>
      <w:lvlJc w:val="left"/>
      <w:pPr>
        <w:ind w:left="1552" w:hanging="152"/>
      </w:pPr>
      <w:rPr>
        <w:rFonts w:hint="default"/>
      </w:rPr>
    </w:lvl>
    <w:lvl w:ilvl="4">
      <w:start w:val="1"/>
      <w:numFmt w:val="bullet"/>
      <w:lvlText w:val="•"/>
      <w:lvlJc w:val="left"/>
      <w:pPr>
        <w:ind w:left="1970" w:hanging="152"/>
      </w:pPr>
      <w:rPr>
        <w:rFonts w:hint="default"/>
      </w:rPr>
    </w:lvl>
    <w:lvl w:ilvl="5">
      <w:start w:val="1"/>
      <w:numFmt w:val="bullet"/>
      <w:lvlText w:val="•"/>
      <w:lvlJc w:val="left"/>
      <w:pPr>
        <w:ind w:left="2387" w:hanging="152"/>
      </w:pPr>
      <w:rPr>
        <w:rFonts w:hint="default"/>
      </w:rPr>
    </w:lvl>
    <w:lvl w:ilvl="6">
      <w:start w:val="1"/>
      <w:numFmt w:val="bullet"/>
      <w:lvlText w:val="•"/>
      <w:lvlJc w:val="left"/>
      <w:pPr>
        <w:ind w:left="2805" w:hanging="152"/>
      </w:pPr>
      <w:rPr>
        <w:rFonts w:hint="default"/>
      </w:rPr>
    </w:lvl>
    <w:lvl w:ilvl="7">
      <w:start w:val="1"/>
      <w:numFmt w:val="bullet"/>
      <w:lvlText w:val="•"/>
      <w:lvlJc w:val="left"/>
      <w:pPr>
        <w:ind w:left="3222" w:hanging="152"/>
      </w:pPr>
      <w:rPr>
        <w:rFonts w:hint="default"/>
      </w:rPr>
    </w:lvl>
    <w:lvl w:ilvl="8">
      <w:start w:val="1"/>
      <w:numFmt w:val="bullet"/>
      <w:lvlText w:val="•"/>
      <w:lvlJc w:val="left"/>
      <w:pPr>
        <w:ind w:left="3640" w:hanging="152"/>
      </w:pPr>
      <w:rPr>
        <w:rFonts w:hint="default"/>
      </w:rPr>
    </w:lvl>
  </w:abstractNum>
  <w:abstractNum w:abstractNumId="12">
    <w:multiLevelType w:val="hybridMultilevel"/>
    <w:lvl w:ilvl="0">
      <w:start w:val="1"/>
      <w:numFmt w:val="bullet"/>
      <w:lvlText w:val=""/>
      <w:lvlJc w:val="left"/>
      <w:pPr>
        <w:ind w:left="862" w:hanging="360"/>
      </w:pPr>
      <w:rPr>
        <w:rFonts w:hint="default" w:ascii="Symbol" w:hAnsi="Symbol" w:eastAsia="Symbol" w:cs="Symbol"/>
        <w:w w:val="99"/>
        <w:sz w:val="20"/>
        <w:szCs w:val="20"/>
      </w:rPr>
    </w:lvl>
    <w:lvl w:ilvl="1">
      <w:start w:val="1"/>
      <w:numFmt w:val="bullet"/>
      <w:lvlText w:val=""/>
      <w:lvlJc w:val="left"/>
      <w:pPr>
        <w:ind w:left="1274" w:hanging="358"/>
      </w:pPr>
      <w:rPr>
        <w:rFonts w:hint="default" w:ascii="Symbol" w:hAnsi="Symbol" w:eastAsia="Symbol" w:cs="Symbol"/>
        <w:w w:val="100"/>
        <w:sz w:val="24"/>
        <w:szCs w:val="24"/>
      </w:rPr>
    </w:lvl>
    <w:lvl w:ilvl="2">
      <w:start w:val="1"/>
      <w:numFmt w:val="bullet"/>
      <w:lvlText w:val="•"/>
      <w:lvlJc w:val="left"/>
      <w:pPr>
        <w:ind w:left="2151" w:hanging="358"/>
      </w:pPr>
      <w:rPr>
        <w:rFonts w:hint="default"/>
      </w:rPr>
    </w:lvl>
    <w:lvl w:ilvl="3">
      <w:start w:val="1"/>
      <w:numFmt w:val="bullet"/>
      <w:lvlText w:val="•"/>
      <w:lvlJc w:val="left"/>
      <w:pPr>
        <w:ind w:left="3022" w:hanging="358"/>
      </w:pPr>
      <w:rPr>
        <w:rFonts w:hint="default"/>
      </w:rPr>
    </w:lvl>
    <w:lvl w:ilvl="4">
      <w:start w:val="1"/>
      <w:numFmt w:val="bullet"/>
      <w:lvlText w:val="•"/>
      <w:lvlJc w:val="left"/>
      <w:pPr>
        <w:ind w:left="3893" w:hanging="358"/>
      </w:pPr>
      <w:rPr>
        <w:rFonts w:hint="default"/>
      </w:rPr>
    </w:lvl>
    <w:lvl w:ilvl="5">
      <w:start w:val="1"/>
      <w:numFmt w:val="bullet"/>
      <w:lvlText w:val="•"/>
      <w:lvlJc w:val="left"/>
      <w:pPr>
        <w:ind w:left="4764" w:hanging="358"/>
      </w:pPr>
      <w:rPr>
        <w:rFonts w:hint="default"/>
      </w:rPr>
    </w:lvl>
    <w:lvl w:ilvl="6">
      <w:start w:val="1"/>
      <w:numFmt w:val="bullet"/>
      <w:lvlText w:val="•"/>
      <w:lvlJc w:val="left"/>
      <w:pPr>
        <w:ind w:left="5635" w:hanging="358"/>
      </w:pPr>
      <w:rPr>
        <w:rFonts w:hint="default"/>
      </w:rPr>
    </w:lvl>
    <w:lvl w:ilvl="7">
      <w:start w:val="1"/>
      <w:numFmt w:val="bullet"/>
      <w:lvlText w:val="•"/>
      <w:lvlJc w:val="left"/>
      <w:pPr>
        <w:ind w:left="6506" w:hanging="358"/>
      </w:pPr>
      <w:rPr>
        <w:rFonts w:hint="default"/>
      </w:rPr>
    </w:lvl>
    <w:lvl w:ilvl="8">
      <w:start w:val="1"/>
      <w:numFmt w:val="bullet"/>
      <w:lvlText w:val="•"/>
      <w:lvlJc w:val="left"/>
      <w:pPr>
        <w:ind w:left="7377" w:hanging="358"/>
      </w:pPr>
      <w:rPr>
        <w:rFonts w:hint="default"/>
      </w:rPr>
    </w:lvl>
  </w:abstractNum>
  <w:abstractNum w:abstractNumId="11">
    <w:multiLevelType w:val="hybridMultilevel"/>
    <w:lvl w:ilvl="0">
      <w:start w:val="1"/>
      <w:numFmt w:val="bullet"/>
      <w:lvlText w:val=""/>
      <w:lvlJc w:val="left"/>
      <w:pPr>
        <w:ind w:left="588" w:hanging="530"/>
      </w:pPr>
      <w:rPr>
        <w:rFonts w:hint="default" w:ascii="Symbol" w:hAnsi="Symbol" w:eastAsia="Symbol" w:cs="Symbol"/>
        <w:w w:val="101"/>
        <w:position w:val="-10"/>
        <w:sz w:val="24"/>
        <w:szCs w:val="24"/>
      </w:rPr>
    </w:lvl>
    <w:lvl w:ilvl="1">
      <w:start w:val="1"/>
      <w:numFmt w:val="bullet"/>
      <w:lvlText w:val=""/>
      <w:lvlJc w:val="left"/>
      <w:pPr>
        <w:ind w:left="1274" w:hanging="358"/>
      </w:pPr>
      <w:rPr>
        <w:rFonts w:hint="default" w:ascii="Symbol" w:hAnsi="Symbol" w:eastAsia="Symbol" w:cs="Symbol"/>
        <w:w w:val="100"/>
        <w:sz w:val="24"/>
        <w:szCs w:val="24"/>
      </w:rPr>
    </w:lvl>
    <w:lvl w:ilvl="2">
      <w:start w:val="1"/>
      <w:numFmt w:val="bullet"/>
      <w:lvlText w:val="•"/>
      <w:lvlJc w:val="left"/>
      <w:pPr>
        <w:ind w:left="1673" w:hanging="358"/>
      </w:pPr>
      <w:rPr>
        <w:rFonts w:hint="default"/>
      </w:rPr>
    </w:lvl>
    <w:lvl w:ilvl="3">
      <w:start w:val="1"/>
      <w:numFmt w:val="bullet"/>
      <w:lvlText w:val="•"/>
      <w:lvlJc w:val="left"/>
      <w:pPr>
        <w:ind w:left="2066" w:hanging="358"/>
      </w:pPr>
      <w:rPr>
        <w:rFonts w:hint="default"/>
      </w:rPr>
    </w:lvl>
    <w:lvl w:ilvl="4">
      <w:start w:val="1"/>
      <w:numFmt w:val="bullet"/>
      <w:lvlText w:val="•"/>
      <w:lvlJc w:val="left"/>
      <w:pPr>
        <w:ind w:left="2460" w:hanging="358"/>
      </w:pPr>
      <w:rPr>
        <w:rFonts w:hint="default"/>
      </w:rPr>
    </w:lvl>
    <w:lvl w:ilvl="5">
      <w:start w:val="1"/>
      <w:numFmt w:val="bullet"/>
      <w:lvlText w:val="•"/>
      <w:lvlJc w:val="left"/>
      <w:pPr>
        <w:ind w:left="2853" w:hanging="358"/>
      </w:pPr>
      <w:rPr>
        <w:rFonts w:hint="default"/>
      </w:rPr>
    </w:lvl>
    <w:lvl w:ilvl="6">
      <w:start w:val="1"/>
      <w:numFmt w:val="bullet"/>
      <w:lvlText w:val="•"/>
      <w:lvlJc w:val="left"/>
      <w:pPr>
        <w:ind w:left="3246" w:hanging="358"/>
      </w:pPr>
      <w:rPr>
        <w:rFonts w:hint="default"/>
      </w:rPr>
    </w:lvl>
    <w:lvl w:ilvl="7">
      <w:start w:val="1"/>
      <w:numFmt w:val="bullet"/>
      <w:lvlText w:val="•"/>
      <w:lvlJc w:val="left"/>
      <w:pPr>
        <w:ind w:left="3640" w:hanging="358"/>
      </w:pPr>
      <w:rPr>
        <w:rFonts w:hint="default"/>
      </w:rPr>
    </w:lvl>
    <w:lvl w:ilvl="8">
      <w:start w:val="1"/>
      <w:numFmt w:val="bullet"/>
      <w:lvlText w:val="•"/>
      <w:lvlJc w:val="left"/>
      <w:pPr>
        <w:ind w:left="4033" w:hanging="358"/>
      </w:pPr>
      <w:rPr>
        <w:rFonts w:hint="default"/>
      </w:rPr>
    </w:lvl>
  </w:abstractNum>
  <w:abstractNum w:abstractNumId="10">
    <w:multiLevelType w:val="hybridMultilevel"/>
    <w:lvl w:ilvl="0">
      <w:start w:val="1"/>
      <w:numFmt w:val="decimal"/>
      <w:lvlText w:val="%1."/>
      <w:lvlJc w:val="left"/>
      <w:pPr>
        <w:ind w:left="1274" w:hanging="303"/>
        <w:jc w:val="left"/>
      </w:pPr>
      <w:rPr>
        <w:rFonts w:hint="default" w:ascii="Arial" w:hAnsi="Arial" w:eastAsia="Arial" w:cs="Arial"/>
        <w:w w:val="99"/>
        <w:sz w:val="24"/>
        <w:szCs w:val="24"/>
      </w:rPr>
    </w:lvl>
    <w:lvl w:ilvl="1">
      <w:start w:val="1"/>
      <w:numFmt w:val="bullet"/>
      <w:lvlText w:val="•"/>
      <w:lvlJc w:val="left"/>
      <w:pPr>
        <w:ind w:left="2064" w:hanging="303"/>
      </w:pPr>
      <w:rPr>
        <w:rFonts w:hint="default"/>
      </w:rPr>
    </w:lvl>
    <w:lvl w:ilvl="2">
      <w:start w:val="1"/>
      <w:numFmt w:val="bullet"/>
      <w:lvlText w:val="•"/>
      <w:lvlJc w:val="left"/>
      <w:pPr>
        <w:ind w:left="2848" w:hanging="303"/>
      </w:pPr>
      <w:rPr>
        <w:rFonts w:hint="default"/>
      </w:rPr>
    </w:lvl>
    <w:lvl w:ilvl="3">
      <w:start w:val="1"/>
      <w:numFmt w:val="bullet"/>
      <w:lvlText w:val="•"/>
      <w:lvlJc w:val="left"/>
      <w:pPr>
        <w:ind w:left="3632" w:hanging="303"/>
      </w:pPr>
      <w:rPr>
        <w:rFonts w:hint="default"/>
      </w:rPr>
    </w:lvl>
    <w:lvl w:ilvl="4">
      <w:start w:val="1"/>
      <w:numFmt w:val="bullet"/>
      <w:lvlText w:val="•"/>
      <w:lvlJc w:val="left"/>
      <w:pPr>
        <w:ind w:left="4416" w:hanging="303"/>
      </w:pPr>
      <w:rPr>
        <w:rFonts w:hint="default"/>
      </w:rPr>
    </w:lvl>
    <w:lvl w:ilvl="5">
      <w:start w:val="1"/>
      <w:numFmt w:val="bullet"/>
      <w:lvlText w:val="•"/>
      <w:lvlJc w:val="left"/>
      <w:pPr>
        <w:ind w:left="5200" w:hanging="303"/>
      </w:pPr>
      <w:rPr>
        <w:rFonts w:hint="default"/>
      </w:rPr>
    </w:lvl>
    <w:lvl w:ilvl="6">
      <w:start w:val="1"/>
      <w:numFmt w:val="bullet"/>
      <w:lvlText w:val="•"/>
      <w:lvlJc w:val="left"/>
      <w:pPr>
        <w:ind w:left="5984" w:hanging="303"/>
      </w:pPr>
      <w:rPr>
        <w:rFonts w:hint="default"/>
      </w:rPr>
    </w:lvl>
    <w:lvl w:ilvl="7">
      <w:start w:val="1"/>
      <w:numFmt w:val="bullet"/>
      <w:lvlText w:val="•"/>
      <w:lvlJc w:val="left"/>
      <w:pPr>
        <w:ind w:left="6768" w:hanging="303"/>
      </w:pPr>
      <w:rPr>
        <w:rFonts w:hint="default"/>
      </w:rPr>
    </w:lvl>
    <w:lvl w:ilvl="8">
      <w:start w:val="1"/>
      <w:numFmt w:val="bullet"/>
      <w:lvlText w:val="•"/>
      <w:lvlJc w:val="left"/>
      <w:pPr>
        <w:ind w:left="7552" w:hanging="303"/>
      </w:pPr>
      <w:rPr>
        <w:rFonts w:hint="default"/>
      </w:rPr>
    </w:lvl>
  </w:abstractNum>
  <w:abstractNum w:abstractNumId="8">
    <w:multiLevelType w:val="hybridMultilevel"/>
    <w:lvl w:ilvl="0">
      <w:start w:val="1"/>
      <w:numFmt w:val="bullet"/>
      <w:lvlText w:val=""/>
      <w:lvlJc w:val="left"/>
      <w:pPr>
        <w:ind w:left="862" w:hanging="360"/>
      </w:pPr>
      <w:rPr>
        <w:rFonts w:hint="default" w:ascii="Symbol" w:hAnsi="Symbol" w:eastAsia="Symbol" w:cs="Symbol"/>
        <w:w w:val="100"/>
        <w:sz w:val="24"/>
        <w:szCs w:val="24"/>
      </w:rPr>
    </w:lvl>
    <w:lvl w:ilvl="1">
      <w:start w:val="1"/>
      <w:numFmt w:val="bullet"/>
      <w:lvlText w:val="•"/>
      <w:lvlJc w:val="left"/>
      <w:pPr>
        <w:ind w:left="168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3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6" w:hanging="360"/>
      </w:pPr>
      <w:rPr>
        <w:rFonts w:hint="default"/>
      </w:rPr>
    </w:lvl>
    <w:lvl w:ilvl="7">
      <w:start w:val="1"/>
      <w:numFmt w:val="bullet"/>
      <w:lvlText w:val="•"/>
      <w:lvlJc w:val="left"/>
      <w:pPr>
        <w:ind w:left="6642" w:hanging="360"/>
      </w:pPr>
      <w:rPr>
        <w:rFonts w:hint="default"/>
      </w:rPr>
    </w:lvl>
    <w:lvl w:ilvl="8">
      <w:start w:val="1"/>
      <w:numFmt w:val="bullet"/>
      <w:lvlText w:val="•"/>
      <w:lvlJc w:val="left"/>
      <w:pPr>
        <w:ind w:left="7468" w:hanging="360"/>
      </w:pPr>
      <w:rPr>
        <w:rFonts w:hint="default"/>
      </w:rPr>
    </w:lvl>
  </w:abstractNum>
  <w:abstractNum w:abstractNumId="7">
    <w:multiLevelType w:val="hybridMultilevel"/>
    <w:lvl w:ilvl="0">
      <w:start w:val="2"/>
      <w:numFmt w:val="decimal"/>
      <w:lvlText w:val="%1"/>
      <w:lvlJc w:val="left"/>
      <w:pPr>
        <w:ind w:left="593" w:hanging="452"/>
        <w:jc w:val="left"/>
      </w:pPr>
      <w:rPr>
        <w:rFonts w:hint="default"/>
      </w:rPr>
    </w:lvl>
    <w:lvl w:ilvl="1">
      <w:start w:val="1"/>
      <w:numFmt w:val="decimal"/>
      <w:lvlText w:val="%1.%2"/>
      <w:lvlJc w:val="left"/>
      <w:pPr>
        <w:ind w:left="593" w:hanging="452"/>
        <w:jc w:val="left"/>
      </w:pPr>
      <w:rPr>
        <w:rFonts w:hint="default" w:ascii="Arial" w:hAnsi="Arial" w:eastAsia="Arial" w:cs="Arial"/>
        <w:b/>
        <w:bCs/>
        <w:w w:val="100"/>
        <w:sz w:val="28"/>
        <w:szCs w:val="28"/>
      </w:rPr>
    </w:lvl>
    <w:lvl w:ilvl="2">
      <w:start w:val="1"/>
      <w:numFmt w:val="bullet"/>
      <w:lvlText w:val=""/>
      <w:lvlJc w:val="left"/>
      <w:pPr>
        <w:ind w:left="1274" w:hanging="358"/>
      </w:pPr>
      <w:rPr>
        <w:rFonts w:hint="default" w:ascii="Symbol" w:hAnsi="Symbol" w:eastAsia="Symbol" w:cs="Symbol"/>
        <w:w w:val="100"/>
        <w:sz w:val="24"/>
        <w:szCs w:val="24"/>
      </w:rPr>
    </w:lvl>
    <w:lvl w:ilvl="3">
      <w:start w:val="1"/>
      <w:numFmt w:val="bullet"/>
      <w:lvlText w:val=""/>
      <w:lvlJc w:val="left"/>
      <w:pPr>
        <w:ind w:left="1502" w:hanging="228"/>
      </w:pPr>
      <w:rPr>
        <w:rFonts w:hint="default" w:ascii="Wingdings" w:hAnsi="Wingdings" w:eastAsia="Wingdings" w:cs="Wingdings"/>
        <w:w w:val="99"/>
        <w:sz w:val="24"/>
        <w:szCs w:val="24"/>
      </w:rPr>
    </w:lvl>
    <w:lvl w:ilvl="4">
      <w:start w:val="1"/>
      <w:numFmt w:val="bullet"/>
      <w:lvlText w:val="•"/>
      <w:lvlJc w:val="left"/>
      <w:pPr>
        <w:ind w:left="3405" w:hanging="228"/>
      </w:pPr>
      <w:rPr>
        <w:rFonts w:hint="default"/>
      </w:rPr>
    </w:lvl>
    <w:lvl w:ilvl="5">
      <w:start w:val="1"/>
      <w:numFmt w:val="bullet"/>
      <w:lvlText w:val="•"/>
      <w:lvlJc w:val="left"/>
      <w:pPr>
        <w:ind w:left="4357" w:hanging="228"/>
      </w:pPr>
      <w:rPr>
        <w:rFonts w:hint="default"/>
      </w:rPr>
    </w:lvl>
    <w:lvl w:ilvl="6">
      <w:start w:val="1"/>
      <w:numFmt w:val="bullet"/>
      <w:lvlText w:val="•"/>
      <w:lvlJc w:val="left"/>
      <w:pPr>
        <w:ind w:left="5310" w:hanging="228"/>
      </w:pPr>
      <w:rPr>
        <w:rFonts w:hint="default"/>
      </w:rPr>
    </w:lvl>
    <w:lvl w:ilvl="7">
      <w:start w:val="1"/>
      <w:numFmt w:val="bullet"/>
      <w:lvlText w:val="•"/>
      <w:lvlJc w:val="left"/>
      <w:pPr>
        <w:ind w:left="6262" w:hanging="228"/>
      </w:pPr>
      <w:rPr>
        <w:rFonts w:hint="default"/>
      </w:rPr>
    </w:lvl>
    <w:lvl w:ilvl="8">
      <w:start w:val="1"/>
      <w:numFmt w:val="bullet"/>
      <w:lvlText w:val="•"/>
      <w:lvlJc w:val="left"/>
      <w:pPr>
        <w:ind w:left="7215" w:hanging="228"/>
      </w:pPr>
      <w:rPr>
        <w:rFonts w:hint="default"/>
      </w:rPr>
    </w:lvl>
  </w:abstractNum>
  <w:abstractNum w:abstractNumId="6">
    <w:multiLevelType w:val="hybridMultilevel"/>
    <w:lvl w:ilvl="0">
      <w:start w:val="1"/>
      <w:numFmt w:val="decimal"/>
      <w:lvlText w:val="%1"/>
      <w:lvlJc w:val="left"/>
      <w:pPr>
        <w:ind w:left="593" w:hanging="452"/>
        <w:jc w:val="left"/>
      </w:pPr>
      <w:rPr>
        <w:rFonts w:hint="default"/>
      </w:rPr>
    </w:lvl>
    <w:lvl w:ilvl="1">
      <w:start w:val="1"/>
      <w:numFmt w:val="decimal"/>
      <w:lvlText w:val="%1.%2"/>
      <w:lvlJc w:val="left"/>
      <w:pPr>
        <w:ind w:left="593" w:hanging="452"/>
        <w:jc w:val="left"/>
      </w:pPr>
      <w:rPr>
        <w:rFonts w:hint="default" w:ascii="Arial" w:hAnsi="Arial" w:eastAsia="Arial" w:cs="Arial"/>
        <w:b/>
        <w:bCs/>
        <w:w w:val="100"/>
        <w:sz w:val="28"/>
        <w:szCs w:val="28"/>
      </w:rPr>
    </w:lvl>
    <w:lvl w:ilvl="2">
      <w:start w:val="1"/>
      <w:numFmt w:val="bullet"/>
      <w:lvlText w:val=""/>
      <w:lvlJc w:val="left"/>
      <w:pPr>
        <w:ind w:left="1274" w:hanging="358"/>
      </w:pPr>
      <w:rPr>
        <w:rFonts w:hint="default" w:ascii="Symbol" w:hAnsi="Symbol" w:eastAsia="Symbol" w:cs="Symbol"/>
        <w:w w:val="100"/>
        <w:sz w:val="24"/>
        <w:szCs w:val="24"/>
      </w:rPr>
    </w:lvl>
    <w:lvl w:ilvl="3">
      <w:start w:val="1"/>
      <w:numFmt w:val="bullet"/>
      <w:lvlText w:val="•"/>
      <w:lvlJc w:val="left"/>
      <w:pPr>
        <w:ind w:left="3022" w:hanging="358"/>
      </w:pPr>
      <w:rPr>
        <w:rFonts w:hint="default"/>
      </w:rPr>
    </w:lvl>
    <w:lvl w:ilvl="4">
      <w:start w:val="1"/>
      <w:numFmt w:val="bullet"/>
      <w:lvlText w:val="•"/>
      <w:lvlJc w:val="left"/>
      <w:pPr>
        <w:ind w:left="3893" w:hanging="358"/>
      </w:pPr>
      <w:rPr>
        <w:rFonts w:hint="default"/>
      </w:rPr>
    </w:lvl>
    <w:lvl w:ilvl="5">
      <w:start w:val="1"/>
      <w:numFmt w:val="bullet"/>
      <w:lvlText w:val="•"/>
      <w:lvlJc w:val="left"/>
      <w:pPr>
        <w:ind w:left="4764" w:hanging="358"/>
      </w:pPr>
      <w:rPr>
        <w:rFonts w:hint="default"/>
      </w:rPr>
    </w:lvl>
    <w:lvl w:ilvl="6">
      <w:start w:val="1"/>
      <w:numFmt w:val="bullet"/>
      <w:lvlText w:val="•"/>
      <w:lvlJc w:val="left"/>
      <w:pPr>
        <w:ind w:left="5635" w:hanging="358"/>
      </w:pPr>
      <w:rPr>
        <w:rFonts w:hint="default"/>
      </w:rPr>
    </w:lvl>
    <w:lvl w:ilvl="7">
      <w:start w:val="1"/>
      <w:numFmt w:val="bullet"/>
      <w:lvlText w:val="•"/>
      <w:lvlJc w:val="left"/>
      <w:pPr>
        <w:ind w:left="6506" w:hanging="358"/>
      </w:pPr>
      <w:rPr>
        <w:rFonts w:hint="default"/>
      </w:rPr>
    </w:lvl>
    <w:lvl w:ilvl="8">
      <w:start w:val="1"/>
      <w:numFmt w:val="bullet"/>
      <w:lvlText w:val="•"/>
      <w:lvlJc w:val="left"/>
      <w:pPr>
        <w:ind w:left="7377" w:hanging="358"/>
      </w:pPr>
      <w:rPr>
        <w:rFonts w:hint="default"/>
      </w:rPr>
    </w:lvl>
  </w:abstractNum>
  <w:abstractNum w:abstractNumId="5">
    <w:multiLevelType w:val="hybridMultilevel"/>
    <w:lvl w:ilvl="0">
      <w:start w:val="1"/>
      <w:numFmt w:val="upperRoman"/>
      <w:lvlText w:val="%1."/>
      <w:lvlJc w:val="left"/>
      <w:pPr>
        <w:ind w:left="142" w:hanging="250"/>
        <w:jc w:val="left"/>
      </w:pPr>
      <w:rPr>
        <w:rFonts w:hint="default" w:ascii="Arial" w:hAnsi="Arial" w:eastAsia="Arial" w:cs="Arial"/>
        <w:b/>
        <w:bCs/>
        <w:w w:val="99"/>
        <w:sz w:val="32"/>
        <w:szCs w:val="32"/>
      </w:rPr>
    </w:lvl>
    <w:lvl w:ilvl="1">
      <w:start w:val="1"/>
      <w:numFmt w:val="bullet"/>
      <w:lvlText w:val=""/>
      <w:lvlJc w:val="left"/>
      <w:pPr>
        <w:ind w:left="1274" w:hanging="358"/>
      </w:pPr>
      <w:rPr>
        <w:rFonts w:hint="default" w:ascii="Symbol" w:hAnsi="Symbol" w:eastAsia="Symbol" w:cs="Symbol"/>
        <w:w w:val="100"/>
        <w:sz w:val="24"/>
        <w:szCs w:val="24"/>
      </w:rPr>
    </w:lvl>
    <w:lvl w:ilvl="2">
      <w:start w:val="1"/>
      <w:numFmt w:val="bullet"/>
      <w:lvlText w:val="•"/>
      <w:lvlJc w:val="left"/>
      <w:pPr>
        <w:ind w:left="2151" w:hanging="358"/>
      </w:pPr>
      <w:rPr>
        <w:rFonts w:hint="default"/>
      </w:rPr>
    </w:lvl>
    <w:lvl w:ilvl="3">
      <w:start w:val="1"/>
      <w:numFmt w:val="bullet"/>
      <w:lvlText w:val="•"/>
      <w:lvlJc w:val="left"/>
      <w:pPr>
        <w:ind w:left="3022" w:hanging="358"/>
      </w:pPr>
      <w:rPr>
        <w:rFonts w:hint="default"/>
      </w:rPr>
    </w:lvl>
    <w:lvl w:ilvl="4">
      <w:start w:val="1"/>
      <w:numFmt w:val="bullet"/>
      <w:lvlText w:val="•"/>
      <w:lvlJc w:val="left"/>
      <w:pPr>
        <w:ind w:left="3893" w:hanging="358"/>
      </w:pPr>
      <w:rPr>
        <w:rFonts w:hint="default"/>
      </w:rPr>
    </w:lvl>
    <w:lvl w:ilvl="5">
      <w:start w:val="1"/>
      <w:numFmt w:val="bullet"/>
      <w:lvlText w:val="•"/>
      <w:lvlJc w:val="left"/>
      <w:pPr>
        <w:ind w:left="4764" w:hanging="358"/>
      </w:pPr>
      <w:rPr>
        <w:rFonts w:hint="default"/>
      </w:rPr>
    </w:lvl>
    <w:lvl w:ilvl="6">
      <w:start w:val="1"/>
      <w:numFmt w:val="bullet"/>
      <w:lvlText w:val="•"/>
      <w:lvlJc w:val="left"/>
      <w:pPr>
        <w:ind w:left="5635" w:hanging="358"/>
      </w:pPr>
      <w:rPr>
        <w:rFonts w:hint="default"/>
      </w:rPr>
    </w:lvl>
    <w:lvl w:ilvl="7">
      <w:start w:val="1"/>
      <w:numFmt w:val="bullet"/>
      <w:lvlText w:val="•"/>
      <w:lvlJc w:val="left"/>
      <w:pPr>
        <w:ind w:left="6506" w:hanging="358"/>
      </w:pPr>
      <w:rPr>
        <w:rFonts w:hint="default"/>
      </w:rPr>
    </w:lvl>
    <w:lvl w:ilvl="8">
      <w:start w:val="1"/>
      <w:numFmt w:val="bullet"/>
      <w:lvlText w:val="•"/>
      <w:lvlJc w:val="left"/>
      <w:pPr>
        <w:ind w:left="7377" w:hanging="358"/>
      </w:pPr>
      <w:rPr>
        <w:rFonts w:hint="default"/>
      </w:rPr>
    </w:lvl>
  </w:abstractNum>
  <w:abstractNum w:abstractNumId="4">
    <w:multiLevelType w:val="hybridMultilevel"/>
    <w:lvl w:ilvl="0">
      <w:start w:val="4"/>
      <w:numFmt w:val="decimal"/>
      <w:lvlText w:val="%1"/>
      <w:lvlJc w:val="left"/>
      <w:pPr>
        <w:ind w:left="692" w:hanging="370"/>
        <w:jc w:val="left"/>
      </w:pPr>
      <w:rPr>
        <w:rFonts w:hint="default"/>
      </w:rPr>
    </w:lvl>
    <w:lvl w:ilvl="1">
      <w:start w:val="1"/>
      <w:numFmt w:val="decimal"/>
      <w:lvlText w:val="%1.%2"/>
      <w:lvlJc w:val="left"/>
      <w:pPr>
        <w:ind w:left="692" w:hanging="370"/>
        <w:jc w:val="left"/>
      </w:pPr>
      <w:rPr>
        <w:rFonts w:hint="default" w:ascii="Arial" w:hAnsi="Arial" w:eastAsia="Arial" w:cs="Arial"/>
        <w:w w:val="100"/>
        <w:sz w:val="22"/>
        <w:szCs w:val="22"/>
      </w:rPr>
    </w:lvl>
    <w:lvl w:ilvl="2">
      <w:start w:val="1"/>
      <w:numFmt w:val="bullet"/>
      <w:lvlText w:val="•"/>
      <w:lvlJc w:val="left"/>
      <w:pPr>
        <w:ind w:left="2368" w:hanging="370"/>
      </w:pPr>
      <w:rPr>
        <w:rFonts w:hint="default"/>
      </w:rPr>
    </w:lvl>
    <w:lvl w:ilvl="3">
      <w:start w:val="1"/>
      <w:numFmt w:val="bullet"/>
      <w:lvlText w:val="•"/>
      <w:lvlJc w:val="left"/>
      <w:pPr>
        <w:ind w:left="3202" w:hanging="370"/>
      </w:pPr>
      <w:rPr>
        <w:rFonts w:hint="default"/>
      </w:rPr>
    </w:lvl>
    <w:lvl w:ilvl="4">
      <w:start w:val="1"/>
      <w:numFmt w:val="bullet"/>
      <w:lvlText w:val="•"/>
      <w:lvlJc w:val="left"/>
      <w:pPr>
        <w:ind w:left="4036" w:hanging="370"/>
      </w:pPr>
      <w:rPr>
        <w:rFonts w:hint="default"/>
      </w:rPr>
    </w:lvl>
    <w:lvl w:ilvl="5">
      <w:start w:val="1"/>
      <w:numFmt w:val="bullet"/>
      <w:lvlText w:val="•"/>
      <w:lvlJc w:val="left"/>
      <w:pPr>
        <w:ind w:left="4870" w:hanging="370"/>
      </w:pPr>
      <w:rPr>
        <w:rFonts w:hint="default"/>
      </w:rPr>
    </w:lvl>
    <w:lvl w:ilvl="6">
      <w:start w:val="1"/>
      <w:numFmt w:val="bullet"/>
      <w:lvlText w:val="•"/>
      <w:lvlJc w:val="left"/>
      <w:pPr>
        <w:ind w:left="5704" w:hanging="370"/>
      </w:pPr>
      <w:rPr>
        <w:rFonts w:hint="default"/>
      </w:rPr>
    </w:lvl>
    <w:lvl w:ilvl="7">
      <w:start w:val="1"/>
      <w:numFmt w:val="bullet"/>
      <w:lvlText w:val="•"/>
      <w:lvlJc w:val="left"/>
      <w:pPr>
        <w:ind w:left="6538" w:hanging="370"/>
      </w:pPr>
      <w:rPr>
        <w:rFonts w:hint="default"/>
      </w:rPr>
    </w:lvl>
    <w:lvl w:ilvl="8">
      <w:start w:val="1"/>
      <w:numFmt w:val="bullet"/>
      <w:lvlText w:val="•"/>
      <w:lvlJc w:val="left"/>
      <w:pPr>
        <w:ind w:left="7372" w:hanging="370"/>
      </w:pPr>
      <w:rPr>
        <w:rFonts w:hint="default"/>
      </w:rPr>
    </w:lvl>
  </w:abstractNum>
  <w:abstractNum w:abstractNumId="3">
    <w:multiLevelType w:val="hybridMultilevel"/>
    <w:lvl w:ilvl="0">
      <w:start w:val="3"/>
      <w:numFmt w:val="decimal"/>
      <w:lvlText w:val="%1"/>
      <w:lvlJc w:val="left"/>
      <w:pPr>
        <w:ind w:left="692" w:hanging="370"/>
        <w:jc w:val="left"/>
      </w:pPr>
      <w:rPr>
        <w:rFonts w:hint="default"/>
      </w:rPr>
    </w:lvl>
    <w:lvl w:ilvl="1">
      <w:start w:val="1"/>
      <w:numFmt w:val="decimal"/>
      <w:lvlText w:val="%1.%2"/>
      <w:lvlJc w:val="left"/>
      <w:pPr>
        <w:ind w:left="692" w:hanging="370"/>
        <w:jc w:val="left"/>
      </w:pPr>
      <w:rPr>
        <w:rFonts w:hint="default" w:ascii="Arial" w:hAnsi="Arial" w:eastAsia="Arial" w:cs="Arial"/>
        <w:w w:val="100"/>
        <w:sz w:val="22"/>
        <w:szCs w:val="22"/>
      </w:rPr>
    </w:lvl>
    <w:lvl w:ilvl="2">
      <w:start w:val="1"/>
      <w:numFmt w:val="bullet"/>
      <w:lvlText w:val="•"/>
      <w:lvlJc w:val="left"/>
      <w:pPr>
        <w:ind w:left="2368" w:hanging="370"/>
      </w:pPr>
      <w:rPr>
        <w:rFonts w:hint="default"/>
      </w:rPr>
    </w:lvl>
    <w:lvl w:ilvl="3">
      <w:start w:val="1"/>
      <w:numFmt w:val="bullet"/>
      <w:lvlText w:val="•"/>
      <w:lvlJc w:val="left"/>
      <w:pPr>
        <w:ind w:left="3202" w:hanging="370"/>
      </w:pPr>
      <w:rPr>
        <w:rFonts w:hint="default"/>
      </w:rPr>
    </w:lvl>
    <w:lvl w:ilvl="4">
      <w:start w:val="1"/>
      <w:numFmt w:val="bullet"/>
      <w:lvlText w:val="•"/>
      <w:lvlJc w:val="left"/>
      <w:pPr>
        <w:ind w:left="4036" w:hanging="370"/>
      </w:pPr>
      <w:rPr>
        <w:rFonts w:hint="default"/>
      </w:rPr>
    </w:lvl>
    <w:lvl w:ilvl="5">
      <w:start w:val="1"/>
      <w:numFmt w:val="bullet"/>
      <w:lvlText w:val="•"/>
      <w:lvlJc w:val="left"/>
      <w:pPr>
        <w:ind w:left="4870" w:hanging="370"/>
      </w:pPr>
      <w:rPr>
        <w:rFonts w:hint="default"/>
      </w:rPr>
    </w:lvl>
    <w:lvl w:ilvl="6">
      <w:start w:val="1"/>
      <w:numFmt w:val="bullet"/>
      <w:lvlText w:val="•"/>
      <w:lvlJc w:val="left"/>
      <w:pPr>
        <w:ind w:left="5704" w:hanging="370"/>
      </w:pPr>
      <w:rPr>
        <w:rFonts w:hint="default"/>
      </w:rPr>
    </w:lvl>
    <w:lvl w:ilvl="7">
      <w:start w:val="1"/>
      <w:numFmt w:val="bullet"/>
      <w:lvlText w:val="•"/>
      <w:lvlJc w:val="left"/>
      <w:pPr>
        <w:ind w:left="6538" w:hanging="370"/>
      </w:pPr>
      <w:rPr>
        <w:rFonts w:hint="default"/>
      </w:rPr>
    </w:lvl>
    <w:lvl w:ilvl="8">
      <w:start w:val="1"/>
      <w:numFmt w:val="bullet"/>
      <w:lvlText w:val="•"/>
      <w:lvlJc w:val="left"/>
      <w:pPr>
        <w:ind w:left="7372" w:hanging="370"/>
      </w:pPr>
      <w:rPr>
        <w:rFonts w:hint="default"/>
      </w:rPr>
    </w:lvl>
  </w:abstractNum>
  <w:abstractNum w:abstractNumId="2">
    <w:multiLevelType w:val="hybridMultilevel"/>
    <w:lvl w:ilvl="0">
      <w:start w:val="2"/>
      <w:numFmt w:val="decimal"/>
      <w:lvlText w:val="%1"/>
      <w:lvlJc w:val="left"/>
      <w:pPr>
        <w:ind w:left="692" w:hanging="370"/>
        <w:jc w:val="left"/>
      </w:pPr>
      <w:rPr>
        <w:rFonts w:hint="default"/>
      </w:rPr>
    </w:lvl>
    <w:lvl w:ilvl="1">
      <w:start w:val="1"/>
      <w:numFmt w:val="decimal"/>
      <w:lvlText w:val="%1.%2"/>
      <w:lvlJc w:val="left"/>
      <w:pPr>
        <w:ind w:left="692" w:hanging="370"/>
        <w:jc w:val="left"/>
      </w:pPr>
      <w:rPr>
        <w:rFonts w:hint="default" w:ascii="Arial" w:hAnsi="Arial" w:eastAsia="Arial" w:cs="Arial"/>
        <w:w w:val="100"/>
        <w:sz w:val="22"/>
        <w:szCs w:val="22"/>
      </w:rPr>
    </w:lvl>
    <w:lvl w:ilvl="2">
      <w:start w:val="1"/>
      <w:numFmt w:val="bullet"/>
      <w:lvlText w:val="•"/>
      <w:lvlJc w:val="left"/>
      <w:pPr>
        <w:ind w:left="2368" w:hanging="370"/>
      </w:pPr>
      <w:rPr>
        <w:rFonts w:hint="default"/>
      </w:rPr>
    </w:lvl>
    <w:lvl w:ilvl="3">
      <w:start w:val="1"/>
      <w:numFmt w:val="bullet"/>
      <w:lvlText w:val="•"/>
      <w:lvlJc w:val="left"/>
      <w:pPr>
        <w:ind w:left="3202" w:hanging="370"/>
      </w:pPr>
      <w:rPr>
        <w:rFonts w:hint="default"/>
      </w:rPr>
    </w:lvl>
    <w:lvl w:ilvl="4">
      <w:start w:val="1"/>
      <w:numFmt w:val="bullet"/>
      <w:lvlText w:val="•"/>
      <w:lvlJc w:val="left"/>
      <w:pPr>
        <w:ind w:left="4036" w:hanging="370"/>
      </w:pPr>
      <w:rPr>
        <w:rFonts w:hint="default"/>
      </w:rPr>
    </w:lvl>
    <w:lvl w:ilvl="5">
      <w:start w:val="1"/>
      <w:numFmt w:val="bullet"/>
      <w:lvlText w:val="•"/>
      <w:lvlJc w:val="left"/>
      <w:pPr>
        <w:ind w:left="4870" w:hanging="370"/>
      </w:pPr>
      <w:rPr>
        <w:rFonts w:hint="default"/>
      </w:rPr>
    </w:lvl>
    <w:lvl w:ilvl="6">
      <w:start w:val="1"/>
      <w:numFmt w:val="bullet"/>
      <w:lvlText w:val="•"/>
      <w:lvlJc w:val="left"/>
      <w:pPr>
        <w:ind w:left="5704" w:hanging="370"/>
      </w:pPr>
      <w:rPr>
        <w:rFonts w:hint="default"/>
      </w:rPr>
    </w:lvl>
    <w:lvl w:ilvl="7">
      <w:start w:val="1"/>
      <w:numFmt w:val="bullet"/>
      <w:lvlText w:val="•"/>
      <w:lvlJc w:val="left"/>
      <w:pPr>
        <w:ind w:left="6538" w:hanging="370"/>
      </w:pPr>
      <w:rPr>
        <w:rFonts w:hint="default"/>
      </w:rPr>
    </w:lvl>
    <w:lvl w:ilvl="8">
      <w:start w:val="1"/>
      <w:numFmt w:val="bullet"/>
      <w:lvlText w:val="•"/>
      <w:lvlJc w:val="left"/>
      <w:pPr>
        <w:ind w:left="7372" w:hanging="370"/>
      </w:pPr>
      <w:rPr>
        <w:rFonts w:hint="default"/>
      </w:rPr>
    </w:lvl>
  </w:abstractNum>
  <w:abstractNum w:abstractNumId="1">
    <w:multiLevelType w:val="hybridMultilevel"/>
    <w:lvl w:ilvl="0">
      <w:start w:val="1"/>
      <w:numFmt w:val="decimal"/>
      <w:lvlText w:val="%1"/>
      <w:lvlJc w:val="left"/>
      <w:pPr>
        <w:ind w:left="692" w:hanging="370"/>
        <w:jc w:val="left"/>
      </w:pPr>
      <w:rPr>
        <w:rFonts w:hint="default"/>
      </w:rPr>
    </w:lvl>
    <w:lvl w:ilvl="1">
      <w:start w:val="1"/>
      <w:numFmt w:val="decimal"/>
      <w:lvlText w:val="%1.%2"/>
      <w:lvlJc w:val="left"/>
      <w:pPr>
        <w:ind w:left="692" w:hanging="370"/>
        <w:jc w:val="left"/>
      </w:pPr>
      <w:rPr>
        <w:rFonts w:hint="default" w:ascii="Arial" w:hAnsi="Arial" w:eastAsia="Arial" w:cs="Arial"/>
        <w:w w:val="100"/>
        <w:sz w:val="22"/>
        <w:szCs w:val="22"/>
      </w:rPr>
    </w:lvl>
    <w:lvl w:ilvl="2">
      <w:start w:val="1"/>
      <w:numFmt w:val="bullet"/>
      <w:lvlText w:val="•"/>
      <w:lvlJc w:val="left"/>
      <w:pPr>
        <w:ind w:left="2368" w:hanging="370"/>
      </w:pPr>
      <w:rPr>
        <w:rFonts w:hint="default"/>
      </w:rPr>
    </w:lvl>
    <w:lvl w:ilvl="3">
      <w:start w:val="1"/>
      <w:numFmt w:val="bullet"/>
      <w:lvlText w:val="•"/>
      <w:lvlJc w:val="left"/>
      <w:pPr>
        <w:ind w:left="3202" w:hanging="370"/>
      </w:pPr>
      <w:rPr>
        <w:rFonts w:hint="default"/>
      </w:rPr>
    </w:lvl>
    <w:lvl w:ilvl="4">
      <w:start w:val="1"/>
      <w:numFmt w:val="bullet"/>
      <w:lvlText w:val="•"/>
      <w:lvlJc w:val="left"/>
      <w:pPr>
        <w:ind w:left="4036" w:hanging="370"/>
      </w:pPr>
      <w:rPr>
        <w:rFonts w:hint="default"/>
      </w:rPr>
    </w:lvl>
    <w:lvl w:ilvl="5">
      <w:start w:val="1"/>
      <w:numFmt w:val="bullet"/>
      <w:lvlText w:val="•"/>
      <w:lvlJc w:val="left"/>
      <w:pPr>
        <w:ind w:left="4870" w:hanging="370"/>
      </w:pPr>
      <w:rPr>
        <w:rFonts w:hint="default"/>
      </w:rPr>
    </w:lvl>
    <w:lvl w:ilvl="6">
      <w:start w:val="1"/>
      <w:numFmt w:val="bullet"/>
      <w:lvlText w:val="•"/>
      <w:lvlJc w:val="left"/>
      <w:pPr>
        <w:ind w:left="5704" w:hanging="370"/>
      </w:pPr>
      <w:rPr>
        <w:rFonts w:hint="default"/>
      </w:rPr>
    </w:lvl>
    <w:lvl w:ilvl="7">
      <w:start w:val="1"/>
      <w:numFmt w:val="bullet"/>
      <w:lvlText w:val="•"/>
      <w:lvlJc w:val="left"/>
      <w:pPr>
        <w:ind w:left="6538" w:hanging="370"/>
      </w:pPr>
      <w:rPr>
        <w:rFonts w:hint="default"/>
      </w:rPr>
    </w:lvl>
    <w:lvl w:ilvl="8">
      <w:start w:val="1"/>
      <w:numFmt w:val="bullet"/>
      <w:lvlText w:val="•"/>
      <w:lvlJc w:val="left"/>
      <w:pPr>
        <w:ind w:left="7372" w:hanging="370"/>
      </w:pPr>
      <w:rPr>
        <w:rFonts w:hint="default"/>
      </w:rPr>
    </w:lvl>
  </w:abstractNum>
  <w:abstractNum w:abstractNumId="0">
    <w:multiLevelType w:val="hybridMultilevel"/>
    <w:lvl w:ilvl="0">
      <w:start w:val="1"/>
      <w:numFmt w:val="upperRoman"/>
      <w:lvlText w:val="%1."/>
      <w:lvlJc w:val="left"/>
      <w:pPr>
        <w:ind w:left="286" w:hanging="185"/>
        <w:jc w:val="left"/>
      </w:pPr>
      <w:rPr>
        <w:rFonts w:hint="default" w:ascii="Arial" w:hAnsi="Arial" w:eastAsia="Arial" w:cs="Arial"/>
        <w:w w:val="100"/>
        <w:sz w:val="22"/>
        <w:szCs w:val="22"/>
      </w:rPr>
    </w:lvl>
    <w:lvl w:ilvl="1">
      <w:start w:val="1"/>
      <w:numFmt w:val="bullet"/>
      <w:lvlText w:val="•"/>
      <w:lvlJc w:val="left"/>
      <w:pPr>
        <w:ind w:left="1156" w:hanging="185"/>
      </w:pPr>
      <w:rPr>
        <w:rFonts w:hint="default"/>
      </w:rPr>
    </w:lvl>
    <w:lvl w:ilvl="2">
      <w:start w:val="1"/>
      <w:numFmt w:val="bullet"/>
      <w:lvlText w:val="•"/>
      <w:lvlJc w:val="left"/>
      <w:pPr>
        <w:ind w:left="2032" w:hanging="185"/>
      </w:pPr>
      <w:rPr>
        <w:rFonts w:hint="default"/>
      </w:rPr>
    </w:lvl>
    <w:lvl w:ilvl="3">
      <w:start w:val="1"/>
      <w:numFmt w:val="bullet"/>
      <w:lvlText w:val="•"/>
      <w:lvlJc w:val="left"/>
      <w:pPr>
        <w:ind w:left="2908" w:hanging="185"/>
      </w:pPr>
      <w:rPr>
        <w:rFonts w:hint="default"/>
      </w:rPr>
    </w:lvl>
    <w:lvl w:ilvl="4">
      <w:start w:val="1"/>
      <w:numFmt w:val="bullet"/>
      <w:lvlText w:val="•"/>
      <w:lvlJc w:val="left"/>
      <w:pPr>
        <w:ind w:left="3784" w:hanging="185"/>
      </w:pPr>
      <w:rPr>
        <w:rFonts w:hint="default"/>
      </w:rPr>
    </w:lvl>
    <w:lvl w:ilvl="5">
      <w:start w:val="1"/>
      <w:numFmt w:val="bullet"/>
      <w:lvlText w:val="•"/>
      <w:lvlJc w:val="left"/>
      <w:pPr>
        <w:ind w:left="4660" w:hanging="185"/>
      </w:pPr>
      <w:rPr>
        <w:rFonts w:hint="default"/>
      </w:rPr>
    </w:lvl>
    <w:lvl w:ilvl="6">
      <w:start w:val="1"/>
      <w:numFmt w:val="bullet"/>
      <w:lvlText w:val="•"/>
      <w:lvlJc w:val="left"/>
      <w:pPr>
        <w:ind w:left="5536" w:hanging="185"/>
      </w:pPr>
      <w:rPr>
        <w:rFonts w:hint="default"/>
      </w:rPr>
    </w:lvl>
    <w:lvl w:ilvl="7">
      <w:start w:val="1"/>
      <w:numFmt w:val="bullet"/>
      <w:lvlText w:val="•"/>
      <w:lvlJc w:val="left"/>
      <w:pPr>
        <w:ind w:left="6412" w:hanging="185"/>
      </w:pPr>
      <w:rPr>
        <w:rFonts w:hint="default"/>
      </w:rPr>
    </w:lvl>
    <w:lvl w:ilvl="8">
      <w:start w:val="1"/>
      <w:numFmt w:val="bullet"/>
      <w:lvlText w:val="•"/>
      <w:lvlJc w:val="left"/>
      <w:pPr>
        <w:ind w:left="7288" w:hanging="185"/>
      </w:pPr>
      <w:rPr>
        <w:rFonts w:hint="default"/>
      </w:rPr>
    </w:lvl>
  </w:abstractNum>
  <w:num w:numId="22">
    <w:abstractNumId w:val="21"/>
  </w:num>
  <w:num w:numId="21">
    <w:abstractNumId w:val="20"/>
  </w:num>
  <w:num w:numId="10">
    <w:abstractNumId w:val="9"/>
  </w:num>
  <w:num w:numId="23">
    <w:abstractNumId w:val="22"/>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 w:line="252" w:lineRule="exact"/>
      <w:ind w:left="102"/>
    </w:pPr>
    <w:rPr>
      <w:rFonts w:ascii="Arial" w:hAnsi="Arial" w:eastAsia="Arial" w:cs="Arial"/>
      <w:sz w:val="22"/>
      <w:szCs w:val="22"/>
    </w:rPr>
  </w:style>
  <w:style w:styleId="TOC2" w:type="paragraph">
    <w:name w:val="TOC 2"/>
    <w:basedOn w:val="Normal"/>
    <w:uiPriority w:val="1"/>
    <w:qFormat/>
    <w:pPr>
      <w:spacing w:line="252" w:lineRule="exact"/>
      <w:ind w:left="692" w:hanging="370"/>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8"/>
      <w:ind w:left="142"/>
      <w:outlineLvl w:val="1"/>
    </w:pPr>
    <w:rPr>
      <w:rFonts w:ascii="Arial" w:hAnsi="Arial" w:eastAsia="Arial" w:cs="Arial"/>
      <w:b/>
      <w:bCs/>
      <w:sz w:val="26"/>
      <w:szCs w:val="26"/>
    </w:rPr>
  </w:style>
  <w:style w:styleId="Heading2" w:type="paragraph">
    <w:name w:val="Heading 2"/>
    <w:basedOn w:val="Normal"/>
    <w:uiPriority w:val="1"/>
    <w:qFormat/>
    <w:pPr>
      <w:spacing w:line="141" w:lineRule="exact"/>
      <w:jc w:val="center"/>
      <w:outlineLvl w:val="2"/>
    </w:pPr>
    <w:rPr>
      <w:rFonts w:ascii="Symbol" w:hAnsi="Symbol" w:eastAsia="Symbol" w:cs="Symbol"/>
      <w:i/>
      <w:sz w:val="25"/>
      <w:szCs w:val="25"/>
    </w:rPr>
  </w:style>
  <w:style w:styleId="Heading3" w:type="paragraph">
    <w:name w:val="Heading 3"/>
    <w:basedOn w:val="Normal"/>
    <w:uiPriority w:val="1"/>
    <w:qFormat/>
    <w:pPr>
      <w:spacing w:before="120"/>
      <w:ind w:left="499" w:right="786"/>
      <w:outlineLvl w:val="3"/>
    </w:pPr>
    <w:rPr>
      <w:rFonts w:ascii="Arial" w:hAnsi="Arial" w:eastAsia="Arial" w:cs="Arial"/>
      <w:b/>
      <w:bCs/>
      <w:sz w:val="24"/>
      <w:szCs w:val="24"/>
    </w:rPr>
  </w:style>
  <w:style w:styleId="ListParagraph" w:type="paragraph">
    <w:name w:val="List Paragraph"/>
    <w:basedOn w:val="Normal"/>
    <w:uiPriority w:val="1"/>
    <w:qFormat/>
    <w:pPr>
      <w:ind w:left="1274" w:hanging="357"/>
    </w:pPr>
    <w:rPr>
      <w:rFonts w:ascii="Arial" w:hAnsi="Arial" w:eastAsia="Arial" w:cs="Arial"/>
    </w:rPr>
  </w:style>
  <w:style w:styleId="TableParagraph" w:type="paragraph">
    <w:name w:val="Table Paragraph"/>
    <w:basedOn w:val="Normal"/>
    <w:uiPriority w:val="1"/>
    <w:qFormat/>
    <w:pPr>
      <w:ind w:left="69"/>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jpeg"/><Relationship Id="rId9" Type="http://schemas.openxmlformats.org/officeDocument/2006/relationships/image" Target="media/image3.jpeg"/><Relationship Id="rId10" Type="http://schemas.openxmlformats.org/officeDocument/2006/relationships/hyperlink" Target="http://www.condusef.gob.mx/cultura_financiera/finanzas_personales/riesgos_fin.html" TargetMode="External"/><Relationship Id="rId11" Type="http://schemas.openxmlformats.org/officeDocument/2006/relationships/hyperlink" Target="http://www.nickleeson.com/" TargetMode="External"/><Relationship Id="rId12" Type="http://schemas.openxmlformats.org/officeDocument/2006/relationships/hyperlink" Target="http://www.galeon.com/froblesortega/elcapitalismoen.html" TargetMode="External"/><Relationship Id="rId13" Type="http://schemas.openxmlformats.org/officeDocument/2006/relationships/hyperlink" Target="http://www.doeda.com/barings.spanish.html" TargetMode="External"/><Relationship Id="rId14" Type="http://schemas.openxmlformats.org/officeDocument/2006/relationships/hyperlink" Target="http://www.amazon.com/88888-Cuenta-Secreta-Nick-Leeson/dp/9500711206" TargetMode="External"/><Relationship Id="rId15" Type="http://schemas.openxmlformats.org/officeDocument/2006/relationships/hyperlink" Target="http://www.dvdempire.com/Exec/v4_item.asp?userid&amp;amp;item_id=9141" TargetMode="External"/><Relationship Id="rId16" Type="http://schemas.openxmlformats.org/officeDocument/2006/relationships/hyperlink" Target="http://es.wikipedia.org/wiki/Baring_Brothers" TargetMode="External"/><Relationship Id="rId17" Type="http://schemas.openxmlformats.org/officeDocument/2006/relationships/hyperlink" Target="http://www.bbbsa.ch/Default.aspx?p=9" TargetMode="External"/><Relationship Id="rId18" Type="http://schemas.openxmlformats.org/officeDocument/2006/relationships/hyperlink" Target="http://ideas.repec.org/p/chb/bcchwp/67.html" TargetMode="External"/><Relationship Id="rId19" Type="http://schemas.openxmlformats.org/officeDocument/2006/relationships/hyperlink" Target="http://en.wikipedia.org/wiki/Outlier" TargetMode="External"/><Relationship Id="rId20" Type="http://schemas.openxmlformats.org/officeDocument/2006/relationships/image" Target="media/image4.png"/><Relationship Id="rId21" Type="http://schemas.openxmlformats.org/officeDocument/2006/relationships/image" Target="media/image5.png"/><Relationship Id="rId22" Type="http://schemas.openxmlformats.org/officeDocument/2006/relationships/hyperlink" Target="http://es.wikipedia.org/wiki/Riesgo" TargetMode="External"/><Relationship Id="rId23" Type="http://schemas.openxmlformats.org/officeDocument/2006/relationships/image" Target="media/image6.png"/><Relationship Id="rId24" Type="http://schemas.openxmlformats.org/officeDocument/2006/relationships/image" Target="media/image7.png"/><Relationship Id="rId25" Type="http://schemas.openxmlformats.org/officeDocument/2006/relationships/image" Target="media/image8.png"/><Relationship Id="rId26" Type="http://schemas.openxmlformats.org/officeDocument/2006/relationships/image" Target="media/image9.png"/><Relationship Id="rId27" Type="http://schemas.openxmlformats.org/officeDocument/2006/relationships/image" Target="media/image10.png"/><Relationship Id="rId28" Type="http://schemas.openxmlformats.org/officeDocument/2006/relationships/image" Target="media/image11.png"/><Relationship Id="rId29" Type="http://schemas.openxmlformats.org/officeDocument/2006/relationships/image" Target="media/image12.png"/><Relationship Id="rId30" Type="http://schemas.openxmlformats.org/officeDocument/2006/relationships/image" Target="media/image13.png"/><Relationship Id="rId31" Type="http://schemas.openxmlformats.org/officeDocument/2006/relationships/image" Target="media/image14.png"/><Relationship Id="rId32" Type="http://schemas.openxmlformats.org/officeDocument/2006/relationships/image" Target="media/image15.png"/><Relationship Id="rId33" Type="http://schemas.openxmlformats.org/officeDocument/2006/relationships/image" Target="media/image16.png"/><Relationship Id="rId34" Type="http://schemas.openxmlformats.org/officeDocument/2006/relationships/image" Target="media/image17.png"/><Relationship Id="rId35" Type="http://schemas.openxmlformats.org/officeDocument/2006/relationships/image" Target="media/image18.png"/><Relationship Id="rId36" Type="http://schemas.openxmlformats.org/officeDocument/2006/relationships/image" Target="media/image19.png"/><Relationship Id="rId37" Type="http://schemas.openxmlformats.org/officeDocument/2006/relationships/image" Target="media/image20.png"/><Relationship Id="rId38" Type="http://schemas.openxmlformats.org/officeDocument/2006/relationships/image" Target="media/image21.png"/><Relationship Id="rId39" Type="http://schemas.openxmlformats.org/officeDocument/2006/relationships/footer" Target="footer2.xml"/><Relationship Id="rId40" Type="http://schemas.openxmlformats.org/officeDocument/2006/relationships/image" Target="media/image22.jpeg"/><Relationship Id="rId41" Type="http://schemas.openxmlformats.org/officeDocument/2006/relationships/image" Target="media/image23.png"/><Relationship Id="rId42" Type="http://schemas.openxmlformats.org/officeDocument/2006/relationships/image" Target="media/image24.png"/><Relationship Id="rId43" Type="http://schemas.openxmlformats.org/officeDocument/2006/relationships/image" Target="media/image25.png"/><Relationship Id="rId44" Type="http://schemas.openxmlformats.org/officeDocument/2006/relationships/image" Target="media/image26.png"/><Relationship Id="rId45" Type="http://schemas.openxmlformats.org/officeDocument/2006/relationships/hyperlink" Target="http://www.mexder.com.mx/MEX/anteceden.html" TargetMode="External"/><Relationship Id="rId46" Type="http://schemas.openxmlformats.org/officeDocument/2006/relationships/hyperlink" Target="http://es.biz.yahoo.com/gloss/main/a.html#activo_subcayente" TargetMode="External"/><Relationship Id="rId47" Type="http://schemas.openxmlformats.org/officeDocument/2006/relationships/hyperlink" Target="http://es.biz.yahoo.com/gloss/main/m.html#mercado_de_opciones" TargetMode="External"/><Relationship Id="rId48" Type="http://schemas.openxmlformats.org/officeDocument/2006/relationships/hyperlink" Target="http://www.mexder.com.mx/MEX/paginaprincipal.html" TargetMode="External"/><Relationship Id="rId49" Type="http://schemas.openxmlformats.org/officeDocument/2006/relationships/hyperlink" Target="http://www.in-the-money.com/glossarynet/Internat.htm" TargetMode="External"/><Relationship Id="rId50" Type="http://schemas.openxmlformats.org/officeDocument/2006/relationships/hyperlink" Target="http://www.cme.com/" TargetMode="External"/><Relationship Id="rId51" Type="http://schemas.openxmlformats.org/officeDocument/2006/relationships/hyperlink" Target="http://www.cboe.com/" TargetMode="External"/><Relationship Id="rId52" Type="http://schemas.openxmlformats.org/officeDocument/2006/relationships/hyperlink" Target="http://www.cbot.com/" TargetMode="External"/><Relationship Id="rId53" Type="http://schemas.openxmlformats.org/officeDocument/2006/relationships/footer" Target="footer3.xml"/><Relationship Id="rId54" Type="http://schemas.openxmlformats.org/officeDocument/2006/relationships/hyperlink" Target="http://www.asigna.com.mx/ASG/HTML/home.html" TargetMode="External"/><Relationship Id="rId55" Type="http://schemas.openxmlformats.org/officeDocument/2006/relationships/hyperlink" Target="http://www.mexder.com.mx/MEX/Camara_de_Compensacion.html" TargetMode="External"/><Relationship Id="rId56" Type="http://schemas.openxmlformats.org/officeDocument/2006/relationships/hyperlink" Target="http://www.mexder.com.mx/MEX/Abrir_una_Cuenta.html" TargetMode="External"/><Relationship Id="rId57" Type="http://schemas.openxmlformats.org/officeDocument/2006/relationships/hyperlink" Target="http://www.mexder.com.mx/MEX/Glosario.html" TargetMode="External"/><Relationship Id="rId58" Type="http://schemas.openxmlformats.org/officeDocument/2006/relationships/hyperlink" Target="http://www.mexder.com.mx/MEX/mexder.htm" TargetMode="External"/><Relationship Id="rId59" Type="http://schemas.openxmlformats.org/officeDocument/2006/relationships/image" Target="media/image27.png"/><Relationship Id="rId60" Type="http://schemas.openxmlformats.org/officeDocument/2006/relationships/hyperlink" Target="http://www.mexder.com.mx/wb3/wb/MEX/home" TargetMode="External"/><Relationship Id="rId61" Type="http://schemas.openxmlformats.org/officeDocument/2006/relationships/hyperlink" Target="http://www.uclm.es/AB/fcee/D_trabajos/0-2002-1.pdf" TargetMode="External"/><Relationship Id="rId62" Type="http://schemas.openxmlformats.org/officeDocument/2006/relationships/hyperlink" Target="http://www.cybertesis.cl/tesis/uchile/2004/queupil_c/sources/queupil_c.pdf" TargetMode="External"/><Relationship Id="rId63" Type="http://schemas.openxmlformats.org/officeDocument/2006/relationships/hyperlink" Target="http://www.rajuabju.com/" TargetMode="External"/><Relationship Id="rId64" Type="http://schemas.openxmlformats.org/officeDocument/2006/relationships/hyperlink" Target="http://es.wikipedia.org/wiki/Annals_of_Improbable_Research" TargetMode="External"/><Relationship Id="rId65" Type="http://schemas.openxmlformats.org/officeDocument/2006/relationships/hyperlink" Target="http://es.wikipedia.org/wiki/Premio_Ig_Nobel#_note-35" TargetMode="External"/><Relationship Id="rId66" Type="http://schemas.openxmlformats.org/officeDocument/2006/relationships/hyperlink" Target="http://www.universia.es/ubr/pdfs/UBR0032005054.pdf" TargetMode="External"/><Relationship Id="rId67" Type="http://schemas.openxmlformats.org/officeDocument/2006/relationships/footer" Target="footer4.xml"/><Relationship Id="rId6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Plizola</dc:creator>
  <dcterms:created xsi:type="dcterms:W3CDTF">2017-06-08T16:39:10Z</dcterms:created>
  <dcterms:modified xsi:type="dcterms:W3CDTF">2017-06-08T16:39:10Z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2015-10-01T00:00:00Z</vt:filetime>
  </property>
  <property fmtid="{D5CDD505-2E9C-101B-9397-08002B2CF9AE}" pid="3" name="Creator">
    <vt:lpwstr>Microsoft® Word 2013</vt:lpwstr>
  </property>
  <property fmtid="{D5CDD505-2E9C-101B-9397-08002B2CF9AE}" pid="4" name="LastSaved">
    <vt:filetime>2017-06-08T00:00:00Z</vt:filetime>
  </property>
</Properties>
</file>