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ind w:left="1700"/>
        <w:spacing w:after="0"/>
        <w:rPr>
          <w:sz w:val="20"/>
          <w:szCs w:val="20"/>
          <w:color w:val="auto"/>
        </w:rPr>
      </w:pPr>
      <w:r>
        <w:rPr>
          <w:rFonts w:ascii="Arial" w:cs="Arial" w:eastAsia="Arial" w:hAnsi="Arial"/>
          <w:sz w:val="20"/>
          <w:szCs w:val="20"/>
          <w:b w:val="1"/>
          <w:bCs w:val="1"/>
          <w:color w:val="auto"/>
        </w:rPr>
        <w:drawing>
          <wp:anchor simplePos="0" relativeHeight="251657728" behindDoc="1" locked="0" layoutInCell="0" allowOverlap="1">
            <wp:simplePos x="0" y="0"/>
            <wp:positionH relativeFrom="page">
              <wp:posOffset>1080770</wp:posOffset>
            </wp:positionH>
            <wp:positionV relativeFrom="page">
              <wp:posOffset>775970</wp:posOffset>
            </wp:positionV>
            <wp:extent cx="937260" cy="8699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937260" cy="869950"/>
                    </a:xfrm>
                    <a:prstGeom prst="rect">
                      <a:avLst/>
                    </a:prstGeom>
                    <a:noFill/>
                  </pic:spPr>
                </pic:pic>
              </a:graphicData>
            </a:graphic>
          </wp:anchor>
        </w:drawing>
        <w:t>ESTILO DE VIDA RELACIONADO CON LA SALUD</w:t>
      </w:r>
    </w:p>
    <w:p>
      <w:pPr>
        <w:spacing w:after="0" w:line="315" w:lineRule="exact"/>
        <w:rPr>
          <w:sz w:val="24"/>
          <w:szCs w:val="24"/>
          <w:color w:val="auto"/>
        </w:rPr>
      </w:pPr>
    </w:p>
    <w:p>
      <w:pPr>
        <w:ind w:left="1700"/>
        <w:spacing w:after="0"/>
        <w:rPr>
          <w:sz w:val="20"/>
          <w:szCs w:val="20"/>
          <w:color w:val="auto"/>
        </w:rPr>
      </w:pPr>
      <w:r>
        <w:rPr>
          <w:rFonts w:ascii="Arial" w:cs="Arial" w:eastAsia="Arial" w:hAnsi="Arial"/>
          <w:sz w:val="20"/>
          <w:szCs w:val="20"/>
          <w:b w:val="1"/>
          <w:bCs w:val="1"/>
          <w:color w:val="auto"/>
        </w:rPr>
        <w:t>Prof. Dr. Ernesto de la Cruz Sánchez</w:t>
      </w:r>
    </w:p>
    <w:p>
      <w:pPr>
        <w:spacing w:after="0" w:line="113" w:lineRule="exact"/>
        <w:rPr>
          <w:sz w:val="24"/>
          <w:szCs w:val="24"/>
          <w:color w:val="auto"/>
        </w:rPr>
      </w:pPr>
    </w:p>
    <w:p>
      <w:pPr>
        <w:ind w:left="1700"/>
        <w:spacing w:after="0"/>
        <w:rPr>
          <w:sz w:val="20"/>
          <w:szCs w:val="20"/>
          <w:color w:val="auto"/>
        </w:rPr>
      </w:pPr>
      <w:r>
        <w:rPr>
          <w:rFonts w:ascii="Arial" w:cs="Arial" w:eastAsia="Arial" w:hAnsi="Arial"/>
          <w:sz w:val="20"/>
          <w:szCs w:val="20"/>
          <w:b w:val="1"/>
          <w:bCs w:val="1"/>
          <w:color w:val="auto"/>
        </w:rPr>
        <w:t>Prof. Dr. José Pino Ortega</w:t>
      </w:r>
    </w:p>
    <w:p>
      <w:pPr>
        <w:spacing w:after="0" w:line="116" w:lineRule="exact"/>
        <w:rPr>
          <w:sz w:val="24"/>
          <w:szCs w:val="24"/>
          <w:color w:val="auto"/>
        </w:rPr>
      </w:pPr>
    </w:p>
    <w:p>
      <w:pPr>
        <w:ind w:left="1700"/>
        <w:spacing w:after="0"/>
        <w:rPr>
          <w:sz w:val="20"/>
          <w:szCs w:val="20"/>
          <w:color w:val="auto"/>
        </w:rPr>
      </w:pPr>
      <w:r>
        <w:rPr>
          <w:rFonts w:ascii="Arial" w:cs="Arial" w:eastAsia="Arial" w:hAnsi="Arial"/>
          <w:sz w:val="20"/>
          <w:szCs w:val="20"/>
          <w:b w:val="1"/>
          <w:bCs w:val="1"/>
          <w:color w:val="auto"/>
        </w:rPr>
        <w:t>Facultad de Ciencias del Deporte – Universidad de M urcia</w:t>
      </w:r>
    </w:p>
    <w:p>
      <w:pPr>
        <w:spacing w:after="0" w:line="200" w:lineRule="exact"/>
        <w:rPr>
          <w:sz w:val="24"/>
          <w:szCs w:val="24"/>
          <w:color w:val="auto"/>
        </w:rPr>
      </w:pPr>
    </w:p>
    <w:p>
      <w:pPr>
        <w:spacing w:after="0" w:line="394" w:lineRule="exact"/>
        <w:rPr>
          <w:sz w:val="24"/>
          <w:szCs w:val="24"/>
          <w:color w:val="auto"/>
        </w:rPr>
      </w:pPr>
    </w:p>
    <w:p>
      <w:pPr>
        <w:jc w:val="both"/>
        <w:ind w:firstLine="708"/>
        <w:spacing w:after="0" w:line="347" w:lineRule="auto"/>
        <w:rPr>
          <w:sz w:val="20"/>
          <w:szCs w:val="20"/>
          <w:color w:val="auto"/>
        </w:rPr>
      </w:pPr>
      <w:r>
        <w:rPr>
          <w:rFonts w:ascii="Arial" w:cs="Arial" w:eastAsia="Arial" w:hAnsi="Arial"/>
          <w:sz w:val="20"/>
          <w:szCs w:val="20"/>
          <w:color w:val="auto"/>
        </w:rPr>
        <w:t>El estilo de vida saludable es un conjunto de patrones de conductas relacionados con la salud, determinado por las elecciones que hacen las personas de las opciones disponibles acordes con las oportunidades que les ofrece su propia vida</w:t>
      </w:r>
      <w:r>
        <w:rPr>
          <w:rFonts w:ascii="Arial" w:cs="Arial" w:eastAsia="Arial" w:hAnsi="Arial"/>
          <w:sz w:val="25"/>
          <w:szCs w:val="25"/>
          <w:color w:val="auto"/>
          <w:vertAlign w:val="superscript"/>
        </w:rPr>
        <w:t>(1)</w:t>
      </w:r>
      <w:r>
        <w:rPr>
          <w:rFonts w:ascii="Arial" w:cs="Arial" w:eastAsia="Arial" w:hAnsi="Arial"/>
          <w:sz w:val="20"/>
          <w:szCs w:val="20"/>
          <w:color w:val="auto"/>
        </w:rPr>
        <w:t>. De esta forma, el estilo de vida puede entenderse como una conducta relacionada con la salud de carácter consistente (como la práctica habitual de actividad física) que está posibilitada o limitada por la situación social de una persona y sus condiciones de vida. La transición epidemiológica de enfermedad aguda a enfermedad crónica, como principal causa de mortalidad en nuestra sociedad, ha hecho importante el estudio del estilo de vida relacionado con la salud en la actualidad.</w:t>
      </w:r>
    </w:p>
    <w:p>
      <w:pPr>
        <w:spacing w:after="0" w:line="257" w:lineRule="exact"/>
        <w:rPr>
          <w:sz w:val="24"/>
          <w:szCs w:val="24"/>
          <w:color w:val="auto"/>
        </w:rPr>
      </w:pPr>
    </w:p>
    <w:p>
      <w:pPr>
        <w:jc w:val="both"/>
        <w:ind w:firstLine="708"/>
        <w:spacing w:after="0" w:line="344" w:lineRule="auto"/>
        <w:rPr>
          <w:sz w:val="20"/>
          <w:szCs w:val="20"/>
          <w:color w:val="auto"/>
        </w:rPr>
      </w:pPr>
      <w:r>
        <w:rPr>
          <w:rFonts w:ascii="Arial" w:cs="Arial" w:eastAsia="Arial" w:hAnsi="Arial"/>
          <w:sz w:val="20"/>
          <w:szCs w:val="20"/>
          <w:color w:val="auto"/>
        </w:rPr>
        <w:t>Durante los años 80, el estudio del estilo de vida alcanzó un elevado protagonismo en el ámbito de las ciencias biomédicas, debido a que, tras el informe Lalonde, se determinó la importancia de los hábitos de vida y sus determinan tes sobre la salud de las personas, definiendo que el estilo de vida, en el ámbito de l as ciencias de la salud, podría considerarse como el “</w:t>
      </w:r>
      <w:r>
        <w:rPr>
          <w:rFonts w:ascii="Arial" w:cs="Arial" w:eastAsia="Arial" w:hAnsi="Arial"/>
          <w:sz w:val="20"/>
          <w:szCs w:val="20"/>
          <w:i w:val="1"/>
          <w:iCs w:val="1"/>
          <w:color w:val="auto"/>
        </w:rPr>
        <w:t>conjunto de decisiones de las personas que afectan a su salud y sobre las cuales</w:t>
      </w:r>
      <w:r>
        <w:rPr>
          <w:rFonts w:ascii="Arial" w:cs="Arial" w:eastAsia="Arial" w:hAnsi="Arial"/>
          <w:sz w:val="20"/>
          <w:szCs w:val="20"/>
          <w:color w:val="auto"/>
        </w:rPr>
        <w:t xml:space="preserve"> </w:t>
      </w:r>
      <w:r>
        <w:rPr>
          <w:rFonts w:ascii="Arial" w:cs="Arial" w:eastAsia="Arial" w:hAnsi="Arial"/>
          <w:sz w:val="20"/>
          <w:szCs w:val="20"/>
          <w:i w:val="1"/>
          <w:iCs w:val="1"/>
          <w:color w:val="auto"/>
        </w:rPr>
        <w:t>ellas tienen más o menos control</w:t>
      </w:r>
      <w:r>
        <w:rPr>
          <w:rFonts w:ascii="Arial" w:cs="Arial" w:eastAsia="Arial" w:hAnsi="Arial"/>
          <w:sz w:val="20"/>
          <w:szCs w:val="20"/>
          <w:color w:val="auto"/>
        </w:rPr>
        <w:t>”</w:t>
      </w:r>
      <w:r>
        <w:rPr>
          <w:rFonts w:ascii="Arial" w:cs="Arial" w:eastAsia="Arial" w:hAnsi="Arial"/>
          <w:sz w:val="25"/>
          <w:szCs w:val="25"/>
          <w:color w:val="auto"/>
          <w:vertAlign w:val="superscript"/>
        </w:rPr>
        <w:t>(2)</w:t>
      </w:r>
      <w:r>
        <w:rPr>
          <w:rFonts w:ascii="Arial" w:cs="Arial" w:eastAsia="Arial" w:hAnsi="Arial"/>
          <w:sz w:val="20"/>
          <w:szCs w:val="20"/>
          <w:color w:val="auto"/>
        </w:rPr>
        <w:t>. En este sentido, la Organización Mundial de la Salud</w:t>
      </w:r>
      <w:r>
        <w:rPr>
          <w:rFonts w:ascii="Arial" w:cs="Arial" w:eastAsia="Arial" w:hAnsi="Arial"/>
          <w:sz w:val="20"/>
          <w:szCs w:val="20"/>
          <w:i w:val="1"/>
          <w:iCs w:val="1"/>
          <w:color w:val="auto"/>
        </w:rPr>
        <w:t xml:space="preserve"> </w:t>
      </w:r>
      <w:r>
        <w:rPr>
          <w:rFonts w:ascii="Arial" w:cs="Arial" w:eastAsia="Arial" w:hAnsi="Arial"/>
          <w:sz w:val="20"/>
          <w:szCs w:val="20"/>
          <w:color w:val="auto"/>
        </w:rPr>
        <w:t>(OMS) aportó una definición más concreta de estilo de vida relacionado con la salud, acordando, durante la XXXI Reunión del Comité Regional para Europa, que es "</w:t>
      </w:r>
      <w:r>
        <w:rPr>
          <w:rFonts w:ascii="Arial" w:cs="Arial" w:eastAsia="Arial" w:hAnsi="Arial"/>
          <w:sz w:val="20"/>
          <w:szCs w:val="20"/>
          <w:i w:val="1"/>
          <w:iCs w:val="1"/>
          <w:color w:val="auto"/>
        </w:rPr>
        <w:t>una forma</w:t>
      </w:r>
      <w:r>
        <w:rPr>
          <w:rFonts w:ascii="Arial" w:cs="Arial" w:eastAsia="Arial" w:hAnsi="Arial"/>
          <w:sz w:val="20"/>
          <w:szCs w:val="20"/>
          <w:color w:val="auto"/>
        </w:rPr>
        <w:t xml:space="preserve"> </w:t>
      </w:r>
      <w:r>
        <w:rPr>
          <w:rFonts w:ascii="Arial" w:cs="Arial" w:eastAsia="Arial" w:hAnsi="Arial"/>
          <w:sz w:val="20"/>
          <w:szCs w:val="20"/>
          <w:i w:val="1"/>
          <w:iCs w:val="1"/>
          <w:color w:val="auto"/>
        </w:rPr>
        <w:t>general de vida basada en la interacción entre las condiciones de vida en un sentido amplio y los patrones individuales de conducta determinados por factores socioculturales y características personales</w:t>
      </w:r>
      <w:r>
        <w:rPr>
          <w:rFonts w:ascii="Arial" w:cs="Arial" w:eastAsia="Arial" w:hAnsi="Arial"/>
          <w:sz w:val="20"/>
          <w:szCs w:val="20"/>
          <w:color w:val="auto"/>
        </w:rPr>
        <w:t>"</w:t>
      </w:r>
      <w:r>
        <w:rPr>
          <w:rFonts w:ascii="Arial" w:cs="Arial" w:eastAsia="Arial" w:hAnsi="Arial"/>
          <w:sz w:val="25"/>
          <w:szCs w:val="25"/>
          <w:color w:val="auto"/>
          <w:vertAlign w:val="superscript"/>
        </w:rPr>
        <w:t>(3)</w:t>
      </w:r>
      <w:r>
        <w:rPr>
          <w:rFonts w:ascii="Arial" w:cs="Arial" w:eastAsia="Arial" w:hAnsi="Arial"/>
          <w:sz w:val="20"/>
          <w:szCs w:val="20"/>
          <w:color w:val="auto"/>
        </w:rPr>
        <w:t>.</w:t>
      </w:r>
    </w:p>
    <w:p>
      <w:pPr>
        <w:spacing w:after="0" w:line="244" w:lineRule="exact"/>
        <w:rPr>
          <w:sz w:val="24"/>
          <w:szCs w:val="24"/>
          <w:color w:val="auto"/>
        </w:rPr>
      </w:pPr>
    </w:p>
    <w:p>
      <w:pPr>
        <w:jc w:val="both"/>
        <w:ind w:firstLine="708"/>
        <w:spacing w:after="0" w:line="346" w:lineRule="auto"/>
        <w:rPr>
          <w:sz w:val="20"/>
          <w:szCs w:val="20"/>
          <w:color w:val="auto"/>
        </w:rPr>
      </w:pPr>
      <w:r>
        <w:rPr>
          <w:rFonts w:ascii="Arial" w:cs="Arial" w:eastAsia="Arial" w:hAnsi="Arial"/>
          <w:sz w:val="20"/>
          <w:szCs w:val="20"/>
          <w:color w:val="auto"/>
        </w:rPr>
        <w:t>Hasta entonces, desde distintas áreas de conocimien to se habían estudiado diferentes variables relacionadas con el estilo de vida. Prevalecía la idea de que el estilo de vida tenía un carácter fundamentalmente voluntario, aunque en la actualidad cobra fuerza la idea de que existen muchas variables de índole muy diversa que vienen a conformar el fenómeno que denominamos estilo de vida y es que las conductas habituales y elecciones están limitadas a las oportunidades vitales que ofrecen el contexto y las condiciones estructurales de vida</w:t>
      </w:r>
      <w:r>
        <w:rPr>
          <w:rFonts w:ascii="Arial" w:cs="Arial" w:eastAsia="Arial" w:hAnsi="Arial"/>
          <w:sz w:val="25"/>
          <w:szCs w:val="25"/>
          <w:color w:val="auto"/>
          <w:vertAlign w:val="superscript"/>
        </w:rPr>
        <w:t>(4)</w:t>
      </w:r>
      <w:r>
        <w:rPr>
          <w:rFonts w:ascii="Arial" w:cs="Arial" w:eastAsia="Arial" w:hAnsi="Arial"/>
          <w:sz w:val="20"/>
          <w:szCs w:val="20"/>
          <w:color w:val="auto"/>
        </w:rPr>
        <w:t>.</w:t>
      </w:r>
    </w:p>
    <w:p>
      <w:pPr>
        <w:spacing w:after="0" w:line="228" w:lineRule="exact"/>
        <w:rPr>
          <w:sz w:val="24"/>
          <w:szCs w:val="24"/>
          <w:color w:val="auto"/>
        </w:rPr>
      </w:pPr>
    </w:p>
    <w:p>
      <w:pPr>
        <w:spacing w:after="0"/>
        <w:rPr>
          <w:sz w:val="20"/>
          <w:szCs w:val="20"/>
          <w:color w:val="auto"/>
        </w:rPr>
      </w:pPr>
      <w:r>
        <w:rPr>
          <w:rFonts w:ascii="Arial" w:cs="Arial" w:eastAsia="Arial" w:hAnsi="Arial"/>
          <w:sz w:val="20"/>
          <w:szCs w:val="20"/>
          <w:b w:val="1"/>
          <w:bCs w:val="1"/>
          <w:color w:val="auto"/>
        </w:rPr>
        <w:t>Componentes y determinantes del estilo de vida relacionado con la salud</w:t>
      </w:r>
    </w:p>
    <w:p>
      <w:pPr>
        <w:spacing w:after="0" w:line="364" w:lineRule="exact"/>
        <w:rPr>
          <w:sz w:val="24"/>
          <w:szCs w:val="24"/>
          <w:color w:val="auto"/>
        </w:rPr>
      </w:pPr>
    </w:p>
    <w:p>
      <w:pPr>
        <w:jc w:val="both"/>
        <w:ind w:firstLine="708"/>
        <w:spacing w:after="0" w:line="359" w:lineRule="auto"/>
        <w:rPr>
          <w:sz w:val="20"/>
          <w:szCs w:val="20"/>
          <w:color w:val="auto"/>
        </w:rPr>
      </w:pPr>
      <w:r>
        <w:rPr>
          <w:rFonts w:ascii="Arial" w:cs="Arial" w:eastAsia="Arial" w:hAnsi="Arial"/>
          <w:sz w:val="20"/>
          <w:szCs w:val="20"/>
          <w:color w:val="auto"/>
        </w:rPr>
        <w:t>De forma sinónima vienen a utilizarse los conceptos “hábitos de vida”, “estilo de vida” y “estilo de vida relacionado con la salud” refiriéndose, esta última acepción, a aquellas conductas habituales que se ha demostrado ejercen una influencia en la salud de los individuos (como el tabaquismo, la cantidad de actividad física habitual, alimentación, etc.) y sobre las que nos detendremos más detalladamente a continuación.</w:t>
      </w:r>
    </w:p>
    <w:p>
      <w:pPr>
        <w:sectPr>
          <w:pgSz w:w="11900" w:h="16840" w:orient="portrait"/>
          <w:cols w:equalWidth="0" w:num="1">
            <w:col w:w="8540"/>
          </w:cols>
          <w:pgMar w:left="1700" w:top="1268" w:right="1660" w:bottom="0" w:gutter="0" w:footer="0" w:header="0"/>
        </w:sect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59" w:lineRule="exact"/>
        <w:rPr>
          <w:sz w:val="24"/>
          <w:szCs w:val="24"/>
          <w:color w:val="auto"/>
        </w:rPr>
      </w:pPr>
    </w:p>
    <w:tbl>
      <w:tblPr>
        <w:tblLayout w:type="fixed"/>
        <w:tblInd w:w="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1</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6000"/>
            </w:cols>
            <w:pgMar w:left="4200" w:top="1268" w:right="1700" w:bottom="0" w:gutter="0" w:footer="0" w:header="0"/>
            <w:type w:val="continuous"/>
          </w:sectPr>
        </w:pPr>
      </w:p>
      <w:bookmarkStart w:id="1" w:name="page2"/>
      <w:bookmarkEnd w:id="1"/>
    </w:tbl>
    <w:p>
      <w:pPr>
        <w:spacing w:after="0" w:line="200" w:lineRule="exact"/>
        <w:rPr>
          <w:sz w:val="20"/>
          <w:szCs w:val="20"/>
          <w:color w:val="auto"/>
        </w:rPr>
      </w:pPr>
    </w:p>
    <w:p>
      <w:pPr>
        <w:spacing w:after="0" w:line="200" w:lineRule="exact"/>
        <w:rPr>
          <w:sz w:val="20"/>
          <w:szCs w:val="20"/>
          <w:color w:val="auto"/>
        </w:rPr>
      </w:pPr>
    </w:p>
    <w:p>
      <w:pPr>
        <w:spacing w:after="0" w:line="327" w:lineRule="exact"/>
        <w:rPr>
          <w:sz w:val="20"/>
          <w:szCs w:val="20"/>
          <w:color w:val="auto"/>
        </w:rPr>
      </w:pPr>
    </w:p>
    <w:p>
      <w:pPr>
        <w:ind w:left="700"/>
        <w:spacing w:after="0" w:line="239" w:lineRule="auto"/>
        <w:rPr>
          <w:sz w:val="20"/>
          <w:szCs w:val="20"/>
          <w:color w:val="auto"/>
        </w:rPr>
      </w:pPr>
      <w:r>
        <w:rPr>
          <w:rFonts w:ascii="Arial" w:cs="Arial" w:eastAsia="Arial" w:hAnsi="Arial"/>
          <w:sz w:val="20"/>
          <w:szCs w:val="20"/>
          <w:color w:val="auto"/>
        </w:rPr>
        <w:t>El estilo de vida relacionado con la salud está car acterizado por</w:t>
      </w:r>
      <w:r>
        <w:rPr>
          <w:rFonts w:ascii="Arial" w:cs="Arial" w:eastAsia="Arial" w:hAnsi="Arial"/>
          <w:sz w:val="25"/>
          <w:szCs w:val="25"/>
          <w:color w:val="auto"/>
          <w:vertAlign w:val="superscript"/>
        </w:rPr>
        <w:t>(5)</w:t>
      </w:r>
      <w:r>
        <w:rPr>
          <w:rFonts w:ascii="Arial" w:cs="Arial" w:eastAsia="Arial" w:hAnsi="Arial"/>
          <w:sz w:val="20"/>
          <w:szCs w:val="20"/>
          <w:color w:val="auto"/>
        </w:rPr>
        <w:t>:</w:t>
      </w:r>
    </w:p>
    <w:p>
      <w:pPr>
        <w:spacing w:after="0" w:line="335" w:lineRule="exact"/>
        <w:rPr>
          <w:sz w:val="20"/>
          <w:szCs w:val="20"/>
          <w:color w:val="auto"/>
        </w:rPr>
      </w:pPr>
    </w:p>
    <w:p>
      <w:pPr>
        <w:jc w:val="both"/>
        <w:ind w:left="720"/>
        <w:spacing w:after="0" w:line="358" w:lineRule="auto"/>
        <w:rPr>
          <w:sz w:val="20"/>
          <w:szCs w:val="20"/>
          <w:color w:val="auto"/>
        </w:rPr>
      </w:pPr>
      <w:r>
        <w:rPr>
          <w:rFonts w:ascii="Arial" w:cs="Arial" w:eastAsia="Arial" w:hAnsi="Arial"/>
          <w:sz w:val="20"/>
          <w:szCs w:val="20"/>
          <w:color w:val="auto"/>
        </w:rPr>
        <w:t>Poseer una naturaleza conductual y observable. Desde este punto de vista, actitudes, valores y motivaciones no forman parte del mismo, aunque pueden ser sus determinantes.</w:t>
      </w:r>
    </w:p>
    <w:p>
      <w:pPr>
        <w:spacing w:after="0" w:line="244" w:lineRule="exact"/>
        <w:rPr>
          <w:sz w:val="20"/>
          <w:szCs w:val="20"/>
          <w:color w:val="auto"/>
        </w:rPr>
      </w:pPr>
    </w:p>
    <w:p>
      <w:pPr>
        <w:jc w:val="both"/>
        <w:ind w:left="360"/>
        <w:spacing w:after="0" w:line="239" w:lineRule="auto"/>
        <w:rPr>
          <w:sz w:val="20"/>
          <w:szCs w:val="20"/>
          <w:color w:val="auto"/>
        </w:rPr>
      </w:pPr>
      <w:r>
        <w:rPr>
          <w:rFonts w:ascii="Arial" w:cs="Arial" w:eastAsia="Arial" w:hAnsi="Arial"/>
          <w:sz w:val="20"/>
          <w:szCs w:val="20"/>
          <w:color w:val="auto"/>
        </w:rPr>
        <w:t>Continuidad de estas conductas en el tiempo, persistencia, “hábito”.</w:t>
      </w:r>
    </w:p>
    <w:p>
      <w:pPr>
        <w:spacing w:after="0" w:line="356" w:lineRule="exact"/>
        <w:rPr>
          <w:sz w:val="20"/>
          <w:szCs w:val="20"/>
          <w:color w:val="auto"/>
        </w:rPr>
      </w:pPr>
    </w:p>
    <w:p>
      <w:pPr>
        <w:jc w:val="both"/>
        <w:ind w:left="360"/>
        <w:spacing w:after="0" w:line="239" w:lineRule="auto"/>
        <w:rPr>
          <w:sz w:val="20"/>
          <w:szCs w:val="20"/>
          <w:color w:val="auto"/>
        </w:rPr>
      </w:pPr>
      <w:r>
        <w:rPr>
          <w:rFonts w:ascii="Arial" w:cs="Arial" w:eastAsia="Arial" w:hAnsi="Arial"/>
          <w:sz w:val="20"/>
          <w:szCs w:val="20"/>
          <w:color w:val="auto"/>
        </w:rPr>
        <w:t>Asociación y combinación entre conductas de formaconsistente.</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1099185</wp:posOffset>
            </wp:positionH>
            <wp:positionV relativeFrom="paragraph">
              <wp:posOffset>331470</wp:posOffset>
            </wp:positionV>
            <wp:extent cx="3201670" cy="344043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extLst>
                    </a:blip>
                    <a:srcRect/>
                    <a:stretch>
                      <a:fillRect/>
                    </a:stretch>
                  </pic:blipFill>
                  <pic:spPr bwMode="auto">
                    <a:xfrm>
                      <a:off x="0" y="0"/>
                      <a:ext cx="3201670" cy="344043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15" w:lineRule="exact"/>
        <w:rPr>
          <w:sz w:val="20"/>
          <w:szCs w:val="20"/>
          <w:color w:val="auto"/>
        </w:rPr>
      </w:pPr>
    </w:p>
    <w:p>
      <w:pPr>
        <w:ind w:left="3460"/>
        <w:spacing w:after="0"/>
        <w:rPr>
          <w:sz w:val="20"/>
          <w:szCs w:val="20"/>
          <w:color w:val="auto"/>
        </w:rPr>
      </w:pPr>
      <w:r>
        <w:rPr>
          <w:rFonts w:ascii="Palatino Linotype" w:cs="Palatino Linotype" w:eastAsia="Palatino Linotype" w:hAnsi="Palatino Linotype"/>
          <w:sz w:val="16"/>
          <w:szCs w:val="16"/>
          <w:b w:val="1"/>
          <w:bCs w:val="1"/>
          <w:color w:val="auto"/>
        </w:rPr>
        <w:t>Variables de contexto</w:t>
      </w:r>
    </w:p>
    <w:p>
      <w:pPr>
        <w:ind w:left="3600"/>
        <w:spacing w:after="0"/>
        <w:rPr>
          <w:sz w:val="20"/>
          <w:szCs w:val="20"/>
          <w:color w:val="auto"/>
        </w:rPr>
      </w:pPr>
      <w:r>
        <w:rPr>
          <w:rFonts w:ascii="Palatino Linotype" w:cs="Palatino Linotype" w:eastAsia="Palatino Linotype" w:hAnsi="Palatino Linotype"/>
          <w:sz w:val="16"/>
          <w:szCs w:val="16"/>
          <w:b w:val="1"/>
          <w:bCs w:val="1"/>
          <w:color w:val="auto"/>
        </w:rPr>
        <w:t>Modelo ecológico</w:t>
      </w:r>
    </w:p>
    <w:p>
      <w:pPr>
        <w:spacing w:after="0" w:line="200" w:lineRule="exact"/>
        <w:rPr>
          <w:sz w:val="20"/>
          <w:szCs w:val="20"/>
          <w:color w:val="auto"/>
        </w:rPr>
      </w:pPr>
    </w:p>
    <w:p>
      <w:pPr>
        <w:spacing w:after="0" w:line="387" w:lineRule="exact"/>
        <w:rPr>
          <w:sz w:val="20"/>
          <w:szCs w:val="20"/>
          <w:color w:val="auto"/>
        </w:rPr>
      </w:pPr>
    </w:p>
    <w:p>
      <w:pPr>
        <w:jc w:val="center"/>
        <w:ind w:left="3440" w:right="3440"/>
        <w:spacing w:after="0" w:line="215" w:lineRule="auto"/>
        <w:rPr>
          <w:sz w:val="20"/>
          <w:szCs w:val="20"/>
          <w:color w:val="auto"/>
        </w:rPr>
      </w:pPr>
      <w:r>
        <w:rPr>
          <w:rFonts w:ascii="Palatino Linotype" w:cs="Palatino Linotype" w:eastAsia="Palatino Linotype" w:hAnsi="Palatino Linotype"/>
          <w:sz w:val="16"/>
          <w:szCs w:val="16"/>
          <w:b w:val="1"/>
          <w:bCs w:val="1"/>
          <w:color w:val="auto"/>
        </w:rPr>
        <w:t>Aspectos individuales Enfoque bio – psico – social</w:t>
      </w:r>
    </w:p>
    <w:p>
      <w:pPr>
        <w:spacing w:after="0" w:line="23" w:lineRule="exact"/>
        <w:rPr>
          <w:sz w:val="20"/>
          <w:szCs w:val="20"/>
          <w:color w:val="auto"/>
        </w:rPr>
      </w:pPr>
    </w:p>
    <w:tbl>
      <w:tblPr>
        <w:tblLayout w:type="fixed"/>
        <w:tblInd w:w="1100" w:type="dxa"/>
        <w:tblCellMar>
          <w:top w:w="0" w:type="dxa"/>
          <w:left w:w="0" w:type="dxa"/>
          <w:bottom w:w="0" w:type="dxa"/>
          <w:right w:w="0" w:type="dxa"/>
        </w:tblCellMar>
      </w:tblPr>
      <w:tr>
        <w:trPr>
          <w:trHeight w:val="262"/>
        </w:trPr>
        <w:tc>
          <w:tcPr>
            <w:tcW w:w="1420" w:type="dxa"/>
            <w:vAlign w:val="bottom"/>
            <w:gridSpan w:val="2"/>
          </w:tcPr>
          <w:p>
            <w:pPr>
              <w:jc w:val="center"/>
              <w:spacing w:after="0"/>
              <w:rPr>
                <w:sz w:val="20"/>
                <w:szCs w:val="20"/>
                <w:color w:val="auto"/>
              </w:rPr>
            </w:pPr>
            <w:r>
              <w:rPr>
                <w:rFonts w:ascii="Palatino Linotype" w:cs="Palatino Linotype" w:eastAsia="Palatino Linotype" w:hAnsi="Palatino Linotype"/>
                <w:sz w:val="16"/>
                <w:szCs w:val="16"/>
                <w:color w:val="auto"/>
              </w:rPr>
              <w:t>Contexto</w:t>
            </w:r>
          </w:p>
        </w:tc>
        <w:tc>
          <w:tcPr>
            <w:tcW w:w="680" w:type="dxa"/>
            <w:vAlign w:val="bottom"/>
          </w:tcPr>
          <w:p>
            <w:pPr>
              <w:spacing w:after="0"/>
              <w:rPr>
                <w:sz w:val="22"/>
                <w:szCs w:val="22"/>
                <w:color w:val="auto"/>
              </w:rPr>
            </w:pPr>
          </w:p>
        </w:tc>
        <w:tc>
          <w:tcPr>
            <w:tcW w:w="80" w:type="dxa"/>
            <w:vAlign w:val="bottom"/>
          </w:tcPr>
          <w:p>
            <w:pPr>
              <w:spacing w:after="0"/>
              <w:rPr>
                <w:sz w:val="22"/>
                <w:szCs w:val="22"/>
                <w:color w:val="auto"/>
              </w:rPr>
            </w:pPr>
          </w:p>
        </w:tc>
        <w:tc>
          <w:tcPr>
            <w:tcW w:w="1980" w:type="dxa"/>
            <w:vAlign w:val="bottom"/>
          </w:tcPr>
          <w:p>
            <w:pPr>
              <w:spacing w:after="0"/>
              <w:rPr>
                <w:sz w:val="22"/>
                <w:szCs w:val="22"/>
                <w:color w:val="auto"/>
              </w:rPr>
            </w:pPr>
          </w:p>
        </w:tc>
        <w:tc>
          <w:tcPr>
            <w:tcW w:w="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00" w:type="dxa"/>
            <w:vAlign w:val="bottom"/>
          </w:tcPr>
          <w:p>
            <w:pPr>
              <w:spacing w:after="0"/>
              <w:rPr>
                <w:sz w:val="22"/>
                <w:szCs w:val="22"/>
                <w:color w:val="auto"/>
              </w:rPr>
            </w:pPr>
          </w:p>
        </w:tc>
        <w:tc>
          <w:tcPr>
            <w:tcW w:w="1120" w:type="dxa"/>
            <w:vAlign w:val="bottom"/>
          </w:tcPr>
          <w:p>
            <w:pPr>
              <w:jc w:val="center"/>
              <w:ind w:right="200"/>
              <w:spacing w:after="0"/>
              <w:rPr>
                <w:sz w:val="20"/>
                <w:szCs w:val="20"/>
                <w:color w:val="auto"/>
              </w:rPr>
            </w:pPr>
            <w:r>
              <w:rPr>
                <w:rFonts w:ascii="Palatino Linotype" w:cs="Palatino Linotype" w:eastAsia="Palatino Linotype" w:hAnsi="Palatino Linotype"/>
                <w:sz w:val="16"/>
                <w:szCs w:val="16"/>
                <w:color w:val="auto"/>
              </w:rPr>
              <w:t>Nivel</w:t>
            </w:r>
          </w:p>
        </w:tc>
        <w:tc>
          <w:tcPr>
            <w:tcW w:w="0" w:type="dxa"/>
            <w:vAlign w:val="bottom"/>
          </w:tcPr>
          <w:p>
            <w:pPr>
              <w:spacing w:after="0"/>
              <w:rPr>
                <w:sz w:val="1"/>
                <w:szCs w:val="1"/>
                <w:color w:val="auto"/>
              </w:rPr>
            </w:pPr>
          </w:p>
        </w:tc>
      </w:tr>
      <w:tr>
        <w:trPr>
          <w:trHeight w:val="216"/>
        </w:trPr>
        <w:tc>
          <w:tcPr>
            <w:tcW w:w="1420" w:type="dxa"/>
            <w:vAlign w:val="bottom"/>
            <w:gridSpan w:val="2"/>
          </w:tcPr>
          <w:p>
            <w:pPr>
              <w:jc w:val="center"/>
              <w:spacing w:after="0"/>
              <w:rPr>
                <w:sz w:val="20"/>
                <w:szCs w:val="20"/>
                <w:color w:val="auto"/>
              </w:rPr>
            </w:pPr>
            <w:r>
              <w:rPr>
                <w:rFonts w:ascii="Palatino Linotype" w:cs="Palatino Linotype" w:eastAsia="Palatino Linotype" w:hAnsi="Palatino Linotype"/>
                <w:sz w:val="16"/>
                <w:szCs w:val="16"/>
                <w:color w:val="auto"/>
              </w:rPr>
              <w:t>social</w:t>
            </w:r>
          </w:p>
        </w:tc>
        <w:tc>
          <w:tcPr>
            <w:tcW w:w="680" w:type="dxa"/>
            <w:vAlign w:val="bottom"/>
          </w:tcPr>
          <w:p>
            <w:pPr>
              <w:spacing w:after="0"/>
              <w:rPr>
                <w:sz w:val="18"/>
                <w:szCs w:val="18"/>
                <w:color w:val="auto"/>
              </w:rPr>
            </w:pPr>
          </w:p>
        </w:tc>
        <w:tc>
          <w:tcPr>
            <w:tcW w:w="80" w:type="dxa"/>
            <w:vAlign w:val="bottom"/>
          </w:tcPr>
          <w:p>
            <w:pPr>
              <w:spacing w:after="0"/>
              <w:rPr>
                <w:sz w:val="18"/>
                <w:szCs w:val="18"/>
                <w:color w:val="auto"/>
              </w:rPr>
            </w:pPr>
          </w:p>
        </w:tc>
        <w:tc>
          <w:tcPr>
            <w:tcW w:w="1980" w:type="dxa"/>
            <w:vAlign w:val="bottom"/>
          </w:tcPr>
          <w:p>
            <w:pPr>
              <w:spacing w:after="0"/>
              <w:rPr>
                <w:sz w:val="18"/>
                <w:szCs w:val="18"/>
                <w:color w:val="auto"/>
              </w:rPr>
            </w:pPr>
          </w:p>
        </w:tc>
        <w:tc>
          <w:tcPr>
            <w:tcW w:w="40" w:type="dxa"/>
            <w:vAlign w:val="bottom"/>
          </w:tcPr>
          <w:p>
            <w:pPr>
              <w:spacing w:after="0"/>
              <w:rPr>
                <w:sz w:val="18"/>
                <w:szCs w:val="18"/>
                <w:color w:val="auto"/>
              </w:rPr>
            </w:pPr>
          </w:p>
        </w:tc>
        <w:tc>
          <w:tcPr>
            <w:tcW w:w="680" w:type="dxa"/>
            <w:vAlign w:val="bottom"/>
          </w:tcPr>
          <w:p>
            <w:pPr>
              <w:spacing w:after="0"/>
              <w:rPr>
                <w:sz w:val="18"/>
                <w:szCs w:val="18"/>
                <w:color w:val="auto"/>
              </w:rPr>
            </w:pPr>
          </w:p>
        </w:tc>
        <w:tc>
          <w:tcPr>
            <w:tcW w:w="1420" w:type="dxa"/>
            <w:vAlign w:val="bottom"/>
            <w:gridSpan w:val="2"/>
          </w:tcPr>
          <w:p>
            <w:pPr>
              <w:jc w:val="center"/>
              <w:spacing w:after="0"/>
              <w:rPr>
                <w:sz w:val="20"/>
                <w:szCs w:val="20"/>
                <w:color w:val="auto"/>
              </w:rPr>
            </w:pPr>
            <w:r>
              <w:rPr>
                <w:rFonts w:ascii="Palatino Linotype" w:cs="Palatino Linotype" w:eastAsia="Palatino Linotype" w:hAnsi="Palatino Linotype"/>
                <w:sz w:val="16"/>
                <w:szCs w:val="16"/>
                <w:color w:val="auto"/>
                <w:w w:val="99"/>
              </w:rPr>
              <w:t>socioeconómico</w:t>
            </w:r>
          </w:p>
        </w:tc>
        <w:tc>
          <w:tcPr>
            <w:tcW w:w="0" w:type="dxa"/>
            <w:vAlign w:val="bottom"/>
          </w:tcPr>
          <w:p>
            <w:pPr>
              <w:spacing w:after="0"/>
              <w:rPr>
                <w:sz w:val="1"/>
                <w:szCs w:val="1"/>
                <w:color w:val="auto"/>
              </w:rPr>
            </w:pPr>
          </w:p>
        </w:tc>
      </w:tr>
      <w:tr>
        <w:trPr>
          <w:trHeight w:val="28"/>
        </w:trPr>
        <w:tc>
          <w:tcPr>
            <w:tcW w:w="1120" w:type="dxa"/>
            <w:vAlign w:val="bottom"/>
          </w:tcPr>
          <w:p>
            <w:pPr>
              <w:spacing w:after="0"/>
              <w:rPr>
                <w:sz w:val="2"/>
                <w:szCs w:val="2"/>
                <w:color w:val="auto"/>
              </w:rPr>
            </w:pPr>
          </w:p>
        </w:tc>
        <w:tc>
          <w:tcPr>
            <w:tcW w:w="300" w:type="dxa"/>
            <w:vAlign w:val="bottom"/>
          </w:tcPr>
          <w:p>
            <w:pPr>
              <w:spacing w:after="0"/>
              <w:rPr>
                <w:sz w:val="2"/>
                <w:szCs w:val="2"/>
                <w:color w:val="auto"/>
              </w:rPr>
            </w:pPr>
          </w:p>
        </w:tc>
        <w:tc>
          <w:tcPr>
            <w:tcW w:w="680" w:type="dxa"/>
            <w:vAlign w:val="bottom"/>
          </w:tcPr>
          <w:p>
            <w:pPr>
              <w:spacing w:after="0"/>
              <w:rPr>
                <w:sz w:val="2"/>
                <w:szCs w:val="2"/>
                <w:color w:val="auto"/>
              </w:rPr>
            </w:pPr>
          </w:p>
        </w:tc>
        <w:tc>
          <w:tcPr>
            <w:tcW w:w="80" w:type="dxa"/>
            <w:vAlign w:val="bottom"/>
          </w:tcPr>
          <w:p>
            <w:pPr>
              <w:spacing w:after="0"/>
              <w:rPr>
                <w:sz w:val="2"/>
                <w:szCs w:val="2"/>
                <w:color w:val="auto"/>
              </w:rPr>
            </w:pPr>
          </w:p>
        </w:tc>
        <w:tc>
          <w:tcPr>
            <w:tcW w:w="1980" w:type="dxa"/>
            <w:vAlign w:val="bottom"/>
          </w:tcPr>
          <w:p>
            <w:pPr>
              <w:spacing w:after="0"/>
              <w:rPr>
                <w:sz w:val="2"/>
                <w:szCs w:val="2"/>
                <w:color w:val="auto"/>
              </w:rPr>
            </w:pPr>
          </w:p>
        </w:tc>
        <w:tc>
          <w:tcPr>
            <w:tcW w:w="40" w:type="dxa"/>
            <w:vAlign w:val="bottom"/>
          </w:tcPr>
          <w:p>
            <w:pPr>
              <w:spacing w:after="0"/>
              <w:rPr>
                <w:sz w:val="2"/>
                <w:szCs w:val="2"/>
                <w:color w:val="auto"/>
              </w:rPr>
            </w:pPr>
          </w:p>
        </w:tc>
        <w:tc>
          <w:tcPr>
            <w:tcW w:w="680" w:type="dxa"/>
            <w:vAlign w:val="bottom"/>
          </w:tcPr>
          <w:p>
            <w:pPr>
              <w:spacing w:after="0"/>
              <w:rPr>
                <w:sz w:val="2"/>
                <w:szCs w:val="2"/>
                <w:color w:val="auto"/>
              </w:rPr>
            </w:pPr>
          </w:p>
        </w:tc>
        <w:tc>
          <w:tcPr>
            <w:tcW w:w="300" w:type="dxa"/>
            <w:vAlign w:val="bottom"/>
          </w:tcPr>
          <w:p>
            <w:pPr>
              <w:spacing w:after="0"/>
              <w:rPr>
                <w:sz w:val="2"/>
                <w:szCs w:val="2"/>
                <w:color w:val="auto"/>
              </w:rPr>
            </w:pPr>
          </w:p>
        </w:tc>
        <w:tc>
          <w:tcPr>
            <w:tcW w:w="1120" w:type="dxa"/>
            <w:vAlign w:val="bottom"/>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118"/>
        </w:trPr>
        <w:tc>
          <w:tcPr>
            <w:tcW w:w="1120" w:type="dxa"/>
            <w:vAlign w:val="bottom"/>
          </w:tcPr>
          <w:p>
            <w:pPr>
              <w:spacing w:after="0"/>
              <w:rPr>
                <w:sz w:val="10"/>
                <w:szCs w:val="10"/>
                <w:color w:val="auto"/>
              </w:rPr>
            </w:pPr>
          </w:p>
        </w:tc>
        <w:tc>
          <w:tcPr>
            <w:tcW w:w="300" w:type="dxa"/>
            <w:vAlign w:val="bottom"/>
          </w:tcPr>
          <w:p>
            <w:pPr>
              <w:spacing w:after="0"/>
              <w:rPr>
                <w:sz w:val="10"/>
                <w:szCs w:val="10"/>
                <w:color w:val="auto"/>
              </w:rPr>
            </w:pPr>
          </w:p>
        </w:tc>
        <w:tc>
          <w:tcPr>
            <w:tcW w:w="680" w:type="dxa"/>
            <w:vAlign w:val="bottom"/>
          </w:tcPr>
          <w:p>
            <w:pPr>
              <w:spacing w:after="0"/>
              <w:rPr>
                <w:sz w:val="10"/>
                <w:szCs w:val="10"/>
                <w:color w:val="auto"/>
              </w:rPr>
            </w:pPr>
          </w:p>
        </w:tc>
        <w:tc>
          <w:tcPr>
            <w:tcW w:w="80" w:type="dxa"/>
            <w:vAlign w:val="bottom"/>
          </w:tcPr>
          <w:p>
            <w:pPr>
              <w:spacing w:after="0"/>
              <w:rPr>
                <w:sz w:val="10"/>
                <w:szCs w:val="10"/>
                <w:color w:val="auto"/>
              </w:rPr>
            </w:pPr>
          </w:p>
        </w:tc>
        <w:tc>
          <w:tcPr>
            <w:tcW w:w="1980" w:type="dxa"/>
            <w:vAlign w:val="bottom"/>
            <w:vMerge w:val="restart"/>
            <w:shd w:val="clear" w:color="auto" w:fill="333333"/>
          </w:tcPr>
          <w:p>
            <w:pPr>
              <w:jc w:val="center"/>
              <w:spacing w:after="0" w:line="188" w:lineRule="exact"/>
              <w:rPr>
                <w:sz w:val="20"/>
                <w:szCs w:val="20"/>
                <w:color w:val="auto"/>
              </w:rPr>
            </w:pPr>
            <w:r>
              <w:rPr>
                <w:rFonts w:ascii="Palatino Linotype" w:cs="Palatino Linotype" w:eastAsia="Palatino Linotype" w:hAnsi="Palatino Linotype"/>
                <w:sz w:val="14"/>
                <w:szCs w:val="14"/>
                <w:b w:val="1"/>
                <w:bCs w:val="1"/>
                <w:color w:val="FFFFFF"/>
                <w:w w:val="98"/>
              </w:rPr>
              <w:t>ESTILO DE VIDA</w:t>
            </w:r>
          </w:p>
        </w:tc>
        <w:tc>
          <w:tcPr>
            <w:tcW w:w="40" w:type="dxa"/>
            <w:vAlign w:val="bottom"/>
          </w:tcPr>
          <w:p>
            <w:pPr>
              <w:spacing w:after="0"/>
              <w:rPr>
                <w:sz w:val="10"/>
                <w:szCs w:val="10"/>
                <w:color w:val="auto"/>
              </w:rPr>
            </w:pPr>
          </w:p>
        </w:tc>
        <w:tc>
          <w:tcPr>
            <w:tcW w:w="680" w:type="dxa"/>
            <w:vAlign w:val="bottom"/>
          </w:tcPr>
          <w:p>
            <w:pPr>
              <w:spacing w:after="0"/>
              <w:rPr>
                <w:sz w:val="10"/>
                <w:szCs w:val="10"/>
                <w:color w:val="auto"/>
              </w:rPr>
            </w:pPr>
          </w:p>
        </w:tc>
        <w:tc>
          <w:tcPr>
            <w:tcW w:w="300" w:type="dxa"/>
            <w:vAlign w:val="bottom"/>
          </w:tcPr>
          <w:p>
            <w:pPr>
              <w:spacing w:after="0"/>
              <w:rPr>
                <w:sz w:val="10"/>
                <w:szCs w:val="10"/>
                <w:color w:val="auto"/>
              </w:rPr>
            </w:pPr>
          </w:p>
        </w:tc>
        <w:tc>
          <w:tcPr>
            <w:tcW w:w="1120" w:type="dxa"/>
            <w:vAlign w:val="bottom"/>
          </w:tcPr>
          <w:p>
            <w:pPr>
              <w:spacing w:after="0"/>
              <w:rPr>
                <w:sz w:val="10"/>
                <w:szCs w:val="10"/>
                <w:color w:val="auto"/>
              </w:rPr>
            </w:pPr>
          </w:p>
        </w:tc>
        <w:tc>
          <w:tcPr>
            <w:tcW w:w="0" w:type="dxa"/>
            <w:vAlign w:val="bottom"/>
          </w:tcPr>
          <w:p>
            <w:pPr>
              <w:spacing w:after="0"/>
              <w:rPr>
                <w:sz w:val="1"/>
                <w:szCs w:val="1"/>
                <w:color w:val="auto"/>
              </w:rPr>
            </w:pPr>
          </w:p>
        </w:tc>
      </w:tr>
      <w:tr>
        <w:trPr>
          <w:trHeight w:val="137"/>
        </w:trPr>
        <w:tc>
          <w:tcPr>
            <w:tcW w:w="1120" w:type="dxa"/>
            <w:vAlign w:val="bottom"/>
          </w:tcPr>
          <w:p>
            <w:pPr>
              <w:spacing w:after="0"/>
              <w:rPr>
                <w:sz w:val="11"/>
                <w:szCs w:val="11"/>
                <w:color w:val="auto"/>
              </w:rPr>
            </w:pPr>
          </w:p>
        </w:tc>
        <w:tc>
          <w:tcPr>
            <w:tcW w:w="300" w:type="dxa"/>
            <w:vAlign w:val="bottom"/>
          </w:tcPr>
          <w:p>
            <w:pPr>
              <w:spacing w:after="0"/>
              <w:rPr>
                <w:sz w:val="11"/>
                <w:szCs w:val="11"/>
                <w:color w:val="auto"/>
              </w:rPr>
            </w:pPr>
          </w:p>
        </w:tc>
        <w:tc>
          <w:tcPr>
            <w:tcW w:w="680" w:type="dxa"/>
            <w:vAlign w:val="bottom"/>
          </w:tcPr>
          <w:p>
            <w:pPr>
              <w:spacing w:after="0"/>
              <w:rPr>
                <w:sz w:val="11"/>
                <w:szCs w:val="11"/>
                <w:color w:val="auto"/>
              </w:rPr>
            </w:pPr>
          </w:p>
        </w:tc>
        <w:tc>
          <w:tcPr>
            <w:tcW w:w="80" w:type="dxa"/>
            <w:vAlign w:val="bottom"/>
          </w:tcPr>
          <w:p>
            <w:pPr>
              <w:spacing w:after="0"/>
              <w:rPr>
                <w:sz w:val="11"/>
                <w:szCs w:val="11"/>
                <w:color w:val="auto"/>
              </w:rPr>
            </w:pPr>
          </w:p>
        </w:tc>
        <w:tc>
          <w:tcPr>
            <w:tcW w:w="1980" w:type="dxa"/>
            <w:vAlign w:val="bottom"/>
            <w:vMerge w:val="continue"/>
            <w:shd w:val="clear" w:color="auto" w:fill="333333"/>
          </w:tcPr>
          <w:p>
            <w:pPr>
              <w:spacing w:after="0"/>
              <w:rPr>
                <w:sz w:val="11"/>
                <w:szCs w:val="11"/>
                <w:color w:val="auto"/>
              </w:rPr>
            </w:pPr>
          </w:p>
        </w:tc>
        <w:tc>
          <w:tcPr>
            <w:tcW w:w="40" w:type="dxa"/>
            <w:vAlign w:val="bottom"/>
          </w:tcPr>
          <w:p>
            <w:pPr>
              <w:spacing w:after="0"/>
              <w:rPr>
                <w:sz w:val="11"/>
                <w:szCs w:val="11"/>
                <w:color w:val="auto"/>
              </w:rPr>
            </w:pPr>
          </w:p>
        </w:tc>
        <w:tc>
          <w:tcPr>
            <w:tcW w:w="680" w:type="dxa"/>
            <w:vAlign w:val="bottom"/>
          </w:tcPr>
          <w:p>
            <w:pPr>
              <w:spacing w:after="0"/>
              <w:rPr>
                <w:sz w:val="11"/>
                <w:szCs w:val="11"/>
                <w:color w:val="auto"/>
              </w:rPr>
            </w:pPr>
          </w:p>
        </w:tc>
        <w:tc>
          <w:tcPr>
            <w:tcW w:w="300" w:type="dxa"/>
            <w:vAlign w:val="bottom"/>
          </w:tcPr>
          <w:p>
            <w:pPr>
              <w:spacing w:after="0"/>
              <w:rPr>
                <w:sz w:val="11"/>
                <w:szCs w:val="11"/>
                <w:color w:val="auto"/>
              </w:rPr>
            </w:pPr>
          </w:p>
        </w:tc>
        <w:tc>
          <w:tcPr>
            <w:tcW w:w="1120" w:type="dxa"/>
            <w:vAlign w:val="bottom"/>
          </w:tcPr>
          <w:p>
            <w:pPr>
              <w:spacing w:after="0"/>
              <w:rPr>
                <w:sz w:val="11"/>
                <w:szCs w:val="11"/>
                <w:color w:val="auto"/>
              </w:rPr>
            </w:pPr>
          </w:p>
        </w:tc>
        <w:tc>
          <w:tcPr>
            <w:tcW w:w="0" w:type="dxa"/>
            <w:vAlign w:val="bottom"/>
          </w:tcPr>
          <w:p>
            <w:pPr>
              <w:spacing w:after="0"/>
              <w:rPr>
                <w:sz w:val="1"/>
                <w:szCs w:val="1"/>
                <w:color w:val="auto"/>
              </w:rPr>
            </w:pPr>
          </w:p>
        </w:tc>
      </w:tr>
      <w:tr>
        <w:trPr>
          <w:trHeight w:val="67"/>
        </w:trPr>
        <w:tc>
          <w:tcPr>
            <w:tcW w:w="1120" w:type="dxa"/>
            <w:vAlign w:val="bottom"/>
          </w:tcPr>
          <w:p>
            <w:pPr>
              <w:spacing w:after="0"/>
              <w:rPr>
                <w:sz w:val="5"/>
                <w:szCs w:val="5"/>
                <w:color w:val="auto"/>
              </w:rPr>
            </w:pPr>
          </w:p>
        </w:tc>
        <w:tc>
          <w:tcPr>
            <w:tcW w:w="300" w:type="dxa"/>
            <w:vAlign w:val="bottom"/>
          </w:tcPr>
          <w:p>
            <w:pPr>
              <w:spacing w:after="0"/>
              <w:rPr>
                <w:sz w:val="5"/>
                <w:szCs w:val="5"/>
                <w:color w:val="auto"/>
              </w:rPr>
            </w:pPr>
          </w:p>
        </w:tc>
        <w:tc>
          <w:tcPr>
            <w:tcW w:w="680" w:type="dxa"/>
            <w:vAlign w:val="bottom"/>
          </w:tcPr>
          <w:p>
            <w:pPr>
              <w:spacing w:after="0"/>
              <w:rPr>
                <w:sz w:val="5"/>
                <w:szCs w:val="5"/>
                <w:color w:val="auto"/>
              </w:rPr>
            </w:pPr>
          </w:p>
        </w:tc>
        <w:tc>
          <w:tcPr>
            <w:tcW w:w="80" w:type="dxa"/>
            <w:vAlign w:val="bottom"/>
            <w:vMerge w:val="restart"/>
          </w:tcPr>
          <w:p>
            <w:pPr>
              <w:spacing w:after="0"/>
              <w:rPr>
                <w:sz w:val="5"/>
                <w:szCs w:val="5"/>
                <w:color w:val="auto"/>
              </w:rPr>
            </w:pPr>
          </w:p>
        </w:tc>
        <w:tc>
          <w:tcPr>
            <w:tcW w:w="1980" w:type="dxa"/>
            <w:vAlign w:val="bottom"/>
            <w:vMerge w:val="restart"/>
            <w:shd w:val="clear" w:color="auto" w:fill="333333"/>
          </w:tcPr>
          <w:p>
            <w:pPr>
              <w:jc w:val="center"/>
              <w:spacing w:after="0" w:line="188" w:lineRule="exact"/>
              <w:rPr>
                <w:sz w:val="20"/>
                <w:szCs w:val="20"/>
                <w:color w:val="auto"/>
              </w:rPr>
            </w:pPr>
            <w:r>
              <w:rPr>
                <w:rFonts w:ascii="Palatino Linotype" w:cs="Palatino Linotype" w:eastAsia="Palatino Linotype" w:hAnsi="Palatino Linotype"/>
                <w:sz w:val="14"/>
                <w:szCs w:val="14"/>
                <w:b w:val="1"/>
                <w:bCs w:val="1"/>
                <w:color w:val="FFFFFF"/>
              </w:rPr>
              <w:t>RELACIONADO CON</w:t>
            </w:r>
          </w:p>
        </w:tc>
        <w:tc>
          <w:tcPr>
            <w:tcW w:w="40" w:type="dxa"/>
            <w:vAlign w:val="bottom"/>
            <w:vMerge w:val="restart"/>
          </w:tcPr>
          <w:p>
            <w:pPr>
              <w:spacing w:after="0"/>
              <w:rPr>
                <w:sz w:val="5"/>
                <w:szCs w:val="5"/>
                <w:color w:val="auto"/>
              </w:rPr>
            </w:pPr>
          </w:p>
        </w:tc>
        <w:tc>
          <w:tcPr>
            <w:tcW w:w="680" w:type="dxa"/>
            <w:vAlign w:val="bottom"/>
          </w:tcPr>
          <w:p>
            <w:pPr>
              <w:spacing w:after="0"/>
              <w:rPr>
                <w:sz w:val="5"/>
                <w:szCs w:val="5"/>
                <w:color w:val="auto"/>
              </w:rPr>
            </w:pPr>
          </w:p>
        </w:tc>
        <w:tc>
          <w:tcPr>
            <w:tcW w:w="300" w:type="dxa"/>
            <w:vAlign w:val="bottom"/>
          </w:tcPr>
          <w:p>
            <w:pPr>
              <w:spacing w:after="0"/>
              <w:rPr>
                <w:sz w:val="5"/>
                <w:szCs w:val="5"/>
                <w:color w:val="auto"/>
              </w:rPr>
            </w:pPr>
          </w:p>
        </w:tc>
        <w:tc>
          <w:tcPr>
            <w:tcW w:w="1120" w:type="dxa"/>
            <w:vAlign w:val="bottom"/>
          </w:tcPr>
          <w:p>
            <w:pPr>
              <w:spacing w:after="0"/>
              <w:rPr>
                <w:sz w:val="5"/>
                <w:szCs w:val="5"/>
                <w:color w:val="auto"/>
              </w:rPr>
            </w:pPr>
          </w:p>
        </w:tc>
        <w:tc>
          <w:tcPr>
            <w:tcW w:w="0" w:type="dxa"/>
            <w:vAlign w:val="bottom"/>
          </w:tcPr>
          <w:p>
            <w:pPr>
              <w:spacing w:after="0"/>
              <w:rPr>
                <w:sz w:val="1"/>
                <w:szCs w:val="1"/>
                <w:color w:val="auto"/>
              </w:rPr>
            </w:pPr>
          </w:p>
        </w:tc>
      </w:tr>
      <w:tr>
        <w:trPr>
          <w:trHeight w:val="122"/>
        </w:trPr>
        <w:tc>
          <w:tcPr>
            <w:tcW w:w="1120" w:type="dxa"/>
            <w:vAlign w:val="bottom"/>
          </w:tcPr>
          <w:p>
            <w:pPr>
              <w:spacing w:after="0"/>
              <w:rPr>
                <w:sz w:val="10"/>
                <w:szCs w:val="10"/>
                <w:color w:val="auto"/>
              </w:rPr>
            </w:pPr>
          </w:p>
        </w:tc>
        <w:tc>
          <w:tcPr>
            <w:tcW w:w="980" w:type="dxa"/>
            <w:vAlign w:val="bottom"/>
            <w:gridSpan w:val="2"/>
            <w:vMerge w:val="restart"/>
          </w:tcPr>
          <w:p>
            <w:pPr>
              <w:ind w:left="180"/>
              <w:spacing w:after="0"/>
              <w:rPr>
                <w:sz w:val="20"/>
                <w:szCs w:val="20"/>
                <w:color w:val="auto"/>
              </w:rPr>
            </w:pPr>
            <w:r>
              <w:rPr>
                <w:rFonts w:ascii="Palatino Linotype" w:cs="Palatino Linotype" w:eastAsia="Palatino Linotype" w:hAnsi="Palatino Linotype"/>
                <w:sz w:val="16"/>
                <w:szCs w:val="16"/>
                <w:color w:val="auto"/>
              </w:rPr>
              <w:t>Genética</w:t>
            </w:r>
          </w:p>
        </w:tc>
        <w:tc>
          <w:tcPr>
            <w:tcW w:w="80" w:type="dxa"/>
            <w:vAlign w:val="bottom"/>
            <w:vMerge w:val="continue"/>
          </w:tcPr>
          <w:p>
            <w:pPr>
              <w:spacing w:after="0"/>
              <w:rPr>
                <w:sz w:val="10"/>
                <w:szCs w:val="10"/>
                <w:color w:val="auto"/>
              </w:rPr>
            </w:pPr>
          </w:p>
        </w:tc>
        <w:tc>
          <w:tcPr>
            <w:tcW w:w="1980" w:type="dxa"/>
            <w:vAlign w:val="bottom"/>
            <w:vMerge w:val="continue"/>
            <w:shd w:val="clear" w:color="auto" w:fill="333333"/>
          </w:tcPr>
          <w:p>
            <w:pPr>
              <w:spacing w:after="0"/>
              <w:rPr>
                <w:sz w:val="10"/>
                <w:szCs w:val="10"/>
                <w:color w:val="auto"/>
              </w:rPr>
            </w:pPr>
          </w:p>
        </w:tc>
        <w:tc>
          <w:tcPr>
            <w:tcW w:w="40" w:type="dxa"/>
            <w:vAlign w:val="bottom"/>
            <w:vMerge w:val="continue"/>
          </w:tcPr>
          <w:p>
            <w:pPr>
              <w:spacing w:after="0"/>
              <w:rPr>
                <w:sz w:val="10"/>
                <w:szCs w:val="10"/>
                <w:color w:val="auto"/>
              </w:rPr>
            </w:pPr>
          </w:p>
        </w:tc>
        <w:tc>
          <w:tcPr>
            <w:tcW w:w="980" w:type="dxa"/>
            <w:vAlign w:val="bottom"/>
            <w:gridSpan w:val="2"/>
            <w:vMerge w:val="restart"/>
          </w:tcPr>
          <w:p>
            <w:pPr>
              <w:ind w:left="200"/>
              <w:spacing w:after="0"/>
              <w:rPr>
                <w:sz w:val="20"/>
                <w:szCs w:val="20"/>
                <w:color w:val="auto"/>
              </w:rPr>
            </w:pPr>
            <w:r>
              <w:rPr>
                <w:rFonts w:ascii="Palatino Linotype" w:cs="Palatino Linotype" w:eastAsia="Palatino Linotype" w:hAnsi="Palatino Linotype"/>
                <w:sz w:val="16"/>
                <w:szCs w:val="16"/>
                <w:color w:val="auto"/>
              </w:rPr>
              <w:t>Biología</w:t>
            </w:r>
          </w:p>
        </w:tc>
        <w:tc>
          <w:tcPr>
            <w:tcW w:w="1120" w:type="dxa"/>
            <w:vAlign w:val="bottom"/>
          </w:tcPr>
          <w:p>
            <w:pPr>
              <w:spacing w:after="0"/>
              <w:rPr>
                <w:sz w:val="10"/>
                <w:szCs w:val="10"/>
                <w:color w:val="auto"/>
              </w:rPr>
            </w:pPr>
          </w:p>
        </w:tc>
        <w:tc>
          <w:tcPr>
            <w:tcW w:w="0" w:type="dxa"/>
            <w:vAlign w:val="bottom"/>
          </w:tcPr>
          <w:p>
            <w:pPr>
              <w:spacing w:after="0"/>
              <w:rPr>
                <w:sz w:val="1"/>
                <w:szCs w:val="1"/>
                <w:color w:val="auto"/>
              </w:rPr>
            </w:pPr>
          </w:p>
        </w:tc>
      </w:tr>
      <w:tr>
        <w:trPr>
          <w:trHeight w:val="173"/>
        </w:trPr>
        <w:tc>
          <w:tcPr>
            <w:tcW w:w="1120" w:type="dxa"/>
            <w:vAlign w:val="bottom"/>
          </w:tcPr>
          <w:p>
            <w:pPr>
              <w:spacing w:after="0"/>
              <w:rPr>
                <w:sz w:val="15"/>
                <w:szCs w:val="15"/>
                <w:color w:val="auto"/>
              </w:rPr>
            </w:pPr>
          </w:p>
        </w:tc>
        <w:tc>
          <w:tcPr>
            <w:tcW w:w="980" w:type="dxa"/>
            <w:vAlign w:val="bottom"/>
            <w:gridSpan w:val="2"/>
            <w:vMerge w:val="continue"/>
          </w:tcPr>
          <w:p>
            <w:pPr>
              <w:spacing w:after="0"/>
              <w:rPr>
                <w:sz w:val="15"/>
                <w:szCs w:val="15"/>
                <w:color w:val="auto"/>
              </w:rPr>
            </w:pPr>
          </w:p>
        </w:tc>
        <w:tc>
          <w:tcPr>
            <w:tcW w:w="80" w:type="dxa"/>
            <w:vAlign w:val="bottom"/>
          </w:tcPr>
          <w:p>
            <w:pPr>
              <w:spacing w:after="0"/>
              <w:rPr>
                <w:sz w:val="15"/>
                <w:szCs w:val="15"/>
                <w:color w:val="auto"/>
              </w:rPr>
            </w:pPr>
          </w:p>
        </w:tc>
        <w:tc>
          <w:tcPr>
            <w:tcW w:w="1980" w:type="dxa"/>
            <w:vAlign w:val="bottom"/>
            <w:shd w:val="clear" w:color="auto" w:fill="333333"/>
          </w:tcPr>
          <w:p>
            <w:pPr>
              <w:jc w:val="center"/>
              <w:spacing w:after="0" w:line="172" w:lineRule="exact"/>
              <w:rPr>
                <w:sz w:val="20"/>
                <w:szCs w:val="20"/>
                <w:color w:val="auto"/>
              </w:rPr>
            </w:pPr>
            <w:r>
              <w:rPr>
                <w:rFonts w:ascii="Palatino Linotype" w:cs="Palatino Linotype" w:eastAsia="Palatino Linotype" w:hAnsi="Palatino Linotype"/>
                <w:sz w:val="14"/>
                <w:szCs w:val="14"/>
                <w:b w:val="1"/>
                <w:bCs w:val="1"/>
                <w:color w:val="FFFFFF"/>
                <w:w w:val="98"/>
              </w:rPr>
              <w:t>LA SALUD</w:t>
            </w:r>
          </w:p>
        </w:tc>
        <w:tc>
          <w:tcPr>
            <w:tcW w:w="40" w:type="dxa"/>
            <w:vAlign w:val="bottom"/>
          </w:tcPr>
          <w:p>
            <w:pPr>
              <w:spacing w:after="0"/>
              <w:rPr>
                <w:sz w:val="15"/>
                <w:szCs w:val="15"/>
                <w:color w:val="auto"/>
              </w:rPr>
            </w:pPr>
          </w:p>
        </w:tc>
        <w:tc>
          <w:tcPr>
            <w:tcW w:w="980" w:type="dxa"/>
            <w:vAlign w:val="bottom"/>
            <w:gridSpan w:val="2"/>
            <w:vMerge w:val="continue"/>
          </w:tcPr>
          <w:p>
            <w:pPr>
              <w:spacing w:after="0"/>
              <w:rPr>
                <w:sz w:val="15"/>
                <w:szCs w:val="15"/>
                <w:color w:val="auto"/>
              </w:rPr>
            </w:pPr>
          </w:p>
        </w:tc>
        <w:tc>
          <w:tcPr>
            <w:tcW w:w="112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20"/>
        </w:trPr>
        <w:tc>
          <w:tcPr>
            <w:tcW w:w="1120" w:type="dxa"/>
            <w:vAlign w:val="bottom"/>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680" w:type="dxa"/>
            <w:vAlign w:val="bottom"/>
          </w:tcPr>
          <w:p>
            <w:pPr>
              <w:spacing w:after="0" w:line="20" w:lineRule="exact"/>
              <w:rPr>
                <w:sz w:val="1"/>
                <w:szCs w:val="1"/>
                <w:color w:val="auto"/>
              </w:rPr>
            </w:pPr>
          </w:p>
        </w:tc>
        <w:tc>
          <w:tcPr>
            <w:tcW w:w="80" w:type="dxa"/>
            <w:vAlign w:val="bottom"/>
          </w:tcPr>
          <w:p>
            <w:pPr>
              <w:spacing w:after="0" w:line="20" w:lineRule="exact"/>
              <w:rPr>
                <w:sz w:val="1"/>
                <w:szCs w:val="1"/>
                <w:color w:val="auto"/>
              </w:rPr>
            </w:pPr>
          </w:p>
        </w:tc>
        <w:tc>
          <w:tcPr>
            <w:tcW w:w="1980" w:type="dxa"/>
            <w:vAlign w:val="bottom"/>
            <w:shd w:val="clear" w:color="auto" w:fill="333333"/>
          </w:tcPr>
          <w:p>
            <w:pPr>
              <w:spacing w:after="0" w:line="20" w:lineRule="exact"/>
              <w:rPr>
                <w:sz w:val="1"/>
                <w:szCs w:val="1"/>
                <w:color w:val="auto"/>
              </w:rPr>
            </w:pPr>
          </w:p>
        </w:tc>
        <w:tc>
          <w:tcPr>
            <w:tcW w:w="40" w:type="dxa"/>
            <w:vAlign w:val="bottom"/>
          </w:tcPr>
          <w:p>
            <w:pPr>
              <w:spacing w:after="0" w:line="20" w:lineRule="exact"/>
              <w:rPr>
                <w:sz w:val="1"/>
                <w:szCs w:val="1"/>
                <w:color w:val="auto"/>
              </w:rPr>
            </w:pPr>
          </w:p>
        </w:tc>
        <w:tc>
          <w:tcPr>
            <w:tcW w:w="680" w:type="dxa"/>
            <w:vAlign w:val="bottom"/>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1120" w:type="dxa"/>
            <w:vAlign w:val="bottom"/>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r>
        <w:trPr>
          <w:trHeight w:val="21"/>
        </w:trPr>
        <w:tc>
          <w:tcPr>
            <w:tcW w:w="1120" w:type="dxa"/>
            <w:vAlign w:val="bottom"/>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680" w:type="dxa"/>
            <w:vAlign w:val="bottom"/>
          </w:tcPr>
          <w:p>
            <w:pPr>
              <w:spacing w:after="0" w:line="20" w:lineRule="exact"/>
              <w:rPr>
                <w:sz w:val="1"/>
                <w:szCs w:val="1"/>
                <w:color w:val="auto"/>
              </w:rPr>
            </w:pPr>
          </w:p>
        </w:tc>
        <w:tc>
          <w:tcPr>
            <w:tcW w:w="80" w:type="dxa"/>
            <w:vAlign w:val="bottom"/>
          </w:tcPr>
          <w:p>
            <w:pPr>
              <w:spacing w:after="0" w:line="20" w:lineRule="exact"/>
              <w:rPr>
                <w:sz w:val="1"/>
                <w:szCs w:val="1"/>
                <w:color w:val="auto"/>
              </w:rPr>
            </w:pPr>
          </w:p>
        </w:tc>
        <w:tc>
          <w:tcPr>
            <w:tcW w:w="1980" w:type="dxa"/>
            <w:vAlign w:val="bottom"/>
            <w:shd w:val="clear" w:color="auto" w:fill="333333"/>
          </w:tcPr>
          <w:p>
            <w:pPr>
              <w:spacing w:after="0" w:line="20" w:lineRule="exact"/>
              <w:rPr>
                <w:sz w:val="1"/>
                <w:szCs w:val="1"/>
                <w:color w:val="auto"/>
              </w:rPr>
            </w:pPr>
          </w:p>
        </w:tc>
        <w:tc>
          <w:tcPr>
            <w:tcW w:w="40" w:type="dxa"/>
            <w:vAlign w:val="bottom"/>
          </w:tcPr>
          <w:p>
            <w:pPr>
              <w:spacing w:after="0" w:line="20" w:lineRule="exact"/>
              <w:rPr>
                <w:sz w:val="1"/>
                <w:szCs w:val="1"/>
                <w:color w:val="auto"/>
              </w:rPr>
            </w:pPr>
          </w:p>
        </w:tc>
        <w:tc>
          <w:tcPr>
            <w:tcW w:w="680" w:type="dxa"/>
            <w:vAlign w:val="bottom"/>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1120" w:type="dxa"/>
            <w:vAlign w:val="bottom"/>
          </w:tcPr>
          <w:p>
            <w:pPr>
              <w:spacing w:after="0" w:line="20" w:lineRule="exact"/>
              <w:rPr>
                <w:sz w:val="1"/>
                <w:szCs w:val="1"/>
                <w:color w:val="auto"/>
              </w:rPr>
            </w:pPr>
          </w:p>
        </w:tc>
        <w:tc>
          <w:tcPr>
            <w:tcW w:w="0" w:type="dxa"/>
            <w:vAlign w:val="bottom"/>
          </w:tcPr>
          <w:p>
            <w:pPr>
              <w:spacing w:after="0" w:line="20" w:lineRule="exact"/>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3880"/>
        <w:spacing w:after="0"/>
        <w:rPr>
          <w:sz w:val="20"/>
          <w:szCs w:val="20"/>
          <w:color w:val="auto"/>
        </w:rPr>
      </w:pPr>
      <w:r>
        <w:rPr>
          <w:rFonts w:ascii="Palatino Linotype" w:cs="Palatino Linotype" w:eastAsia="Palatino Linotype" w:hAnsi="Palatino Linotype"/>
          <w:sz w:val="16"/>
          <w:szCs w:val="16"/>
          <w:color w:val="auto"/>
        </w:rPr>
        <w:t>Conductas</w:t>
      </w:r>
    </w:p>
    <w:p>
      <w:pPr>
        <w:ind w:left="3880"/>
        <w:spacing w:after="0"/>
        <w:rPr>
          <w:sz w:val="20"/>
          <w:szCs w:val="20"/>
          <w:color w:val="auto"/>
        </w:rPr>
      </w:pPr>
      <w:r>
        <w:rPr>
          <w:rFonts w:ascii="Palatino Linotype" w:cs="Palatino Linotype" w:eastAsia="Palatino Linotype" w:hAnsi="Palatino Linotype"/>
          <w:sz w:val="16"/>
          <w:szCs w:val="16"/>
          <w:color w:val="auto"/>
        </w:rPr>
        <w:t>habituales</w:t>
      </w:r>
    </w:p>
    <w:p>
      <w:pPr>
        <w:spacing w:after="0" w:line="200" w:lineRule="exact"/>
        <w:rPr>
          <w:sz w:val="20"/>
          <w:szCs w:val="20"/>
          <w:color w:val="auto"/>
        </w:rPr>
      </w:pPr>
    </w:p>
    <w:p>
      <w:pPr>
        <w:spacing w:after="0" w:line="396" w:lineRule="exact"/>
        <w:rPr>
          <w:sz w:val="20"/>
          <w:szCs w:val="20"/>
          <w:color w:val="auto"/>
        </w:rPr>
      </w:pPr>
    </w:p>
    <w:p>
      <w:pPr>
        <w:ind w:left="3940" w:right="3900" w:firstLine="98"/>
        <w:spacing w:after="0" w:line="209" w:lineRule="auto"/>
        <w:rPr>
          <w:sz w:val="20"/>
          <w:szCs w:val="20"/>
          <w:color w:val="auto"/>
        </w:rPr>
      </w:pPr>
      <w:r>
        <w:rPr>
          <w:rFonts w:ascii="Palatino Linotype" w:cs="Palatino Linotype" w:eastAsia="Palatino Linotype" w:hAnsi="Palatino Linotype"/>
          <w:sz w:val="16"/>
          <w:szCs w:val="16"/>
          <w:color w:val="auto"/>
        </w:rPr>
        <w:t>Medio ambiente</w:t>
      </w:r>
    </w:p>
    <w:p>
      <w:pPr>
        <w:spacing w:after="0" w:line="343" w:lineRule="exact"/>
        <w:rPr>
          <w:sz w:val="20"/>
          <w:szCs w:val="20"/>
          <w:color w:val="auto"/>
        </w:rPr>
      </w:pPr>
    </w:p>
    <w:p>
      <w:pPr>
        <w:jc w:val="both"/>
        <w:spacing w:after="0" w:line="333" w:lineRule="auto"/>
        <w:rPr>
          <w:sz w:val="20"/>
          <w:szCs w:val="20"/>
          <w:color w:val="auto"/>
        </w:rPr>
      </w:pPr>
      <w:r>
        <w:rPr>
          <w:rFonts w:ascii="Arial" w:cs="Arial" w:eastAsia="Arial" w:hAnsi="Arial"/>
          <w:sz w:val="16"/>
          <w:szCs w:val="16"/>
          <w:b w:val="1"/>
          <w:bCs w:val="1"/>
          <w:color w:val="auto"/>
        </w:rPr>
        <w:t xml:space="preserve">Fig. 1. </w:t>
      </w:r>
      <w:r>
        <w:rPr>
          <w:rFonts w:ascii="Arial" w:cs="Arial" w:eastAsia="Arial" w:hAnsi="Arial"/>
          <w:sz w:val="16"/>
          <w:szCs w:val="16"/>
          <w:color w:val="auto"/>
        </w:rPr>
        <w:t>Definición de hábitos de vida: los hábitos de vida son el conjunto de conductas adaptativas que conforman el</w:t>
      </w:r>
      <w:r>
        <w:rPr>
          <w:rFonts w:ascii="Arial" w:cs="Arial" w:eastAsia="Arial" w:hAnsi="Arial"/>
          <w:sz w:val="16"/>
          <w:szCs w:val="16"/>
          <w:b w:val="1"/>
          <w:bCs w:val="1"/>
          <w:color w:val="auto"/>
        </w:rPr>
        <w:t xml:space="preserve"> </w:t>
      </w:r>
      <w:r>
        <w:rPr>
          <w:rFonts w:ascii="Arial" w:cs="Arial" w:eastAsia="Arial" w:hAnsi="Arial"/>
          <w:sz w:val="16"/>
          <w:szCs w:val="16"/>
          <w:color w:val="auto"/>
        </w:rPr>
        <w:t>estilo de vida y que dependen y están determinadas por la relación entre las características biopsicosociales y el contexto ecológico</w:t>
      </w:r>
      <w:r>
        <w:rPr>
          <w:rFonts w:ascii="Arial" w:cs="Arial" w:eastAsia="Arial" w:hAnsi="Arial"/>
          <w:sz w:val="20"/>
          <w:szCs w:val="20"/>
          <w:color w:val="auto"/>
          <w:vertAlign w:val="superscript"/>
        </w:rPr>
        <w:t>(2)</w:t>
      </w:r>
      <w:r>
        <w:rPr>
          <w:rFonts w:ascii="Arial" w:cs="Arial" w:eastAsia="Arial" w:hAnsi="Arial"/>
          <w:sz w:val="16"/>
          <w:szCs w:val="16"/>
          <w:color w:val="auto"/>
        </w:rPr>
        <w:t>.</w:t>
      </w:r>
    </w:p>
    <w:p>
      <w:pPr>
        <w:spacing w:after="0" w:line="248" w:lineRule="exact"/>
        <w:rPr>
          <w:sz w:val="20"/>
          <w:szCs w:val="20"/>
          <w:color w:val="auto"/>
        </w:rPr>
      </w:pPr>
    </w:p>
    <w:p>
      <w:pPr>
        <w:jc w:val="both"/>
        <w:ind w:firstLine="708"/>
        <w:spacing w:after="0" w:line="359" w:lineRule="auto"/>
        <w:rPr>
          <w:sz w:val="20"/>
          <w:szCs w:val="20"/>
          <w:color w:val="auto"/>
        </w:rPr>
      </w:pPr>
      <w:r>
        <w:rPr>
          <w:rFonts w:ascii="Arial" w:cs="Arial" w:eastAsia="Arial" w:hAnsi="Arial"/>
          <w:sz w:val="20"/>
          <w:szCs w:val="20"/>
          <w:color w:val="auto"/>
        </w:rPr>
        <w:t>Los determinantes del estilo de vida relacionado con la salud son diversos y su estudio puede abordarse desde dos perspectivas bien distintas (figura 2.1.): La primera, en la que se valoran factores que podríamos denominar individuales y en la que los objetos de estudio son fundamentalmente aspectos biológicos, factores genéticos y conductuales, así como características psicológicas individuales. La segunda perspectiva parte de aspectos sociodemográficos y culturales, y desde ella se est udia la influencia de factores como el contexto social, económico o el medio ambiente, es decir, diferentes elementos del entorno. Durante el desarrollo humano se establecen múltiple s transacciones entre ambos contextos y se establecen patrones adaptativos de conducta, anteriormente denominados hábitos de vida,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7" w:lineRule="exact"/>
        <w:rPr>
          <w:sz w:val="20"/>
          <w:szCs w:val="20"/>
          <w:color w:val="auto"/>
        </w:rPr>
      </w:pPr>
    </w:p>
    <w:tbl>
      <w:tblPr>
        <w:tblLayout w:type="fixed"/>
        <w:tblInd w:w="250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2</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8500"/>
            </w:cols>
            <w:pgMar w:left="1700" w:top="1440" w:right="1700" w:bottom="0" w:gutter="0" w:footer="0" w:header="0"/>
          </w:sectPr>
        </w:pPr>
      </w:p>
      <w:bookmarkStart w:id="2" w:name="page3"/>
      <w:bookmarkEnd w:id="2"/>
    </w:tbl>
    <w:p>
      <w:pPr>
        <w:spacing w:after="0" w:line="177" w:lineRule="exact"/>
        <w:rPr>
          <w:sz w:val="20"/>
          <w:szCs w:val="20"/>
          <w:color w:val="auto"/>
        </w:rPr>
      </w:pPr>
    </w:p>
    <w:p>
      <w:pPr>
        <w:ind w:right="60"/>
        <w:spacing w:after="0" w:line="359" w:lineRule="auto"/>
        <w:rPr>
          <w:sz w:val="20"/>
          <w:szCs w:val="20"/>
          <w:color w:val="auto"/>
        </w:rPr>
      </w:pPr>
      <w:r>
        <w:rPr>
          <w:rFonts w:ascii="Arial" w:cs="Arial" w:eastAsia="Arial" w:hAnsi="Arial"/>
          <w:sz w:val="20"/>
          <w:szCs w:val="20"/>
          <w:color w:val="auto"/>
        </w:rPr>
        <w:t>que conforman en conjunto el “estilo de vida relacionado con la salud”, determinados por cada uno de estos factores.</w:t>
      </w:r>
    </w:p>
    <w:p>
      <w:pPr>
        <w:spacing w:after="0" w:line="243" w:lineRule="exact"/>
        <w:rPr>
          <w:sz w:val="20"/>
          <w:szCs w:val="20"/>
          <w:color w:val="auto"/>
        </w:rPr>
      </w:pPr>
    </w:p>
    <w:p>
      <w:pPr>
        <w:ind w:right="60" w:firstLine="708"/>
        <w:spacing w:after="0" w:line="357" w:lineRule="auto"/>
        <w:rPr>
          <w:sz w:val="20"/>
          <w:szCs w:val="20"/>
          <w:color w:val="auto"/>
        </w:rPr>
      </w:pPr>
      <w:r>
        <w:rPr>
          <w:rFonts w:ascii="Arial" w:cs="Arial" w:eastAsia="Arial" w:hAnsi="Arial"/>
          <w:sz w:val="20"/>
          <w:szCs w:val="20"/>
          <w:color w:val="auto"/>
        </w:rPr>
        <w:t>A continuación se detalla la relación entre diferentes aspectos individuales y la salud de los individuos:</w:t>
      </w:r>
    </w:p>
    <w:p>
      <w:pPr>
        <w:spacing w:after="0" w:line="241" w:lineRule="exact"/>
        <w:rPr>
          <w:sz w:val="20"/>
          <w:szCs w:val="20"/>
          <w:color w:val="auto"/>
        </w:rPr>
      </w:pPr>
    </w:p>
    <w:p>
      <w:pPr>
        <w:ind w:left="700"/>
        <w:spacing w:after="0" w:line="239" w:lineRule="auto"/>
        <w:tabs>
          <w:tab w:leader="none" w:pos="1040" w:val="left"/>
        </w:tabs>
        <w:rPr>
          <w:sz w:val="20"/>
          <w:szCs w:val="20"/>
          <w:color w:val="auto"/>
        </w:rPr>
      </w:pPr>
      <w:r>
        <w:rPr>
          <w:rFonts w:ascii="Arial" w:cs="Arial" w:eastAsia="Arial" w:hAnsi="Arial"/>
          <w:sz w:val="20"/>
          <w:szCs w:val="20"/>
          <w:i w:val="1"/>
          <w:iCs w:val="1"/>
          <w:color w:val="auto"/>
        </w:rPr>
        <w:t>1.</w:t>
      </w:r>
      <w:r>
        <w:rPr>
          <w:sz w:val="20"/>
          <w:szCs w:val="20"/>
          <w:color w:val="auto"/>
        </w:rPr>
        <w:tab/>
      </w:r>
      <w:r>
        <w:rPr>
          <w:rFonts w:ascii="Arial" w:cs="Arial" w:eastAsia="Arial" w:hAnsi="Arial"/>
          <w:sz w:val="20"/>
          <w:szCs w:val="20"/>
          <w:i w:val="1"/>
          <w:iCs w:val="1"/>
          <w:color w:val="auto"/>
        </w:rPr>
        <w:t>Genética y biología</w:t>
      </w:r>
    </w:p>
    <w:p>
      <w:pPr>
        <w:spacing w:after="0" w:line="360" w:lineRule="exact"/>
        <w:rPr>
          <w:sz w:val="20"/>
          <w:szCs w:val="20"/>
          <w:color w:val="auto"/>
        </w:rPr>
      </w:pPr>
    </w:p>
    <w:p>
      <w:pPr>
        <w:ind w:right="20" w:firstLine="708"/>
        <w:spacing w:after="0" w:line="336" w:lineRule="auto"/>
        <w:rPr>
          <w:sz w:val="20"/>
          <w:szCs w:val="20"/>
          <w:color w:val="auto"/>
        </w:rPr>
      </w:pPr>
      <w:r>
        <w:rPr>
          <w:rFonts w:ascii="Arial" w:cs="Arial" w:eastAsia="Arial" w:hAnsi="Arial"/>
          <w:sz w:val="20"/>
          <w:szCs w:val="20"/>
          <w:color w:val="auto"/>
        </w:rPr>
        <w:t>Como especie, nuestro genoma se ha adaptado al ambiente y circunstancias en las que hemos evolucionado, de forma que una alteración de las mismas, como es el ambiente que disfrutamos hoy en los países desarrollados, supone un desfase de nuestra herencia respecto al ambiente. Es razonable pensar que este desfase ha propiciado la aparición de problemas de salud, siendo el principal de ellos la obesidad. Desde hace pocos años, se viene desarrollando un área de conocimientos conocido com o medicina evolucionista o medicina darwinista, desde el que se pretende estudiar la salud bajo una perspectiva evolutiva</w:t>
      </w:r>
      <w:r>
        <w:rPr>
          <w:rFonts w:ascii="Arial" w:cs="Arial" w:eastAsia="Arial" w:hAnsi="Arial"/>
          <w:sz w:val="25"/>
          <w:szCs w:val="25"/>
          <w:color w:val="auto"/>
          <w:vertAlign w:val="superscript"/>
        </w:rPr>
        <w:t>(6)</w:t>
      </w:r>
      <w:r>
        <w:rPr>
          <w:rFonts w:ascii="Arial" w:cs="Arial" w:eastAsia="Arial" w:hAnsi="Arial"/>
          <w:sz w:val="20"/>
          <w:szCs w:val="20"/>
          <w:color w:val="auto"/>
        </w:rPr>
        <w:t>. Si bien no hay marcadores genéticos muy buenos para incorporar el estudio de la predisposición genética a la obesidad u otras patologías en trabajos epidemiológicos</w:t>
      </w:r>
      <w:r>
        <w:rPr>
          <w:rFonts w:ascii="Arial" w:cs="Arial" w:eastAsia="Arial" w:hAnsi="Arial"/>
          <w:sz w:val="25"/>
          <w:szCs w:val="25"/>
          <w:color w:val="auto"/>
          <w:vertAlign w:val="superscript"/>
        </w:rPr>
        <w:t>(7)</w:t>
      </w:r>
      <w:r>
        <w:rPr>
          <w:rFonts w:ascii="Arial" w:cs="Arial" w:eastAsia="Arial" w:hAnsi="Arial"/>
          <w:sz w:val="20"/>
          <w:szCs w:val="20"/>
          <w:color w:val="auto"/>
        </w:rPr>
        <w:t>, parecen existir algunas evidencias de cierta relación entre nuestra adaptación como especie y el riesgo de padecer enfermedades ligadas a un estilo de vida incoherente con nuestro organismo</w:t>
      </w:r>
      <w:r>
        <w:rPr>
          <w:rFonts w:ascii="Arial" w:cs="Arial" w:eastAsia="Arial" w:hAnsi="Arial"/>
          <w:sz w:val="25"/>
          <w:szCs w:val="25"/>
          <w:color w:val="auto"/>
          <w:vertAlign w:val="superscript"/>
        </w:rPr>
        <w:t>(6)</w:t>
      </w:r>
      <w:r>
        <w:rPr>
          <w:rFonts w:ascii="Arial" w:cs="Arial" w:eastAsia="Arial" w:hAnsi="Arial"/>
          <w:sz w:val="20"/>
          <w:szCs w:val="20"/>
          <w:color w:val="auto"/>
        </w:rPr>
        <w:t>. El sexo y otras características biológicas pueden ser también determinantes de la salud: e.g., cierto tipo de tumores son más frecuentes en un sex o que en otro y la enfermedad cardiovascular es más frecuente en hombres jóvenes que en mujeres de su misma edad, así como la incidencia de otras patologías es distinta en función del sexo</w:t>
      </w:r>
      <w:r>
        <w:rPr>
          <w:rFonts w:ascii="Arial" w:cs="Arial" w:eastAsia="Arial" w:hAnsi="Arial"/>
          <w:sz w:val="25"/>
          <w:szCs w:val="25"/>
          <w:color w:val="auto"/>
          <w:vertAlign w:val="superscript"/>
        </w:rPr>
        <w:t>(8)</w:t>
      </w:r>
      <w:r>
        <w:rPr>
          <w:rFonts w:ascii="Arial" w:cs="Arial" w:eastAsia="Arial" w:hAnsi="Arial"/>
          <w:sz w:val="20"/>
          <w:szCs w:val="20"/>
          <w:color w:val="auto"/>
        </w:rPr>
        <w:t>. Las mujeres, además, viven más años pero con menor calidad de vida y presentan mayor grado de dependencia en edades avanzadas, además de utilizar en mayor medid a los servicios sanitarios en nuestro país debido a que padecen con más frecuencia enferm edades crónicas.</w:t>
      </w:r>
      <w:r>
        <w:rPr>
          <w:rFonts w:ascii="Arial" w:cs="Arial" w:eastAsia="Arial" w:hAnsi="Arial"/>
          <w:sz w:val="25"/>
          <w:szCs w:val="25"/>
          <w:color w:val="auto"/>
          <w:vertAlign w:val="superscript"/>
        </w:rPr>
        <w:t>(9, 10)</w:t>
      </w:r>
    </w:p>
    <w:p>
      <w:pPr>
        <w:spacing w:after="0" w:line="248" w:lineRule="exact"/>
        <w:rPr>
          <w:sz w:val="20"/>
          <w:szCs w:val="20"/>
          <w:color w:val="auto"/>
        </w:rPr>
      </w:pPr>
    </w:p>
    <w:p>
      <w:pPr>
        <w:ind w:left="700"/>
        <w:spacing w:after="0" w:line="239" w:lineRule="auto"/>
        <w:tabs>
          <w:tab w:leader="none" w:pos="1040" w:val="left"/>
        </w:tabs>
        <w:rPr>
          <w:sz w:val="20"/>
          <w:szCs w:val="20"/>
          <w:color w:val="auto"/>
        </w:rPr>
      </w:pPr>
      <w:r>
        <w:rPr>
          <w:rFonts w:ascii="Arial" w:cs="Arial" w:eastAsia="Arial" w:hAnsi="Arial"/>
          <w:sz w:val="20"/>
          <w:szCs w:val="20"/>
          <w:i w:val="1"/>
          <w:iCs w:val="1"/>
          <w:color w:val="auto"/>
        </w:rPr>
        <w:t>2.</w:t>
      </w:r>
      <w:r>
        <w:rPr>
          <w:sz w:val="20"/>
          <w:szCs w:val="20"/>
          <w:color w:val="auto"/>
        </w:rPr>
        <w:tab/>
      </w:r>
      <w:r>
        <w:rPr>
          <w:rFonts w:ascii="Arial" w:cs="Arial" w:eastAsia="Arial" w:hAnsi="Arial"/>
          <w:sz w:val="20"/>
          <w:szCs w:val="20"/>
          <w:i w:val="1"/>
          <w:iCs w:val="1"/>
          <w:color w:val="auto"/>
        </w:rPr>
        <w:t>Conductas habituales</w:t>
      </w:r>
    </w:p>
    <w:p>
      <w:pPr>
        <w:spacing w:after="0" w:line="360" w:lineRule="exact"/>
        <w:rPr>
          <w:sz w:val="20"/>
          <w:szCs w:val="20"/>
          <w:color w:val="auto"/>
        </w:rPr>
      </w:pPr>
    </w:p>
    <w:p>
      <w:pPr>
        <w:jc w:val="both"/>
        <w:ind w:firstLine="708"/>
        <w:spacing w:after="0" w:line="340" w:lineRule="auto"/>
        <w:rPr>
          <w:sz w:val="20"/>
          <w:szCs w:val="20"/>
          <w:color w:val="auto"/>
        </w:rPr>
      </w:pPr>
      <w:r>
        <w:rPr>
          <w:rFonts w:ascii="Arial" w:cs="Arial" w:eastAsia="Arial" w:hAnsi="Arial"/>
          <w:sz w:val="20"/>
          <w:szCs w:val="20"/>
          <w:color w:val="auto"/>
        </w:rPr>
        <w:t>Ligadas en muchas ocasiones a los factores genéticos y biológicos anteriores, las conductas habituales pueden condicionar la salud de los sujetos. Una alimentación adecuada a las propias necesidades energéticas y la adopción de una dieta equilibrada y variada se considera como un elemento fundamental para preservar la salud de los individuos.</w:t>
      </w:r>
      <w:r>
        <w:rPr>
          <w:rFonts w:ascii="Arial" w:cs="Arial" w:eastAsia="Arial" w:hAnsi="Arial"/>
          <w:sz w:val="25"/>
          <w:szCs w:val="25"/>
          <w:color w:val="auto"/>
          <w:vertAlign w:val="superscript"/>
        </w:rPr>
        <w:t>(11)</w:t>
      </w:r>
      <w:r>
        <w:rPr>
          <w:rFonts w:ascii="Arial" w:cs="Arial" w:eastAsia="Arial" w:hAnsi="Arial"/>
          <w:sz w:val="20"/>
          <w:szCs w:val="20"/>
          <w:color w:val="auto"/>
        </w:rPr>
        <w:t xml:space="preserve"> Así, encontramos que la alimentación es un factor que influye no sólo en el desarrollo de la obesidad y patologías asociadas como hipertensión, hipercolesterolemia e hiperuricemia, diabetes tipo II y enfermedad cardiovascular, sino también en la predisposición a desarrollar tumores</w:t>
      </w:r>
      <w:r>
        <w:rPr>
          <w:rFonts w:ascii="Arial" w:cs="Arial" w:eastAsia="Arial" w:hAnsi="Arial"/>
          <w:sz w:val="25"/>
          <w:szCs w:val="25"/>
          <w:color w:val="auto"/>
          <w:vertAlign w:val="superscript"/>
        </w:rPr>
        <w:t>(12-14)</w:t>
      </w:r>
      <w:r>
        <w:rPr>
          <w:rFonts w:ascii="Arial" w:cs="Arial" w:eastAsia="Arial" w:hAnsi="Arial"/>
          <w:sz w:val="20"/>
          <w:szCs w:val="20"/>
          <w:color w:val="auto"/>
        </w:rPr>
        <w:t>. Otras conductas como el tabaquismo, el consumo excesivo de bebidas alcohólicas o el uso de estupefacientes tienen como resultado la aparición de problemas muy diversos de salud.</w:t>
      </w:r>
    </w:p>
    <w:p>
      <w:pPr>
        <w:sectPr>
          <w:pgSz w:w="11900" w:h="16840" w:orient="portrait"/>
          <w:cols w:equalWidth="0" w:num="1">
            <w:col w:w="8560"/>
          </w:cols>
          <w:pgMar w:left="1700" w:top="1440" w:right="1640"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tbl>
      <w:tblPr>
        <w:tblLayout w:type="fixed"/>
        <w:tblInd w:w="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3</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6000"/>
            </w:cols>
            <w:pgMar w:left="4200" w:top="1440" w:right="1700" w:bottom="0" w:gutter="0" w:footer="0" w:header="0"/>
            <w:type w:val="continuous"/>
          </w:sectPr>
        </w:pPr>
      </w:p>
      <w:bookmarkStart w:id="3" w:name="page4"/>
      <w:bookmarkEnd w:id="3"/>
    </w:tbl>
    <w:p>
      <w:pPr>
        <w:spacing w:after="0" w:line="177" w:lineRule="exact"/>
        <w:rPr>
          <w:sz w:val="20"/>
          <w:szCs w:val="20"/>
          <w:color w:val="auto"/>
        </w:rPr>
      </w:pPr>
    </w:p>
    <w:p>
      <w:pPr>
        <w:jc w:val="both"/>
        <w:ind w:firstLine="708"/>
        <w:spacing w:after="0" w:line="304" w:lineRule="auto"/>
        <w:rPr>
          <w:sz w:val="20"/>
          <w:szCs w:val="20"/>
          <w:color w:val="auto"/>
        </w:rPr>
      </w:pPr>
      <w:r>
        <w:rPr>
          <w:rFonts w:ascii="Arial" w:cs="Arial" w:eastAsia="Arial" w:hAnsi="Arial"/>
          <w:sz w:val="20"/>
          <w:szCs w:val="20"/>
          <w:color w:val="auto"/>
        </w:rPr>
        <w:t>La práctica de actividad física habitual es, junto a la alimentación, una de las conductas con mayor relevancia para el mantenimiento de la salud</w:t>
      </w:r>
      <w:r>
        <w:rPr>
          <w:rFonts w:ascii="Arial" w:cs="Arial" w:eastAsia="Arial" w:hAnsi="Arial"/>
          <w:sz w:val="25"/>
          <w:szCs w:val="25"/>
          <w:color w:val="auto"/>
          <w:vertAlign w:val="superscript"/>
        </w:rPr>
        <w:t>(15)</w:t>
      </w:r>
      <w:r>
        <w:rPr>
          <w:rFonts w:ascii="Arial" w:cs="Arial" w:eastAsia="Arial" w:hAnsi="Arial"/>
          <w:sz w:val="20"/>
          <w:szCs w:val="20"/>
          <w:color w:val="auto"/>
        </w:rPr>
        <w:t>, independientemente de otros factores como el sexo o la edad</w:t>
      </w:r>
      <w:r>
        <w:rPr>
          <w:rFonts w:ascii="Arial" w:cs="Arial" w:eastAsia="Arial" w:hAnsi="Arial"/>
          <w:sz w:val="25"/>
          <w:szCs w:val="25"/>
          <w:color w:val="auto"/>
          <w:vertAlign w:val="superscript"/>
        </w:rPr>
        <w:t>(16)</w:t>
      </w:r>
      <w:r>
        <w:rPr>
          <w:rFonts w:ascii="Arial" w:cs="Arial" w:eastAsia="Arial" w:hAnsi="Arial"/>
          <w:sz w:val="20"/>
          <w:szCs w:val="20"/>
          <w:color w:val="auto"/>
        </w:rPr>
        <w:t xml:space="preserve"> como describiremos más adelante.</w:t>
      </w:r>
    </w:p>
    <w:p>
      <w:pPr>
        <w:spacing w:after="0" w:line="255" w:lineRule="exact"/>
        <w:rPr>
          <w:sz w:val="20"/>
          <w:szCs w:val="20"/>
          <w:color w:val="auto"/>
        </w:rPr>
      </w:pPr>
    </w:p>
    <w:p>
      <w:pPr>
        <w:ind w:right="40" w:firstLine="708"/>
        <w:spacing w:after="0" w:line="359" w:lineRule="auto"/>
        <w:rPr>
          <w:sz w:val="20"/>
          <w:szCs w:val="20"/>
          <w:color w:val="auto"/>
        </w:rPr>
      </w:pPr>
      <w:r>
        <w:rPr>
          <w:rFonts w:ascii="Arial" w:cs="Arial" w:eastAsia="Arial" w:hAnsi="Arial"/>
          <w:sz w:val="20"/>
          <w:szCs w:val="20"/>
          <w:color w:val="auto"/>
        </w:rPr>
        <w:t>En cuanto a las variables de contexto que más frecu entemente se abordan en los estudios relacionados con el estilo de vida y la salud pública, encontramos las siguientes:</w:t>
      </w:r>
    </w:p>
    <w:p>
      <w:pPr>
        <w:spacing w:after="0" w:line="240" w:lineRule="exact"/>
        <w:rPr>
          <w:sz w:val="20"/>
          <w:szCs w:val="20"/>
          <w:color w:val="auto"/>
        </w:rPr>
      </w:pPr>
    </w:p>
    <w:p>
      <w:pPr>
        <w:ind w:left="700"/>
        <w:spacing w:after="0" w:line="239" w:lineRule="auto"/>
        <w:tabs>
          <w:tab w:leader="none" w:pos="1040" w:val="left"/>
        </w:tabs>
        <w:rPr>
          <w:sz w:val="20"/>
          <w:szCs w:val="20"/>
          <w:color w:val="auto"/>
        </w:rPr>
      </w:pPr>
      <w:r>
        <w:rPr>
          <w:rFonts w:ascii="Arial" w:cs="Arial" w:eastAsia="Arial" w:hAnsi="Arial"/>
          <w:sz w:val="20"/>
          <w:szCs w:val="20"/>
          <w:i w:val="1"/>
          <w:iCs w:val="1"/>
          <w:color w:val="auto"/>
        </w:rPr>
        <w:t>1.</w:t>
      </w:r>
      <w:r>
        <w:rPr>
          <w:sz w:val="20"/>
          <w:szCs w:val="20"/>
          <w:color w:val="auto"/>
        </w:rPr>
        <w:tab/>
      </w:r>
      <w:r>
        <w:rPr>
          <w:rFonts w:ascii="Arial" w:cs="Arial" w:eastAsia="Arial" w:hAnsi="Arial"/>
          <w:sz w:val="20"/>
          <w:szCs w:val="20"/>
          <w:i w:val="1"/>
          <w:iCs w:val="1"/>
          <w:color w:val="auto"/>
        </w:rPr>
        <w:t>El entorno afectivo próximo</w:t>
      </w:r>
    </w:p>
    <w:p>
      <w:pPr>
        <w:spacing w:after="0" w:line="360" w:lineRule="exact"/>
        <w:rPr>
          <w:sz w:val="20"/>
          <w:szCs w:val="20"/>
          <w:color w:val="auto"/>
        </w:rPr>
      </w:pPr>
    </w:p>
    <w:p>
      <w:pPr>
        <w:jc w:val="both"/>
        <w:ind w:firstLine="708"/>
        <w:spacing w:after="0" w:line="331" w:lineRule="auto"/>
        <w:rPr>
          <w:sz w:val="20"/>
          <w:szCs w:val="20"/>
          <w:color w:val="auto"/>
        </w:rPr>
      </w:pPr>
      <w:r>
        <w:rPr>
          <w:rFonts w:ascii="Arial" w:cs="Arial" w:eastAsia="Arial" w:hAnsi="Arial"/>
          <w:sz w:val="20"/>
          <w:szCs w:val="20"/>
          <w:color w:val="auto"/>
        </w:rPr>
        <w:t>Las relaciones sociales vienen a determinar, en gran medida, la adopción de gran parte de nuestras conductas habituales, e.g., es muy frecuente que ciertos hábitos de vida nocivos para la salud se desarrollen en grupo, tal y como el consumo de alcohol y de tabaco</w:t>
      </w:r>
      <w:r>
        <w:rPr>
          <w:rFonts w:ascii="Arial" w:cs="Arial" w:eastAsia="Arial" w:hAnsi="Arial"/>
          <w:sz w:val="25"/>
          <w:szCs w:val="25"/>
          <w:color w:val="auto"/>
          <w:vertAlign w:val="superscript"/>
        </w:rPr>
        <w:t>(17)</w:t>
      </w:r>
      <w:r>
        <w:rPr>
          <w:rFonts w:ascii="Arial" w:cs="Arial" w:eastAsia="Arial" w:hAnsi="Arial"/>
          <w:sz w:val="20"/>
          <w:szCs w:val="20"/>
          <w:color w:val="auto"/>
        </w:rPr>
        <w:t>. De la misma forma, la alimentación es un factor determinado por el contexto social, económico y familiar, encontrando que existe agregación familiar en la prevalencia de obesidad o en los patrones habituales de actividad física</w:t>
      </w:r>
      <w:r>
        <w:rPr>
          <w:rFonts w:ascii="Arial" w:cs="Arial" w:eastAsia="Arial" w:hAnsi="Arial"/>
          <w:sz w:val="25"/>
          <w:szCs w:val="25"/>
          <w:color w:val="auto"/>
          <w:vertAlign w:val="superscript"/>
        </w:rPr>
        <w:t>(18)</w:t>
      </w:r>
      <w:r>
        <w:rPr>
          <w:rFonts w:ascii="Arial" w:cs="Arial" w:eastAsia="Arial" w:hAnsi="Arial"/>
          <w:sz w:val="20"/>
          <w:szCs w:val="20"/>
          <w:color w:val="auto"/>
        </w:rPr>
        <w:t>. Ciertos aspectos sociales inciden de forma muy significativa en la salud, de esta forma, el estatus grupal se relaciona directamente con la capacidad de respuesta del sistema inmune y otras variables, tanto en personas como en otros mamíferos</w:t>
      </w:r>
      <w:r>
        <w:rPr>
          <w:rFonts w:ascii="Arial" w:cs="Arial" w:eastAsia="Arial" w:hAnsi="Arial"/>
          <w:sz w:val="25"/>
          <w:szCs w:val="25"/>
          <w:color w:val="auto"/>
          <w:vertAlign w:val="superscript"/>
        </w:rPr>
        <w:t>(19)</w:t>
      </w:r>
      <w:r>
        <w:rPr>
          <w:rFonts w:ascii="Arial" w:cs="Arial" w:eastAsia="Arial" w:hAnsi="Arial"/>
          <w:sz w:val="20"/>
          <w:szCs w:val="20"/>
          <w:color w:val="auto"/>
        </w:rPr>
        <w:t>.</w:t>
      </w:r>
    </w:p>
    <w:p>
      <w:pPr>
        <w:spacing w:after="0" w:line="247" w:lineRule="exact"/>
        <w:rPr>
          <w:sz w:val="20"/>
          <w:szCs w:val="20"/>
          <w:color w:val="auto"/>
        </w:rPr>
      </w:pPr>
    </w:p>
    <w:p>
      <w:pPr>
        <w:ind w:left="700"/>
        <w:spacing w:after="0" w:line="239" w:lineRule="auto"/>
        <w:tabs>
          <w:tab w:leader="none" w:pos="1040" w:val="left"/>
        </w:tabs>
        <w:rPr>
          <w:sz w:val="20"/>
          <w:szCs w:val="20"/>
          <w:color w:val="auto"/>
        </w:rPr>
      </w:pPr>
      <w:r>
        <w:rPr>
          <w:rFonts w:ascii="Arial" w:cs="Arial" w:eastAsia="Arial" w:hAnsi="Arial"/>
          <w:sz w:val="20"/>
          <w:szCs w:val="20"/>
          <w:i w:val="1"/>
          <w:iCs w:val="1"/>
          <w:color w:val="auto"/>
        </w:rPr>
        <w:t>2.</w:t>
      </w:r>
      <w:r>
        <w:rPr>
          <w:sz w:val="20"/>
          <w:szCs w:val="20"/>
          <w:color w:val="auto"/>
        </w:rPr>
        <w:tab/>
      </w:r>
      <w:r>
        <w:rPr>
          <w:rFonts w:ascii="Arial" w:cs="Arial" w:eastAsia="Arial" w:hAnsi="Arial"/>
          <w:sz w:val="20"/>
          <w:szCs w:val="20"/>
          <w:i w:val="1"/>
          <w:iCs w:val="1"/>
          <w:color w:val="auto"/>
        </w:rPr>
        <w:t>Aspectos sociales y económicos</w:t>
      </w:r>
    </w:p>
    <w:p>
      <w:pPr>
        <w:spacing w:after="0" w:line="360" w:lineRule="exact"/>
        <w:rPr>
          <w:sz w:val="20"/>
          <w:szCs w:val="20"/>
          <w:color w:val="auto"/>
        </w:rPr>
      </w:pPr>
    </w:p>
    <w:p>
      <w:pPr>
        <w:jc w:val="both"/>
        <w:ind w:firstLine="763"/>
        <w:spacing w:after="0" w:line="337" w:lineRule="auto"/>
        <w:rPr>
          <w:sz w:val="20"/>
          <w:szCs w:val="20"/>
          <w:color w:val="auto"/>
        </w:rPr>
      </w:pPr>
      <w:r>
        <w:rPr>
          <w:rFonts w:ascii="Arial" w:cs="Arial" w:eastAsia="Arial" w:hAnsi="Arial"/>
          <w:sz w:val="20"/>
          <w:szCs w:val="20"/>
          <w:color w:val="auto"/>
        </w:rPr>
        <w:t>Desde la publicación de los estudios de la WhiteHall, retomados por Michael Marmot, en los que se ha evaluado la relación entre estatus y enfermedad en funcionarios del Reino Unido</w:t>
      </w:r>
      <w:r>
        <w:rPr>
          <w:rFonts w:ascii="Arial" w:cs="Arial" w:eastAsia="Arial" w:hAnsi="Arial"/>
          <w:sz w:val="25"/>
          <w:szCs w:val="25"/>
          <w:color w:val="auto"/>
          <w:vertAlign w:val="superscript"/>
        </w:rPr>
        <w:t>(20, 21)</w:t>
      </w:r>
      <w:r>
        <w:rPr>
          <w:rFonts w:ascii="Arial" w:cs="Arial" w:eastAsia="Arial" w:hAnsi="Arial"/>
          <w:sz w:val="20"/>
          <w:szCs w:val="20"/>
          <w:color w:val="auto"/>
        </w:rPr>
        <w:t>, han aparecido muchos estudios en los que se relaciona la salud con aspectos socioeconómicos. En epidemiología, se ha estudiado la influencia de variables socioeconómicas, encontrando que, en función del nivel de ingresos, se establece el riesgo de desarrollar ciertas patologías ya que parece que los conceptos pobreza y enfermedad están estrechamente vinculados</w:t>
      </w:r>
      <w:r>
        <w:rPr>
          <w:rFonts w:ascii="Arial" w:cs="Arial" w:eastAsia="Arial" w:hAnsi="Arial"/>
          <w:sz w:val="25"/>
          <w:szCs w:val="25"/>
          <w:color w:val="auto"/>
          <w:vertAlign w:val="superscript"/>
        </w:rPr>
        <w:t>(22)</w:t>
      </w:r>
      <w:r>
        <w:rPr>
          <w:rFonts w:ascii="Arial" w:cs="Arial" w:eastAsia="Arial" w:hAnsi="Arial"/>
          <w:sz w:val="20"/>
          <w:szCs w:val="20"/>
          <w:color w:val="auto"/>
        </w:rPr>
        <w:t xml:space="preserve">, no guardando relación este fenómeno con la posibilidad de contar con atención sanitaria básica, ya que muchos de estos trabajos se realizan en países en los que la cobertura sanitaria es universal y gratuita. No es tan determinante el hecho de tener unos ingresos concretos como el hecho de que existan diferencias acentuadas perceptibles en un mismo entorno. Dicho de otro modo, para nuestra salud es más negativo “sentirse pobre” que “ser pobre” </w:t>
      </w:r>
      <w:r>
        <w:rPr>
          <w:rFonts w:ascii="Arial" w:cs="Arial" w:eastAsia="Arial" w:hAnsi="Arial"/>
          <w:sz w:val="25"/>
          <w:szCs w:val="25"/>
          <w:color w:val="auto"/>
          <w:vertAlign w:val="superscript"/>
        </w:rPr>
        <w:t>(23, 24)</w:t>
      </w:r>
      <w:r>
        <w:rPr>
          <w:rFonts w:ascii="Arial" w:cs="Arial" w:eastAsia="Arial" w:hAnsi="Arial"/>
          <w:sz w:val="20"/>
          <w:szCs w:val="20"/>
          <w:color w:val="auto"/>
        </w:rPr>
        <w:t xml:space="preserve">. Respecto al nivel educativo, se observa que se comporta de forma similar al nivel de ingresos. Ciertas enfermedades son más comunes entre las personas con pocos estudios mientras que otras tienen mayor prevalencia entre aquellos con más formación académica, como la esclerosis múltiple </w:t>
      </w:r>
      <w:r>
        <w:rPr>
          <w:rFonts w:ascii="Arial" w:cs="Arial" w:eastAsia="Arial" w:hAnsi="Arial"/>
          <w:sz w:val="25"/>
          <w:szCs w:val="25"/>
          <w:color w:val="auto"/>
          <w:vertAlign w:val="superscript"/>
        </w:rPr>
        <w:t>(25)</w:t>
      </w:r>
      <w:r>
        <w:rPr>
          <w:rFonts w:ascii="Arial" w:cs="Arial" w:eastAsia="Arial" w:hAnsi="Arial"/>
          <w:sz w:val="20"/>
          <w:szCs w:val="20"/>
          <w:color w:val="auto"/>
        </w:rPr>
        <w:t>. Ambos factores, el económico y el educativo, no sólo afectan a la morbilidad sino también, consecuentemente, a ciertos factores de riesgo, ya que además de tener peor salud y más problemas crón icos que pueden degenerar en enfermedades graves, como las cardiovasculares</w:t>
      </w:r>
      <w:r>
        <w:rPr>
          <w:rFonts w:ascii="Arial" w:cs="Arial" w:eastAsia="Arial" w:hAnsi="Arial"/>
          <w:sz w:val="25"/>
          <w:szCs w:val="25"/>
          <w:color w:val="auto"/>
          <w:vertAlign w:val="superscript"/>
        </w:rPr>
        <w:t>(26)</w:t>
      </w:r>
      <w:r>
        <w:rPr>
          <w:rFonts w:ascii="Arial" w:cs="Arial" w:eastAsia="Arial" w:hAnsi="Arial"/>
          <w:sz w:val="20"/>
          <w:szCs w:val="20"/>
          <w:color w:val="auto"/>
        </w:rPr>
        <w:t>. Estos aspectos pueden guardar relación con los resultados similares que obtienen trabajos desarrollados en otros grupos de personas con características especiales, como las minorías étnicas o los inmigrantes, en los que la</w:t>
      </w:r>
    </w:p>
    <w:p>
      <w:pPr>
        <w:sectPr>
          <w:pgSz w:w="11900" w:h="16840" w:orient="portrait"/>
          <w:cols w:equalWidth="0" w:num="1">
            <w:col w:w="8540"/>
          </w:cols>
          <w:pgMar w:left="1700" w:top="1440" w:right="1660"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5" w:lineRule="exact"/>
        <w:rPr>
          <w:sz w:val="20"/>
          <w:szCs w:val="20"/>
          <w:color w:val="auto"/>
        </w:rPr>
      </w:pPr>
    </w:p>
    <w:tbl>
      <w:tblPr>
        <w:tblLayout w:type="fixed"/>
        <w:tblInd w:w="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4</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6000"/>
            </w:cols>
            <w:pgMar w:left="4200" w:top="1440" w:right="1700" w:bottom="0" w:gutter="0" w:footer="0" w:header="0"/>
            <w:type w:val="continuous"/>
          </w:sectPr>
        </w:pPr>
      </w:p>
      <w:bookmarkStart w:id="4" w:name="page5"/>
      <w:bookmarkEnd w:id="4"/>
    </w:tbl>
    <w:p>
      <w:pPr>
        <w:spacing w:after="0" w:line="177" w:lineRule="exact"/>
        <w:rPr>
          <w:sz w:val="20"/>
          <w:szCs w:val="20"/>
          <w:color w:val="auto"/>
        </w:rPr>
      </w:pPr>
    </w:p>
    <w:p>
      <w:pPr>
        <w:ind w:right="20"/>
        <w:spacing w:after="0" w:line="306" w:lineRule="auto"/>
        <w:rPr>
          <w:sz w:val="20"/>
          <w:szCs w:val="20"/>
          <w:color w:val="auto"/>
        </w:rPr>
      </w:pPr>
      <w:r>
        <w:rPr>
          <w:rFonts w:ascii="Arial" w:cs="Arial" w:eastAsia="Arial" w:hAnsi="Arial"/>
          <w:sz w:val="20"/>
          <w:szCs w:val="20"/>
          <w:color w:val="auto"/>
        </w:rPr>
        <w:t>exclusión social que suelen padecer, que va unida a un peor estatus socioeconómico, redunda en detrimento de su salud</w:t>
      </w:r>
      <w:r>
        <w:rPr>
          <w:rFonts w:ascii="Arial" w:cs="Arial" w:eastAsia="Arial" w:hAnsi="Arial"/>
          <w:sz w:val="25"/>
          <w:szCs w:val="25"/>
          <w:color w:val="auto"/>
          <w:vertAlign w:val="superscript"/>
        </w:rPr>
        <w:t>(27)</w:t>
      </w:r>
      <w:r>
        <w:rPr>
          <w:rFonts w:ascii="Arial" w:cs="Arial" w:eastAsia="Arial" w:hAnsi="Arial"/>
          <w:sz w:val="20"/>
          <w:szCs w:val="20"/>
          <w:color w:val="auto"/>
        </w:rPr>
        <w:t>.</w:t>
      </w:r>
    </w:p>
    <w:p>
      <w:pPr>
        <w:spacing w:after="0" w:line="271" w:lineRule="exact"/>
        <w:rPr>
          <w:sz w:val="20"/>
          <w:szCs w:val="20"/>
          <w:color w:val="auto"/>
        </w:rPr>
      </w:pPr>
    </w:p>
    <w:p>
      <w:pPr>
        <w:ind w:firstLine="708"/>
        <w:spacing w:after="0" w:line="339" w:lineRule="auto"/>
        <w:rPr>
          <w:sz w:val="20"/>
          <w:szCs w:val="20"/>
          <w:color w:val="auto"/>
        </w:rPr>
      </w:pPr>
      <w:r>
        <w:rPr>
          <w:rFonts w:ascii="Arial" w:cs="Arial" w:eastAsia="Arial" w:hAnsi="Arial"/>
          <w:sz w:val="20"/>
          <w:szCs w:val="20"/>
          <w:color w:val="auto"/>
        </w:rPr>
        <w:t xml:space="preserve">Un factor que puede guardar relación con la salud son las características del entorno que se habita. Residir en un determinado contexto hace que las características del mismo influyan no sólo en la salud, sino en ciertos aspectos del estilo de vida y las relaciones sociales. En estudios en animales sociales, las posibilidades que ofrece el entorno de residencia hacen que ciertas poblaciones muestren conductas y formas de relación muy distintas entre sí que influyen directamente en su salud y bienestar. En los entornos más hostiles para la supervivencia, con carencias materiales o estructurales básicas, se observan mayor número de conductas menos saludables y menor cooperación, lo que hace que existan más presiones y estrés, mientras que en otros lugares más acogedore s las relaciones son significativamente más saludables, pacíficas y distendidas </w:t>
      </w:r>
      <w:r>
        <w:rPr>
          <w:rFonts w:ascii="Arial" w:cs="Arial" w:eastAsia="Arial" w:hAnsi="Arial"/>
          <w:sz w:val="25"/>
          <w:szCs w:val="25"/>
          <w:color w:val="auto"/>
          <w:vertAlign w:val="superscript"/>
        </w:rPr>
        <w:t>(28)</w:t>
      </w:r>
      <w:r>
        <w:rPr>
          <w:rFonts w:ascii="Arial" w:cs="Arial" w:eastAsia="Arial" w:hAnsi="Arial"/>
          <w:sz w:val="20"/>
          <w:szCs w:val="20"/>
          <w:color w:val="auto"/>
        </w:rPr>
        <w:t xml:space="preserve">. Salvando las distancias, en los seres humanos, los contextos de residencia pueden llegar a condicionar nuestro estilo de vida y relaciones sociales, e.g., los núcleos rurales parecen ser lugares en lo s que acceder a ciertos servicios básicos como la sanidad u otras prestaciones puede ser más difícil debido a la dispersión geográfica y en ellos es más frecuente que las personas tengan m ás problemas de salud </w:t>
      </w:r>
      <w:r>
        <w:rPr>
          <w:rFonts w:ascii="Arial" w:cs="Arial" w:eastAsia="Arial" w:hAnsi="Arial"/>
          <w:sz w:val="25"/>
          <w:szCs w:val="25"/>
          <w:color w:val="auto"/>
          <w:vertAlign w:val="superscript"/>
        </w:rPr>
        <w:t>(29)</w:t>
      </w:r>
      <w:r>
        <w:rPr>
          <w:rFonts w:ascii="Arial" w:cs="Arial" w:eastAsia="Arial" w:hAnsi="Arial"/>
          <w:sz w:val="20"/>
          <w:szCs w:val="20"/>
          <w:color w:val="auto"/>
        </w:rPr>
        <w:t xml:space="preserve"> o un peor estilo de vida, e.g., que sean físicamente inactivas</w:t>
      </w:r>
      <w:r>
        <w:rPr>
          <w:rFonts w:ascii="Arial" w:cs="Arial" w:eastAsia="Arial" w:hAnsi="Arial"/>
          <w:sz w:val="25"/>
          <w:szCs w:val="25"/>
          <w:color w:val="auto"/>
          <w:vertAlign w:val="superscript"/>
        </w:rPr>
        <w:t>(30)</w:t>
      </w:r>
      <w:r>
        <w:rPr>
          <w:rFonts w:ascii="Arial" w:cs="Arial" w:eastAsia="Arial" w:hAnsi="Arial"/>
          <w:sz w:val="20"/>
          <w:szCs w:val="20"/>
          <w:color w:val="auto"/>
        </w:rPr>
        <w:t>, aunque esto puede deberse, fundamentalmente, a aspectos económicos, así como relacionarse con las condiciones laborales o la percepción de falta de oportunidades</w:t>
      </w:r>
      <w:r>
        <w:rPr>
          <w:rFonts w:ascii="Arial" w:cs="Arial" w:eastAsia="Arial" w:hAnsi="Arial"/>
          <w:sz w:val="25"/>
          <w:szCs w:val="25"/>
          <w:color w:val="auto"/>
          <w:vertAlign w:val="superscript"/>
        </w:rPr>
        <w:t>(31)</w:t>
      </w:r>
      <w:r>
        <w:rPr>
          <w:rFonts w:ascii="Arial" w:cs="Arial" w:eastAsia="Arial" w:hAnsi="Arial"/>
          <w:sz w:val="20"/>
          <w:szCs w:val="20"/>
          <w:color w:val="auto"/>
        </w:rPr>
        <w:t>, tanto o más que a las condiciones de carestía real que podrían darse en algunas zonas rurales. De nuevo, parece que es tan importante o más la propia percepción de privación material que la carestía en sí misma, es decir, es más perjudicial carecer de algo cuando la s personas son conscientes de que carecen de ello. De cualquier forma, parece que en el ámbit o rural tradicional existen redes sociales y familiares más densas, lo que puede ser un elemento muy positivo para la salud de las personas</w:t>
      </w:r>
      <w:r>
        <w:rPr>
          <w:rFonts w:ascii="Arial" w:cs="Arial" w:eastAsia="Arial" w:hAnsi="Arial"/>
          <w:sz w:val="25"/>
          <w:szCs w:val="25"/>
          <w:color w:val="auto"/>
          <w:vertAlign w:val="superscript"/>
        </w:rPr>
        <w:t>(21, 32)</w:t>
      </w:r>
      <w:r>
        <w:rPr>
          <w:rFonts w:ascii="Arial" w:cs="Arial" w:eastAsia="Arial" w:hAnsi="Arial"/>
          <w:sz w:val="20"/>
          <w:szCs w:val="20"/>
          <w:color w:val="auto"/>
        </w:rPr>
        <w:t>, e incluso pueden suponer un lugar muy adecuado para el desarrollo infantil, debido a esas mismas y otras características</w:t>
      </w:r>
      <w:r>
        <w:rPr>
          <w:rFonts w:ascii="Arial" w:cs="Arial" w:eastAsia="Arial" w:hAnsi="Arial"/>
          <w:sz w:val="25"/>
          <w:szCs w:val="25"/>
          <w:color w:val="auto"/>
          <w:vertAlign w:val="superscript"/>
        </w:rPr>
        <w:t>(33, 34)</w:t>
      </w:r>
      <w:r>
        <w:rPr>
          <w:rFonts w:ascii="Arial" w:cs="Arial" w:eastAsia="Arial" w:hAnsi="Arial"/>
          <w:sz w:val="20"/>
          <w:szCs w:val="20"/>
          <w:color w:val="auto"/>
        </w:rPr>
        <w:t>.</w:t>
      </w:r>
    </w:p>
    <w:p>
      <w:pPr>
        <w:spacing w:after="0" w:line="231" w:lineRule="exact"/>
        <w:rPr>
          <w:sz w:val="20"/>
          <w:szCs w:val="20"/>
          <w:color w:val="auto"/>
        </w:rPr>
      </w:pPr>
    </w:p>
    <w:p>
      <w:pPr>
        <w:ind w:left="700"/>
        <w:spacing w:after="0" w:line="239" w:lineRule="auto"/>
        <w:tabs>
          <w:tab w:leader="none" w:pos="1040" w:val="left"/>
        </w:tabs>
        <w:rPr>
          <w:sz w:val="20"/>
          <w:szCs w:val="20"/>
          <w:color w:val="auto"/>
        </w:rPr>
      </w:pPr>
      <w:r>
        <w:rPr>
          <w:rFonts w:ascii="Arial" w:cs="Arial" w:eastAsia="Arial" w:hAnsi="Arial"/>
          <w:sz w:val="20"/>
          <w:szCs w:val="20"/>
          <w:i w:val="1"/>
          <w:iCs w:val="1"/>
          <w:color w:val="auto"/>
        </w:rPr>
        <w:t>3.</w:t>
      </w:r>
      <w:r>
        <w:rPr>
          <w:sz w:val="20"/>
          <w:szCs w:val="20"/>
          <w:color w:val="auto"/>
        </w:rPr>
        <w:tab/>
      </w:r>
      <w:r>
        <w:rPr>
          <w:rFonts w:ascii="Arial" w:cs="Arial" w:eastAsia="Arial" w:hAnsi="Arial"/>
          <w:sz w:val="20"/>
          <w:szCs w:val="20"/>
          <w:i w:val="1"/>
          <w:iCs w:val="1"/>
          <w:color w:val="auto"/>
        </w:rPr>
        <w:t>Determinantes medioambientales</w:t>
      </w:r>
    </w:p>
    <w:p>
      <w:pPr>
        <w:spacing w:after="0" w:line="360" w:lineRule="exact"/>
        <w:rPr>
          <w:sz w:val="20"/>
          <w:szCs w:val="20"/>
          <w:color w:val="auto"/>
        </w:rPr>
      </w:pPr>
    </w:p>
    <w:p>
      <w:pPr>
        <w:jc w:val="both"/>
        <w:ind w:right="20" w:firstLine="708"/>
        <w:spacing w:after="0" w:line="317" w:lineRule="auto"/>
        <w:rPr>
          <w:sz w:val="20"/>
          <w:szCs w:val="20"/>
          <w:color w:val="auto"/>
        </w:rPr>
      </w:pPr>
      <w:r>
        <w:rPr>
          <w:rFonts w:ascii="Arial" w:cs="Arial" w:eastAsia="Arial" w:hAnsi="Arial"/>
          <w:sz w:val="20"/>
          <w:szCs w:val="20"/>
          <w:color w:val="auto"/>
        </w:rPr>
        <w:t>Las condiciones del entorno pueden determinar la salud de las personas; de hecho, el deterioro de ciertas condiciones ambientales aumenta la prevalencia de problemas de salud</w:t>
      </w:r>
      <w:r>
        <w:rPr>
          <w:rFonts w:ascii="Arial" w:cs="Arial" w:eastAsia="Arial" w:hAnsi="Arial"/>
          <w:sz w:val="25"/>
          <w:szCs w:val="25"/>
          <w:color w:val="auto"/>
          <w:vertAlign w:val="superscript"/>
        </w:rPr>
        <w:t>(35)</w:t>
      </w:r>
      <w:r>
        <w:rPr>
          <w:rFonts w:ascii="Arial" w:cs="Arial" w:eastAsia="Arial" w:hAnsi="Arial"/>
          <w:sz w:val="20"/>
          <w:szCs w:val="20"/>
          <w:color w:val="auto"/>
        </w:rPr>
        <w:t xml:space="preserve">. Las características del entorno físico de residencia son además objeto especial de estudio debido a la importancia del mismo en los hábitos de vida y la salud de las personas; de esta forma, existen diferentes trabajos que demuestran que es posible realizar una planificación urbana saludable que propicie un estilo de vida más activo, como definiremos más adelante </w:t>
      </w:r>
      <w:r>
        <w:rPr>
          <w:rFonts w:ascii="Arial" w:cs="Arial" w:eastAsia="Arial" w:hAnsi="Arial"/>
          <w:sz w:val="25"/>
          <w:szCs w:val="25"/>
          <w:color w:val="auto"/>
          <w:vertAlign w:val="superscript"/>
        </w:rPr>
        <w:t>(36,</w:t>
      </w:r>
    </w:p>
    <w:p>
      <w:pPr>
        <w:spacing w:after="0" w:line="183" w:lineRule="auto"/>
        <w:rPr>
          <w:sz w:val="20"/>
          <w:szCs w:val="20"/>
          <w:color w:val="auto"/>
        </w:rPr>
      </w:pPr>
      <w:r>
        <w:rPr>
          <w:rFonts w:ascii="Arial" w:cs="Arial" w:eastAsia="Arial" w:hAnsi="Arial"/>
          <w:sz w:val="13"/>
          <w:szCs w:val="13"/>
          <w:color w:val="auto"/>
        </w:rPr>
        <w:t>37)</w:t>
      </w:r>
      <w:r>
        <w:rPr>
          <w:rFonts w:ascii="Arial" w:cs="Arial" w:eastAsia="Arial" w:hAnsi="Arial"/>
          <w:sz w:val="37"/>
          <w:szCs w:val="37"/>
          <w:color w:val="auto"/>
          <w:vertAlign w:val="subscript"/>
        </w:rPr>
        <w:t>.</w:t>
      </w:r>
    </w:p>
    <w:p>
      <w:pPr>
        <w:spacing w:after="0" w:line="347" w:lineRule="exact"/>
        <w:rPr>
          <w:sz w:val="20"/>
          <w:szCs w:val="20"/>
          <w:color w:val="auto"/>
        </w:rPr>
      </w:pPr>
    </w:p>
    <w:p>
      <w:pPr>
        <w:spacing w:after="0"/>
        <w:rPr>
          <w:sz w:val="20"/>
          <w:szCs w:val="20"/>
          <w:color w:val="auto"/>
        </w:rPr>
      </w:pPr>
      <w:r>
        <w:rPr>
          <w:rFonts w:ascii="Arial" w:cs="Arial" w:eastAsia="Arial" w:hAnsi="Arial"/>
          <w:sz w:val="20"/>
          <w:szCs w:val="20"/>
          <w:b w:val="1"/>
          <w:bCs w:val="1"/>
          <w:color w:val="auto"/>
        </w:rPr>
        <w:t>Estilo de vida en la edad escolar</w:t>
      </w:r>
    </w:p>
    <w:p>
      <w:pPr>
        <w:spacing w:after="0" w:line="364" w:lineRule="exact"/>
        <w:rPr>
          <w:sz w:val="20"/>
          <w:szCs w:val="20"/>
          <w:color w:val="auto"/>
        </w:rPr>
      </w:pPr>
    </w:p>
    <w:p>
      <w:pPr>
        <w:jc w:val="both"/>
        <w:ind w:right="20" w:firstLine="708"/>
        <w:spacing w:after="0" w:line="359" w:lineRule="auto"/>
        <w:rPr>
          <w:sz w:val="20"/>
          <w:szCs w:val="20"/>
          <w:color w:val="auto"/>
        </w:rPr>
      </w:pPr>
      <w:r>
        <w:rPr>
          <w:rFonts w:ascii="Arial" w:cs="Arial" w:eastAsia="Arial" w:hAnsi="Arial"/>
          <w:sz w:val="20"/>
          <w:szCs w:val="20"/>
          <w:color w:val="auto"/>
        </w:rPr>
        <w:t>Los componentes del estilo de vida relacionado con la salud en la población escolar no difieren de los mencionados en apartados anteriores, salvo ciertas peculiaridades propias de</w:t>
      </w:r>
    </w:p>
    <w:p>
      <w:pPr>
        <w:sectPr>
          <w:pgSz w:w="11900" w:h="16840" w:orient="portrait"/>
          <w:cols w:equalWidth="0" w:num="1">
            <w:col w:w="8560"/>
          </w:cols>
          <w:pgMar w:left="1700" w:top="1440" w:right="1640"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tbl>
      <w:tblPr>
        <w:tblLayout w:type="fixed"/>
        <w:tblInd w:w="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5</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6000"/>
            </w:cols>
            <w:pgMar w:left="4200" w:top="1440" w:right="1700" w:bottom="0" w:gutter="0" w:footer="0" w:header="0"/>
            <w:type w:val="continuous"/>
          </w:sectPr>
        </w:pPr>
      </w:p>
      <w:bookmarkStart w:id="5" w:name="page6"/>
      <w:bookmarkEnd w:id="5"/>
    </w:tbl>
    <w:p>
      <w:pPr>
        <w:spacing w:after="0" w:line="177" w:lineRule="exact"/>
        <w:rPr>
          <w:sz w:val="20"/>
          <w:szCs w:val="20"/>
          <w:color w:val="auto"/>
        </w:rPr>
      </w:pPr>
    </w:p>
    <w:p>
      <w:pPr>
        <w:jc w:val="both"/>
        <w:spacing w:after="0" w:line="351" w:lineRule="auto"/>
        <w:rPr>
          <w:sz w:val="20"/>
          <w:szCs w:val="20"/>
          <w:color w:val="auto"/>
        </w:rPr>
      </w:pPr>
      <w:r>
        <w:rPr>
          <w:rFonts w:ascii="Arial" w:cs="Arial" w:eastAsia="Arial" w:hAnsi="Arial"/>
          <w:sz w:val="20"/>
          <w:szCs w:val="20"/>
          <w:color w:val="auto"/>
        </w:rPr>
        <w:t>este grupo de edad. La infancia es un período de desarrollo físico y personal de alta vulnerabilidad física y psicosocial, lo que hace imprescindible el establecimiento de programas de prevención de la salud a medio y largo plazo, ya que es en estas edades donde, además, se da una respuesta más positiva a los factores protec tores y a las campañas de hábitos de vida saludable, como veremos posteriormente. Normalmente, en nuestro país, la investigación epidemiológica en estas edades suele contar con menos difusión que los estudios en los que se determinan los factores de riesgo en la población adulta, principalmente debido a que el peso relativo poblacional de este colectivo es escaso y a que los índices de mortalidad y morbilidad infantil vienen mejorando progresivamente desde hace décadas</w:t>
      </w:r>
      <w:r>
        <w:rPr>
          <w:rFonts w:ascii="Arial" w:cs="Arial" w:eastAsia="Arial" w:hAnsi="Arial"/>
          <w:sz w:val="25"/>
          <w:szCs w:val="25"/>
          <w:color w:val="auto"/>
          <w:vertAlign w:val="superscript"/>
        </w:rPr>
        <w:t>(38)</w:t>
      </w:r>
      <w:r>
        <w:rPr>
          <w:rFonts w:ascii="Arial" w:cs="Arial" w:eastAsia="Arial" w:hAnsi="Arial"/>
          <w:sz w:val="20"/>
          <w:szCs w:val="20"/>
          <w:color w:val="auto"/>
        </w:rPr>
        <w:t>.</w:t>
      </w:r>
    </w:p>
    <w:p>
      <w:pPr>
        <w:spacing w:after="0" w:line="234" w:lineRule="exact"/>
        <w:rPr>
          <w:sz w:val="20"/>
          <w:szCs w:val="20"/>
          <w:color w:val="auto"/>
        </w:rPr>
      </w:pPr>
    </w:p>
    <w:p>
      <w:pPr>
        <w:jc w:val="both"/>
        <w:ind w:firstLine="708"/>
        <w:spacing w:after="0" w:line="339" w:lineRule="auto"/>
        <w:rPr>
          <w:sz w:val="20"/>
          <w:szCs w:val="20"/>
          <w:color w:val="auto"/>
        </w:rPr>
      </w:pPr>
      <w:r>
        <w:rPr>
          <w:rFonts w:ascii="Arial" w:cs="Arial" w:eastAsia="Arial" w:hAnsi="Arial"/>
          <w:sz w:val="20"/>
          <w:szCs w:val="20"/>
          <w:color w:val="auto"/>
        </w:rPr>
        <w:t>Una apreciación que es necesaria realizar es que los niños dependen fundamentalmente de su familia, que determina el ambiente social y físico, así como las características y temporalidad de sus experiencias vitales (figura 2.2). El rol central del núcleo afectivo hace imprescindible su estudio como un componente esencial de la salud infantil</w:t>
      </w:r>
      <w:r>
        <w:rPr>
          <w:rFonts w:ascii="Arial" w:cs="Arial" w:eastAsia="Arial" w:hAnsi="Arial"/>
          <w:sz w:val="25"/>
          <w:szCs w:val="25"/>
          <w:color w:val="auto"/>
          <w:vertAlign w:val="superscript"/>
        </w:rPr>
        <w:t>(39)</w:t>
      </w:r>
      <w:r>
        <w:rPr>
          <w:rFonts w:ascii="Arial" w:cs="Arial" w:eastAsia="Arial" w:hAnsi="Arial"/>
          <w:sz w:val="20"/>
          <w:szCs w:val="20"/>
          <w:color w:val="auto"/>
        </w:rPr>
        <w:t>.</w:t>
      </w:r>
    </w:p>
    <w:p>
      <w:pPr>
        <w:spacing w:after="0" w:line="200" w:lineRule="exact"/>
        <w:rPr>
          <w:sz w:val="20"/>
          <w:szCs w:val="20"/>
          <w:color w:val="auto"/>
        </w:rPr>
      </w:pPr>
    </w:p>
    <w:p>
      <w:pPr>
        <w:spacing w:after="0" w:line="329" w:lineRule="exact"/>
        <w:rPr>
          <w:sz w:val="20"/>
          <w:szCs w:val="20"/>
          <w:color w:val="auto"/>
        </w:rPr>
      </w:pPr>
    </w:p>
    <w:tbl>
      <w:tblPr>
        <w:tblLayout w:type="fixed"/>
        <w:tblInd w:w="1070" w:type="dxa"/>
        <w:tblCellMar>
          <w:top w:w="0" w:type="dxa"/>
          <w:left w:w="0" w:type="dxa"/>
          <w:bottom w:w="0" w:type="dxa"/>
          <w:right w:w="0" w:type="dxa"/>
        </w:tblCellMar>
      </w:tblPr>
      <w:tr>
        <w:trPr>
          <w:trHeight w:val="296"/>
        </w:trPr>
        <w:tc>
          <w:tcPr>
            <w:tcW w:w="3140" w:type="dxa"/>
            <w:vAlign w:val="bottom"/>
            <w:tcBorders>
              <w:top w:val="single" w:sz="8" w:color="auto"/>
              <w:left w:val="single" w:sz="8" w:color="auto"/>
              <w:right w:val="single" w:sz="8" w:color="auto"/>
            </w:tcBorders>
            <w:gridSpan w:val="3"/>
          </w:tcPr>
          <w:p>
            <w:pPr>
              <w:ind w:left="600"/>
              <w:spacing w:after="0"/>
              <w:rPr>
                <w:sz w:val="20"/>
                <w:szCs w:val="20"/>
                <w:color w:val="auto"/>
              </w:rPr>
            </w:pPr>
            <w:r>
              <w:rPr>
                <w:rFonts w:ascii="Palatino Linotype" w:cs="Palatino Linotype" w:eastAsia="Palatino Linotype" w:hAnsi="Palatino Linotype"/>
                <w:sz w:val="16"/>
                <w:szCs w:val="16"/>
                <w:color w:val="auto"/>
              </w:rPr>
              <w:t>Entorno social de la familia</w:t>
            </w:r>
          </w:p>
        </w:tc>
        <w:tc>
          <w:tcPr>
            <w:tcW w:w="140" w:type="dxa"/>
            <w:vAlign w:val="bottom"/>
            <w:tcBorders>
              <w:right w:val="single" w:sz="8" w:color="auto"/>
            </w:tcBorders>
          </w:tcPr>
          <w:p>
            <w:pPr>
              <w:spacing w:after="0"/>
              <w:rPr>
                <w:sz w:val="24"/>
                <w:szCs w:val="24"/>
                <w:color w:val="auto"/>
              </w:rPr>
            </w:pPr>
          </w:p>
        </w:tc>
        <w:tc>
          <w:tcPr>
            <w:tcW w:w="240" w:type="dxa"/>
            <w:vAlign w:val="bottom"/>
            <w:tcBorders>
              <w:top w:val="single" w:sz="8" w:color="auto"/>
            </w:tcBorders>
          </w:tcPr>
          <w:p>
            <w:pPr>
              <w:spacing w:after="0"/>
              <w:rPr>
                <w:sz w:val="24"/>
                <w:szCs w:val="24"/>
                <w:color w:val="auto"/>
              </w:rPr>
            </w:pPr>
          </w:p>
        </w:tc>
        <w:tc>
          <w:tcPr>
            <w:tcW w:w="2860" w:type="dxa"/>
            <w:vAlign w:val="bottom"/>
            <w:tcBorders>
              <w:top w:val="single" w:sz="8" w:color="auto"/>
              <w:right w:val="single" w:sz="8" w:color="auto"/>
            </w:tcBorders>
            <w:gridSpan w:val="4"/>
          </w:tcPr>
          <w:p>
            <w:pPr>
              <w:ind w:left="420"/>
              <w:spacing w:after="0"/>
              <w:rPr>
                <w:sz w:val="20"/>
                <w:szCs w:val="20"/>
                <w:color w:val="auto"/>
              </w:rPr>
            </w:pPr>
            <w:r>
              <w:rPr>
                <w:rFonts w:ascii="Palatino Linotype" w:cs="Palatino Linotype" w:eastAsia="Palatino Linotype" w:hAnsi="Palatino Linotype"/>
                <w:sz w:val="16"/>
                <w:szCs w:val="16"/>
                <w:color w:val="auto"/>
              </w:rPr>
              <w:t>Características familiares</w:t>
            </w:r>
          </w:p>
        </w:tc>
      </w:tr>
      <w:tr>
        <w:trPr>
          <w:trHeight w:val="164"/>
        </w:trPr>
        <w:tc>
          <w:tcPr>
            <w:tcW w:w="1800" w:type="dxa"/>
            <w:vAlign w:val="bottom"/>
            <w:tcBorders>
              <w:left w:val="single" w:sz="8" w:color="auto"/>
              <w:bottom w:val="single" w:sz="8" w:color="auto"/>
            </w:tcBorders>
            <w:gridSpan w:val="2"/>
          </w:tcPr>
          <w:p>
            <w:pPr>
              <w:spacing w:after="0"/>
              <w:rPr>
                <w:sz w:val="14"/>
                <w:szCs w:val="14"/>
                <w:color w:val="auto"/>
              </w:rPr>
            </w:pPr>
          </w:p>
        </w:tc>
        <w:tc>
          <w:tcPr>
            <w:tcW w:w="1340" w:type="dxa"/>
            <w:vAlign w:val="bottom"/>
            <w:tcBorders>
              <w:bottom w:val="single" w:sz="8" w:color="auto"/>
              <w:right w:val="single" w:sz="8" w:color="auto"/>
            </w:tcBorders>
          </w:tcPr>
          <w:p>
            <w:pPr>
              <w:spacing w:after="0"/>
              <w:rPr>
                <w:sz w:val="14"/>
                <w:szCs w:val="14"/>
                <w:color w:val="auto"/>
              </w:rPr>
            </w:pPr>
          </w:p>
        </w:tc>
        <w:tc>
          <w:tcPr>
            <w:tcW w:w="140" w:type="dxa"/>
            <w:vAlign w:val="bottom"/>
            <w:tcBorders>
              <w:right w:val="single" w:sz="8" w:color="auto"/>
            </w:tcBorders>
          </w:tcPr>
          <w:p>
            <w:pPr>
              <w:spacing w:after="0"/>
              <w:rPr>
                <w:sz w:val="14"/>
                <w:szCs w:val="14"/>
                <w:color w:val="auto"/>
              </w:rPr>
            </w:pPr>
          </w:p>
        </w:tc>
        <w:tc>
          <w:tcPr>
            <w:tcW w:w="240" w:type="dxa"/>
            <w:vAlign w:val="bottom"/>
            <w:tcBorders>
              <w:bottom w:val="single" w:sz="8" w:color="auto"/>
            </w:tcBorders>
          </w:tcPr>
          <w:p>
            <w:pPr>
              <w:spacing w:after="0"/>
              <w:rPr>
                <w:sz w:val="14"/>
                <w:szCs w:val="14"/>
                <w:color w:val="auto"/>
              </w:rPr>
            </w:pPr>
          </w:p>
        </w:tc>
        <w:tc>
          <w:tcPr>
            <w:tcW w:w="940" w:type="dxa"/>
            <w:vAlign w:val="bottom"/>
            <w:tcBorders>
              <w:bottom w:val="single" w:sz="8" w:color="auto"/>
            </w:tcBorders>
          </w:tcPr>
          <w:p>
            <w:pPr>
              <w:spacing w:after="0"/>
              <w:rPr>
                <w:sz w:val="14"/>
                <w:szCs w:val="14"/>
                <w:color w:val="auto"/>
              </w:rPr>
            </w:pPr>
          </w:p>
        </w:tc>
        <w:tc>
          <w:tcPr>
            <w:tcW w:w="440" w:type="dxa"/>
            <w:vAlign w:val="bottom"/>
            <w:tcBorders>
              <w:bottom w:val="single" w:sz="8" w:color="auto"/>
            </w:tcBorders>
          </w:tcPr>
          <w:p>
            <w:pPr>
              <w:spacing w:after="0"/>
              <w:rPr>
                <w:sz w:val="14"/>
                <w:szCs w:val="14"/>
                <w:color w:val="auto"/>
              </w:rPr>
            </w:pPr>
          </w:p>
        </w:tc>
        <w:tc>
          <w:tcPr>
            <w:tcW w:w="160" w:type="dxa"/>
            <w:vAlign w:val="bottom"/>
            <w:tcBorders>
              <w:bottom w:val="single" w:sz="8" w:color="auto"/>
            </w:tcBorders>
          </w:tcPr>
          <w:p>
            <w:pPr>
              <w:spacing w:after="0"/>
              <w:rPr>
                <w:sz w:val="14"/>
                <w:szCs w:val="14"/>
                <w:color w:val="auto"/>
              </w:rPr>
            </w:pPr>
          </w:p>
        </w:tc>
        <w:tc>
          <w:tcPr>
            <w:tcW w:w="1320" w:type="dxa"/>
            <w:vAlign w:val="bottom"/>
            <w:tcBorders>
              <w:bottom w:val="single" w:sz="8" w:color="auto"/>
              <w:right w:val="single" w:sz="8" w:color="auto"/>
            </w:tcBorders>
          </w:tcPr>
          <w:p>
            <w:pPr>
              <w:spacing w:after="0"/>
              <w:rPr>
                <w:sz w:val="14"/>
                <w:szCs w:val="14"/>
                <w:color w:val="auto"/>
              </w:rPr>
            </w:pPr>
          </w:p>
        </w:tc>
      </w:tr>
      <w:tr>
        <w:trPr>
          <w:trHeight w:val="279"/>
        </w:trPr>
        <w:tc>
          <w:tcPr>
            <w:tcW w:w="1800" w:type="dxa"/>
            <w:vAlign w:val="bottom"/>
            <w:tcBorders>
              <w:left w:val="single" w:sz="8" w:color="auto"/>
              <w:right w:val="single" w:sz="8" w:color="auto"/>
            </w:tcBorders>
            <w:gridSpan w:val="2"/>
          </w:tcPr>
          <w:p>
            <w:pPr>
              <w:jc w:val="center"/>
              <w:spacing w:after="0"/>
              <w:rPr>
                <w:sz w:val="20"/>
                <w:szCs w:val="20"/>
                <w:color w:val="auto"/>
              </w:rPr>
            </w:pPr>
            <w:r>
              <w:rPr>
                <w:rFonts w:ascii="Palatino Linotype" w:cs="Palatino Linotype" w:eastAsia="Palatino Linotype" w:hAnsi="Palatino Linotype"/>
                <w:sz w:val="16"/>
                <w:szCs w:val="16"/>
                <w:u w:val="single" w:color="auto"/>
                <w:color w:val="auto"/>
                <w:w w:val="99"/>
              </w:rPr>
              <w:t>Política social</w:t>
            </w:r>
          </w:p>
        </w:tc>
        <w:tc>
          <w:tcPr>
            <w:tcW w:w="134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u w:val="single" w:color="auto"/>
                <w:color w:val="auto"/>
              </w:rPr>
              <w:t>Comunidad</w:t>
            </w:r>
          </w:p>
        </w:tc>
        <w:tc>
          <w:tcPr>
            <w:tcW w:w="140" w:type="dxa"/>
            <w:vAlign w:val="bottom"/>
            <w:tcBorders>
              <w:right w:val="single" w:sz="8" w:color="auto"/>
            </w:tcBorders>
          </w:tcPr>
          <w:p>
            <w:pPr>
              <w:spacing w:after="0"/>
              <w:rPr>
                <w:sz w:val="24"/>
                <w:szCs w:val="24"/>
                <w:color w:val="auto"/>
              </w:rPr>
            </w:pPr>
          </w:p>
        </w:tc>
        <w:tc>
          <w:tcPr>
            <w:tcW w:w="240" w:type="dxa"/>
            <w:vAlign w:val="bottom"/>
          </w:tcPr>
          <w:p>
            <w:pPr>
              <w:spacing w:after="0"/>
              <w:rPr>
                <w:sz w:val="24"/>
                <w:szCs w:val="24"/>
                <w:color w:val="auto"/>
              </w:rPr>
            </w:pPr>
          </w:p>
        </w:tc>
        <w:tc>
          <w:tcPr>
            <w:tcW w:w="1380" w:type="dxa"/>
            <w:vAlign w:val="bottom"/>
            <w:tcBorders>
              <w:right w:val="single" w:sz="8" w:color="auto"/>
            </w:tcBorders>
            <w:gridSpan w:val="2"/>
          </w:tcPr>
          <w:p>
            <w:pPr>
              <w:jc w:val="center"/>
              <w:ind w:right="260"/>
              <w:spacing w:after="0"/>
              <w:rPr>
                <w:sz w:val="20"/>
                <w:szCs w:val="20"/>
                <w:color w:val="auto"/>
              </w:rPr>
            </w:pPr>
            <w:r>
              <w:rPr>
                <w:rFonts w:ascii="Palatino Linotype" w:cs="Palatino Linotype" w:eastAsia="Palatino Linotype" w:hAnsi="Palatino Linotype"/>
                <w:sz w:val="16"/>
                <w:szCs w:val="16"/>
                <w:u w:val="single" w:color="auto"/>
                <w:color w:val="auto"/>
                <w:w w:val="99"/>
              </w:rPr>
              <w:t>Miembros</w:t>
            </w:r>
          </w:p>
        </w:tc>
        <w:tc>
          <w:tcPr>
            <w:tcW w:w="160" w:type="dxa"/>
            <w:vAlign w:val="bottom"/>
          </w:tcPr>
          <w:p>
            <w:pPr>
              <w:spacing w:after="0"/>
              <w:rPr>
                <w:sz w:val="24"/>
                <w:szCs w:val="24"/>
                <w:color w:val="auto"/>
              </w:rPr>
            </w:pPr>
          </w:p>
        </w:tc>
        <w:tc>
          <w:tcPr>
            <w:tcW w:w="1320" w:type="dxa"/>
            <w:vAlign w:val="bottom"/>
            <w:tcBorders>
              <w:right w:val="single" w:sz="8" w:color="auto"/>
            </w:tcBorders>
          </w:tcPr>
          <w:p>
            <w:pPr>
              <w:jc w:val="center"/>
              <w:ind w:right="80"/>
              <w:spacing w:after="0"/>
              <w:rPr>
                <w:sz w:val="20"/>
                <w:szCs w:val="20"/>
                <w:color w:val="auto"/>
              </w:rPr>
            </w:pPr>
            <w:r>
              <w:rPr>
                <w:rFonts w:ascii="Palatino Linotype" w:cs="Palatino Linotype" w:eastAsia="Palatino Linotype" w:hAnsi="Palatino Linotype"/>
                <w:sz w:val="16"/>
                <w:szCs w:val="16"/>
                <w:u w:val="single" w:color="auto"/>
                <w:color w:val="auto"/>
              </w:rPr>
              <w:t>Socio-</w:t>
            </w:r>
          </w:p>
        </w:tc>
      </w:tr>
      <w:tr>
        <w:trPr>
          <w:trHeight w:val="216"/>
        </w:trPr>
        <w:tc>
          <w:tcPr>
            <w:tcW w:w="1800" w:type="dxa"/>
            <w:vAlign w:val="bottom"/>
            <w:tcBorders>
              <w:left w:val="single" w:sz="8" w:color="auto"/>
              <w:right w:val="single" w:sz="8" w:color="auto"/>
            </w:tcBorders>
            <w:gridSpan w:val="2"/>
          </w:tcPr>
          <w:p>
            <w:pPr>
              <w:jc w:val="center"/>
              <w:ind w:right="20"/>
              <w:spacing w:after="0"/>
              <w:rPr>
                <w:sz w:val="20"/>
                <w:szCs w:val="20"/>
                <w:color w:val="auto"/>
              </w:rPr>
            </w:pPr>
            <w:r>
              <w:rPr>
                <w:rFonts w:ascii="Palatino Linotype" w:cs="Palatino Linotype" w:eastAsia="Palatino Linotype" w:hAnsi="Palatino Linotype"/>
                <w:sz w:val="16"/>
                <w:szCs w:val="16"/>
                <w:color w:val="auto"/>
              </w:rPr>
              <w:t>Apoyo del gobierno</w:t>
            </w:r>
          </w:p>
        </w:tc>
        <w:tc>
          <w:tcPr>
            <w:tcW w:w="134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Normas</w:t>
            </w:r>
          </w:p>
        </w:tc>
        <w:tc>
          <w:tcPr>
            <w:tcW w:w="140" w:type="dxa"/>
            <w:vAlign w:val="bottom"/>
            <w:tcBorders>
              <w:right w:val="single" w:sz="8" w:color="auto"/>
            </w:tcBorders>
          </w:tcPr>
          <w:p>
            <w:pPr>
              <w:spacing w:after="0"/>
              <w:rPr>
                <w:sz w:val="18"/>
                <w:szCs w:val="18"/>
                <w:color w:val="auto"/>
              </w:rPr>
            </w:pPr>
          </w:p>
        </w:tc>
        <w:tc>
          <w:tcPr>
            <w:tcW w:w="240" w:type="dxa"/>
            <w:vAlign w:val="bottom"/>
          </w:tcPr>
          <w:p>
            <w:pPr>
              <w:spacing w:after="0"/>
              <w:rPr>
                <w:sz w:val="18"/>
                <w:szCs w:val="18"/>
                <w:color w:val="auto"/>
              </w:rPr>
            </w:pPr>
          </w:p>
        </w:tc>
        <w:tc>
          <w:tcPr>
            <w:tcW w:w="1380" w:type="dxa"/>
            <w:vAlign w:val="bottom"/>
            <w:tcBorders>
              <w:right w:val="single" w:sz="8" w:color="auto"/>
            </w:tcBorders>
            <w:gridSpan w:val="2"/>
          </w:tcPr>
          <w:p>
            <w:pPr>
              <w:jc w:val="center"/>
              <w:ind w:right="260"/>
              <w:spacing w:after="0"/>
              <w:rPr>
                <w:sz w:val="20"/>
                <w:szCs w:val="20"/>
                <w:color w:val="auto"/>
              </w:rPr>
            </w:pPr>
            <w:r>
              <w:rPr>
                <w:rFonts w:ascii="Palatino Linotype" w:cs="Palatino Linotype" w:eastAsia="Palatino Linotype" w:hAnsi="Palatino Linotype"/>
                <w:sz w:val="16"/>
                <w:szCs w:val="16"/>
                <w:color w:val="auto"/>
                <w:w w:val="99"/>
              </w:rPr>
              <w:t>Biológicas</w:t>
            </w:r>
          </w:p>
        </w:tc>
        <w:tc>
          <w:tcPr>
            <w:tcW w:w="160" w:type="dxa"/>
            <w:vAlign w:val="bottom"/>
          </w:tcPr>
          <w:p>
            <w:pPr>
              <w:spacing w:after="0"/>
              <w:rPr>
                <w:sz w:val="18"/>
                <w:szCs w:val="18"/>
                <w:color w:val="auto"/>
              </w:rPr>
            </w:pPr>
          </w:p>
        </w:tc>
        <w:tc>
          <w:tcPr>
            <w:tcW w:w="1320" w:type="dxa"/>
            <w:vAlign w:val="bottom"/>
            <w:tcBorders>
              <w:right w:val="single" w:sz="8" w:color="auto"/>
            </w:tcBorders>
          </w:tcPr>
          <w:p>
            <w:pPr>
              <w:jc w:val="center"/>
              <w:ind w:right="80"/>
              <w:spacing w:after="0"/>
              <w:rPr>
                <w:sz w:val="20"/>
                <w:szCs w:val="20"/>
                <w:color w:val="auto"/>
              </w:rPr>
            </w:pPr>
            <w:r>
              <w:rPr>
                <w:rFonts w:ascii="Palatino Linotype" w:cs="Palatino Linotype" w:eastAsia="Palatino Linotype" w:hAnsi="Palatino Linotype"/>
                <w:sz w:val="16"/>
                <w:szCs w:val="16"/>
                <w:u w:val="single" w:color="auto"/>
                <w:color w:val="auto"/>
              </w:rPr>
              <w:t>demográficas.</w:t>
            </w:r>
          </w:p>
        </w:tc>
      </w:tr>
      <w:tr>
        <w:trPr>
          <w:trHeight w:val="216"/>
        </w:trPr>
        <w:tc>
          <w:tcPr>
            <w:tcW w:w="1800" w:type="dxa"/>
            <w:vAlign w:val="bottom"/>
            <w:tcBorders>
              <w:left w:val="single" w:sz="8" w:color="auto"/>
              <w:right w:val="single" w:sz="8" w:color="auto"/>
            </w:tcBorders>
            <w:gridSpan w:val="2"/>
          </w:tcPr>
          <w:p>
            <w:pPr>
              <w:jc w:val="center"/>
              <w:spacing w:after="0"/>
              <w:rPr>
                <w:sz w:val="20"/>
                <w:szCs w:val="20"/>
                <w:color w:val="auto"/>
              </w:rPr>
            </w:pPr>
            <w:r>
              <w:rPr>
                <w:rFonts w:ascii="Palatino Linotype" w:cs="Palatino Linotype" w:eastAsia="Palatino Linotype" w:hAnsi="Palatino Linotype"/>
                <w:sz w:val="16"/>
                <w:szCs w:val="16"/>
                <w:color w:val="auto"/>
              </w:rPr>
              <w:t>Servicios de salud</w:t>
            </w:r>
          </w:p>
        </w:tc>
        <w:tc>
          <w:tcPr>
            <w:tcW w:w="134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Valores</w:t>
            </w:r>
          </w:p>
        </w:tc>
        <w:tc>
          <w:tcPr>
            <w:tcW w:w="140" w:type="dxa"/>
            <w:vAlign w:val="bottom"/>
            <w:tcBorders>
              <w:right w:val="single" w:sz="8" w:color="auto"/>
            </w:tcBorders>
          </w:tcPr>
          <w:p>
            <w:pPr>
              <w:spacing w:after="0"/>
              <w:rPr>
                <w:sz w:val="18"/>
                <w:szCs w:val="18"/>
                <w:color w:val="auto"/>
              </w:rPr>
            </w:pPr>
          </w:p>
        </w:tc>
        <w:tc>
          <w:tcPr>
            <w:tcW w:w="240" w:type="dxa"/>
            <w:vAlign w:val="bottom"/>
          </w:tcPr>
          <w:p>
            <w:pPr>
              <w:spacing w:after="0"/>
              <w:rPr>
                <w:sz w:val="18"/>
                <w:szCs w:val="18"/>
                <w:color w:val="auto"/>
              </w:rPr>
            </w:pPr>
          </w:p>
        </w:tc>
        <w:tc>
          <w:tcPr>
            <w:tcW w:w="1380" w:type="dxa"/>
            <w:vAlign w:val="bottom"/>
            <w:tcBorders>
              <w:right w:val="single" w:sz="8" w:color="auto"/>
            </w:tcBorders>
            <w:gridSpan w:val="2"/>
          </w:tcPr>
          <w:p>
            <w:pPr>
              <w:jc w:val="center"/>
              <w:ind w:right="240"/>
              <w:spacing w:after="0"/>
              <w:rPr>
                <w:sz w:val="20"/>
                <w:szCs w:val="20"/>
                <w:color w:val="auto"/>
              </w:rPr>
            </w:pPr>
            <w:r>
              <w:rPr>
                <w:rFonts w:ascii="Palatino Linotype" w:cs="Palatino Linotype" w:eastAsia="Palatino Linotype" w:hAnsi="Palatino Linotype"/>
                <w:sz w:val="16"/>
                <w:szCs w:val="16"/>
                <w:color w:val="auto"/>
              </w:rPr>
              <w:t>Psicológicas</w:t>
            </w:r>
          </w:p>
        </w:tc>
        <w:tc>
          <w:tcPr>
            <w:tcW w:w="160" w:type="dxa"/>
            <w:vAlign w:val="bottom"/>
          </w:tcPr>
          <w:p>
            <w:pPr>
              <w:spacing w:after="0"/>
              <w:rPr>
                <w:sz w:val="18"/>
                <w:szCs w:val="18"/>
                <w:color w:val="auto"/>
              </w:rPr>
            </w:pPr>
          </w:p>
        </w:tc>
        <w:tc>
          <w:tcPr>
            <w:tcW w:w="1320" w:type="dxa"/>
            <w:vAlign w:val="bottom"/>
            <w:tcBorders>
              <w:right w:val="single" w:sz="8" w:color="auto"/>
            </w:tcBorders>
          </w:tcPr>
          <w:p>
            <w:pPr>
              <w:jc w:val="center"/>
              <w:ind w:right="100"/>
              <w:spacing w:after="0"/>
              <w:rPr>
                <w:sz w:val="20"/>
                <w:szCs w:val="20"/>
                <w:color w:val="auto"/>
              </w:rPr>
            </w:pPr>
            <w:r>
              <w:rPr>
                <w:rFonts w:ascii="Palatino Linotype" w:cs="Palatino Linotype" w:eastAsia="Palatino Linotype" w:hAnsi="Palatino Linotype"/>
                <w:sz w:val="16"/>
                <w:szCs w:val="16"/>
                <w:color w:val="auto"/>
                <w:w w:val="99"/>
              </w:rPr>
              <w:t>Raza y etnia</w:t>
            </w:r>
          </w:p>
        </w:tc>
      </w:tr>
      <w:tr>
        <w:trPr>
          <w:trHeight w:val="216"/>
        </w:trPr>
        <w:tc>
          <w:tcPr>
            <w:tcW w:w="1800" w:type="dxa"/>
            <w:vAlign w:val="bottom"/>
            <w:tcBorders>
              <w:left w:val="single" w:sz="8" w:color="auto"/>
              <w:right w:val="single" w:sz="8" w:color="auto"/>
            </w:tcBorders>
            <w:gridSpan w:val="2"/>
          </w:tcPr>
          <w:p>
            <w:pPr>
              <w:jc w:val="center"/>
              <w:spacing w:after="0"/>
              <w:rPr>
                <w:sz w:val="20"/>
                <w:szCs w:val="20"/>
                <w:color w:val="auto"/>
              </w:rPr>
            </w:pPr>
            <w:r>
              <w:rPr>
                <w:rFonts w:ascii="Palatino Linotype" w:cs="Palatino Linotype" w:eastAsia="Palatino Linotype" w:hAnsi="Palatino Linotype"/>
                <w:sz w:val="16"/>
                <w:szCs w:val="16"/>
                <w:color w:val="auto"/>
              </w:rPr>
              <w:t>Campañas de salud</w:t>
            </w:r>
          </w:p>
        </w:tc>
        <w:tc>
          <w:tcPr>
            <w:tcW w:w="134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Servicios</w:t>
            </w:r>
          </w:p>
        </w:tc>
        <w:tc>
          <w:tcPr>
            <w:tcW w:w="140" w:type="dxa"/>
            <w:vAlign w:val="bottom"/>
            <w:tcBorders>
              <w:right w:val="single" w:sz="8" w:color="auto"/>
            </w:tcBorders>
          </w:tcPr>
          <w:p>
            <w:pPr>
              <w:spacing w:after="0"/>
              <w:rPr>
                <w:sz w:val="18"/>
                <w:szCs w:val="18"/>
                <w:color w:val="auto"/>
              </w:rPr>
            </w:pPr>
          </w:p>
        </w:tc>
        <w:tc>
          <w:tcPr>
            <w:tcW w:w="240" w:type="dxa"/>
            <w:vAlign w:val="bottom"/>
          </w:tcPr>
          <w:p>
            <w:pPr>
              <w:spacing w:after="0"/>
              <w:rPr>
                <w:sz w:val="18"/>
                <w:szCs w:val="18"/>
                <w:color w:val="auto"/>
              </w:rPr>
            </w:pPr>
          </w:p>
        </w:tc>
        <w:tc>
          <w:tcPr>
            <w:tcW w:w="1380" w:type="dxa"/>
            <w:vAlign w:val="bottom"/>
            <w:tcBorders>
              <w:right w:val="single" w:sz="8" w:color="auto"/>
            </w:tcBorders>
            <w:gridSpan w:val="2"/>
          </w:tcPr>
          <w:p>
            <w:pPr>
              <w:jc w:val="center"/>
              <w:ind w:right="240"/>
              <w:spacing w:after="0"/>
              <w:rPr>
                <w:sz w:val="20"/>
                <w:szCs w:val="20"/>
                <w:color w:val="auto"/>
              </w:rPr>
            </w:pPr>
            <w:r>
              <w:rPr>
                <w:rFonts w:ascii="Palatino Linotype" w:cs="Palatino Linotype" w:eastAsia="Palatino Linotype" w:hAnsi="Palatino Linotype"/>
                <w:sz w:val="16"/>
                <w:szCs w:val="16"/>
                <w:color w:val="auto"/>
                <w:w w:val="99"/>
              </w:rPr>
              <w:t>Estructura</w:t>
            </w:r>
          </w:p>
        </w:tc>
        <w:tc>
          <w:tcPr>
            <w:tcW w:w="160" w:type="dxa"/>
            <w:vAlign w:val="bottom"/>
          </w:tcPr>
          <w:p>
            <w:pPr>
              <w:spacing w:after="0"/>
              <w:rPr>
                <w:sz w:val="18"/>
                <w:szCs w:val="18"/>
                <w:color w:val="auto"/>
              </w:rPr>
            </w:pPr>
          </w:p>
        </w:tc>
        <w:tc>
          <w:tcPr>
            <w:tcW w:w="1320" w:type="dxa"/>
            <w:vAlign w:val="bottom"/>
            <w:tcBorders>
              <w:right w:val="single" w:sz="8" w:color="auto"/>
            </w:tcBorders>
          </w:tcPr>
          <w:p>
            <w:pPr>
              <w:jc w:val="center"/>
              <w:ind w:right="80"/>
              <w:spacing w:after="0"/>
              <w:rPr>
                <w:sz w:val="20"/>
                <w:szCs w:val="20"/>
                <w:color w:val="auto"/>
              </w:rPr>
            </w:pPr>
            <w:r>
              <w:rPr>
                <w:rFonts w:ascii="Palatino Linotype" w:cs="Palatino Linotype" w:eastAsia="Palatino Linotype" w:hAnsi="Palatino Linotype"/>
                <w:sz w:val="16"/>
                <w:szCs w:val="16"/>
                <w:color w:val="auto"/>
                <w:w w:val="99"/>
              </w:rPr>
              <w:t>Residencia</w:t>
            </w:r>
          </w:p>
        </w:tc>
      </w:tr>
      <w:tr>
        <w:trPr>
          <w:trHeight w:val="216"/>
        </w:trPr>
        <w:tc>
          <w:tcPr>
            <w:tcW w:w="1800" w:type="dxa"/>
            <w:vAlign w:val="bottom"/>
            <w:tcBorders>
              <w:left w:val="single" w:sz="8" w:color="auto"/>
              <w:right w:val="single" w:sz="8" w:color="auto"/>
            </w:tcBorders>
            <w:gridSpan w:val="2"/>
          </w:tcPr>
          <w:p>
            <w:pPr>
              <w:jc w:val="center"/>
              <w:ind w:right="20"/>
              <w:spacing w:after="0"/>
              <w:rPr>
                <w:sz w:val="20"/>
                <w:szCs w:val="20"/>
                <w:color w:val="auto"/>
              </w:rPr>
            </w:pPr>
            <w:r>
              <w:rPr>
                <w:rFonts w:ascii="Palatino Linotype" w:cs="Palatino Linotype" w:eastAsia="Palatino Linotype" w:hAnsi="Palatino Linotype"/>
                <w:sz w:val="16"/>
                <w:szCs w:val="16"/>
                <w:color w:val="auto"/>
              </w:rPr>
              <w:t>Política educativa</w:t>
            </w:r>
          </w:p>
        </w:tc>
        <w:tc>
          <w:tcPr>
            <w:tcW w:w="134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Recursos</w:t>
            </w:r>
          </w:p>
        </w:tc>
        <w:tc>
          <w:tcPr>
            <w:tcW w:w="140" w:type="dxa"/>
            <w:vAlign w:val="bottom"/>
            <w:tcBorders>
              <w:right w:val="single" w:sz="8" w:color="auto"/>
            </w:tcBorders>
          </w:tcPr>
          <w:p>
            <w:pPr>
              <w:spacing w:after="0"/>
              <w:rPr>
                <w:sz w:val="18"/>
                <w:szCs w:val="18"/>
                <w:color w:val="auto"/>
              </w:rPr>
            </w:pPr>
          </w:p>
        </w:tc>
        <w:tc>
          <w:tcPr>
            <w:tcW w:w="240" w:type="dxa"/>
            <w:vAlign w:val="bottom"/>
          </w:tcPr>
          <w:p>
            <w:pPr>
              <w:spacing w:after="0"/>
              <w:rPr>
                <w:sz w:val="18"/>
                <w:szCs w:val="18"/>
                <w:color w:val="auto"/>
              </w:rPr>
            </w:pPr>
          </w:p>
        </w:tc>
        <w:tc>
          <w:tcPr>
            <w:tcW w:w="1380" w:type="dxa"/>
            <w:vAlign w:val="bottom"/>
            <w:tcBorders>
              <w:right w:val="single" w:sz="8" w:color="auto"/>
            </w:tcBorders>
            <w:gridSpan w:val="2"/>
          </w:tcPr>
          <w:p>
            <w:pPr>
              <w:jc w:val="center"/>
              <w:ind w:right="260"/>
              <w:spacing w:after="0"/>
              <w:rPr>
                <w:sz w:val="20"/>
                <w:szCs w:val="20"/>
                <w:color w:val="auto"/>
              </w:rPr>
            </w:pPr>
            <w:r>
              <w:rPr>
                <w:rFonts w:ascii="Palatino Linotype" w:cs="Palatino Linotype" w:eastAsia="Palatino Linotype" w:hAnsi="Palatino Linotype"/>
                <w:sz w:val="16"/>
                <w:szCs w:val="16"/>
                <w:color w:val="auto"/>
              </w:rPr>
              <w:t>Composición</w:t>
            </w:r>
          </w:p>
        </w:tc>
        <w:tc>
          <w:tcPr>
            <w:tcW w:w="160" w:type="dxa"/>
            <w:vAlign w:val="bottom"/>
          </w:tcPr>
          <w:p>
            <w:pPr>
              <w:spacing w:after="0"/>
              <w:rPr>
                <w:sz w:val="18"/>
                <w:szCs w:val="18"/>
                <w:color w:val="auto"/>
              </w:rPr>
            </w:pPr>
          </w:p>
        </w:tc>
        <w:tc>
          <w:tcPr>
            <w:tcW w:w="1320" w:type="dxa"/>
            <w:vAlign w:val="bottom"/>
            <w:tcBorders>
              <w:right w:val="single" w:sz="8" w:color="auto"/>
            </w:tcBorders>
          </w:tcPr>
          <w:p>
            <w:pPr>
              <w:jc w:val="center"/>
              <w:ind w:right="80"/>
              <w:spacing w:after="0"/>
              <w:rPr>
                <w:sz w:val="20"/>
                <w:szCs w:val="20"/>
                <w:color w:val="auto"/>
              </w:rPr>
            </w:pPr>
            <w:r>
              <w:rPr>
                <w:rFonts w:ascii="Palatino Linotype" w:cs="Palatino Linotype" w:eastAsia="Palatino Linotype" w:hAnsi="Palatino Linotype"/>
                <w:sz w:val="16"/>
                <w:szCs w:val="16"/>
                <w:color w:val="auto"/>
              </w:rPr>
              <w:t>Religión</w:t>
            </w:r>
          </w:p>
        </w:tc>
      </w:tr>
      <w:tr>
        <w:trPr>
          <w:trHeight w:val="157"/>
        </w:trPr>
        <w:tc>
          <w:tcPr>
            <w:tcW w:w="1800" w:type="dxa"/>
            <w:vAlign w:val="bottom"/>
            <w:tcBorders>
              <w:left w:val="single" w:sz="8" w:color="auto"/>
              <w:bottom w:val="single" w:sz="8" w:color="auto"/>
              <w:right w:val="single" w:sz="8" w:color="auto"/>
            </w:tcBorders>
            <w:gridSpan w:val="2"/>
          </w:tcPr>
          <w:p>
            <w:pPr>
              <w:spacing w:after="0"/>
              <w:rPr>
                <w:sz w:val="13"/>
                <w:szCs w:val="13"/>
                <w:color w:val="auto"/>
              </w:rPr>
            </w:pPr>
          </w:p>
        </w:tc>
        <w:tc>
          <w:tcPr>
            <w:tcW w:w="1340" w:type="dxa"/>
            <w:vAlign w:val="bottom"/>
            <w:tcBorders>
              <w:bottom w:val="single" w:sz="8" w:color="auto"/>
              <w:right w:val="single" w:sz="8" w:color="auto"/>
            </w:tcBorders>
          </w:tcPr>
          <w:p>
            <w:pPr>
              <w:spacing w:after="0"/>
              <w:rPr>
                <w:sz w:val="13"/>
                <w:szCs w:val="13"/>
                <w:color w:val="auto"/>
              </w:rPr>
            </w:pPr>
          </w:p>
        </w:tc>
        <w:tc>
          <w:tcPr>
            <w:tcW w:w="140" w:type="dxa"/>
            <w:vAlign w:val="bottom"/>
            <w:tcBorders>
              <w:right w:val="single" w:sz="8" w:color="auto"/>
            </w:tcBorders>
          </w:tcPr>
          <w:p>
            <w:pPr>
              <w:spacing w:after="0"/>
              <w:rPr>
                <w:sz w:val="13"/>
                <w:szCs w:val="13"/>
                <w:color w:val="auto"/>
              </w:rPr>
            </w:pPr>
          </w:p>
        </w:tc>
        <w:tc>
          <w:tcPr>
            <w:tcW w:w="240" w:type="dxa"/>
            <w:vAlign w:val="bottom"/>
            <w:tcBorders>
              <w:bottom w:val="single" w:sz="8" w:color="auto"/>
            </w:tcBorders>
          </w:tcPr>
          <w:p>
            <w:pPr>
              <w:spacing w:after="0"/>
              <w:rPr>
                <w:sz w:val="13"/>
                <w:szCs w:val="13"/>
                <w:color w:val="auto"/>
              </w:rPr>
            </w:pPr>
          </w:p>
        </w:tc>
        <w:tc>
          <w:tcPr>
            <w:tcW w:w="940" w:type="dxa"/>
            <w:vAlign w:val="bottom"/>
            <w:tcBorders>
              <w:bottom w:val="single" w:sz="8" w:color="auto"/>
            </w:tcBorders>
          </w:tcPr>
          <w:p>
            <w:pPr>
              <w:spacing w:after="0"/>
              <w:rPr>
                <w:sz w:val="13"/>
                <w:szCs w:val="13"/>
                <w:color w:val="auto"/>
              </w:rPr>
            </w:pPr>
          </w:p>
        </w:tc>
        <w:tc>
          <w:tcPr>
            <w:tcW w:w="440" w:type="dxa"/>
            <w:vAlign w:val="bottom"/>
            <w:tcBorders>
              <w:bottom w:val="single" w:sz="8" w:color="auto"/>
              <w:right w:val="single" w:sz="8" w:color="auto"/>
            </w:tcBorders>
          </w:tcPr>
          <w:p>
            <w:pPr>
              <w:spacing w:after="0"/>
              <w:rPr>
                <w:sz w:val="13"/>
                <w:szCs w:val="13"/>
                <w:color w:val="auto"/>
              </w:rPr>
            </w:pPr>
          </w:p>
        </w:tc>
        <w:tc>
          <w:tcPr>
            <w:tcW w:w="160" w:type="dxa"/>
            <w:vAlign w:val="bottom"/>
            <w:tcBorders>
              <w:bottom w:val="single" w:sz="8" w:color="auto"/>
            </w:tcBorders>
          </w:tcPr>
          <w:p>
            <w:pPr>
              <w:spacing w:after="0"/>
              <w:rPr>
                <w:sz w:val="13"/>
                <w:szCs w:val="13"/>
                <w:color w:val="auto"/>
              </w:rPr>
            </w:pPr>
          </w:p>
        </w:tc>
        <w:tc>
          <w:tcPr>
            <w:tcW w:w="1320" w:type="dxa"/>
            <w:vAlign w:val="bottom"/>
            <w:tcBorders>
              <w:bottom w:val="single" w:sz="8" w:color="auto"/>
              <w:right w:val="single" w:sz="8" w:color="auto"/>
            </w:tcBorders>
          </w:tcPr>
          <w:p>
            <w:pPr>
              <w:spacing w:after="0"/>
              <w:rPr>
                <w:sz w:val="13"/>
                <w:szCs w:val="13"/>
                <w:color w:val="auto"/>
              </w:rPr>
            </w:pPr>
          </w:p>
        </w:tc>
      </w:tr>
      <w:tr>
        <w:trPr>
          <w:trHeight w:val="279"/>
        </w:trPr>
        <w:tc>
          <w:tcPr>
            <w:tcW w:w="1360" w:type="dxa"/>
            <w:vAlign w:val="bottom"/>
            <w:tcBorders>
              <w:left w:val="single" w:sz="8" w:color="auto"/>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u w:val="single" w:color="auto"/>
                <w:color w:val="auto"/>
                <w:w w:val="99"/>
              </w:rPr>
              <w:t>Red social</w:t>
            </w:r>
          </w:p>
        </w:tc>
        <w:tc>
          <w:tcPr>
            <w:tcW w:w="440" w:type="dxa"/>
            <w:vAlign w:val="bottom"/>
            <w:tcBorders>
              <w:right w:val="single" w:sz="8" w:color="auto"/>
            </w:tcBorders>
          </w:tcPr>
          <w:p>
            <w:pPr>
              <w:spacing w:after="0"/>
              <w:rPr>
                <w:sz w:val="24"/>
                <w:szCs w:val="24"/>
                <w:color w:val="auto"/>
              </w:rPr>
            </w:pPr>
          </w:p>
        </w:tc>
        <w:tc>
          <w:tcPr>
            <w:tcW w:w="134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240" w:type="dxa"/>
            <w:vAlign w:val="bottom"/>
          </w:tcPr>
          <w:p>
            <w:pPr>
              <w:spacing w:after="0"/>
              <w:rPr>
                <w:sz w:val="24"/>
                <w:szCs w:val="24"/>
                <w:color w:val="auto"/>
              </w:rPr>
            </w:pPr>
          </w:p>
        </w:tc>
        <w:tc>
          <w:tcPr>
            <w:tcW w:w="940" w:type="dxa"/>
            <w:vAlign w:val="bottom"/>
            <w:tcBorders>
              <w:right w:val="single" w:sz="8" w:color="auto"/>
            </w:tcBorders>
          </w:tcPr>
          <w:p>
            <w:pPr>
              <w:spacing w:after="0"/>
              <w:rPr>
                <w:sz w:val="24"/>
                <w:szCs w:val="24"/>
                <w:color w:val="auto"/>
              </w:rPr>
            </w:pPr>
          </w:p>
        </w:tc>
        <w:tc>
          <w:tcPr>
            <w:tcW w:w="440" w:type="dxa"/>
            <w:vAlign w:val="bottom"/>
          </w:tcPr>
          <w:p>
            <w:pPr>
              <w:spacing w:after="0"/>
              <w:rPr>
                <w:sz w:val="24"/>
                <w:szCs w:val="24"/>
                <w:color w:val="auto"/>
              </w:rPr>
            </w:pPr>
          </w:p>
        </w:tc>
        <w:tc>
          <w:tcPr>
            <w:tcW w:w="160" w:type="dxa"/>
            <w:vAlign w:val="bottom"/>
            <w:tcBorders>
              <w:right w:val="single" w:sz="8" w:color="auto"/>
            </w:tcBorders>
          </w:tcPr>
          <w:p>
            <w:pPr>
              <w:spacing w:after="0"/>
              <w:rPr>
                <w:sz w:val="24"/>
                <w:szCs w:val="24"/>
                <w:color w:val="auto"/>
              </w:rPr>
            </w:pPr>
          </w:p>
        </w:tc>
        <w:tc>
          <w:tcPr>
            <w:tcW w:w="132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u w:val="single" w:color="auto"/>
                <w:color w:val="auto"/>
                <w:w w:val="97"/>
              </w:rPr>
              <w:t>Socio-</w:t>
            </w:r>
          </w:p>
        </w:tc>
      </w:tr>
      <w:tr>
        <w:trPr>
          <w:trHeight w:val="216"/>
        </w:trPr>
        <w:tc>
          <w:tcPr>
            <w:tcW w:w="1360" w:type="dxa"/>
            <w:vAlign w:val="bottom"/>
            <w:tcBorders>
              <w:left w:val="single" w:sz="8" w:color="auto"/>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Amigos</w:t>
            </w:r>
          </w:p>
        </w:tc>
        <w:tc>
          <w:tcPr>
            <w:tcW w:w="440" w:type="dxa"/>
            <w:vAlign w:val="bottom"/>
            <w:tcBorders>
              <w:right w:val="single" w:sz="8" w:color="auto"/>
            </w:tcBorders>
          </w:tcPr>
          <w:p>
            <w:pPr>
              <w:spacing w:after="0"/>
              <w:rPr>
                <w:sz w:val="18"/>
                <w:szCs w:val="18"/>
                <w:color w:val="auto"/>
              </w:rPr>
            </w:pPr>
          </w:p>
        </w:tc>
        <w:tc>
          <w:tcPr>
            <w:tcW w:w="1340" w:type="dxa"/>
            <w:vAlign w:val="bottom"/>
          </w:tcPr>
          <w:p>
            <w:pPr>
              <w:spacing w:after="0"/>
              <w:rPr>
                <w:sz w:val="18"/>
                <w:szCs w:val="18"/>
                <w:color w:val="auto"/>
              </w:rPr>
            </w:pPr>
          </w:p>
        </w:tc>
        <w:tc>
          <w:tcPr>
            <w:tcW w:w="140" w:type="dxa"/>
            <w:vAlign w:val="bottom"/>
          </w:tcPr>
          <w:p>
            <w:pPr>
              <w:spacing w:after="0"/>
              <w:rPr>
                <w:sz w:val="18"/>
                <w:szCs w:val="18"/>
                <w:color w:val="auto"/>
              </w:rPr>
            </w:pPr>
          </w:p>
        </w:tc>
        <w:tc>
          <w:tcPr>
            <w:tcW w:w="240" w:type="dxa"/>
            <w:vAlign w:val="bottom"/>
          </w:tcPr>
          <w:p>
            <w:pPr>
              <w:spacing w:after="0"/>
              <w:rPr>
                <w:sz w:val="18"/>
                <w:szCs w:val="18"/>
                <w:color w:val="auto"/>
              </w:rPr>
            </w:pPr>
          </w:p>
        </w:tc>
        <w:tc>
          <w:tcPr>
            <w:tcW w:w="940" w:type="dxa"/>
            <w:vAlign w:val="bottom"/>
            <w:tcBorders>
              <w:right w:val="single" w:sz="8" w:color="auto"/>
            </w:tcBorders>
          </w:tcPr>
          <w:p>
            <w:pPr>
              <w:spacing w:after="0"/>
              <w:rPr>
                <w:sz w:val="18"/>
                <w:szCs w:val="18"/>
                <w:color w:val="auto"/>
              </w:rPr>
            </w:pPr>
          </w:p>
        </w:tc>
        <w:tc>
          <w:tcPr>
            <w:tcW w:w="440" w:type="dxa"/>
            <w:vAlign w:val="bottom"/>
          </w:tcPr>
          <w:p>
            <w:pPr>
              <w:spacing w:after="0"/>
              <w:rPr>
                <w:sz w:val="18"/>
                <w:szCs w:val="18"/>
                <w:color w:val="auto"/>
              </w:rPr>
            </w:pPr>
          </w:p>
        </w:tc>
        <w:tc>
          <w:tcPr>
            <w:tcW w:w="160" w:type="dxa"/>
            <w:vAlign w:val="bottom"/>
            <w:tcBorders>
              <w:right w:val="single" w:sz="8" w:color="auto"/>
            </w:tcBorders>
          </w:tcPr>
          <w:p>
            <w:pPr>
              <w:spacing w:after="0"/>
              <w:rPr>
                <w:sz w:val="18"/>
                <w:szCs w:val="18"/>
                <w:color w:val="auto"/>
              </w:rPr>
            </w:pPr>
          </w:p>
        </w:tc>
        <w:tc>
          <w:tcPr>
            <w:tcW w:w="132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u w:val="single" w:color="auto"/>
                <w:color w:val="auto"/>
                <w:w w:val="99"/>
              </w:rPr>
              <w:t>económicas</w:t>
            </w:r>
          </w:p>
        </w:tc>
      </w:tr>
      <w:tr>
        <w:trPr>
          <w:trHeight w:val="216"/>
        </w:trPr>
        <w:tc>
          <w:tcPr>
            <w:tcW w:w="1360" w:type="dxa"/>
            <w:vAlign w:val="bottom"/>
            <w:tcBorders>
              <w:left w:val="single" w:sz="8" w:color="auto"/>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Vecinos</w:t>
            </w:r>
          </w:p>
        </w:tc>
        <w:tc>
          <w:tcPr>
            <w:tcW w:w="440" w:type="dxa"/>
            <w:vAlign w:val="bottom"/>
            <w:tcBorders>
              <w:right w:val="single" w:sz="8" w:color="auto"/>
            </w:tcBorders>
          </w:tcPr>
          <w:p>
            <w:pPr>
              <w:spacing w:after="0"/>
              <w:rPr>
                <w:sz w:val="18"/>
                <w:szCs w:val="18"/>
                <w:color w:val="auto"/>
              </w:rPr>
            </w:pPr>
          </w:p>
        </w:tc>
        <w:tc>
          <w:tcPr>
            <w:tcW w:w="1340" w:type="dxa"/>
            <w:vAlign w:val="bottom"/>
          </w:tcPr>
          <w:p>
            <w:pPr>
              <w:spacing w:after="0"/>
              <w:rPr>
                <w:sz w:val="18"/>
                <w:szCs w:val="18"/>
                <w:color w:val="auto"/>
              </w:rPr>
            </w:pPr>
          </w:p>
        </w:tc>
        <w:tc>
          <w:tcPr>
            <w:tcW w:w="140" w:type="dxa"/>
            <w:vAlign w:val="bottom"/>
          </w:tcPr>
          <w:p>
            <w:pPr>
              <w:spacing w:after="0"/>
              <w:rPr>
                <w:sz w:val="18"/>
                <w:szCs w:val="18"/>
                <w:color w:val="auto"/>
              </w:rPr>
            </w:pPr>
          </w:p>
        </w:tc>
        <w:tc>
          <w:tcPr>
            <w:tcW w:w="240" w:type="dxa"/>
            <w:vAlign w:val="bottom"/>
          </w:tcPr>
          <w:p>
            <w:pPr>
              <w:spacing w:after="0"/>
              <w:rPr>
                <w:sz w:val="18"/>
                <w:szCs w:val="18"/>
                <w:color w:val="auto"/>
              </w:rPr>
            </w:pPr>
          </w:p>
        </w:tc>
        <w:tc>
          <w:tcPr>
            <w:tcW w:w="940" w:type="dxa"/>
            <w:vAlign w:val="bottom"/>
            <w:tcBorders>
              <w:right w:val="single" w:sz="8" w:color="auto"/>
            </w:tcBorders>
          </w:tcPr>
          <w:p>
            <w:pPr>
              <w:spacing w:after="0"/>
              <w:rPr>
                <w:sz w:val="18"/>
                <w:szCs w:val="18"/>
                <w:color w:val="auto"/>
              </w:rPr>
            </w:pPr>
          </w:p>
        </w:tc>
        <w:tc>
          <w:tcPr>
            <w:tcW w:w="440" w:type="dxa"/>
            <w:vAlign w:val="bottom"/>
          </w:tcPr>
          <w:p>
            <w:pPr>
              <w:spacing w:after="0"/>
              <w:rPr>
                <w:sz w:val="18"/>
                <w:szCs w:val="18"/>
                <w:color w:val="auto"/>
              </w:rPr>
            </w:pPr>
          </w:p>
        </w:tc>
        <w:tc>
          <w:tcPr>
            <w:tcW w:w="160" w:type="dxa"/>
            <w:vAlign w:val="bottom"/>
            <w:tcBorders>
              <w:right w:val="single" w:sz="8" w:color="auto"/>
            </w:tcBorders>
          </w:tcPr>
          <w:p>
            <w:pPr>
              <w:spacing w:after="0"/>
              <w:rPr>
                <w:sz w:val="18"/>
                <w:szCs w:val="18"/>
                <w:color w:val="auto"/>
              </w:rPr>
            </w:pPr>
          </w:p>
        </w:tc>
        <w:tc>
          <w:tcPr>
            <w:tcW w:w="132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Ingresos</w:t>
            </w:r>
          </w:p>
        </w:tc>
      </w:tr>
      <w:tr>
        <w:trPr>
          <w:trHeight w:val="201"/>
        </w:trPr>
        <w:tc>
          <w:tcPr>
            <w:tcW w:w="1360" w:type="dxa"/>
            <w:vAlign w:val="bottom"/>
            <w:tcBorders>
              <w:left w:val="single" w:sz="8" w:color="auto"/>
              <w:right w:val="single" w:sz="8" w:color="auto"/>
            </w:tcBorders>
          </w:tcPr>
          <w:p>
            <w:pPr>
              <w:jc w:val="center"/>
              <w:spacing w:after="0" w:line="201" w:lineRule="exact"/>
              <w:rPr>
                <w:sz w:val="20"/>
                <w:szCs w:val="20"/>
                <w:color w:val="auto"/>
              </w:rPr>
            </w:pPr>
            <w:r>
              <w:rPr>
                <w:rFonts w:ascii="Palatino Linotype" w:cs="Palatino Linotype" w:eastAsia="Palatino Linotype" w:hAnsi="Palatino Linotype"/>
                <w:sz w:val="16"/>
                <w:szCs w:val="16"/>
                <w:color w:val="auto"/>
                <w:w w:val="99"/>
              </w:rPr>
              <w:t>Instituciones</w:t>
            </w:r>
          </w:p>
        </w:tc>
        <w:tc>
          <w:tcPr>
            <w:tcW w:w="440" w:type="dxa"/>
            <w:vAlign w:val="bottom"/>
            <w:tcBorders>
              <w:right w:val="single" w:sz="8" w:color="auto"/>
            </w:tcBorders>
          </w:tcPr>
          <w:p>
            <w:pPr>
              <w:spacing w:after="0"/>
              <w:rPr>
                <w:sz w:val="17"/>
                <w:szCs w:val="17"/>
                <w:color w:val="auto"/>
              </w:rPr>
            </w:pPr>
          </w:p>
        </w:tc>
        <w:tc>
          <w:tcPr>
            <w:tcW w:w="1720" w:type="dxa"/>
            <w:vAlign w:val="bottom"/>
            <w:gridSpan w:val="3"/>
          </w:tcPr>
          <w:p>
            <w:pPr>
              <w:ind w:left="1020"/>
              <w:spacing w:after="0" w:line="182" w:lineRule="exact"/>
              <w:rPr>
                <w:sz w:val="20"/>
                <w:szCs w:val="20"/>
                <w:color w:val="auto"/>
              </w:rPr>
            </w:pPr>
            <w:r>
              <w:rPr>
                <w:rFonts w:ascii="Palatino Linotype" w:cs="Palatino Linotype" w:eastAsia="Palatino Linotype" w:hAnsi="Palatino Linotype"/>
                <w:sz w:val="16"/>
                <w:szCs w:val="16"/>
                <w:color w:val="auto"/>
              </w:rPr>
              <w:t>Familia-</w:t>
            </w:r>
          </w:p>
        </w:tc>
        <w:tc>
          <w:tcPr>
            <w:tcW w:w="940" w:type="dxa"/>
            <w:vAlign w:val="bottom"/>
            <w:tcBorders>
              <w:right w:val="single" w:sz="8" w:color="auto"/>
            </w:tcBorders>
          </w:tcPr>
          <w:p>
            <w:pPr>
              <w:spacing w:after="0"/>
              <w:rPr>
                <w:sz w:val="17"/>
                <w:szCs w:val="17"/>
                <w:color w:val="auto"/>
              </w:rPr>
            </w:pPr>
          </w:p>
        </w:tc>
        <w:tc>
          <w:tcPr>
            <w:tcW w:w="440" w:type="dxa"/>
            <w:vAlign w:val="bottom"/>
          </w:tcPr>
          <w:p>
            <w:pPr>
              <w:spacing w:after="0"/>
              <w:rPr>
                <w:sz w:val="17"/>
                <w:szCs w:val="17"/>
                <w:color w:val="auto"/>
              </w:rPr>
            </w:pPr>
          </w:p>
        </w:tc>
        <w:tc>
          <w:tcPr>
            <w:tcW w:w="160" w:type="dxa"/>
            <w:vAlign w:val="bottom"/>
            <w:tcBorders>
              <w:right w:val="single" w:sz="8" w:color="auto"/>
            </w:tcBorders>
          </w:tcPr>
          <w:p>
            <w:pPr>
              <w:spacing w:after="0"/>
              <w:rPr>
                <w:sz w:val="17"/>
                <w:szCs w:val="17"/>
                <w:color w:val="auto"/>
              </w:rPr>
            </w:pPr>
          </w:p>
        </w:tc>
        <w:tc>
          <w:tcPr>
            <w:tcW w:w="1320" w:type="dxa"/>
            <w:vAlign w:val="bottom"/>
            <w:tcBorders>
              <w:right w:val="single" w:sz="8" w:color="auto"/>
            </w:tcBorders>
          </w:tcPr>
          <w:p>
            <w:pPr>
              <w:jc w:val="center"/>
              <w:spacing w:after="0" w:line="201" w:lineRule="exact"/>
              <w:rPr>
                <w:sz w:val="20"/>
                <w:szCs w:val="20"/>
                <w:color w:val="auto"/>
              </w:rPr>
            </w:pPr>
            <w:r>
              <w:rPr>
                <w:rFonts w:ascii="Palatino Linotype" w:cs="Palatino Linotype" w:eastAsia="Palatino Linotype" w:hAnsi="Palatino Linotype"/>
                <w:sz w:val="16"/>
                <w:szCs w:val="16"/>
                <w:color w:val="auto"/>
                <w:w w:val="99"/>
              </w:rPr>
              <w:t>Educación</w:t>
            </w:r>
          </w:p>
        </w:tc>
      </w:tr>
      <w:tr>
        <w:trPr>
          <w:trHeight w:val="231"/>
        </w:trPr>
        <w:tc>
          <w:tcPr>
            <w:tcW w:w="1360" w:type="dxa"/>
            <w:vAlign w:val="bottom"/>
            <w:tcBorders>
              <w:left w:val="single" w:sz="8" w:color="auto"/>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Otros</w:t>
            </w:r>
          </w:p>
        </w:tc>
        <w:tc>
          <w:tcPr>
            <w:tcW w:w="440" w:type="dxa"/>
            <w:vAlign w:val="bottom"/>
          </w:tcPr>
          <w:p>
            <w:pPr>
              <w:spacing w:after="0"/>
              <w:rPr>
                <w:sz w:val="20"/>
                <w:szCs w:val="20"/>
                <w:color w:val="auto"/>
              </w:rPr>
            </w:pPr>
          </w:p>
        </w:tc>
        <w:tc>
          <w:tcPr>
            <w:tcW w:w="1720" w:type="dxa"/>
            <w:vAlign w:val="bottom"/>
            <w:gridSpan w:val="3"/>
          </w:tcPr>
          <w:p>
            <w:pPr>
              <w:ind w:left="1040"/>
              <w:spacing w:after="0" w:line="197" w:lineRule="exact"/>
              <w:rPr>
                <w:sz w:val="20"/>
                <w:szCs w:val="20"/>
                <w:color w:val="auto"/>
              </w:rPr>
            </w:pPr>
            <w:r>
              <w:rPr>
                <w:rFonts w:ascii="Palatino Linotype" w:cs="Palatino Linotype" w:eastAsia="Palatino Linotype" w:hAnsi="Palatino Linotype"/>
                <w:sz w:val="16"/>
                <w:szCs w:val="16"/>
                <w:color w:val="auto"/>
              </w:rPr>
              <w:t>entorno</w:t>
            </w:r>
          </w:p>
        </w:tc>
        <w:tc>
          <w:tcPr>
            <w:tcW w:w="940" w:type="dxa"/>
            <w:vAlign w:val="bottom"/>
          </w:tcPr>
          <w:p>
            <w:pPr>
              <w:spacing w:after="0"/>
              <w:rPr>
                <w:sz w:val="20"/>
                <w:szCs w:val="20"/>
                <w:color w:val="auto"/>
              </w:rPr>
            </w:pPr>
          </w:p>
        </w:tc>
        <w:tc>
          <w:tcPr>
            <w:tcW w:w="440" w:type="dxa"/>
            <w:vAlign w:val="bottom"/>
          </w:tcPr>
          <w:p>
            <w:pPr>
              <w:spacing w:after="0"/>
              <w:rPr>
                <w:sz w:val="20"/>
                <w:szCs w:val="20"/>
                <w:color w:val="auto"/>
              </w:rPr>
            </w:pPr>
          </w:p>
        </w:tc>
        <w:tc>
          <w:tcPr>
            <w:tcW w:w="160" w:type="dxa"/>
            <w:vAlign w:val="bottom"/>
            <w:tcBorders>
              <w:right w:val="single" w:sz="8" w:color="auto"/>
            </w:tcBorders>
          </w:tcPr>
          <w:p>
            <w:pPr>
              <w:spacing w:after="0"/>
              <w:rPr>
                <w:sz w:val="20"/>
                <w:szCs w:val="20"/>
                <w:color w:val="auto"/>
              </w:rPr>
            </w:pPr>
          </w:p>
        </w:tc>
        <w:tc>
          <w:tcPr>
            <w:tcW w:w="1320" w:type="dxa"/>
            <w:vAlign w:val="bottom"/>
            <w:tcBorders>
              <w:right w:val="single" w:sz="8" w:color="auto"/>
            </w:tcBorders>
          </w:tcPr>
          <w:p>
            <w:pPr>
              <w:jc w:val="center"/>
              <w:spacing w:after="0"/>
              <w:rPr>
                <w:sz w:val="20"/>
                <w:szCs w:val="20"/>
                <w:color w:val="auto"/>
              </w:rPr>
            </w:pPr>
            <w:r>
              <w:rPr>
                <w:rFonts w:ascii="Palatino Linotype" w:cs="Palatino Linotype" w:eastAsia="Palatino Linotype" w:hAnsi="Palatino Linotype"/>
                <w:sz w:val="16"/>
                <w:szCs w:val="16"/>
                <w:color w:val="auto"/>
              </w:rPr>
              <w:t>Ocupación</w:t>
            </w:r>
          </w:p>
        </w:tc>
      </w:tr>
      <w:tr>
        <w:trPr>
          <w:trHeight w:val="157"/>
        </w:trPr>
        <w:tc>
          <w:tcPr>
            <w:tcW w:w="1360" w:type="dxa"/>
            <w:vAlign w:val="bottom"/>
            <w:tcBorders>
              <w:left w:val="single" w:sz="8" w:color="auto"/>
              <w:bottom w:val="single" w:sz="8" w:color="auto"/>
              <w:right w:val="single" w:sz="8" w:color="auto"/>
            </w:tcBorders>
          </w:tcPr>
          <w:p>
            <w:pPr>
              <w:spacing w:after="0"/>
              <w:rPr>
                <w:sz w:val="13"/>
                <w:szCs w:val="13"/>
                <w:color w:val="auto"/>
              </w:rPr>
            </w:pPr>
          </w:p>
        </w:tc>
        <w:tc>
          <w:tcPr>
            <w:tcW w:w="440" w:type="dxa"/>
            <w:vAlign w:val="bottom"/>
          </w:tcPr>
          <w:p>
            <w:pPr>
              <w:spacing w:after="0"/>
              <w:rPr>
                <w:sz w:val="13"/>
                <w:szCs w:val="13"/>
                <w:color w:val="auto"/>
              </w:rPr>
            </w:pPr>
          </w:p>
        </w:tc>
        <w:tc>
          <w:tcPr>
            <w:tcW w:w="1340" w:type="dxa"/>
            <w:vAlign w:val="bottom"/>
          </w:tcPr>
          <w:p>
            <w:pPr>
              <w:spacing w:after="0"/>
              <w:rPr>
                <w:sz w:val="13"/>
                <w:szCs w:val="13"/>
                <w:color w:val="auto"/>
              </w:rPr>
            </w:pPr>
          </w:p>
        </w:tc>
        <w:tc>
          <w:tcPr>
            <w:tcW w:w="140" w:type="dxa"/>
            <w:vAlign w:val="bottom"/>
          </w:tcPr>
          <w:p>
            <w:pPr>
              <w:spacing w:after="0"/>
              <w:rPr>
                <w:sz w:val="13"/>
                <w:szCs w:val="13"/>
                <w:color w:val="auto"/>
              </w:rPr>
            </w:pPr>
          </w:p>
        </w:tc>
        <w:tc>
          <w:tcPr>
            <w:tcW w:w="240" w:type="dxa"/>
            <w:vAlign w:val="bottom"/>
          </w:tcPr>
          <w:p>
            <w:pPr>
              <w:spacing w:after="0"/>
              <w:rPr>
                <w:sz w:val="13"/>
                <w:szCs w:val="13"/>
                <w:color w:val="auto"/>
              </w:rPr>
            </w:pPr>
          </w:p>
        </w:tc>
        <w:tc>
          <w:tcPr>
            <w:tcW w:w="940" w:type="dxa"/>
            <w:vAlign w:val="bottom"/>
          </w:tcPr>
          <w:p>
            <w:pPr>
              <w:spacing w:after="0"/>
              <w:rPr>
                <w:sz w:val="13"/>
                <w:szCs w:val="13"/>
                <w:color w:val="auto"/>
              </w:rPr>
            </w:pPr>
          </w:p>
        </w:tc>
        <w:tc>
          <w:tcPr>
            <w:tcW w:w="440" w:type="dxa"/>
            <w:vAlign w:val="bottom"/>
          </w:tcPr>
          <w:p>
            <w:pPr>
              <w:spacing w:after="0"/>
              <w:rPr>
                <w:sz w:val="13"/>
                <w:szCs w:val="13"/>
                <w:color w:val="auto"/>
              </w:rPr>
            </w:pPr>
          </w:p>
        </w:tc>
        <w:tc>
          <w:tcPr>
            <w:tcW w:w="160" w:type="dxa"/>
            <w:vAlign w:val="bottom"/>
            <w:tcBorders>
              <w:right w:val="single" w:sz="8" w:color="auto"/>
            </w:tcBorders>
          </w:tcPr>
          <w:p>
            <w:pPr>
              <w:spacing w:after="0"/>
              <w:rPr>
                <w:sz w:val="13"/>
                <w:szCs w:val="13"/>
                <w:color w:val="auto"/>
              </w:rPr>
            </w:pPr>
          </w:p>
        </w:tc>
        <w:tc>
          <w:tcPr>
            <w:tcW w:w="1320" w:type="dxa"/>
            <w:vAlign w:val="bottom"/>
            <w:tcBorders>
              <w:bottom w:val="single" w:sz="8" w:color="auto"/>
              <w:right w:val="single" w:sz="8" w:color="auto"/>
            </w:tcBorders>
          </w:tcPr>
          <w:p>
            <w:pPr>
              <w:spacing w:after="0"/>
              <w:rPr>
                <w:sz w:val="13"/>
                <w:szCs w:val="13"/>
                <w:color w:val="auto"/>
              </w:rPr>
            </w:pPr>
          </w:p>
        </w:tc>
      </w:tr>
    </w:tbl>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1142365</wp:posOffset>
            </wp:positionH>
            <wp:positionV relativeFrom="paragraph">
              <wp:posOffset>-526415</wp:posOffset>
            </wp:positionV>
            <wp:extent cx="3020695" cy="36633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extLst>
                    </a:blip>
                    <a:srcRect/>
                    <a:stretch>
                      <a:fillRect/>
                    </a:stretch>
                  </pic:blipFill>
                  <pic:spPr bwMode="auto">
                    <a:xfrm>
                      <a:off x="0" y="0"/>
                      <a:ext cx="3020695" cy="3663315"/>
                    </a:xfrm>
                    <a:prstGeom prst="rect">
                      <a:avLst/>
                    </a:prstGeom>
                    <a:noFill/>
                  </pic:spPr>
                </pic:pic>
              </a:graphicData>
            </a:graphic>
          </wp:anchor>
        </w:drawing>
      </w:r>
    </w:p>
    <w:p>
      <w:pPr>
        <w:spacing w:after="0" w:line="305" w:lineRule="exact"/>
        <w:rPr>
          <w:sz w:val="20"/>
          <w:szCs w:val="20"/>
          <w:color w:val="auto"/>
        </w:rPr>
      </w:pPr>
    </w:p>
    <w:p>
      <w:pPr>
        <w:ind w:left="3340"/>
        <w:spacing w:after="0"/>
        <w:rPr>
          <w:sz w:val="20"/>
          <w:szCs w:val="20"/>
          <w:color w:val="auto"/>
        </w:rPr>
      </w:pPr>
      <w:r>
        <w:rPr>
          <w:rFonts w:ascii="Palatino Linotype" w:cs="Palatino Linotype" w:eastAsia="Palatino Linotype" w:hAnsi="Palatino Linotype"/>
          <w:sz w:val="16"/>
          <w:szCs w:val="16"/>
          <w:color w:val="auto"/>
        </w:rPr>
        <w:t>Características del niño:</w:t>
      </w:r>
    </w:p>
    <w:p>
      <w:pPr>
        <w:spacing w:after="0" w:line="4" w:lineRule="exact"/>
        <w:rPr>
          <w:sz w:val="20"/>
          <w:szCs w:val="20"/>
          <w:color w:val="auto"/>
        </w:rPr>
      </w:pPr>
    </w:p>
    <w:p>
      <w:pPr>
        <w:ind w:left="3360"/>
        <w:spacing w:after="0"/>
        <w:rPr>
          <w:sz w:val="20"/>
          <w:szCs w:val="20"/>
          <w:color w:val="auto"/>
        </w:rPr>
      </w:pPr>
      <w:r>
        <w:rPr>
          <w:rFonts w:ascii="Palatino Linotype" w:cs="Palatino Linotype" w:eastAsia="Palatino Linotype" w:hAnsi="Palatino Linotype"/>
          <w:sz w:val="15"/>
          <w:szCs w:val="15"/>
          <w:color w:val="auto"/>
        </w:rPr>
        <w:t>biológicas – psicológicas</w:t>
      </w:r>
    </w:p>
    <w:p>
      <w:pPr>
        <w:sectPr>
          <w:pgSz w:w="11900" w:h="16840" w:orient="portrait"/>
          <w:cols w:equalWidth="0" w:num="1">
            <w:col w:w="8540"/>
          </w:cols>
          <w:pgMar w:left="1700" w:top="1440" w:right="1660"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6" w:lineRule="exact"/>
        <w:rPr>
          <w:sz w:val="20"/>
          <w:szCs w:val="20"/>
          <w:color w:val="auto"/>
        </w:rPr>
      </w:pPr>
    </w:p>
    <w:p>
      <w:pPr>
        <w:spacing w:after="0" w:line="239" w:lineRule="auto"/>
        <w:rPr>
          <w:sz w:val="20"/>
          <w:szCs w:val="20"/>
          <w:color w:val="auto"/>
        </w:rPr>
      </w:pPr>
      <w:r>
        <w:rPr>
          <w:rFonts w:ascii="Palatino Linotype" w:cs="Palatino Linotype" w:eastAsia="Palatino Linotype" w:hAnsi="Palatino Linotype"/>
          <w:sz w:val="15"/>
          <w:szCs w:val="15"/>
          <w:color w:val="auto"/>
        </w:rPr>
        <w:t>Desarrollo del niño</w:t>
      </w:r>
    </w:p>
    <w:p>
      <w:pPr>
        <w:spacing w:after="0" w:line="243" w:lineRule="exact"/>
        <w:rPr>
          <w:sz w:val="20"/>
          <w:szCs w:val="20"/>
          <w:color w:val="auto"/>
        </w:rPr>
      </w:pPr>
    </w:p>
    <w:p>
      <w:pPr>
        <w:ind w:left="480"/>
        <w:spacing w:after="0"/>
        <w:rPr>
          <w:sz w:val="20"/>
          <w:szCs w:val="20"/>
          <w:color w:val="auto"/>
        </w:rPr>
      </w:pPr>
      <w:r>
        <w:rPr>
          <w:rFonts w:ascii="Palatino Linotype" w:cs="Palatino Linotype" w:eastAsia="Palatino Linotype" w:hAnsi="Palatino Linotype"/>
          <w:sz w:val="16"/>
          <w:szCs w:val="16"/>
          <w:color w:val="auto"/>
        </w:rPr>
        <w:t>Físico</w:t>
      </w:r>
    </w:p>
    <w:p>
      <w:pPr>
        <w:ind w:left="480"/>
        <w:spacing w:after="0"/>
        <w:rPr>
          <w:sz w:val="20"/>
          <w:szCs w:val="20"/>
          <w:color w:val="auto"/>
        </w:rPr>
      </w:pPr>
      <w:r>
        <w:rPr>
          <w:rFonts w:ascii="Palatino Linotype" w:cs="Palatino Linotype" w:eastAsia="Palatino Linotype" w:hAnsi="Palatino Linotype"/>
          <w:sz w:val="16"/>
          <w:szCs w:val="16"/>
          <w:color w:val="auto"/>
        </w:rPr>
        <w:t>Social</w:t>
      </w:r>
    </w:p>
    <w:p>
      <w:pPr>
        <w:spacing w:after="0" w:line="4" w:lineRule="exact"/>
        <w:rPr>
          <w:sz w:val="20"/>
          <w:szCs w:val="20"/>
          <w:color w:val="auto"/>
        </w:rPr>
      </w:pPr>
    </w:p>
    <w:p>
      <w:pPr>
        <w:ind w:left="360"/>
        <w:spacing w:after="0" w:line="239" w:lineRule="auto"/>
        <w:rPr>
          <w:sz w:val="20"/>
          <w:szCs w:val="20"/>
          <w:color w:val="auto"/>
        </w:rPr>
      </w:pPr>
      <w:r>
        <w:rPr>
          <w:rFonts w:ascii="Palatino Linotype" w:cs="Palatino Linotype" w:eastAsia="Palatino Linotype" w:hAnsi="Palatino Linotype"/>
          <w:sz w:val="15"/>
          <w:szCs w:val="15"/>
          <w:color w:val="auto"/>
        </w:rPr>
        <w:t>Cognitivo</w:t>
      </w:r>
    </w:p>
    <w:p>
      <w:pPr>
        <w:spacing w:after="0" w:line="200" w:lineRule="exact"/>
        <w:rPr>
          <w:sz w:val="20"/>
          <w:szCs w:val="20"/>
          <w:color w:val="auto"/>
        </w:rPr>
      </w:pPr>
      <w:r>
        <w:rPr>
          <w:sz w:val="20"/>
          <w:szCs w:val="20"/>
          <w:color w:val="auto"/>
        </w:rPr>
        <w:br w:type="column"/>
      </w:r>
    </w:p>
    <w:p>
      <w:pPr>
        <w:spacing w:after="0" w:line="393" w:lineRule="exact"/>
        <w:rPr>
          <w:sz w:val="20"/>
          <w:szCs w:val="20"/>
          <w:color w:val="auto"/>
        </w:rPr>
      </w:pPr>
    </w:p>
    <w:p>
      <w:pPr>
        <w:ind w:left="80"/>
        <w:spacing w:after="0" w:line="239" w:lineRule="auto"/>
        <w:rPr>
          <w:sz w:val="20"/>
          <w:szCs w:val="20"/>
          <w:color w:val="auto"/>
        </w:rPr>
      </w:pPr>
      <w:r>
        <w:rPr>
          <w:rFonts w:ascii="Palatino Linotype" w:cs="Palatino Linotype" w:eastAsia="Palatino Linotype" w:hAnsi="Palatino Linotype"/>
          <w:sz w:val="16"/>
          <w:szCs w:val="16"/>
          <w:color w:val="auto"/>
        </w:rPr>
        <w:t>Entorno social del niño</w:t>
      </w:r>
    </w:p>
    <w:p>
      <w:pPr>
        <w:spacing w:after="0" w:line="299" w:lineRule="exact"/>
        <w:rPr>
          <w:sz w:val="20"/>
          <w:szCs w:val="20"/>
          <w:color w:val="auto"/>
        </w:rPr>
      </w:pPr>
    </w:p>
    <w:p>
      <w:pPr>
        <w:jc w:val="center"/>
        <w:spacing w:after="0" w:line="219" w:lineRule="auto"/>
        <w:rPr>
          <w:sz w:val="20"/>
          <w:szCs w:val="20"/>
          <w:color w:val="auto"/>
        </w:rPr>
      </w:pPr>
      <w:r>
        <w:rPr>
          <w:rFonts w:ascii="Palatino Linotype" w:cs="Palatino Linotype" w:eastAsia="Palatino Linotype" w:hAnsi="Palatino Linotype"/>
          <w:sz w:val="16"/>
          <w:szCs w:val="16"/>
          <w:color w:val="auto"/>
        </w:rPr>
        <w:t>Amigos e iguales Entorno educativo Medios de comunicación</w:t>
      </w:r>
    </w:p>
    <w:p>
      <w:pPr>
        <w:sectPr>
          <w:pgSz w:w="11900" w:h="16840" w:orient="portrait"/>
          <w:cols w:equalWidth="0" w:num="2">
            <w:col w:w="1360" w:space="1100"/>
            <w:col w:w="1780"/>
          </w:cols>
          <w:pgMar w:left="3860" w:top="1440" w:right="3800" w:bottom="0" w:gutter="0" w:footer="0" w:header="0"/>
          <w:type w:val="continuous"/>
        </w:sectPr>
      </w:pPr>
    </w:p>
    <w:p>
      <w:pPr>
        <w:spacing w:after="0" w:line="200" w:lineRule="exact"/>
        <w:rPr>
          <w:sz w:val="20"/>
          <w:szCs w:val="20"/>
          <w:color w:val="auto"/>
        </w:rPr>
      </w:pPr>
    </w:p>
    <w:p>
      <w:pPr>
        <w:spacing w:after="0" w:line="385" w:lineRule="exact"/>
        <w:rPr>
          <w:sz w:val="20"/>
          <w:szCs w:val="20"/>
          <w:color w:val="auto"/>
        </w:rPr>
      </w:pPr>
    </w:p>
    <w:p>
      <w:pPr>
        <w:ind w:left="2280"/>
        <w:spacing w:after="0"/>
        <w:rPr>
          <w:sz w:val="20"/>
          <w:szCs w:val="20"/>
          <w:color w:val="auto"/>
        </w:rPr>
      </w:pPr>
      <w:r>
        <w:rPr>
          <w:rFonts w:ascii="Palatino Linotype" w:cs="Palatino Linotype" w:eastAsia="Palatino Linotype" w:hAnsi="Palatino Linotype"/>
          <w:sz w:val="16"/>
          <w:szCs w:val="16"/>
          <w:color w:val="auto"/>
        </w:rPr>
        <w:t>Resultado</w:t>
      </w:r>
    </w:p>
    <w:p>
      <w:pPr>
        <w:spacing w:after="0" w:line="3" w:lineRule="exact"/>
        <w:rPr>
          <w:sz w:val="20"/>
          <w:szCs w:val="20"/>
          <w:color w:val="auto"/>
        </w:rPr>
      </w:pPr>
    </w:p>
    <w:p>
      <w:pPr>
        <w:ind w:left="1380"/>
        <w:spacing w:after="0"/>
        <w:rPr>
          <w:sz w:val="20"/>
          <w:szCs w:val="20"/>
          <w:color w:val="auto"/>
        </w:rPr>
      </w:pPr>
      <w:r>
        <w:rPr>
          <w:rFonts w:ascii="Palatino Linotype" w:cs="Palatino Linotype" w:eastAsia="Palatino Linotype" w:hAnsi="Palatino Linotype"/>
          <w:sz w:val="16"/>
          <w:szCs w:val="16"/>
          <w:color w:val="auto"/>
        </w:rPr>
        <w:t>Conductas y características del niño</w:t>
      </w:r>
    </w:p>
    <w:p>
      <w:pPr>
        <w:spacing w:after="0" w:line="180" w:lineRule="exact"/>
        <w:rPr>
          <w:sz w:val="20"/>
          <w:szCs w:val="20"/>
          <w:color w:val="auto"/>
        </w:rPr>
      </w:pPr>
    </w:p>
    <w:p>
      <w:pPr>
        <w:ind w:left="2180"/>
        <w:spacing w:after="0"/>
        <w:rPr>
          <w:sz w:val="20"/>
          <w:szCs w:val="20"/>
          <w:color w:val="auto"/>
        </w:rPr>
      </w:pPr>
      <w:r>
        <w:rPr>
          <w:rFonts w:ascii="Palatino Linotype" w:cs="Palatino Linotype" w:eastAsia="Palatino Linotype" w:hAnsi="Palatino Linotype"/>
          <w:sz w:val="16"/>
          <w:szCs w:val="16"/>
          <w:color w:val="auto"/>
        </w:rPr>
        <w:t>Emocionales</w:t>
      </w:r>
    </w:p>
    <w:p>
      <w:pPr>
        <w:ind w:left="2240"/>
        <w:spacing w:after="0"/>
        <w:rPr>
          <w:sz w:val="20"/>
          <w:szCs w:val="20"/>
          <w:color w:val="auto"/>
        </w:rPr>
      </w:pPr>
      <w:r>
        <w:rPr>
          <w:rFonts w:ascii="Palatino Linotype" w:cs="Palatino Linotype" w:eastAsia="Palatino Linotype" w:hAnsi="Palatino Linotype"/>
          <w:sz w:val="16"/>
          <w:szCs w:val="16"/>
          <w:color w:val="auto"/>
        </w:rPr>
        <w:t>Educativas</w:t>
      </w:r>
    </w:p>
    <w:p>
      <w:pPr>
        <w:ind w:left="1860"/>
        <w:spacing w:after="0"/>
        <w:rPr>
          <w:sz w:val="20"/>
          <w:szCs w:val="20"/>
          <w:color w:val="auto"/>
        </w:rPr>
      </w:pPr>
      <w:r>
        <w:rPr>
          <w:rFonts w:ascii="Palatino Linotype" w:cs="Palatino Linotype" w:eastAsia="Palatino Linotype" w:hAnsi="Palatino Linotype"/>
          <w:sz w:val="16"/>
          <w:szCs w:val="16"/>
          <w:color w:val="auto"/>
        </w:rPr>
        <w:t>Conductas Saludables</w:t>
      </w:r>
    </w:p>
    <w:p>
      <w:pPr>
        <w:ind w:left="2400"/>
        <w:spacing w:after="0" w:line="239" w:lineRule="auto"/>
        <w:rPr>
          <w:sz w:val="20"/>
          <w:szCs w:val="20"/>
          <w:color w:val="auto"/>
        </w:rPr>
      </w:pPr>
      <w:r>
        <w:rPr>
          <w:rFonts w:ascii="Palatino Linotype" w:cs="Palatino Linotype" w:eastAsia="Palatino Linotype" w:hAnsi="Palatino Linotype"/>
          <w:sz w:val="16"/>
          <w:szCs w:val="16"/>
          <w:color w:val="auto"/>
        </w:rPr>
        <w:t>Físicas</w:t>
      </w:r>
    </w:p>
    <w:p>
      <w:pPr>
        <w:spacing w:after="0" w:line="1" w:lineRule="exact"/>
        <w:rPr>
          <w:sz w:val="20"/>
          <w:szCs w:val="20"/>
          <w:color w:val="auto"/>
        </w:rPr>
      </w:pPr>
    </w:p>
    <w:p>
      <w:pPr>
        <w:ind w:left="2360"/>
        <w:spacing w:after="0"/>
        <w:rPr>
          <w:sz w:val="20"/>
          <w:szCs w:val="20"/>
          <w:color w:val="auto"/>
        </w:rPr>
      </w:pPr>
      <w:r>
        <w:rPr>
          <w:rFonts w:ascii="Palatino Linotype" w:cs="Palatino Linotype" w:eastAsia="Palatino Linotype" w:hAnsi="Palatino Linotype"/>
          <w:sz w:val="16"/>
          <w:szCs w:val="16"/>
          <w:color w:val="auto"/>
        </w:rPr>
        <w:t>Sociales</w:t>
      </w:r>
    </w:p>
    <w:p>
      <w:pPr>
        <w:spacing w:after="0" w:line="200" w:lineRule="exact"/>
        <w:rPr>
          <w:sz w:val="20"/>
          <w:szCs w:val="20"/>
          <w:color w:val="auto"/>
        </w:rPr>
      </w:pPr>
    </w:p>
    <w:p>
      <w:pPr>
        <w:spacing w:after="0" w:line="218" w:lineRule="exact"/>
        <w:rPr>
          <w:sz w:val="20"/>
          <w:szCs w:val="20"/>
          <w:color w:val="auto"/>
        </w:rPr>
      </w:pPr>
    </w:p>
    <w:p>
      <w:pPr>
        <w:spacing w:after="0"/>
        <w:rPr>
          <w:sz w:val="20"/>
          <w:szCs w:val="20"/>
          <w:color w:val="auto"/>
        </w:rPr>
      </w:pPr>
      <w:r>
        <w:rPr>
          <w:rFonts w:ascii="Arial" w:cs="Arial" w:eastAsia="Arial" w:hAnsi="Arial"/>
          <w:sz w:val="15"/>
          <w:szCs w:val="15"/>
          <w:b w:val="1"/>
          <w:bCs w:val="1"/>
          <w:color w:val="auto"/>
        </w:rPr>
        <w:t xml:space="preserve">Fig. 2.2. </w:t>
      </w:r>
      <w:r>
        <w:rPr>
          <w:rFonts w:ascii="Arial" w:cs="Arial" w:eastAsia="Arial" w:hAnsi="Arial"/>
          <w:sz w:val="15"/>
          <w:szCs w:val="15"/>
          <w:color w:val="auto"/>
        </w:rPr>
        <w:t>Importancia del contexto y el entorno afectivo en la salud infantil</w:t>
      </w:r>
      <w:r>
        <w:rPr>
          <w:rFonts w:ascii="Arial" w:cs="Arial" w:eastAsia="Arial" w:hAnsi="Arial"/>
          <w:sz w:val="19"/>
          <w:szCs w:val="19"/>
          <w:color w:val="auto"/>
          <w:vertAlign w:val="superscript"/>
        </w:rPr>
        <w:t>(39)</w:t>
      </w:r>
      <w:r>
        <w:rPr>
          <w:rFonts w:ascii="Arial" w:cs="Arial" w:eastAsia="Arial" w:hAnsi="Arial"/>
          <w:sz w:val="15"/>
          <w:szCs w:val="15"/>
          <w:color w:val="auto"/>
        </w:rPr>
        <w:t>.</w:t>
      </w:r>
    </w:p>
    <w:p>
      <w:pPr>
        <w:sectPr>
          <w:pgSz w:w="11900" w:h="16840" w:orient="portrait"/>
          <w:cols w:equalWidth="0" w:num="1">
            <w:col w:w="5420"/>
          </w:cols>
          <w:pgMar w:left="3240" w:top="1440" w:right="3240" w:bottom="0"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86" w:lineRule="exact"/>
        <w:rPr>
          <w:sz w:val="20"/>
          <w:szCs w:val="20"/>
          <w:color w:val="auto"/>
        </w:rPr>
      </w:pPr>
    </w:p>
    <w:tbl>
      <w:tblPr>
        <w:tblLayout w:type="fixed"/>
        <w:tblInd w:w="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6</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6000"/>
            </w:cols>
            <w:pgMar w:left="4200" w:top="1440" w:right="1700" w:bottom="0" w:gutter="0" w:footer="0" w:header="0"/>
            <w:type w:val="continuous"/>
          </w:sectPr>
        </w:pPr>
      </w:p>
      <w:bookmarkStart w:id="6" w:name="page7"/>
      <w:bookmarkEnd w:id="6"/>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ind w:left="3820"/>
        <w:spacing w:after="0"/>
        <w:rPr>
          <w:sz w:val="20"/>
          <w:szCs w:val="20"/>
          <w:color w:val="auto"/>
        </w:rPr>
      </w:pPr>
      <w:r>
        <w:rPr>
          <w:rFonts w:ascii="Arial" w:cs="Arial" w:eastAsia="Arial" w:hAnsi="Arial"/>
          <w:sz w:val="16"/>
          <w:szCs w:val="16"/>
          <w:b w:val="1"/>
          <w:bCs w:val="1"/>
          <w:color w:val="auto"/>
        </w:rPr>
        <w:t>Bibliografía</w:t>
      </w:r>
    </w:p>
    <w:p>
      <w:pPr>
        <w:spacing w:after="0" w:line="190" w:lineRule="exact"/>
        <w:rPr>
          <w:sz w:val="20"/>
          <w:szCs w:val="20"/>
          <w:color w:val="auto"/>
        </w:rPr>
      </w:pPr>
    </w:p>
    <w:p>
      <w:pPr>
        <w:jc w:val="both"/>
        <w:ind w:right="80" w:firstLine="2"/>
        <w:spacing w:after="0" w:line="242" w:lineRule="auto"/>
        <w:tabs>
          <w:tab w:leader="none" w:pos="182" w:val="left"/>
        </w:tabs>
        <w:numPr>
          <w:ilvl w:val="0"/>
          <w:numId w:val="2"/>
        </w:numPr>
        <w:rPr>
          <w:rFonts w:ascii="Arial" w:cs="Arial" w:eastAsia="Arial" w:hAnsi="Arial"/>
          <w:sz w:val="16"/>
          <w:szCs w:val="16"/>
          <w:color w:val="auto"/>
        </w:rPr>
      </w:pPr>
      <w:r>
        <w:rPr>
          <w:rFonts w:ascii="Arial" w:cs="Arial" w:eastAsia="Arial" w:hAnsi="Arial"/>
          <w:sz w:val="16"/>
          <w:szCs w:val="16"/>
          <w:color w:val="auto"/>
        </w:rPr>
        <w:t>Cockerham WC. New directions in health lifestyle research. International Journal of Public Health. [Editorial Material]. 2007;52(6):327-8.</w:t>
      </w:r>
    </w:p>
    <w:p>
      <w:pPr>
        <w:spacing w:after="0" w:line="358" w:lineRule="exact"/>
        <w:rPr>
          <w:rFonts w:ascii="Arial" w:cs="Arial" w:eastAsia="Arial" w:hAnsi="Arial"/>
          <w:sz w:val="16"/>
          <w:szCs w:val="16"/>
          <w:color w:val="auto"/>
        </w:rPr>
      </w:pPr>
    </w:p>
    <w:p>
      <w:pPr>
        <w:jc w:val="both"/>
        <w:ind w:right="80" w:firstLine="2"/>
        <w:spacing w:after="0" w:line="239" w:lineRule="auto"/>
        <w:tabs>
          <w:tab w:leader="none" w:pos="202" w:val="left"/>
        </w:tabs>
        <w:numPr>
          <w:ilvl w:val="0"/>
          <w:numId w:val="2"/>
        </w:numPr>
        <w:rPr>
          <w:rFonts w:ascii="Arial" w:cs="Arial" w:eastAsia="Arial" w:hAnsi="Arial"/>
          <w:sz w:val="16"/>
          <w:szCs w:val="16"/>
          <w:color w:val="auto"/>
        </w:rPr>
      </w:pPr>
      <w:r>
        <w:rPr>
          <w:rFonts w:ascii="Arial" w:cs="Arial" w:eastAsia="Arial" w:hAnsi="Arial"/>
          <w:sz w:val="16"/>
          <w:szCs w:val="16"/>
          <w:color w:val="auto"/>
        </w:rPr>
        <w:t>Lalonde M. A new perspective on the health of canadians - a working document. Ottawa: Minister of Supply and Services of Canada; 1974.</w:t>
      </w:r>
    </w:p>
    <w:p>
      <w:pPr>
        <w:spacing w:after="0" w:line="360" w:lineRule="exact"/>
        <w:rPr>
          <w:rFonts w:ascii="Arial" w:cs="Arial" w:eastAsia="Arial" w:hAnsi="Arial"/>
          <w:sz w:val="16"/>
          <w:szCs w:val="16"/>
          <w:color w:val="auto"/>
        </w:rPr>
      </w:pPr>
    </w:p>
    <w:p>
      <w:pPr>
        <w:jc w:val="both"/>
        <w:ind w:left="180" w:hanging="178"/>
        <w:spacing w:after="0"/>
        <w:tabs>
          <w:tab w:leader="none" w:pos="180" w:val="left"/>
        </w:tabs>
        <w:numPr>
          <w:ilvl w:val="0"/>
          <w:numId w:val="2"/>
        </w:numPr>
        <w:rPr>
          <w:rFonts w:ascii="Arial" w:cs="Arial" w:eastAsia="Arial" w:hAnsi="Arial"/>
          <w:sz w:val="16"/>
          <w:szCs w:val="16"/>
          <w:color w:val="auto"/>
        </w:rPr>
      </w:pPr>
      <w:r>
        <w:rPr>
          <w:rFonts w:ascii="Arial" w:cs="Arial" w:eastAsia="Arial" w:hAnsi="Arial"/>
          <w:sz w:val="16"/>
          <w:szCs w:val="16"/>
          <w:color w:val="auto"/>
        </w:rPr>
        <w:t>Kickbusch I. LIFE-STYLES AND HEALTH. Social Science &amp; Medicine. 1986;22(2):117-24.</w:t>
      </w:r>
    </w:p>
    <w:p>
      <w:pPr>
        <w:spacing w:after="0" w:line="360" w:lineRule="exact"/>
        <w:rPr>
          <w:rFonts w:ascii="Arial" w:cs="Arial" w:eastAsia="Arial" w:hAnsi="Arial"/>
          <w:sz w:val="16"/>
          <w:szCs w:val="16"/>
          <w:color w:val="auto"/>
        </w:rPr>
      </w:pPr>
    </w:p>
    <w:p>
      <w:pPr>
        <w:jc w:val="both"/>
        <w:ind w:right="20" w:firstLine="2"/>
        <w:spacing w:after="0" w:line="239" w:lineRule="auto"/>
        <w:tabs>
          <w:tab w:leader="none" w:pos="182" w:val="left"/>
        </w:tabs>
        <w:numPr>
          <w:ilvl w:val="0"/>
          <w:numId w:val="2"/>
        </w:numPr>
        <w:rPr>
          <w:rFonts w:ascii="Arial" w:cs="Arial" w:eastAsia="Arial" w:hAnsi="Arial"/>
          <w:sz w:val="16"/>
          <w:szCs w:val="16"/>
          <w:color w:val="auto"/>
        </w:rPr>
      </w:pPr>
      <w:r>
        <w:rPr>
          <w:rFonts w:ascii="Arial" w:cs="Arial" w:eastAsia="Arial" w:hAnsi="Arial"/>
          <w:sz w:val="16"/>
          <w:szCs w:val="16"/>
          <w:color w:val="auto"/>
        </w:rPr>
        <w:t>Cockerham W, Abel T, Lüeschen G. Max Weber, Form al Rationality and Health Lifestyles. The Sociological Quarterly. 1993;34(3):413-25.</w:t>
      </w:r>
    </w:p>
    <w:p>
      <w:pPr>
        <w:spacing w:after="0" w:line="360" w:lineRule="exact"/>
        <w:rPr>
          <w:rFonts w:ascii="Arial" w:cs="Arial" w:eastAsia="Arial" w:hAnsi="Arial"/>
          <w:sz w:val="16"/>
          <w:szCs w:val="16"/>
          <w:color w:val="auto"/>
        </w:rPr>
      </w:pPr>
    </w:p>
    <w:p>
      <w:pPr>
        <w:jc w:val="both"/>
        <w:ind w:right="20" w:firstLine="2"/>
        <w:spacing w:after="0"/>
        <w:tabs>
          <w:tab w:leader="none" w:pos="209" w:val="left"/>
        </w:tabs>
        <w:numPr>
          <w:ilvl w:val="0"/>
          <w:numId w:val="2"/>
        </w:numPr>
        <w:rPr>
          <w:rFonts w:ascii="Arial" w:cs="Arial" w:eastAsia="Arial" w:hAnsi="Arial"/>
          <w:sz w:val="16"/>
          <w:szCs w:val="16"/>
          <w:color w:val="auto"/>
        </w:rPr>
      </w:pPr>
      <w:r>
        <w:rPr>
          <w:rFonts w:ascii="Arial" w:cs="Arial" w:eastAsia="Arial" w:hAnsi="Arial"/>
          <w:sz w:val="16"/>
          <w:szCs w:val="16"/>
          <w:color w:val="auto"/>
        </w:rPr>
        <w:t>Elliot E. Health-enhancing and health-compromising lifestyles. In: Millstein S, Petersen A, Nightingale E, editors. Promoting the health of adolescents New directions for the twenty-first century. Oxford: Oxford University Press; 1993. p. 119-45.</w:t>
      </w:r>
    </w:p>
    <w:p>
      <w:pPr>
        <w:spacing w:after="0" w:line="360" w:lineRule="exact"/>
        <w:rPr>
          <w:rFonts w:ascii="Arial" w:cs="Arial" w:eastAsia="Arial" w:hAnsi="Arial"/>
          <w:sz w:val="16"/>
          <w:szCs w:val="16"/>
          <w:color w:val="auto"/>
        </w:rPr>
      </w:pPr>
    </w:p>
    <w:p>
      <w:pPr>
        <w:jc w:val="both"/>
        <w:ind w:firstLine="2"/>
        <w:spacing w:after="0" w:line="242" w:lineRule="auto"/>
        <w:tabs>
          <w:tab w:leader="none" w:pos="180" w:val="left"/>
        </w:tabs>
        <w:numPr>
          <w:ilvl w:val="0"/>
          <w:numId w:val="2"/>
        </w:numPr>
        <w:rPr>
          <w:rFonts w:ascii="Arial" w:cs="Arial" w:eastAsia="Arial" w:hAnsi="Arial"/>
          <w:sz w:val="16"/>
          <w:szCs w:val="16"/>
          <w:color w:val="auto"/>
        </w:rPr>
      </w:pPr>
      <w:r>
        <w:rPr>
          <w:rFonts w:ascii="Arial" w:cs="Arial" w:eastAsia="Arial" w:hAnsi="Arial"/>
          <w:sz w:val="16"/>
          <w:szCs w:val="16"/>
          <w:color w:val="auto"/>
        </w:rPr>
        <w:t>Campillo-Álvarez J. El mono obeso. La evolución humana y las enfermedades de la opulencia: diabetes, hipertensión, arteriosclerosis. Barcelona: Editorial Crítica; 2004.</w:t>
      </w:r>
    </w:p>
    <w:p>
      <w:pPr>
        <w:spacing w:after="0" w:line="356" w:lineRule="exact"/>
        <w:rPr>
          <w:rFonts w:ascii="Arial" w:cs="Arial" w:eastAsia="Arial" w:hAnsi="Arial"/>
          <w:sz w:val="16"/>
          <w:szCs w:val="16"/>
          <w:color w:val="auto"/>
        </w:rPr>
      </w:pPr>
    </w:p>
    <w:p>
      <w:pPr>
        <w:jc w:val="both"/>
        <w:ind w:right="60" w:firstLine="2"/>
        <w:spacing w:after="0" w:line="242" w:lineRule="auto"/>
        <w:tabs>
          <w:tab w:leader="none" w:pos="197" w:val="left"/>
        </w:tabs>
        <w:numPr>
          <w:ilvl w:val="0"/>
          <w:numId w:val="2"/>
        </w:numPr>
        <w:rPr>
          <w:rFonts w:ascii="Arial" w:cs="Arial" w:eastAsia="Arial" w:hAnsi="Arial"/>
          <w:sz w:val="16"/>
          <w:szCs w:val="16"/>
          <w:color w:val="auto"/>
        </w:rPr>
      </w:pPr>
      <w:r>
        <w:rPr>
          <w:rFonts w:ascii="Arial" w:cs="Arial" w:eastAsia="Arial" w:hAnsi="Arial"/>
          <w:sz w:val="16"/>
          <w:szCs w:val="16"/>
          <w:color w:val="auto"/>
        </w:rPr>
        <w:t>Portoles O, Sorli JV, Frances F, Coltell O, Gonzalez JI, Saiz C, et al. Effect of genetic variation in the leptin gene promoter and the leptin receptor gene on obesity risk in a population-based case-control study in Spain. European Journal of Epidemiology. 2006 Aug;21(8):605-12.</w:t>
      </w:r>
    </w:p>
    <w:p>
      <w:pPr>
        <w:spacing w:after="0" w:line="355" w:lineRule="exact"/>
        <w:rPr>
          <w:rFonts w:ascii="Arial" w:cs="Arial" w:eastAsia="Arial" w:hAnsi="Arial"/>
          <w:sz w:val="16"/>
          <w:szCs w:val="16"/>
          <w:color w:val="auto"/>
        </w:rPr>
      </w:pPr>
    </w:p>
    <w:p>
      <w:pPr>
        <w:jc w:val="both"/>
        <w:ind w:right="80" w:firstLine="2"/>
        <w:spacing w:after="0" w:line="242" w:lineRule="auto"/>
        <w:tabs>
          <w:tab w:leader="none" w:pos="204" w:val="left"/>
        </w:tabs>
        <w:numPr>
          <w:ilvl w:val="0"/>
          <w:numId w:val="2"/>
        </w:numPr>
        <w:rPr>
          <w:rFonts w:ascii="Arial" w:cs="Arial" w:eastAsia="Arial" w:hAnsi="Arial"/>
          <w:sz w:val="16"/>
          <w:szCs w:val="16"/>
          <w:color w:val="auto"/>
        </w:rPr>
      </w:pPr>
      <w:r>
        <w:rPr>
          <w:rFonts w:ascii="Arial" w:cs="Arial" w:eastAsia="Arial" w:hAnsi="Arial"/>
          <w:sz w:val="16"/>
          <w:szCs w:val="16"/>
          <w:color w:val="auto"/>
        </w:rPr>
        <w:t xml:space="preserve">Centro Nacional de Epidemiología. Mortalidad por causa y sexo 1996-2005. Madrid: Instituto de Salud Carlos III; 2008 [21-May-2008]; Available from: </w:t>
      </w:r>
      <w:r>
        <w:rPr>
          <w:rFonts w:ascii="Arial" w:cs="Arial" w:eastAsia="Arial" w:hAnsi="Arial"/>
          <w:sz w:val="16"/>
          <w:szCs w:val="16"/>
          <w:u w:val="single" w:color="auto"/>
          <w:color w:val="0000FF"/>
        </w:rPr>
        <w:t>http://www.isciii.es/htdocs/centros/epidemiologia/anexos/ww9201_cap.htm</w:t>
      </w:r>
      <w:r>
        <w:rPr>
          <w:rFonts w:ascii="Arial" w:cs="Arial" w:eastAsia="Arial" w:hAnsi="Arial"/>
          <w:sz w:val="16"/>
          <w:szCs w:val="16"/>
          <w:color w:val="auto"/>
        </w:rPr>
        <w:t>.</w:t>
      </w:r>
    </w:p>
    <w:p>
      <w:pPr>
        <w:spacing w:after="0" w:line="358" w:lineRule="exact"/>
        <w:rPr>
          <w:rFonts w:ascii="Arial" w:cs="Arial" w:eastAsia="Arial" w:hAnsi="Arial"/>
          <w:sz w:val="16"/>
          <w:szCs w:val="16"/>
          <w:color w:val="auto"/>
        </w:rPr>
      </w:pPr>
    </w:p>
    <w:p>
      <w:pPr>
        <w:jc w:val="both"/>
        <w:ind w:right="80" w:firstLine="2"/>
        <w:spacing w:after="0" w:line="239" w:lineRule="auto"/>
        <w:tabs>
          <w:tab w:leader="none" w:pos="194" w:val="left"/>
        </w:tabs>
        <w:numPr>
          <w:ilvl w:val="0"/>
          <w:numId w:val="2"/>
        </w:numPr>
        <w:rPr>
          <w:rFonts w:ascii="Arial" w:cs="Arial" w:eastAsia="Arial" w:hAnsi="Arial"/>
          <w:sz w:val="16"/>
          <w:szCs w:val="16"/>
          <w:color w:val="auto"/>
        </w:rPr>
      </w:pPr>
      <w:r>
        <w:rPr>
          <w:rFonts w:ascii="Arial" w:cs="Arial" w:eastAsia="Arial" w:hAnsi="Arial"/>
          <w:sz w:val="16"/>
          <w:szCs w:val="16"/>
          <w:color w:val="auto"/>
        </w:rPr>
        <w:t>Belanger A, Martel L, Berthelot JM, Wilkins R. Gender differences in disability-free life expectancy for selected risk factors and chronic conditions in Canada. Journal of Women &amp; Aging. 2002;14(1-2):61-83.</w:t>
      </w:r>
    </w:p>
    <w:p>
      <w:pPr>
        <w:spacing w:after="0" w:line="360" w:lineRule="exact"/>
        <w:rPr>
          <w:rFonts w:ascii="Arial" w:cs="Arial" w:eastAsia="Arial" w:hAnsi="Arial"/>
          <w:sz w:val="16"/>
          <w:szCs w:val="16"/>
          <w:color w:val="auto"/>
        </w:rPr>
      </w:pPr>
    </w:p>
    <w:p>
      <w:pPr>
        <w:jc w:val="both"/>
        <w:ind w:right="80" w:firstLine="2"/>
        <w:spacing w:after="0" w:line="242" w:lineRule="auto"/>
        <w:tabs>
          <w:tab w:leader="none" w:pos="274" w:val="left"/>
        </w:tabs>
        <w:numPr>
          <w:ilvl w:val="0"/>
          <w:numId w:val="2"/>
        </w:numPr>
        <w:rPr>
          <w:rFonts w:ascii="Arial" w:cs="Arial" w:eastAsia="Arial" w:hAnsi="Arial"/>
          <w:sz w:val="16"/>
          <w:szCs w:val="16"/>
          <w:color w:val="auto"/>
        </w:rPr>
      </w:pPr>
      <w:r>
        <w:rPr>
          <w:rFonts w:ascii="Arial" w:cs="Arial" w:eastAsia="Arial" w:hAnsi="Arial"/>
          <w:sz w:val="16"/>
          <w:szCs w:val="16"/>
          <w:color w:val="auto"/>
        </w:rPr>
        <w:t>Redondo-Sendino A, Guallar-Castillon P, Banegas JR, Rodriguez-Artalejo F. Gender differences in the utilization of health-care services among the older adult population of Spain. Bmc Public Health. 2006 Jun;6.</w:t>
      </w:r>
    </w:p>
    <w:p>
      <w:pPr>
        <w:spacing w:after="0" w:line="356" w:lineRule="exact"/>
        <w:rPr>
          <w:rFonts w:ascii="Arial" w:cs="Arial" w:eastAsia="Arial" w:hAnsi="Arial"/>
          <w:sz w:val="16"/>
          <w:szCs w:val="16"/>
          <w:color w:val="auto"/>
        </w:rPr>
      </w:pPr>
    </w:p>
    <w:p>
      <w:pPr>
        <w:jc w:val="both"/>
        <w:ind w:right="40" w:firstLine="2"/>
        <w:spacing w:after="0" w:line="242" w:lineRule="auto"/>
        <w:tabs>
          <w:tab w:leader="none" w:pos="310" w:val="left"/>
        </w:tabs>
        <w:numPr>
          <w:ilvl w:val="0"/>
          <w:numId w:val="2"/>
        </w:numPr>
        <w:rPr>
          <w:rFonts w:ascii="Arial" w:cs="Arial" w:eastAsia="Arial" w:hAnsi="Arial"/>
          <w:sz w:val="16"/>
          <w:szCs w:val="16"/>
          <w:color w:val="auto"/>
        </w:rPr>
      </w:pPr>
      <w:r>
        <w:rPr>
          <w:rFonts w:ascii="Arial" w:cs="Arial" w:eastAsia="Arial" w:hAnsi="Arial"/>
          <w:sz w:val="16"/>
          <w:szCs w:val="16"/>
          <w:color w:val="auto"/>
        </w:rPr>
        <w:t>Agencia Española de Seguridad Alimentaria. Estrategia para la nutrición, actividad física y prevención de la obesidad (NAOS). Madrid: Coiman; 2005.</w:t>
      </w:r>
    </w:p>
    <w:p>
      <w:pPr>
        <w:spacing w:after="0" w:line="358" w:lineRule="exact"/>
        <w:rPr>
          <w:rFonts w:ascii="Arial" w:cs="Arial" w:eastAsia="Arial" w:hAnsi="Arial"/>
          <w:sz w:val="16"/>
          <w:szCs w:val="16"/>
          <w:color w:val="auto"/>
        </w:rPr>
      </w:pPr>
    </w:p>
    <w:p>
      <w:pPr>
        <w:jc w:val="both"/>
        <w:ind w:right="80" w:firstLine="2"/>
        <w:spacing w:after="0" w:line="239" w:lineRule="auto"/>
        <w:tabs>
          <w:tab w:leader="none" w:pos="271" w:val="left"/>
        </w:tabs>
        <w:numPr>
          <w:ilvl w:val="0"/>
          <w:numId w:val="2"/>
        </w:numPr>
        <w:rPr>
          <w:rFonts w:ascii="Arial" w:cs="Arial" w:eastAsia="Arial" w:hAnsi="Arial"/>
          <w:sz w:val="16"/>
          <w:szCs w:val="16"/>
          <w:color w:val="auto"/>
        </w:rPr>
      </w:pPr>
      <w:r>
        <w:rPr>
          <w:rFonts w:ascii="Arial" w:cs="Arial" w:eastAsia="Arial" w:hAnsi="Arial"/>
          <w:sz w:val="16"/>
          <w:szCs w:val="16"/>
          <w:color w:val="auto"/>
        </w:rPr>
        <w:t>Roche HM, Phillips C, Gibney MJ. The metabolic syndrome: the crossroads of diet and genetics. Proceedings of the Nutrition Society. 2005;64(3):371-7.</w:t>
      </w:r>
    </w:p>
    <w:p>
      <w:pPr>
        <w:spacing w:after="0" w:line="360" w:lineRule="exact"/>
        <w:rPr>
          <w:rFonts w:ascii="Arial" w:cs="Arial" w:eastAsia="Arial" w:hAnsi="Arial"/>
          <w:sz w:val="16"/>
          <w:szCs w:val="16"/>
          <w:color w:val="auto"/>
        </w:rPr>
      </w:pPr>
    </w:p>
    <w:p>
      <w:pPr>
        <w:jc w:val="both"/>
        <w:ind w:left="280" w:hanging="278"/>
        <w:spacing w:after="0"/>
        <w:tabs>
          <w:tab w:leader="none" w:pos="280" w:val="left"/>
        </w:tabs>
        <w:numPr>
          <w:ilvl w:val="0"/>
          <w:numId w:val="2"/>
        </w:numPr>
        <w:rPr>
          <w:rFonts w:ascii="Arial" w:cs="Arial" w:eastAsia="Arial" w:hAnsi="Arial"/>
          <w:sz w:val="16"/>
          <w:szCs w:val="16"/>
          <w:color w:val="auto"/>
        </w:rPr>
      </w:pPr>
      <w:r>
        <w:rPr>
          <w:rFonts w:ascii="Arial" w:cs="Arial" w:eastAsia="Arial" w:hAnsi="Arial"/>
          <w:sz w:val="16"/>
          <w:szCs w:val="16"/>
          <w:color w:val="auto"/>
        </w:rPr>
        <w:t>Milner JA. Diet and cancer: Facts and controversies. Nutrition and Cancer-an International Journal. 2006;56(2):216-</w:t>
      </w:r>
    </w:p>
    <w:p>
      <w:pPr>
        <w:spacing w:after="0" w:line="1" w:lineRule="exact"/>
        <w:rPr>
          <w:rFonts w:ascii="Arial" w:cs="Arial" w:eastAsia="Arial" w:hAnsi="Arial"/>
          <w:sz w:val="16"/>
          <w:szCs w:val="16"/>
          <w:color w:val="auto"/>
        </w:rPr>
      </w:pPr>
    </w:p>
    <w:p>
      <w:pPr>
        <w:jc w:val="both"/>
        <w:spacing w:after="0"/>
        <w:tabs>
          <w:tab w:leader="none" w:pos="0" w:val="left"/>
        </w:tabs>
        <w:numPr>
          <w:ilvl w:val="0"/>
          <w:numId w:val="3"/>
        </w:numPr>
        <w:rPr>
          <w:rFonts w:ascii="Arial" w:cs="Arial" w:eastAsia="Arial" w:hAnsi="Arial"/>
          <w:sz w:val="16"/>
          <w:szCs w:val="16"/>
          <w:color w:val="auto"/>
        </w:rPr>
      </w:pPr>
    </w:p>
    <w:p>
      <w:pPr>
        <w:spacing w:after="0" w:line="357" w:lineRule="exact"/>
        <w:rPr>
          <w:rFonts w:ascii="Arial" w:cs="Arial" w:eastAsia="Arial" w:hAnsi="Arial"/>
          <w:sz w:val="16"/>
          <w:szCs w:val="16"/>
          <w:color w:val="auto"/>
        </w:rPr>
      </w:pPr>
    </w:p>
    <w:p>
      <w:pPr>
        <w:jc w:val="both"/>
        <w:ind w:right="80" w:firstLine="2"/>
        <w:spacing w:after="0" w:line="242" w:lineRule="auto"/>
        <w:tabs>
          <w:tab w:leader="none" w:pos="300" w:val="left"/>
        </w:tabs>
        <w:numPr>
          <w:ilvl w:val="0"/>
          <w:numId w:val="4"/>
        </w:numPr>
        <w:rPr>
          <w:rFonts w:ascii="Arial" w:cs="Arial" w:eastAsia="Arial" w:hAnsi="Arial"/>
          <w:sz w:val="16"/>
          <w:szCs w:val="16"/>
          <w:color w:val="auto"/>
        </w:rPr>
      </w:pPr>
      <w:r>
        <w:rPr>
          <w:rFonts w:ascii="Arial" w:cs="Arial" w:eastAsia="Arial" w:hAnsi="Arial"/>
          <w:sz w:val="16"/>
          <w:szCs w:val="16"/>
          <w:color w:val="auto"/>
        </w:rPr>
        <w:t>Greene CM, Fernandez ML. The role of nutrition in the prevention of coronary heart disease in women of the developed world. Asia Pacific Journal of Clinical Nutrition. 2007;16(1):1-9.</w:t>
      </w:r>
    </w:p>
    <w:p>
      <w:pPr>
        <w:spacing w:after="0" w:line="358" w:lineRule="exact"/>
        <w:rPr>
          <w:rFonts w:ascii="Arial" w:cs="Arial" w:eastAsia="Arial" w:hAnsi="Arial"/>
          <w:sz w:val="16"/>
          <w:szCs w:val="16"/>
          <w:color w:val="auto"/>
        </w:rPr>
      </w:pPr>
    </w:p>
    <w:p>
      <w:pPr>
        <w:jc w:val="both"/>
        <w:ind w:right="80" w:firstLine="2"/>
        <w:spacing w:after="0"/>
        <w:tabs>
          <w:tab w:leader="none" w:pos="274" w:val="left"/>
        </w:tabs>
        <w:numPr>
          <w:ilvl w:val="0"/>
          <w:numId w:val="4"/>
        </w:numPr>
        <w:rPr>
          <w:rFonts w:ascii="Arial" w:cs="Arial" w:eastAsia="Arial" w:hAnsi="Arial"/>
          <w:sz w:val="16"/>
          <w:szCs w:val="16"/>
          <w:color w:val="auto"/>
        </w:rPr>
      </w:pPr>
      <w:r>
        <w:rPr>
          <w:rFonts w:ascii="Arial" w:cs="Arial" w:eastAsia="Arial" w:hAnsi="Arial"/>
          <w:sz w:val="16"/>
          <w:szCs w:val="16"/>
          <w:color w:val="auto"/>
        </w:rPr>
        <w:t>Panagiotakos DB, Pitsavos C, Chrysohoou C, Skoumas J, Tousoulis D, Toutouza M, et al. Impact of lifestyle habits on the prevalence of the metabolic syndrome among Greek adults from the ATTICA study. American Heart Journal. 2004;147(1):106-12.</w:t>
      </w:r>
    </w:p>
    <w:p>
      <w:pPr>
        <w:spacing w:after="0" w:line="360" w:lineRule="exact"/>
        <w:rPr>
          <w:rFonts w:ascii="Arial" w:cs="Arial" w:eastAsia="Arial" w:hAnsi="Arial"/>
          <w:sz w:val="16"/>
          <w:szCs w:val="16"/>
          <w:color w:val="auto"/>
        </w:rPr>
      </w:pPr>
    </w:p>
    <w:p>
      <w:pPr>
        <w:jc w:val="both"/>
        <w:ind w:right="80" w:firstLine="2"/>
        <w:spacing w:after="0" w:line="239" w:lineRule="auto"/>
        <w:tabs>
          <w:tab w:leader="none" w:pos="278" w:val="left"/>
        </w:tabs>
        <w:numPr>
          <w:ilvl w:val="0"/>
          <w:numId w:val="4"/>
        </w:numPr>
        <w:rPr>
          <w:rFonts w:ascii="Arial" w:cs="Arial" w:eastAsia="Arial" w:hAnsi="Arial"/>
          <w:sz w:val="16"/>
          <w:szCs w:val="16"/>
          <w:color w:val="auto"/>
        </w:rPr>
      </w:pPr>
      <w:r>
        <w:rPr>
          <w:rFonts w:ascii="Arial" w:cs="Arial" w:eastAsia="Arial" w:hAnsi="Arial"/>
          <w:sz w:val="16"/>
          <w:szCs w:val="16"/>
          <w:color w:val="auto"/>
        </w:rPr>
        <w:t>Yusuf S, Hawken S, Ounpuu S, Bautista L, Franzosi MG, Commerford P, et al. Obesity and the risk of myocardial infarction in 27,000 participants from 52 countries: a case-control study. Lancet. 2005;366(9497):1640-9.</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7" w:lineRule="exact"/>
        <w:rPr>
          <w:sz w:val="20"/>
          <w:szCs w:val="20"/>
          <w:color w:val="auto"/>
        </w:rPr>
      </w:pPr>
    </w:p>
    <w:tbl>
      <w:tblPr>
        <w:tblLayout w:type="fixed"/>
        <w:tblInd w:w="250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7</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8580"/>
            </w:cols>
            <w:pgMar w:left="1700" w:top="1440" w:right="1620" w:bottom="0" w:gutter="0" w:footer="0" w:header="0"/>
          </w:sectPr>
        </w:pPr>
      </w:p>
      <w:bookmarkStart w:id="7" w:name="page8"/>
      <w:bookmarkEnd w:id="7"/>
    </w:tbl>
    <w:p>
      <w:pPr>
        <w:spacing w:after="0" w:line="175" w:lineRule="exact"/>
        <w:rPr>
          <w:sz w:val="20"/>
          <w:szCs w:val="20"/>
          <w:color w:val="auto"/>
        </w:rPr>
      </w:pPr>
    </w:p>
    <w:p>
      <w:pPr>
        <w:jc w:val="both"/>
        <w:ind w:left="-2" w:firstLine="2"/>
        <w:spacing w:after="0"/>
        <w:tabs>
          <w:tab w:leader="none" w:pos="318" w:val="left"/>
        </w:tabs>
        <w:numPr>
          <w:ilvl w:val="0"/>
          <w:numId w:val="5"/>
        </w:numPr>
        <w:rPr>
          <w:rFonts w:ascii="Arial" w:cs="Arial" w:eastAsia="Arial" w:hAnsi="Arial"/>
          <w:sz w:val="16"/>
          <w:szCs w:val="16"/>
          <w:color w:val="auto"/>
        </w:rPr>
      </w:pPr>
      <w:r>
        <w:rPr>
          <w:rFonts w:ascii="Arial" w:cs="Arial" w:eastAsia="Arial" w:hAnsi="Arial"/>
          <w:sz w:val="16"/>
          <w:szCs w:val="16"/>
          <w:color w:val="auto"/>
        </w:rPr>
        <w:t>Hecht ML, Driscoll G. A COMPARISON OF SELECTED COMMUNICATION, SOCIAL, SITUATIONAL, AND INDIVIDUAL FACTORS ASSOCIATED WITH ALCOHOL AND OTHER DRUGS. International Journal of the Addictions. 1994;29(10):1225-43.</w:t>
      </w:r>
    </w:p>
    <w:p>
      <w:pPr>
        <w:spacing w:after="0" w:line="360" w:lineRule="exact"/>
        <w:rPr>
          <w:rFonts w:ascii="Arial" w:cs="Arial" w:eastAsia="Arial" w:hAnsi="Arial"/>
          <w:sz w:val="16"/>
          <w:szCs w:val="16"/>
          <w:color w:val="auto"/>
        </w:rPr>
      </w:pPr>
    </w:p>
    <w:p>
      <w:pPr>
        <w:jc w:val="both"/>
        <w:ind w:left="-2" w:firstLine="2"/>
        <w:spacing w:after="0"/>
        <w:tabs>
          <w:tab w:leader="none" w:pos="272" w:val="left"/>
        </w:tabs>
        <w:numPr>
          <w:ilvl w:val="0"/>
          <w:numId w:val="5"/>
        </w:numPr>
        <w:rPr>
          <w:rFonts w:ascii="Arial" w:cs="Arial" w:eastAsia="Arial" w:hAnsi="Arial"/>
          <w:sz w:val="16"/>
          <w:szCs w:val="16"/>
          <w:color w:val="auto"/>
        </w:rPr>
      </w:pPr>
      <w:r>
        <w:rPr>
          <w:rFonts w:ascii="Arial" w:cs="Arial" w:eastAsia="Arial" w:hAnsi="Arial"/>
          <w:sz w:val="16"/>
          <w:szCs w:val="16"/>
          <w:color w:val="auto"/>
        </w:rPr>
        <w:t>Eck LH, Klesges RC, Hanson CL, Slawson D. CHILDREN AT FAMILIAL RISK FOR OBESITY - AN EXAMINATION OF DIETARY-INTAKE, PHYSICAL-ACTIVITY AND WEIGHT STATUS. International Journal of Obesity. 1992 Feb;16(2):71-8.</w:t>
      </w:r>
    </w:p>
    <w:p>
      <w:pPr>
        <w:spacing w:after="0" w:line="360" w:lineRule="exact"/>
        <w:rPr>
          <w:rFonts w:ascii="Arial" w:cs="Arial" w:eastAsia="Arial" w:hAnsi="Arial"/>
          <w:sz w:val="16"/>
          <w:szCs w:val="16"/>
          <w:color w:val="auto"/>
        </w:rPr>
      </w:pPr>
    </w:p>
    <w:p>
      <w:pPr>
        <w:jc w:val="both"/>
        <w:ind w:left="278" w:hanging="278"/>
        <w:spacing w:after="0"/>
        <w:tabs>
          <w:tab w:leader="none" w:pos="278" w:val="left"/>
        </w:tabs>
        <w:numPr>
          <w:ilvl w:val="0"/>
          <w:numId w:val="5"/>
        </w:numPr>
        <w:rPr>
          <w:rFonts w:ascii="Arial" w:cs="Arial" w:eastAsia="Arial" w:hAnsi="Arial"/>
          <w:sz w:val="16"/>
          <w:szCs w:val="16"/>
          <w:color w:val="auto"/>
        </w:rPr>
      </w:pPr>
      <w:r>
        <w:rPr>
          <w:rFonts w:ascii="Arial" w:cs="Arial" w:eastAsia="Arial" w:hAnsi="Arial"/>
          <w:sz w:val="16"/>
          <w:szCs w:val="16"/>
          <w:color w:val="auto"/>
        </w:rPr>
        <w:t>Sapolsky R. El mono enamorado y otros ensayos sobre nuestra vida animal. Barcelona: Paidós; 2007.</w:t>
      </w:r>
    </w:p>
    <w:p>
      <w:pPr>
        <w:spacing w:after="0" w:line="360" w:lineRule="exact"/>
        <w:rPr>
          <w:rFonts w:ascii="Arial" w:cs="Arial" w:eastAsia="Arial" w:hAnsi="Arial"/>
          <w:sz w:val="16"/>
          <w:szCs w:val="16"/>
          <w:color w:val="auto"/>
        </w:rPr>
      </w:pPr>
    </w:p>
    <w:p>
      <w:pPr>
        <w:jc w:val="both"/>
        <w:ind w:left="-2" w:firstLine="2"/>
        <w:spacing w:after="0" w:line="239" w:lineRule="auto"/>
        <w:tabs>
          <w:tab w:leader="none" w:pos="286" w:val="left"/>
        </w:tabs>
        <w:numPr>
          <w:ilvl w:val="0"/>
          <w:numId w:val="5"/>
        </w:numPr>
        <w:rPr>
          <w:rFonts w:ascii="Arial" w:cs="Arial" w:eastAsia="Arial" w:hAnsi="Arial"/>
          <w:sz w:val="16"/>
          <w:szCs w:val="16"/>
          <w:color w:val="auto"/>
        </w:rPr>
      </w:pPr>
      <w:r>
        <w:rPr>
          <w:rFonts w:ascii="Arial" w:cs="Arial" w:eastAsia="Arial" w:hAnsi="Arial"/>
          <w:sz w:val="16"/>
          <w:szCs w:val="16"/>
          <w:color w:val="auto"/>
        </w:rPr>
        <w:t>Rose G, Hamilton PJS, Keen H, Reid DD, McCartney P, Jarrett RJ. MYOCARDIAL ISCHEMIA, RISK-FACTORS AND DEATH FROM CORONARY HEART-DISEASE. Lancet. 1977;1(8003):105-9.</w:t>
      </w:r>
    </w:p>
    <w:p>
      <w:pPr>
        <w:spacing w:after="0" w:line="360" w:lineRule="exact"/>
        <w:rPr>
          <w:rFonts w:ascii="Arial" w:cs="Arial" w:eastAsia="Arial" w:hAnsi="Arial"/>
          <w:sz w:val="16"/>
          <w:szCs w:val="16"/>
          <w:color w:val="auto"/>
        </w:rPr>
      </w:pPr>
    </w:p>
    <w:p>
      <w:pPr>
        <w:jc w:val="both"/>
        <w:ind w:left="278" w:hanging="278"/>
        <w:spacing w:after="0"/>
        <w:tabs>
          <w:tab w:leader="none" w:pos="278" w:val="left"/>
        </w:tabs>
        <w:numPr>
          <w:ilvl w:val="0"/>
          <w:numId w:val="5"/>
        </w:numPr>
        <w:rPr>
          <w:rFonts w:ascii="Arial" w:cs="Arial" w:eastAsia="Arial" w:hAnsi="Arial"/>
          <w:sz w:val="16"/>
          <w:szCs w:val="16"/>
          <w:color w:val="auto"/>
        </w:rPr>
      </w:pPr>
      <w:r>
        <w:rPr>
          <w:rFonts w:ascii="Arial" w:cs="Arial" w:eastAsia="Arial" w:hAnsi="Arial"/>
          <w:sz w:val="16"/>
          <w:szCs w:val="16"/>
          <w:color w:val="auto"/>
        </w:rPr>
        <w:t>Marmot M, Wilkinson R. The social determinants of health. Oxford: Oxford University Press; 1999.</w:t>
      </w:r>
    </w:p>
    <w:p>
      <w:pPr>
        <w:spacing w:after="0" w:line="360" w:lineRule="exact"/>
        <w:rPr>
          <w:rFonts w:ascii="Arial" w:cs="Arial" w:eastAsia="Arial" w:hAnsi="Arial"/>
          <w:sz w:val="16"/>
          <w:szCs w:val="16"/>
          <w:color w:val="auto"/>
        </w:rPr>
      </w:pPr>
    </w:p>
    <w:p>
      <w:pPr>
        <w:jc w:val="both"/>
        <w:ind w:left="-2" w:firstLine="2"/>
        <w:spacing w:after="0" w:line="239" w:lineRule="auto"/>
        <w:tabs>
          <w:tab w:leader="none" w:pos="313" w:val="left"/>
        </w:tabs>
        <w:numPr>
          <w:ilvl w:val="0"/>
          <w:numId w:val="5"/>
        </w:numPr>
        <w:rPr>
          <w:rFonts w:ascii="Arial" w:cs="Arial" w:eastAsia="Arial" w:hAnsi="Arial"/>
          <w:sz w:val="16"/>
          <w:szCs w:val="16"/>
          <w:color w:val="auto"/>
        </w:rPr>
      </w:pPr>
      <w:r>
        <w:rPr>
          <w:rFonts w:ascii="Arial" w:cs="Arial" w:eastAsia="Arial" w:hAnsi="Arial"/>
          <w:sz w:val="16"/>
          <w:szCs w:val="16"/>
          <w:color w:val="auto"/>
        </w:rPr>
        <w:t>Ashiabi G, O'neal K. Children's Health Status: Examining the Associations among Income Poverty, Material Hardship, and Parental Factors. PLoS ONE. 2007;2(9):940.</w:t>
      </w:r>
    </w:p>
    <w:p>
      <w:pPr>
        <w:spacing w:after="0" w:line="360" w:lineRule="exact"/>
        <w:rPr>
          <w:rFonts w:ascii="Arial" w:cs="Arial" w:eastAsia="Arial" w:hAnsi="Arial"/>
          <w:sz w:val="16"/>
          <w:szCs w:val="16"/>
          <w:color w:val="auto"/>
        </w:rPr>
      </w:pPr>
    </w:p>
    <w:p>
      <w:pPr>
        <w:jc w:val="both"/>
        <w:ind w:left="-2" w:firstLine="2"/>
        <w:spacing w:after="0" w:line="242" w:lineRule="auto"/>
        <w:tabs>
          <w:tab w:leader="none" w:pos="289" w:val="left"/>
        </w:tabs>
        <w:numPr>
          <w:ilvl w:val="0"/>
          <w:numId w:val="5"/>
        </w:numPr>
        <w:rPr>
          <w:rFonts w:ascii="Arial" w:cs="Arial" w:eastAsia="Arial" w:hAnsi="Arial"/>
          <w:sz w:val="16"/>
          <w:szCs w:val="16"/>
          <w:color w:val="auto"/>
        </w:rPr>
      </w:pPr>
      <w:r>
        <w:rPr>
          <w:rFonts w:ascii="Arial" w:cs="Arial" w:eastAsia="Arial" w:hAnsi="Arial"/>
          <w:sz w:val="16"/>
          <w:szCs w:val="16"/>
          <w:color w:val="auto"/>
        </w:rPr>
        <w:t>Gallo L, Matthews K. Do negative emotions mediate the association between socioeconomic status and health? Annals of New York Academic of Sciences. 1999(896):226-45.</w:t>
      </w:r>
    </w:p>
    <w:p>
      <w:pPr>
        <w:spacing w:after="0" w:line="356" w:lineRule="exact"/>
        <w:rPr>
          <w:rFonts w:ascii="Arial" w:cs="Arial" w:eastAsia="Arial" w:hAnsi="Arial"/>
          <w:sz w:val="16"/>
          <w:szCs w:val="16"/>
          <w:color w:val="auto"/>
        </w:rPr>
      </w:pPr>
    </w:p>
    <w:p>
      <w:pPr>
        <w:jc w:val="both"/>
        <w:ind w:left="-2" w:firstLine="2"/>
        <w:spacing w:after="0" w:line="242" w:lineRule="auto"/>
        <w:tabs>
          <w:tab w:leader="none" w:pos="294" w:val="left"/>
        </w:tabs>
        <w:numPr>
          <w:ilvl w:val="0"/>
          <w:numId w:val="5"/>
        </w:numPr>
        <w:rPr>
          <w:rFonts w:ascii="Arial" w:cs="Arial" w:eastAsia="Arial" w:hAnsi="Arial"/>
          <w:sz w:val="16"/>
          <w:szCs w:val="16"/>
          <w:color w:val="auto"/>
        </w:rPr>
      </w:pPr>
      <w:r>
        <w:rPr>
          <w:rFonts w:ascii="Arial" w:cs="Arial" w:eastAsia="Arial" w:hAnsi="Arial"/>
          <w:sz w:val="16"/>
          <w:szCs w:val="16"/>
          <w:color w:val="auto"/>
        </w:rPr>
        <w:t>Demakakos P, Nazroo J, Breeze E, Marmot M. Socioeconomic status and health: The role of subjective social status. Social Science &amp; Medicine. 2008 Jul;67(2):330-40.</w:t>
      </w:r>
    </w:p>
    <w:p>
      <w:pPr>
        <w:spacing w:after="0" w:line="358" w:lineRule="exact"/>
        <w:rPr>
          <w:rFonts w:ascii="Arial" w:cs="Arial" w:eastAsia="Arial" w:hAnsi="Arial"/>
          <w:sz w:val="16"/>
          <w:szCs w:val="16"/>
          <w:color w:val="auto"/>
        </w:rPr>
      </w:pPr>
    </w:p>
    <w:p>
      <w:pPr>
        <w:jc w:val="both"/>
        <w:ind w:left="-2" w:firstLine="2"/>
        <w:spacing w:after="0" w:line="239" w:lineRule="auto"/>
        <w:tabs>
          <w:tab w:leader="none" w:pos="272" w:val="left"/>
        </w:tabs>
        <w:numPr>
          <w:ilvl w:val="0"/>
          <w:numId w:val="5"/>
        </w:numPr>
        <w:rPr>
          <w:rFonts w:ascii="Arial" w:cs="Arial" w:eastAsia="Arial" w:hAnsi="Arial"/>
          <w:sz w:val="16"/>
          <w:szCs w:val="16"/>
          <w:color w:val="auto"/>
        </w:rPr>
      </w:pPr>
      <w:r>
        <w:rPr>
          <w:rFonts w:ascii="Arial" w:cs="Arial" w:eastAsia="Arial" w:hAnsi="Arial"/>
          <w:sz w:val="16"/>
          <w:szCs w:val="16"/>
          <w:color w:val="auto"/>
        </w:rPr>
        <w:t>Hammond SR, McLeod JG, Macaskill P, English DR. Multiple sclerosis in Australia: Socioeconomic factors. Journal of Neurology Neurosurgery and Psychiatry. [Article]. 1996 Sep;61(3):311-3.</w:t>
      </w:r>
    </w:p>
    <w:p>
      <w:pPr>
        <w:spacing w:after="0" w:line="360" w:lineRule="exact"/>
        <w:rPr>
          <w:rFonts w:ascii="Arial" w:cs="Arial" w:eastAsia="Arial" w:hAnsi="Arial"/>
          <w:sz w:val="16"/>
          <w:szCs w:val="16"/>
          <w:color w:val="auto"/>
        </w:rPr>
      </w:pPr>
    </w:p>
    <w:p>
      <w:pPr>
        <w:jc w:val="both"/>
        <w:ind w:left="-2" w:firstLine="2"/>
        <w:spacing w:after="0" w:line="242" w:lineRule="auto"/>
        <w:tabs>
          <w:tab w:leader="none" w:pos="296" w:val="left"/>
        </w:tabs>
        <w:numPr>
          <w:ilvl w:val="0"/>
          <w:numId w:val="5"/>
        </w:numPr>
        <w:rPr>
          <w:rFonts w:ascii="Arial" w:cs="Arial" w:eastAsia="Arial" w:hAnsi="Arial"/>
          <w:sz w:val="16"/>
          <w:szCs w:val="16"/>
          <w:color w:val="auto"/>
        </w:rPr>
      </w:pPr>
      <w:r>
        <w:rPr>
          <w:rFonts w:ascii="Arial" w:cs="Arial" w:eastAsia="Arial" w:hAnsi="Arial"/>
          <w:sz w:val="16"/>
          <w:szCs w:val="16"/>
          <w:color w:val="auto"/>
        </w:rPr>
        <w:t>Kaplan GA, Keil JE. SOCIOECONOMIC-FACTORS AND CARDIOVASCULAR-DISEASE - A REVIEW OF THE LITERATURE. Circulation. [Review]. 1993 Oct;88(4):1973-98.</w:t>
      </w:r>
    </w:p>
    <w:p>
      <w:pPr>
        <w:spacing w:after="0" w:line="356" w:lineRule="exact"/>
        <w:rPr>
          <w:rFonts w:ascii="Arial" w:cs="Arial" w:eastAsia="Arial" w:hAnsi="Arial"/>
          <w:sz w:val="16"/>
          <w:szCs w:val="16"/>
          <w:color w:val="auto"/>
        </w:rPr>
      </w:pPr>
    </w:p>
    <w:p>
      <w:pPr>
        <w:jc w:val="both"/>
        <w:ind w:left="-2" w:firstLine="2"/>
        <w:spacing w:after="0" w:line="242" w:lineRule="auto"/>
        <w:tabs>
          <w:tab w:leader="none" w:pos="282" w:val="left"/>
        </w:tabs>
        <w:numPr>
          <w:ilvl w:val="0"/>
          <w:numId w:val="5"/>
        </w:numPr>
        <w:rPr>
          <w:rFonts w:ascii="Arial" w:cs="Arial" w:eastAsia="Arial" w:hAnsi="Arial"/>
          <w:sz w:val="16"/>
          <w:szCs w:val="16"/>
          <w:color w:val="auto"/>
        </w:rPr>
      </w:pPr>
      <w:r>
        <w:rPr>
          <w:rFonts w:ascii="Arial" w:cs="Arial" w:eastAsia="Arial" w:hAnsi="Arial"/>
          <w:sz w:val="16"/>
          <w:szCs w:val="16"/>
          <w:color w:val="auto"/>
        </w:rPr>
        <w:t>Ramos M, Garcia R, Prieto M, March J. Problems and proposals for improvement in the health care of economic immigrants. Gaceta Sanitaria. 2001;15(4):320-6.</w:t>
      </w:r>
    </w:p>
    <w:p>
      <w:pPr>
        <w:spacing w:after="0" w:line="358" w:lineRule="exact"/>
        <w:rPr>
          <w:rFonts w:ascii="Arial" w:cs="Arial" w:eastAsia="Arial" w:hAnsi="Arial"/>
          <w:sz w:val="16"/>
          <w:szCs w:val="16"/>
          <w:color w:val="auto"/>
        </w:rPr>
      </w:pPr>
    </w:p>
    <w:p>
      <w:pPr>
        <w:jc w:val="both"/>
        <w:ind w:left="278" w:hanging="278"/>
        <w:spacing w:after="0"/>
        <w:tabs>
          <w:tab w:leader="none" w:pos="278" w:val="left"/>
        </w:tabs>
        <w:numPr>
          <w:ilvl w:val="0"/>
          <w:numId w:val="5"/>
        </w:numPr>
        <w:rPr>
          <w:rFonts w:ascii="Arial" w:cs="Arial" w:eastAsia="Arial" w:hAnsi="Arial"/>
          <w:sz w:val="16"/>
          <w:szCs w:val="16"/>
          <w:color w:val="auto"/>
        </w:rPr>
      </w:pPr>
      <w:r>
        <w:rPr>
          <w:rFonts w:ascii="Arial" w:cs="Arial" w:eastAsia="Arial" w:hAnsi="Arial"/>
          <w:sz w:val="16"/>
          <w:szCs w:val="16"/>
          <w:color w:val="auto"/>
        </w:rPr>
        <w:t>Kaplan M. Why bonobos make love, not war. NewScientist. 2006(2580):40-3.</w:t>
      </w:r>
    </w:p>
    <w:p>
      <w:pPr>
        <w:spacing w:after="0" w:line="358" w:lineRule="exact"/>
        <w:rPr>
          <w:rFonts w:ascii="Arial" w:cs="Arial" w:eastAsia="Arial" w:hAnsi="Arial"/>
          <w:sz w:val="16"/>
          <w:szCs w:val="16"/>
          <w:color w:val="auto"/>
        </w:rPr>
      </w:pPr>
    </w:p>
    <w:p>
      <w:pPr>
        <w:jc w:val="both"/>
        <w:ind w:left="-2" w:firstLine="2"/>
        <w:spacing w:after="0" w:line="242" w:lineRule="auto"/>
        <w:tabs>
          <w:tab w:leader="none" w:pos="272" w:val="left"/>
        </w:tabs>
        <w:numPr>
          <w:ilvl w:val="0"/>
          <w:numId w:val="5"/>
        </w:numPr>
        <w:rPr>
          <w:rFonts w:ascii="Arial" w:cs="Arial" w:eastAsia="Arial" w:hAnsi="Arial"/>
          <w:sz w:val="16"/>
          <w:szCs w:val="16"/>
          <w:color w:val="auto"/>
        </w:rPr>
      </w:pPr>
      <w:r>
        <w:rPr>
          <w:rFonts w:ascii="Arial" w:cs="Arial" w:eastAsia="Arial" w:hAnsi="Arial"/>
          <w:sz w:val="16"/>
          <w:szCs w:val="16"/>
          <w:color w:val="auto"/>
        </w:rPr>
        <w:t>Ryan S, Kang M, Riley A. Use of health care services by rural and urban adolescents: The role of regular source of care and health need. Journal of Adolescent Health. [Meeting Abstract]. 1998 Feb;22(2):141-.</w:t>
      </w:r>
    </w:p>
    <w:p>
      <w:pPr>
        <w:spacing w:after="0" w:line="358" w:lineRule="exact"/>
        <w:rPr>
          <w:rFonts w:ascii="Arial" w:cs="Arial" w:eastAsia="Arial" w:hAnsi="Arial"/>
          <w:sz w:val="16"/>
          <w:szCs w:val="16"/>
          <w:color w:val="auto"/>
        </w:rPr>
      </w:pPr>
    </w:p>
    <w:p>
      <w:pPr>
        <w:jc w:val="both"/>
        <w:ind w:left="-2" w:firstLine="2"/>
        <w:spacing w:after="0"/>
        <w:tabs>
          <w:tab w:leader="none" w:pos="289" w:val="left"/>
        </w:tabs>
        <w:numPr>
          <w:ilvl w:val="0"/>
          <w:numId w:val="5"/>
        </w:numPr>
        <w:rPr>
          <w:rFonts w:ascii="Arial" w:cs="Arial" w:eastAsia="Arial" w:hAnsi="Arial"/>
          <w:sz w:val="16"/>
          <w:szCs w:val="16"/>
          <w:color w:val="auto"/>
        </w:rPr>
      </w:pPr>
      <w:r>
        <w:rPr>
          <w:rFonts w:ascii="Arial" w:cs="Arial" w:eastAsia="Arial" w:hAnsi="Arial"/>
          <w:sz w:val="16"/>
          <w:szCs w:val="16"/>
          <w:color w:val="auto"/>
        </w:rPr>
        <w:t>Rutten A, Abel T, Kannas L, von Lengerke T, Luschen G, Diaz JAR, et al. Self reported physical activity, public health, and perceived environment: results from a comparative European study. Journal of Epidemiology and Community Health. 2001;55(2):139-46.</w:t>
      </w:r>
    </w:p>
    <w:p>
      <w:pPr>
        <w:spacing w:after="0" w:line="360" w:lineRule="exact"/>
        <w:rPr>
          <w:rFonts w:ascii="Arial" w:cs="Arial" w:eastAsia="Arial" w:hAnsi="Arial"/>
          <w:sz w:val="16"/>
          <w:szCs w:val="16"/>
          <w:color w:val="auto"/>
        </w:rPr>
      </w:pPr>
    </w:p>
    <w:p>
      <w:pPr>
        <w:jc w:val="both"/>
        <w:ind w:left="-2" w:firstLine="2"/>
        <w:spacing w:after="0"/>
        <w:tabs>
          <w:tab w:leader="none" w:pos="334" w:val="left"/>
        </w:tabs>
        <w:numPr>
          <w:ilvl w:val="0"/>
          <w:numId w:val="5"/>
        </w:numPr>
        <w:rPr>
          <w:rFonts w:ascii="Arial" w:cs="Arial" w:eastAsia="Arial" w:hAnsi="Arial"/>
          <w:sz w:val="16"/>
          <w:szCs w:val="16"/>
          <w:color w:val="auto"/>
        </w:rPr>
      </w:pPr>
      <w:r>
        <w:rPr>
          <w:rFonts w:ascii="Arial" w:cs="Arial" w:eastAsia="Arial" w:hAnsi="Arial"/>
          <w:sz w:val="16"/>
          <w:szCs w:val="16"/>
          <w:color w:val="auto"/>
        </w:rPr>
        <w:t>Tay JB, Kelleher CC, Hope A, Barry M, Gabhainn SN, Sixsmith J. Influence of sociodemographic and neighbourhood factors on self rated health and quality of life in rural communities: findings from the Agriproject in the Republic of Ireland. Journal of Epidemiology and Community Health. 2004;58(11):904-11.</w:t>
      </w:r>
    </w:p>
    <w:p>
      <w:pPr>
        <w:spacing w:after="0" w:line="360" w:lineRule="exact"/>
        <w:rPr>
          <w:rFonts w:ascii="Arial" w:cs="Arial" w:eastAsia="Arial" w:hAnsi="Arial"/>
          <w:sz w:val="16"/>
          <w:szCs w:val="16"/>
          <w:color w:val="auto"/>
        </w:rPr>
      </w:pPr>
    </w:p>
    <w:p>
      <w:pPr>
        <w:jc w:val="both"/>
        <w:ind w:left="278" w:hanging="278"/>
        <w:spacing w:after="0"/>
        <w:tabs>
          <w:tab w:leader="none" w:pos="278" w:val="left"/>
        </w:tabs>
        <w:numPr>
          <w:ilvl w:val="0"/>
          <w:numId w:val="5"/>
        </w:numPr>
        <w:rPr>
          <w:rFonts w:ascii="Arial" w:cs="Arial" w:eastAsia="Arial" w:hAnsi="Arial"/>
          <w:sz w:val="16"/>
          <w:szCs w:val="16"/>
          <w:color w:val="auto"/>
        </w:rPr>
      </w:pPr>
      <w:r>
        <w:rPr>
          <w:rFonts w:ascii="Arial" w:cs="Arial" w:eastAsia="Arial" w:hAnsi="Arial"/>
          <w:sz w:val="16"/>
          <w:szCs w:val="16"/>
          <w:color w:val="auto"/>
        </w:rPr>
        <w:t>Fisher C. To dwell among friends. Chicago: University of Chicago Press; 1982.</w:t>
      </w:r>
    </w:p>
    <w:p>
      <w:pPr>
        <w:spacing w:after="0" w:line="358" w:lineRule="exact"/>
        <w:rPr>
          <w:rFonts w:ascii="Arial" w:cs="Arial" w:eastAsia="Arial" w:hAnsi="Arial"/>
          <w:sz w:val="16"/>
          <w:szCs w:val="16"/>
          <w:color w:val="auto"/>
        </w:rPr>
      </w:pPr>
    </w:p>
    <w:p>
      <w:pPr>
        <w:jc w:val="both"/>
        <w:ind w:left="-2" w:firstLine="2"/>
        <w:spacing w:after="0" w:line="242" w:lineRule="auto"/>
        <w:tabs>
          <w:tab w:leader="none" w:pos="270" w:val="left"/>
        </w:tabs>
        <w:numPr>
          <w:ilvl w:val="0"/>
          <w:numId w:val="5"/>
        </w:numPr>
        <w:rPr>
          <w:rFonts w:ascii="Arial" w:cs="Arial" w:eastAsia="Arial" w:hAnsi="Arial"/>
          <w:sz w:val="16"/>
          <w:szCs w:val="16"/>
          <w:color w:val="auto"/>
        </w:rPr>
      </w:pPr>
      <w:r>
        <w:rPr>
          <w:rFonts w:ascii="Arial" w:cs="Arial" w:eastAsia="Arial" w:hAnsi="Arial"/>
          <w:sz w:val="16"/>
          <w:szCs w:val="16"/>
          <w:color w:val="auto"/>
        </w:rPr>
        <w:t>Glendinning A, Nuttall M, Hendry L, Kloep M, Wood S. Rural communities and well-being: a good place to grow up? Sociology Reviews. 2003;51(1):129-56.</w:t>
      </w:r>
    </w:p>
    <w:p>
      <w:pPr>
        <w:spacing w:after="0" w:line="358" w:lineRule="exact"/>
        <w:rPr>
          <w:rFonts w:ascii="Arial" w:cs="Arial" w:eastAsia="Arial" w:hAnsi="Arial"/>
          <w:sz w:val="16"/>
          <w:szCs w:val="16"/>
          <w:color w:val="auto"/>
        </w:rPr>
      </w:pPr>
    </w:p>
    <w:p>
      <w:pPr>
        <w:jc w:val="both"/>
        <w:ind w:left="-2" w:firstLine="2"/>
        <w:spacing w:after="0" w:line="239" w:lineRule="auto"/>
        <w:tabs>
          <w:tab w:leader="none" w:pos="286" w:val="left"/>
        </w:tabs>
        <w:numPr>
          <w:ilvl w:val="0"/>
          <w:numId w:val="5"/>
        </w:numPr>
        <w:rPr>
          <w:rFonts w:ascii="Arial" w:cs="Arial" w:eastAsia="Arial" w:hAnsi="Arial"/>
          <w:sz w:val="16"/>
          <w:szCs w:val="16"/>
          <w:color w:val="auto"/>
        </w:rPr>
      </w:pPr>
      <w:r>
        <w:rPr>
          <w:rFonts w:ascii="Arial" w:cs="Arial" w:eastAsia="Arial" w:hAnsi="Arial"/>
          <w:sz w:val="16"/>
          <w:szCs w:val="16"/>
          <w:color w:val="auto"/>
        </w:rPr>
        <w:t>Van de Poel E, O'donnell O, Van Doorslaer E. Are urban children really healthier? Evidence from 47 developing countries. Social Science &amp; Medicine. 2007;65(10):1986-2003.</w:t>
      </w:r>
    </w:p>
    <w:p>
      <w:pPr>
        <w:spacing w:after="0" w:line="360" w:lineRule="exact"/>
        <w:rPr>
          <w:rFonts w:ascii="Arial" w:cs="Arial" w:eastAsia="Arial" w:hAnsi="Arial"/>
          <w:sz w:val="16"/>
          <w:szCs w:val="16"/>
          <w:color w:val="auto"/>
        </w:rPr>
      </w:pPr>
    </w:p>
    <w:p>
      <w:pPr>
        <w:jc w:val="both"/>
        <w:ind w:left="-2" w:firstLine="2"/>
        <w:spacing w:after="0"/>
        <w:tabs>
          <w:tab w:leader="none" w:pos="327" w:val="left"/>
        </w:tabs>
        <w:numPr>
          <w:ilvl w:val="0"/>
          <w:numId w:val="5"/>
        </w:numPr>
        <w:rPr>
          <w:rFonts w:ascii="Arial" w:cs="Arial" w:eastAsia="Arial" w:hAnsi="Arial"/>
          <w:sz w:val="16"/>
          <w:szCs w:val="16"/>
          <w:color w:val="auto"/>
        </w:rPr>
      </w:pPr>
      <w:r>
        <w:rPr>
          <w:rFonts w:ascii="Arial" w:cs="Arial" w:eastAsia="Arial" w:hAnsi="Arial"/>
          <w:sz w:val="16"/>
          <w:szCs w:val="16"/>
          <w:color w:val="auto"/>
        </w:rPr>
        <w:t>Goldman L, Coussens C. Environmental Health Indicators: Bridging the Chasm of Public Health and the Environment - Workshop Summary. Washington DC: INSTITUTE OF MEDICINE OF THE NATIONAL ACADEMIES. THE NATIONAL ACADEMIES PRESS; 2004.</w:t>
      </w:r>
    </w:p>
    <w:p>
      <w:pPr>
        <w:sectPr>
          <w:pgSz w:w="11900" w:h="16840" w:orient="portrait"/>
          <w:cols w:equalWidth="0" w:num="1">
            <w:col w:w="8498"/>
          </w:cols>
          <w:pgMar w:left="1702" w:top="1440" w:right="1700"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4" w:lineRule="exact"/>
        <w:rPr>
          <w:sz w:val="20"/>
          <w:szCs w:val="20"/>
          <w:color w:val="auto"/>
        </w:rPr>
      </w:pPr>
    </w:p>
    <w:tbl>
      <w:tblPr>
        <w:tblLayout w:type="fixed"/>
        <w:tblInd w:w="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8</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p>
        <w:pPr>
          <w:sectPr>
            <w:pgSz w:w="11900" w:h="16840" w:orient="portrait"/>
            <w:cols w:equalWidth="0" w:num="1">
              <w:col w:w="6000"/>
            </w:cols>
            <w:pgMar w:left="4200" w:top="1440" w:right="1700" w:bottom="0" w:gutter="0" w:footer="0" w:header="0"/>
            <w:type w:val="continuous"/>
          </w:sectPr>
        </w:pPr>
      </w:p>
      <w:bookmarkStart w:id="8" w:name="page9"/>
      <w:bookmarkEnd w:id="8"/>
    </w:tbl>
    <w:p>
      <w:pPr>
        <w:spacing w:after="0" w:line="175" w:lineRule="exact"/>
        <w:rPr>
          <w:sz w:val="20"/>
          <w:szCs w:val="20"/>
          <w:color w:val="auto"/>
        </w:rPr>
      </w:pPr>
    </w:p>
    <w:p>
      <w:pPr>
        <w:jc w:val="both"/>
        <w:ind w:left="-2" w:firstLine="2"/>
        <w:spacing w:after="0" w:line="242" w:lineRule="auto"/>
        <w:tabs>
          <w:tab w:leader="none" w:pos="272" w:val="left"/>
        </w:tabs>
        <w:numPr>
          <w:ilvl w:val="0"/>
          <w:numId w:val="6"/>
        </w:numPr>
        <w:rPr>
          <w:rFonts w:ascii="Arial" w:cs="Arial" w:eastAsia="Arial" w:hAnsi="Arial"/>
          <w:sz w:val="16"/>
          <w:szCs w:val="16"/>
          <w:color w:val="auto"/>
        </w:rPr>
      </w:pPr>
      <w:r>
        <w:rPr>
          <w:rFonts w:ascii="Arial" w:cs="Arial" w:eastAsia="Arial" w:hAnsi="Arial"/>
          <w:sz w:val="16"/>
          <w:szCs w:val="16"/>
          <w:color w:val="auto"/>
        </w:rPr>
        <w:t>Handy SL, Boarnet MG, Ewing R, Killingsworth RE. How the built environment affects physical activity - Views from urban planning. American Journal of Preventive Medicine. 2002;23(2):64-73.</w:t>
      </w:r>
    </w:p>
    <w:p>
      <w:pPr>
        <w:spacing w:after="0" w:line="356" w:lineRule="exact"/>
        <w:rPr>
          <w:rFonts w:ascii="Arial" w:cs="Arial" w:eastAsia="Arial" w:hAnsi="Arial"/>
          <w:sz w:val="16"/>
          <w:szCs w:val="16"/>
          <w:color w:val="auto"/>
        </w:rPr>
      </w:pPr>
    </w:p>
    <w:p>
      <w:pPr>
        <w:jc w:val="both"/>
        <w:ind w:left="-2" w:firstLine="2"/>
        <w:spacing w:after="0" w:line="242" w:lineRule="auto"/>
        <w:tabs>
          <w:tab w:leader="none" w:pos="289" w:val="left"/>
        </w:tabs>
        <w:numPr>
          <w:ilvl w:val="0"/>
          <w:numId w:val="6"/>
        </w:numPr>
        <w:rPr>
          <w:rFonts w:ascii="Arial" w:cs="Arial" w:eastAsia="Arial" w:hAnsi="Arial"/>
          <w:sz w:val="16"/>
          <w:szCs w:val="16"/>
          <w:color w:val="auto"/>
        </w:rPr>
      </w:pPr>
      <w:r>
        <w:rPr>
          <w:rFonts w:ascii="Arial" w:cs="Arial" w:eastAsia="Arial" w:hAnsi="Arial"/>
          <w:sz w:val="16"/>
          <w:szCs w:val="16"/>
          <w:color w:val="auto"/>
        </w:rPr>
        <w:t>Librett JJ, Yore MM, Schmid TL. Local ordinances that promote physical activity: A survey of municipal policies. American Journal of Public Health. 2003;93(9):1399-403.</w:t>
      </w:r>
    </w:p>
    <w:p>
      <w:pPr>
        <w:spacing w:after="0" w:line="358" w:lineRule="exact"/>
        <w:rPr>
          <w:rFonts w:ascii="Arial" w:cs="Arial" w:eastAsia="Arial" w:hAnsi="Arial"/>
          <w:sz w:val="16"/>
          <w:szCs w:val="16"/>
          <w:color w:val="auto"/>
        </w:rPr>
      </w:pPr>
    </w:p>
    <w:p>
      <w:pPr>
        <w:jc w:val="both"/>
        <w:ind w:left="-2" w:firstLine="2"/>
        <w:spacing w:after="0" w:line="239" w:lineRule="auto"/>
        <w:tabs>
          <w:tab w:leader="none" w:pos="298" w:val="left"/>
        </w:tabs>
        <w:numPr>
          <w:ilvl w:val="0"/>
          <w:numId w:val="6"/>
        </w:numPr>
        <w:rPr>
          <w:rFonts w:ascii="Arial" w:cs="Arial" w:eastAsia="Arial" w:hAnsi="Arial"/>
          <w:sz w:val="16"/>
          <w:szCs w:val="16"/>
          <w:color w:val="auto"/>
        </w:rPr>
      </w:pPr>
      <w:r>
        <w:rPr>
          <w:rFonts w:ascii="Arial" w:cs="Arial" w:eastAsia="Arial" w:hAnsi="Arial"/>
          <w:sz w:val="16"/>
          <w:szCs w:val="16"/>
          <w:color w:val="auto"/>
        </w:rPr>
        <w:t>Colomer-Revuelta C, Colomer-Revuelta J, Mercer R, Peiró-Pérez R, Rajmil L. La salud en la infancia. Gaceta Sanitaria. 2004;18(Sup 1):39-46.</w:t>
      </w:r>
    </w:p>
    <w:p>
      <w:pPr>
        <w:spacing w:after="0" w:line="360" w:lineRule="exact"/>
        <w:rPr>
          <w:rFonts w:ascii="Arial" w:cs="Arial" w:eastAsia="Arial" w:hAnsi="Arial"/>
          <w:sz w:val="16"/>
          <w:szCs w:val="16"/>
          <w:color w:val="auto"/>
        </w:rPr>
      </w:pPr>
    </w:p>
    <w:p>
      <w:pPr>
        <w:jc w:val="both"/>
        <w:ind w:left="278" w:hanging="278"/>
        <w:spacing w:after="0"/>
        <w:tabs>
          <w:tab w:leader="none" w:pos="278" w:val="left"/>
        </w:tabs>
        <w:numPr>
          <w:ilvl w:val="0"/>
          <w:numId w:val="6"/>
        </w:numPr>
        <w:rPr>
          <w:rFonts w:ascii="Arial" w:cs="Arial" w:eastAsia="Arial" w:hAnsi="Arial"/>
          <w:sz w:val="16"/>
          <w:szCs w:val="16"/>
          <w:color w:val="auto"/>
        </w:rPr>
      </w:pPr>
      <w:r>
        <w:rPr>
          <w:rFonts w:ascii="Arial" w:cs="Arial" w:eastAsia="Arial" w:hAnsi="Arial"/>
          <w:sz w:val="16"/>
          <w:szCs w:val="16"/>
          <w:color w:val="auto"/>
        </w:rPr>
        <w:t>Szilagyi P, Schor E. The health of children. Health Services Research. 1998;33(4):1001-39.</w:t>
      </w:r>
    </w:p>
    <w:p>
      <w:pPr>
        <w:sectPr>
          <w:pgSz w:w="11900" w:h="16840" w:orient="portrait"/>
          <w:cols w:equalWidth="0" w:num="1">
            <w:col w:w="8498"/>
          </w:cols>
          <w:pgMar w:left="1702" w:top="1440" w:right="1700" w:bottom="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tbl>
      <w:tblPr>
        <w:tblLayout w:type="fixed"/>
        <w:tblInd w:w="0" w:type="dxa"/>
        <w:tblCellMar>
          <w:top w:w="0" w:type="dxa"/>
          <w:left w:w="0" w:type="dxa"/>
          <w:bottom w:w="0" w:type="dxa"/>
          <w:right w:w="0" w:type="dxa"/>
        </w:tblCellMar>
      </w:tblPr>
      <w:tr>
        <w:trPr>
          <w:trHeight w:val="184"/>
        </w:trPr>
        <w:tc>
          <w:tcPr>
            <w:tcW w:w="4540" w:type="dxa"/>
            <w:vAlign w:val="bottom"/>
          </w:tcPr>
          <w:p>
            <w:pPr>
              <w:spacing w:after="0" w:line="160" w:lineRule="exact"/>
              <w:rPr>
                <w:sz w:val="20"/>
                <w:szCs w:val="20"/>
                <w:color w:val="auto"/>
              </w:rPr>
            </w:pPr>
            <w:r>
              <w:rPr>
                <w:rFonts w:ascii="Arial" w:cs="Arial" w:eastAsia="Arial" w:hAnsi="Arial"/>
                <w:sz w:val="14"/>
                <w:szCs w:val="14"/>
                <w:color w:val="auto"/>
              </w:rPr>
              <w:t>Campus Universitario de San Javier. 30720 Murcia</w:t>
            </w:r>
          </w:p>
        </w:tc>
        <w:tc>
          <w:tcPr>
            <w:tcW w:w="1460" w:type="dxa"/>
            <w:vAlign w:val="bottom"/>
          </w:tcPr>
          <w:p>
            <w:pPr>
              <w:jc w:val="right"/>
              <w:spacing w:after="0"/>
              <w:rPr>
                <w:sz w:val="20"/>
                <w:szCs w:val="20"/>
                <w:color w:val="auto"/>
              </w:rPr>
            </w:pPr>
            <w:r>
              <w:rPr>
                <w:rFonts w:ascii="Arial" w:cs="Arial" w:eastAsia="Arial" w:hAnsi="Arial"/>
                <w:sz w:val="16"/>
                <w:szCs w:val="16"/>
                <w:color w:val="auto"/>
              </w:rPr>
              <w:t>9</w:t>
            </w:r>
          </w:p>
        </w:tc>
      </w:tr>
      <w:tr>
        <w:trPr>
          <w:trHeight w:val="162"/>
        </w:trPr>
        <w:tc>
          <w:tcPr>
            <w:tcW w:w="4540" w:type="dxa"/>
            <w:vAlign w:val="bottom"/>
          </w:tcPr>
          <w:p>
            <w:pPr>
              <w:ind w:left="520"/>
              <w:spacing w:after="0"/>
              <w:rPr>
                <w:sz w:val="20"/>
                <w:szCs w:val="20"/>
                <w:color w:val="auto"/>
              </w:rPr>
            </w:pPr>
            <w:r>
              <w:rPr>
                <w:rFonts w:ascii="Arial" w:cs="Arial" w:eastAsia="Arial" w:hAnsi="Arial"/>
                <w:sz w:val="14"/>
                <w:szCs w:val="14"/>
                <w:color w:val="auto"/>
              </w:rPr>
              <w:t xml:space="preserve">T. 868 88 85 00 – </w:t>
            </w:r>
            <w:r>
              <w:rPr>
                <w:rFonts w:ascii="Arial" w:cs="Arial" w:eastAsia="Arial" w:hAnsi="Arial"/>
                <w:sz w:val="14"/>
                <w:szCs w:val="14"/>
                <w:b w:val="1"/>
                <w:bCs w:val="1"/>
                <w:color w:val="800000"/>
              </w:rPr>
              <w:t>erneslacruz@um.es</w:t>
            </w:r>
          </w:p>
        </w:tc>
        <w:tc>
          <w:tcPr>
            <w:tcW w:w="1460" w:type="dxa"/>
            <w:vAlign w:val="bottom"/>
          </w:tcPr>
          <w:p>
            <w:pPr>
              <w:spacing w:after="0"/>
              <w:rPr>
                <w:sz w:val="14"/>
                <w:szCs w:val="14"/>
                <w:color w:val="auto"/>
              </w:rPr>
            </w:pPr>
          </w:p>
        </w:tc>
      </w:tr>
    </w:tbl>
    <w:p>
      <w:pPr>
        <w:spacing w:after="0" w:line="1" w:lineRule="exact"/>
        <w:rPr>
          <w:sz w:val="20"/>
          <w:szCs w:val="20"/>
          <w:color w:val="auto"/>
        </w:rPr>
      </w:pPr>
    </w:p>
    <w:sectPr>
      <w:pgSz w:w="11900" w:h="16840" w:orient="portrait"/>
      <w:cols w:equalWidth="0" w:num="1">
        <w:col w:w="6000"/>
      </w:cols>
      <w:pgMar w:left="4200" w:top="1440" w:right="1700" w:bottom="0" w:gutter="0" w:footer="0" w:header="0"/>
      <w:type w:val="continuous"/>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400001FF" w:csb1="FFFF0000"/>
  </w:font>
  <w:font w:name="Palatino Linotype">
    <w:panose1 w:val="02040502050505030304"/>
    <w:charset w:val="00"/>
    <w:family w:val="roman"/>
    <w:pitch w:val="variable"/>
    <w:sig w:usb0="E0000287" w:usb1="40000013" w:usb2="00000000" w:usb3="00000000" w:csb0="2000019F" w:csb1="00000000"/>
  </w:font>
</w:fonts>
</file>

<file path=word/numbering.xml><?xml version="1.0" encoding="utf-8"?>
<w:numbering xmlns:w="http://schemas.openxmlformats.org/wordprocessingml/2006/main">
  <w:abstractNum w:abstractNumId="0">
    <w:nsid w:val="2AE8944A"/>
    <w:multiLevelType w:val="hybridMultilevel"/>
    <w:lvl w:ilvl="0">
      <w:lvlJc w:val="left"/>
      <w:lvlText w:val=" "/>
      <w:numFmt w:val="bullet"/>
      <w:start w:val="1"/>
    </w:lvl>
  </w:abstractNum>
  <w:abstractNum w:abstractNumId="1">
    <w:nsid w:val="625558EC"/>
    <w:multiLevelType w:val="hybridMultilevel"/>
    <w:lvl w:ilvl="0">
      <w:lvlJc w:val="left"/>
      <w:lvlText w:val="%1."/>
      <w:numFmt w:val="decimal"/>
      <w:start w:val="1"/>
    </w:lvl>
  </w:abstractNum>
  <w:abstractNum w:abstractNumId="2">
    <w:nsid w:val="238E1F29"/>
    <w:multiLevelType w:val="hybridMultilevel"/>
    <w:lvl w:ilvl="0">
      <w:lvlJc w:val="left"/>
      <w:lvlText w:val="%1."/>
      <w:numFmt w:val="decimal"/>
      <w:start w:val="24"/>
    </w:lvl>
  </w:abstractNum>
  <w:abstractNum w:abstractNumId="3">
    <w:nsid w:val="46E87CCD"/>
    <w:multiLevelType w:val="hybridMultilevel"/>
    <w:lvl w:ilvl="0">
      <w:lvlJc w:val="left"/>
      <w:lvlText w:val="%1."/>
      <w:numFmt w:val="decimal"/>
      <w:start w:val="14"/>
    </w:lvl>
  </w:abstractNum>
  <w:abstractNum w:abstractNumId="4">
    <w:nsid w:val="3D1B58BA"/>
    <w:multiLevelType w:val="hybridMultilevel"/>
    <w:lvl w:ilvl="0">
      <w:lvlJc w:val="left"/>
      <w:lvlText w:val="%1."/>
      <w:numFmt w:val="decimal"/>
      <w:start w:val="17"/>
    </w:lvl>
  </w:abstractNum>
  <w:abstractNum w:abstractNumId="5">
    <w:nsid w:val="507ED7AB"/>
    <w:multiLevelType w:val="hybridMultilevel"/>
    <w:lvl w:ilvl="0">
      <w:lvlJc w:val="left"/>
      <w:lvlText w:val="%1."/>
      <w:numFmt w:val="decimal"/>
      <w:start w:val="36"/>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2017-06-01T16:59:08Z</dcterms:created>
  <dcterms:modified xsi:type="dcterms:W3CDTF">2017-06-01T16:59:08Z</dcterms:modified>
</cp:coreProperties>
</file>