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17" w:lineRule="exact"/>
        <w:rPr>
          <w:sz w:val="24"/>
          <w:szCs w:val="24"/>
          <w:color w:val="auto"/>
        </w:rPr>
      </w:pPr>
    </w:p>
    <w:p>
      <w:pPr>
        <w:ind w:right="800"/>
        <w:spacing w:after="0" w:line="24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La expresión económica de esas condiciones es el acceso desigual a los bienes y a la riqueza que la sociedad mexicana produce y a los servicios que ofrece.</w: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364" w:lineRule="exact"/>
        <w:rPr>
          <w:sz w:val="24"/>
          <w:szCs w:val="24"/>
          <w:color w:val="auto"/>
        </w:rPr>
      </w:pPr>
    </w:p>
    <w:p>
      <w:pPr>
        <w:ind w:left="160" w:right="540"/>
        <w:spacing w:after="0" w:line="243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La situación que vive la población rural no sólo a partir de la capacidad de adquisición de una determinada canasta de bienes, sino las condiciones que ponen en riesgo la posibilidad de autorrealización de la persona, el hogar y las sociedades rurales. Que impiden la certidumbre en la construcción social necesaria para la autonomía de las personas.</w: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351" w:lineRule="exact"/>
        <w:rPr>
          <w:sz w:val="24"/>
          <w:szCs w:val="24"/>
          <w:color w:val="auto"/>
        </w:rPr>
      </w:pPr>
    </w:p>
    <w:p>
      <w:pPr>
        <w:ind w:left="280"/>
        <w:spacing w:after="0" w:line="24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Los diferentes tipos de productores pueden del tipo y tamaño de las unidades de producción, objetivos de la producción, niveles de producción y de productividad, disponibilidad de infraestructura, condiciones tecnológicas y grado de participación en los mercados:</w:t>
      </w:r>
    </w:p>
    <w:p>
      <w:pPr>
        <w:spacing w:after="0" w:line="3" w:lineRule="exact"/>
        <w:rPr>
          <w:sz w:val="24"/>
          <w:szCs w:val="24"/>
          <w:color w:val="auto"/>
        </w:rPr>
      </w:pPr>
    </w:p>
    <w:p>
      <w:pPr>
        <w:jc w:val="both"/>
        <w:ind w:left="460" w:right="380"/>
        <w:spacing w:after="0" w:line="257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de infra subsistencia y de subsistencia, de autoconsumo poco tecnificado,</w:t>
      </w:r>
    </w:p>
    <w:p>
      <w:pPr>
        <w:jc w:val="both"/>
        <w:ind w:left="280" w:right="1020" w:firstLine="187"/>
        <w:spacing w:after="0" w:line="245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de autoconsumo con uso alto de agroquímicos,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jc w:val="both"/>
        <w:ind w:left="460" w:right="1180"/>
        <w:spacing w:after="0" w:line="257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comercial mono especializada, comercial diversificada y</w:t>
      </w:r>
    </w:p>
    <w:p>
      <w:pPr>
        <w:jc w:val="both"/>
        <w:ind w:left="280"/>
        <w:spacing w:after="0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comercial altamente tecnificada.</w:t>
      </w:r>
    </w:p>
    <w:p>
      <w:pPr>
        <w:jc w:val="both"/>
        <w:ind w:left="1800" w:right="760"/>
        <w:spacing w:after="0" w:line="246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4"/>
          <w:szCs w:val="24"/>
          <w:color w:val="auto"/>
        </w:rPr>
        <w:br w:type="column"/>
        <w:t>Los procesos que en el mundo rural generan diferenciaciones que llevan a la desigualdad, la marginación y la exclusión, de tal forma que los procesos de reproducción de los individuos como seres intelectuales, sociales, naturales y políticos se ven obstaculizados.</w:t>
      </w:r>
    </w:p>
    <w:p>
      <w:pPr>
        <w:spacing w:after="0" w:line="200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-3148965</wp:posOffset>
            </wp:positionH>
            <wp:positionV relativeFrom="paragraph">
              <wp:posOffset>-1748790</wp:posOffset>
            </wp:positionV>
            <wp:extent cx="7467600" cy="975360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0" cy="975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300" w:lineRule="exact"/>
        <w:rPr>
          <w:sz w:val="24"/>
          <w:szCs w:val="24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831"/>
        </w:trPr>
        <w:tc>
          <w:tcPr>
            <w:tcW w:w="780" w:type="dxa"/>
            <w:vAlign w:val="bottom"/>
            <w:tcBorders>
              <w:top w:val="single" w:sz="8" w:color="70AD47"/>
              <w:left w:val="single" w:sz="8" w:color="70AD47"/>
            </w:tcBorders>
            <w:textDirection w:val="btLr"/>
          </w:tcPr>
          <w:p>
            <w:pPr>
              <w:ind w:left="50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  <w:w w:val="72"/>
              </w:rPr>
              <w:t>exclusión</w:t>
            </w:r>
          </w:p>
        </w:tc>
        <w:tc>
          <w:tcPr>
            <w:tcW w:w="1020" w:type="dxa"/>
            <w:vAlign w:val="bottom"/>
            <w:tcBorders>
              <w:top w:val="single" w:sz="8" w:color="70AD47"/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  <w:vMerge w:val="restart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Los principales aspectos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7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  <w:w w:val="99"/>
              </w:rPr>
              <w:t>considerados son la fuente primaria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  <w:w w:val="99"/>
              </w:rPr>
              <w:t>de los ingresos rurales, la fuente de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0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restart"/>
            <w:textDirection w:val="btLr"/>
          </w:tcPr>
          <w:p>
            <w:pPr>
              <w:ind w:left="36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36"/>
                <w:szCs w:val="36"/>
                <w:b w:val="1"/>
                <w:bCs w:val="1"/>
                <w:color w:val="auto"/>
                <w:w w:val="85"/>
              </w:rPr>
              <w:t>de</w:t>
            </w: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los ingresos secundarios (o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6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740" w:type="dxa"/>
            <w:vAlign w:val="bottom"/>
            <w:vMerge w:val="restart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indirectos) y los procesos que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4740" w:type="dxa"/>
            <w:vAlign w:val="bottom"/>
            <w:vMerge w:val="continue"/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restart"/>
            <w:textDirection w:val="btLr"/>
          </w:tcPr>
          <w:p>
            <w:pPr>
              <w:ind w:left="7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7"/>
                <w:szCs w:val="7"/>
                <w:b w:val="1"/>
                <w:bCs w:val="1"/>
                <w:color w:val="auto"/>
                <w:w w:val="77"/>
              </w:rPr>
              <w:t>enMéxico:fuentes</w:t>
            </w: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  <w:vMerge w:val="restart"/>
            <w:textDirection w:val="btLr"/>
          </w:tcPr>
          <w:p>
            <w:pPr>
              <w:ind w:left="36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0"/>
                <w:szCs w:val="10"/>
                <w:b w:val="1"/>
                <w:bCs w:val="1"/>
                <w:color w:val="auto"/>
                <w:w w:val="70"/>
              </w:rPr>
              <w:t>ymarginación</w:t>
            </w: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influyen en la distribución de estos,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6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740" w:type="dxa"/>
            <w:vAlign w:val="bottom"/>
            <w:vMerge w:val="restart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así mismo se analiza la relación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4740" w:type="dxa"/>
            <w:vAlign w:val="bottom"/>
            <w:vMerge w:val="continue"/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0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existente entre dichos procesos 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9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las fuentes de marginación-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6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2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exclusión.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17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La heterogeneidad de las sociedades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0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68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rurales se deriva de que hay una gran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diversidad de espacios rurales con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9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condiciones de clima</w:t>
            </w:r>
            <w:r>
              <w:rPr>
                <w:rFonts w:ascii="Arial" w:cs="Arial" w:eastAsia="Arial" w:hAnsi="Arial"/>
                <w:sz w:val="22"/>
                <w:szCs w:val="22"/>
                <w:color w:val="4F82BE"/>
              </w:rPr>
              <w:t>,</w:t>
            </w: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 xml:space="preserve"> suelo y humedad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6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restart"/>
            <w:textDirection w:val="btLr"/>
          </w:tcPr>
          <w:p>
            <w:pPr>
              <w:ind w:left="36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36"/>
                <w:szCs w:val="36"/>
                <w:b w:val="1"/>
                <w:bCs w:val="1"/>
                <w:color w:val="auto"/>
                <w:w w:val="89"/>
              </w:rPr>
              <w:t>rural</w:t>
            </w: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particulares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64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Las ocupaciones más importantes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2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restart"/>
            <w:textDirection w:val="btLr"/>
          </w:tcPr>
          <w:p>
            <w:pPr>
              <w:ind w:left="665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0"/>
                <w:szCs w:val="10"/>
                <w:b w:val="1"/>
                <w:bCs w:val="1"/>
                <w:color w:val="auto"/>
                <w:w w:val="72"/>
              </w:rPr>
              <w:t>pobreza</w:t>
            </w: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 xml:space="preserve">de la población </w:t>
            </w:r>
            <w:r>
              <w:rPr>
                <w:rFonts w:ascii="Cambria" w:cs="Cambria" w:eastAsia="Cambria" w:hAnsi="Cambria"/>
                <w:sz w:val="22"/>
                <w:szCs w:val="22"/>
                <w:color w:val="auto"/>
              </w:rPr>
              <w:t>rural son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0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continue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"/>
                <w:szCs w:val="1"/>
                <w:color w:val="auto"/>
              </w:rPr>
              <w:t>domésticos, los operadores de</w:t>
            </w: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6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trabajadores, artesanos y obreros,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comerciantes y dependientes,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6"/>
        </w:trPr>
        <w:tc>
          <w:tcPr>
            <w:tcW w:w="780" w:type="dxa"/>
            <w:vAlign w:val="bottom"/>
            <w:tcBorders>
              <w:lef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ayudantes y peones, trabajadores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72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restart"/>
            <w:textDirection w:val="btLr"/>
          </w:tcPr>
          <w:p>
            <w:pPr>
              <w:ind w:left="36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36"/>
                <w:szCs w:val="36"/>
                <w:b w:val="1"/>
                <w:bCs w:val="1"/>
                <w:color w:val="auto"/>
                <w:w w:val="80"/>
              </w:rPr>
              <w:t>La</w:t>
            </w: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maquinaria, operadores de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3"/>
        </w:trPr>
        <w:tc>
          <w:tcPr>
            <w:tcW w:w="780" w:type="dxa"/>
            <w:vAlign w:val="bottom"/>
            <w:tcBorders>
              <w:left w:val="single" w:sz="8" w:color="70AD47"/>
            </w:tcBorders>
            <w:vMerge w:val="continue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70AD47"/>
            </w:tcBorders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4740" w:type="dxa"/>
            <w:vAlign w:val="bottom"/>
            <w:vMerge w:val="restart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transporte y en servicios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1"/>
        </w:trPr>
        <w:tc>
          <w:tcPr>
            <w:tcW w:w="780" w:type="dxa"/>
            <w:vAlign w:val="bottom"/>
            <w:tcBorders>
              <w:left w:val="single" w:sz="8" w:color="70AD47"/>
              <w:bottom w:val="single" w:sz="8" w:color="70AD47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bottom w:val="single" w:sz="8" w:color="70AD47"/>
              <w:right w:val="single" w:sz="8" w:color="70AD47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4740" w:type="dxa"/>
            <w:vAlign w:val="bottom"/>
            <w:vMerge w:val="continue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6"/>
        </w:trPr>
        <w:tc>
          <w:tcPr>
            <w:tcW w:w="78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0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740" w:type="dxa"/>
            <w:vAlign w:val="bottom"/>
          </w:tcPr>
          <w:p>
            <w:pPr>
              <w:ind w:left="1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2"/>
                <w:szCs w:val="22"/>
                <w:color w:val="auto"/>
              </w:rPr>
              <w:t>personales.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67" w:lineRule="exact"/>
        <w:rPr>
          <w:sz w:val="24"/>
          <w:szCs w:val="24"/>
          <w:color w:val="auto"/>
        </w:rPr>
      </w:pPr>
    </w:p>
    <w:p>
      <w:pPr>
        <w:ind w:left="1100" w:right="1180"/>
        <w:spacing w:after="0" w:line="251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Las principales actividades productivas que inciden en los procesos generadores de desigualdades y pobreza son: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jc w:val="both"/>
        <w:ind w:left="1100" w:right="1340" w:firstLine="187"/>
        <w:spacing w:after="0" w:line="245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estrechamiento en las oportunidades de desarrollo de actividades productivas,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jc w:val="both"/>
        <w:ind w:left="1300" w:right="1780"/>
        <w:spacing w:after="0" w:line="269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1"/>
          <w:szCs w:val="21"/>
          <w:color w:val="auto"/>
        </w:rPr>
        <w:t>deterioro en los ingresos salariales, expulsión neta de trabajadores,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jc w:val="both"/>
        <w:ind w:left="1100" w:right="1460" w:firstLine="187"/>
        <w:spacing w:after="0" w:line="248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aumento en el empleo autónomo o por cuenta propia,</w:t>
      </w:r>
    </w:p>
    <w:p>
      <w:pPr>
        <w:jc w:val="both"/>
        <w:ind w:left="1100" w:right="1260" w:firstLine="187"/>
        <w:spacing w:after="0" w:line="245" w:lineRule="auto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caída de la participación del salario en el valor agregado,</w:t>
      </w:r>
    </w:p>
    <w:p>
      <w:pPr>
        <w:spacing w:after="0" w:line="1" w:lineRule="exact"/>
        <w:rPr>
          <w:sz w:val="24"/>
          <w:szCs w:val="24"/>
          <w:color w:val="auto"/>
        </w:rPr>
      </w:pPr>
    </w:p>
    <w:p>
      <w:pPr>
        <w:jc w:val="both"/>
        <w:ind w:left="1100"/>
        <w:spacing w:after="0"/>
        <w:rPr>
          <w:sz w:val="24"/>
          <w:szCs w:val="24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precarización continúa de las condiciones</w:t>
      </w:r>
    </w:p>
    <w:p>
      <w:pPr>
        <w:spacing w:after="0" w:line="17" w:lineRule="exact"/>
        <w:rPr>
          <w:sz w:val="24"/>
          <w:szCs w:val="24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2"/>
          <w:szCs w:val="22"/>
          <w:color w:val="auto"/>
        </w:rPr>
        <w:t>de empleo remunerado o no remunerado.</w:t>
      </w:r>
    </w:p>
    <w:sectPr>
      <w:pgSz w:w="12240" w:h="15840" w:orient="portrait"/>
      <w:cols w:equalWidth="0" w:num="2">
        <w:col w:w="4660" w:space="160"/>
        <w:col w:w="6540"/>
      </w:cols>
      <w:pgMar w:left="380" w:top="731" w:right="500" w:bottom="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400001FF" w:csb1="FFFF0000"/>
  </w:font>
</w:fonts>
</file>

<file path=word/numbering.xml><?xml version="1.0" encoding="utf-8"?>
<w:numbering xmlns:w="http://schemas.openxmlformats.org/wordprocessingml/2006/main">
  <w:abstractNum w:abstractNumId="0">
    <w:nsid w:val="643C9869"/>
    <w:multiLevelType w:val="hybridMultilevel"/>
    <w:lvl w:ilvl="0">
      <w:lvlJc w:val="left"/>
      <w:lvlText w:val=" "/>
      <w:numFmt w:val="bullet"/>
      <w:start w:val="1"/>
    </w:lvl>
  </w:abstractNum>
  <w:abstractNum w:abstractNumId="1">
    <w:nsid w:val="66334873"/>
    <w:multiLevelType w:val="hybridMultilevel"/>
    <w:lvl w:ilvl="0">
      <w:lvlJc w:val="left"/>
      <w:lvlText w:val=" "/>
      <w:numFmt w:val="bullet"/>
      <w:start w:val="1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7" Type="http://schemas.openxmlformats.org/officeDocument/2006/relationships/numbering" Target="numbering.xml"/><Relationship Id="rId8" Type="http://schemas.openxmlformats.org/officeDocument/2006/relationships/image" Target="media/image1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2017-06-01T18:04:28Z</dcterms:created>
  <dcterms:modified xsi:type="dcterms:W3CDTF">2017-06-01T18:04:28Z</dcterms:modified>
</cp:coreProperties>
</file>