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Default Extension="jpeg" ContentType="image/jpeg"/>
</Types>
</file>

<file path=_rels/.rels><?xml version="1.0" encoding="UTF-8" standalone="yes"?>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v="urn:schemas-microsoft-com:vml" xmlns:wp="http://schemas.openxmlformats.org/drawingml/2006/wordprocessingDrawing" xmlns:w10="urn:schemas-microsoft-com:office:word" xmlns:w="http://schemas.openxmlformats.org/wordprocessingml/2006/main" xmlns:wps="http://schemas.microsoft.com/office/word/2010/wordprocessingShape">
  <w:body>
    <w:bookmarkStart w:id="0" w:name="page1"/>
    <w:bookmarkEnd w:id="0"/>
    <w:tbl>
      <w:tblPr>
        <w:tblLayout w:type="fixed"/>
        <w:tblInd w:w="0" w:type="dxa"/>
        <w:tblCellMar>
          <w:top w:w="0" w:type="dxa"/>
          <w:left w:w="0" w:type="dxa"/>
          <w:bottom w:w="0" w:type="dxa"/>
          <w:right w:w="0" w:type="dxa"/>
        </w:tblCellMar>
      </w:tblPr>
      <w:tr>
        <w:trPr>
          <w:trHeight w:val="302"/>
        </w:trPr>
        <w:tc>
          <w:tcPr>
            <w:tcW w:w="23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  <w:r>
              <w:rPr>
                <w:sz w:val="24"/>
                <w:szCs w:val="24"/>
                <w:color w:val="auto"/>
              </w:rPr>
              <w:drawing>
                <wp:anchor simplePos="0" relativeHeight="251657728" behindDoc="1" locked="0" layoutInCell="0" allowOverlap="1">
                  <wp:simplePos x="0" y="0"/>
                  <wp:positionH relativeFrom="page">
                    <wp:posOffset>152400</wp:posOffset>
                  </wp:positionH>
                  <wp:positionV relativeFrom="page">
                    <wp:posOffset>152400</wp:posOffset>
                  </wp:positionV>
                  <wp:extent cx="9753600" cy="7467600"/>
                  <wp:wrapNone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clrChange>
                              <a:clrFrom>
                                <a:srgbClr val="FFFFFF"/>
                              </a:clrFrom>
                              <a:clrTo>
                                <a:srgbClr val="FFFFFF">
                                  <a:alpha val="0"/>
                                </a:srgbClr>
                              </a:clrTo>
                            </a:clrChange>
                            <a:extLst>
                              <a:ext uri="{28A0092B-C50C-407E-A947-70E740481C1C}"/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753600" cy="74676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5860" w:type="dxa"/>
            <w:vAlign w:val="bottom"/>
            <w:gridSpan w:val="2"/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4"/>
                <w:szCs w:val="24"/>
                <w:color w:val="auto"/>
              </w:rPr>
              <w:t>Desarrollo de las</w:t>
            </w:r>
          </w:p>
        </w:tc>
        <w:tc>
          <w:tcPr>
            <w:tcW w:w="4960" w:type="dxa"/>
            <w:vAlign w:val="bottom"/>
            <w:gridSpan w:val="2"/>
          </w:tcPr>
          <w:p>
            <w:pPr>
              <w:jc w:val="center"/>
              <w:ind w:right="1371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4"/>
                <w:szCs w:val="24"/>
                <w:color w:val="auto"/>
              </w:rPr>
              <w:t>Para florecer el ser humano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09"/>
        </w:trPr>
        <w:tc>
          <w:tcPr>
            <w:tcW w:w="2380" w:type="dxa"/>
            <w:vAlign w:val="bottom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5860" w:type="dxa"/>
            <w:vAlign w:val="bottom"/>
            <w:gridSpan w:val="2"/>
            <w:vMerge w:val="continue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4960" w:type="dxa"/>
            <w:vAlign w:val="bottom"/>
            <w:gridSpan w:val="2"/>
            <w:vMerge w:val="restart"/>
          </w:tcPr>
          <w:p>
            <w:pPr>
              <w:jc w:val="center"/>
              <w:ind w:right="1391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4"/>
                <w:szCs w:val="24"/>
                <w:color w:val="auto"/>
                <w:w w:val="98"/>
              </w:rPr>
              <w:t>necesita ir más allá de la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7"/>
        </w:trPr>
        <w:tc>
          <w:tcPr>
            <w:tcW w:w="2380" w:type="dxa"/>
            <w:vAlign w:val="bottom"/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2"/>
                <w:szCs w:val="22"/>
                <w:color w:val="auto"/>
                <w:w w:val="99"/>
              </w:rPr>
              <w:t>Las políticas sociales están</w:t>
            </w:r>
          </w:p>
        </w:tc>
        <w:tc>
          <w:tcPr>
            <w:tcW w:w="5860" w:type="dxa"/>
            <w:vAlign w:val="bottom"/>
            <w:gridSpan w:val="2"/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4"/>
                <w:szCs w:val="24"/>
                <w:color w:val="auto"/>
              </w:rPr>
              <w:t>fuerzas esenciales</w:t>
            </w:r>
          </w:p>
        </w:tc>
        <w:tc>
          <w:tcPr>
            <w:tcW w:w="4960" w:type="dxa"/>
            <w:vAlign w:val="bottom"/>
            <w:gridSpan w:val="2"/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209"/>
        </w:trPr>
        <w:tc>
          <w:tcPr>
            <w:tcW w:w="2380" w:type="dxa"/>
            <w:vAlign w:val="bottom"/>
            <w:vMerge w:val="continue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5860" w:type="dxa"/>
            <w:vAlign w:val="bottom"/>
            <w:gridSpan w:val="2"/>
            <w:vMerge w:val="continue"/>
          </w:tcPr>
          <w:p>
            <w:pPr>
              <w:spacing w:after="0"/>
              <w:rPr>
                <w:sz w:val="18"/>
                <w:szCs w:val="18"/>
                <w:color w:val="auto"/>
              </w:rPr>
            </w:pPr>
          </w:p>
        </w:tc>
        <w:tc>
          <w:tcPr>
            <w:tcW w:w="1380" w:type="dxa"/>
            <w:vAlign w:val="bottom"/>
            <w:vMerge w:val="restart"/>
          </w:tcPr>
          <w:p>
            <w:pPr>
              <w:ind w:left="18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4"/>
                <w:szCs w:val="24"/>
                <w:color w:val="auto"/>
              </w:rPr>
              <w:t>satisfacción</w:t>
            </w:r>
          </w:p>
        </w:tc>
        <w:tc>
          <w:tcPr>
            <w:tcW w:w="3580" w:type="dxa"/>
            <w:vAlign w:val="bottom"/>
            <w:vMerge w:val="restart"/>
          </w:tcPr>
          <w:p>
            <w:pPr>
              <w:ind w:left="60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4"/>
                <w:szCs w:val="24"/>
                <w:color w:val="auto"/>
              </w:rPr>
              <w:t>de sus necesidades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7"/>
        </w:trPr>
        <w:tc>
          <w:tcPr>
            <w:tcW w:w="2380" w:type="dxa"/>
            <w:vAlign w:val="bottom"/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2"/>
                <w:szCs w:val="22"/>
                <w:color w:val="auto"/>
              </w:rPr>
              <w:t>orientadas a la</w:t>
            </w:r>
          </w:p>
        </w:tc>
        <w:tc>
          <w:tcPr>
            <w:tcW w:w="2340" w:type="dxa"/>
            <w:vAlign w:val="bottom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3520" w:type="dxa"/>
            <w:vAlign w:val="bottom"/>
            <w:vMerge w:val="restart"/>
          </w:tcPr>
          <w:p>
            <w:pPr>
              <w:jc w:val="center"/>
              <w:ind w:right="2234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2"/>
                <w:szCs w:val="22"/>
                <w:color w:val="auto"/>
              </w:rPr>
              <w:t>humanas.</w:t>
            </w:r>
          </w:p>
        </w:tc>
        <w:tc>
          <w:tcPr>
            <w:tcW w:w="1380" w:type="dxa"/>
            <w:vAlign w:val="bottom"/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3580" w:type="dxa"/>
            <w:vAlign w:val="bottom"/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79"/>
        </w:trPr>
        <w:tc>
          <w:tcPr>
            <w:tcW w:w="2380" w:type="dxa"/>
            <w:vAlign w:val="bottom"/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2340" w:type="dxa"/>
            <w:vAlign w:val="bottom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3520" w:type="dxa"/>
            <w:vAlign w:val="bottom"/>
            <w:vMerge w:val="continue"/>
          </w:tcPr>
          <w:p>
            <w:pPr>
              <w:spacing w:after="0"/>
              <w:rPr>
                <w:sz w:val="15"/>
                <w:szCs w:val="15"/>
                <w:color w:val="auto"/>
              </w:rPr>
            </w:pPr>
          </w:p>
        </w:tc>
        <w:tc>
          <w:tcPr>
            <w:tcW w:w="4960" w:type="dxa"/>
            <w:vAlign w:val="bottom"/>
            <w:gridSpan w:val="2"/>
            <w:vMerge w:val="restart"/>
          </w:tcPr>
          <w:p>
            <w:pPr>
              <w:jc w:val="center"/>
              <w:ind w:right="1371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4"/>
                <w:szCs w:val="24"/>
                <w:color w:val="auto"/>
              </w:rPr>
              <w:t>deficitarias, fisiológicas,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57"/>
        </w:trPr>
        <w:tc>
          <w:tcPr>
            <w:tcW w:w="2380" w:type="dxa"/>
            <w:vAlign w:val="bottom"/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2"/>
                <w:szCs w:val="22"/>
                <w:color w:val="auto"/>
                <w:w w:val="99"/>
              </w:rPr>
              <w:t>satisfacción de las</w:t>
            </w:r>
          </w:p>
        </w:tc>
        <w:tc>
          <w:tcPr>
            <w:tcW w:w="2340" w:type="dxa"/>
            <w:vAlign w:val="bottom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3520" w:type="dxa"/>
            <w:vAlign w:val="bottom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4960" w:type="dxa"/>
            <w:vAlign w:val="bottom"/>
            <w:gridSpan w:val="2"/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47"/>
        </w:trPr>
        <w:tc>
          <w:tcPr>
            <w:tcW w:w="2380" w:type="dxa"/>
            <w:vAlign w:val="bottom"/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234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352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4960" w:type="dxa"/>
            <w:vAlign w:val="bottom"/>
            <w:gridSpan w:val="2"/>
            <w:vMerge w:val="restart"/>
          </w:tcPr>
          <w:p>
            <w:pPr>
              <w:jc w:val="center"/>
              <w:ind w:right="1351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4"/>
                <w:szCs w:val="24"/>
                <w:color w:val="auto"/>
              </w:rPr>
              <w:t>seguridad y acto.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85"/>
        </w:trPr>
        <w:tc>
          <w:tcPr>
            <w:tcW w:w="2380" w:type="dxa"/>
            <w:vAlign w:val="bottom"/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2"/>
                <w:szCs w:val="22"/>
                <w:color w:val="auto"/>
              </w:rPr>
              <w:t>necesidades, alguna de</w:t>
            </w:r>
          </w:p>
        </w:tc>
        <w:tc>
          <w:tcPr>
            <w:tcW w:w="2340" w:type="dxa"/>
            <w:vAlign w:val="bottom"/>
          </w:tcPr>
          <w:p>
            <w:pPr>
              <w:spacing w:after="0"/>
              <w:rPr>
                <w:sz w:val="16"/>
                <w:szCs w:val="16"/>
                <w:color w:val="auto"/>
              </w:rPr>
            </w:pPr>
          </w:p>
        </w:tc>
        <w:tc>
          <w:tcPr>
            <w:tcW w:w="3520" w:type="dxa"/>
            <w:vAlign w:val="bottom"/>
          </w:tcPr>
          <w:p>
            <w:pPr>
              <w:spacing w:after="0"/>
              <w:rPr>
                <w:sz w:val="16"/>
                <w:szCs w:val="16"/>
                <w:color w:val="auto"/>
              </w:rPr>
            </w:pPr>
          </w:p>
        </w:tc>
        <w:tc>
          <w:tcPr>
            <w:tcW w:w="4960" w:type="dxa"/>
            <w:vAlign w:val="bottom"/>
            <w:gridSpan w:val="2"/>
            <w:vMerge w:val="continue"/>
          </w:tcPr>
          <w:p>
            <w:pPr>
              <w:spacing w:after="0"/>
              <w:rPr>
                <w:sz w:val="16"/>
                <w:szCs w:val="16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27"/>
        </w:trPr>
        <w:tc>
          <w:tcPr>
            <w:tcW w:w="2380" w:type="dxa"/>
            <w:vAlign w:val="bottom"/>
            <w:vMerge w:val="continue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2340" w:type="dxa"/>
            <w:vAlign w:val="bottom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3520" w:type="dxa"/>
            <w:vAlign w:val="bottom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1380" w:type="dxa"/>
            <w:vAlign w:val="bottom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3580" w:type="dxa"/>
            <w:vAlign w:val="bottom"/>
          </w:tcPr>
          <w:p>
            <w:pPr>
              <w:spacing w:after="0"/>
              <w:rPr>
                <w:sz w:val="11"/>
                <w:szCs w:val="11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07"/>
        </w:trPr>
        <w:tc>
          <w:tcPr>
            <w:tcW w:w="4720" w:type="dxa"/>
            <w:vAlign w:val="bottom"/>
            <w:gridSpan w:val="2"/>
          </w:tcPr>
          <w:p>
            <w:pPr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2"/>
                <w:szCs w:val="22"/>
                <w:color w:val="auto"/>
              </w:rPr>
              <w:t>manera directa y sin ser su</w:t>
            </w:r>
          </w:p>
        </w:tc>
        <w:tc>
          <w:tcPr>
            <w:tcW w:w="35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3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5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07"/>
        </w:trPr>
        <w:tc>
          <w:tcPr>
            <w:tcW w:w="2380" w:type="dxa"/>
            <w:vAlign w:val="bottom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2"/>
                <w:szCs w:val="22"/>
                <w:color w:val="auto"/>
              </w:rPr>
              <w:t>propósito. Influyen en la</w:t>
            </w:r>
          </w:p>
        </w:tc>
        <w:tc>
          <w:tcPr>
            <w:tcW w:w="23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5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3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5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12"/>
        </w:trPr>
        <w:tc>
          <w:tcPr>
            <w:tcW w:w="2380" w:type="dxa"/>
            <w:vAlign w:val="bottom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2"/>
                <w:szCs w:val="22"/>
                <w:color w:val="auto"/>
                <w:w w:val="98"/>
              </w:rPr>
              <w:t>realización de</w:t>
            </w:r>
          </w:p>
        </w:tc>
        <w:tc>
          <w:tcPr>
            <w:tcW w:w="23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5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3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5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75"/>
        </w:trPr>
        <w:tc>
          <w:tcPr>
            <w:tcW w:w="2380" w:type="dxa"/>
            <w:vAlign w:val="bottom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2"/>
                <w:szCs w:val="22"/>
                <w:color w:val="auto"/>
                <w:w w:val="99"/>
              </w:rPr>
              <w:t>capacidades.</w:t>
            </w:r>
          </w:p>
        </w:tc>
        <w:tc>
          <w:tcPr>
            <w:tcW w:w="23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5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3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580" w:type="dxa"/>
            <w:vAlign w:val="bottom"/>
          </w:tcPr>
          <w:p>
            <w:pPr>
              <w:jc w:val="center"/>
              <w:ind w:left="351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2"/>
                <w:szCs w:val="22"/>
                <w:color w:val="auto"/>
                <w:w w:val="99"/>
              </w:rPr>
              <w:t>Distingue pobreza/riqueza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07"/>
        </w:trPr>
        <w:tc>
          <w:tcPr>
            <w:tcW w:w="23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3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5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3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580" w:type="dxa"/>
            <w:vAlign w:val="bottom"/>
          </w:tcPr>
          <w:p>
            <w:pPr>
              <w:jc w:val="center"/>
              <w:ind w:left="371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2"/>
                <w:szCs w:val="22"/>
                <w:color w:val="auto"/>
              </w:rPr>
              <w:t>humana de riqueza/pobreza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12"/>
        </w:trPr>
        <w:tc>
          <w:tcPr>
            <w:tcW w:w="23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3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5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3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580" w:type="dxa"/>
            <w:vAlign w:val="bottom"/>
          </w:tcPr>
          <w:p>
            <w:pPr>
              <w:jc w:val="center"/>
              <w:ind w:left="391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2"/>
                <w:szCs w:val="22"/>
                <w:color w:val="auto"/>
              </w:rPr>
              <w:t>económica, dentro de cada una se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07"/>
        </w:trPr>
        <w:tc>
          <w:tcPr>
            <w:tcW w:w="23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3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520" w:type="dxa"/>
            <w:vAlign w:val="bottom"/>
            <w:vMerge w:val="restart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36"/>
                <w:szCs w:val="36"/>
                <w:b w:val="1"/>
                <w:bCs w:val="1"/>
                <w:u w:val="single" w:color="auto"/>
                <w:color w:val="auto"/>
                <w:w w:val="99"/>
              </w:rPr>
              <w:t>FLORECIMIENTO</w:t>
            </w:r>
          </w:p>
        </w:tc>
        <w:tc>
          <w:tcPr>
            <w:tcW w:w="13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580" w:type="dxa"/>
            <w:vAlign w:val="bottom"/>
          </w:tcPr>
          <w:p>
            <w:pPr>
              <w:jc w:val="center"/>
              <w:ind w:left="391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2"/>
                <w:szCs w:val="22"/>
                <w:color w:val="auto"/>
              </w:rPr>
              <w:t>distingue la dimensión del ser y la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07"/>
        </w:trPr>
        <w:tc>
          <w:tcPr>
            <w:tcW w:w="23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3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520" w:type="dxa"/>
            <w:vAlign w:val="bottom"/>
            <w:vMerge w:val="continue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3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580" w:type="dxa"/>
            <w:vAlign w:val="bottom"/>
          </w:tcPr>
          <w:p>
            <w:pPr>
              <w:jc w:val="center"/>
              <w:ind w:left="351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2"/>
                <w:szCs w:val="22"/>
                <w:color w:val="auto"/>
              </w:rPr>
              <w:t>del estar.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48"/>
        </w:trPr>
        <w:tc>
          <w:tcPr>
            <w:tcW w:w="238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234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3520" w:type="dxa"/>
            <w:vAlign w:val="bottom"/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138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358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504"/>
        </w:trPr>
        <w:tc>
          <w:tcPr>
            <w:tcW w:w="23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3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520" w:type="dxa"/>
            <w:vAlign w:val="bottom"/>
          </w:tcPr>
          <w:p>
            <w:pPr>
              <w:jc w:val="center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36"/>
                <w:szCs w:val="36"/>
                <w:b w:val="1"/>
                <w:bCs w:val="1"/>
                <w:u w:val="single" w:color="auto"/>
                <w:color w:val="auto"/>
                <w:w w:val="98"/>
              </w:rPr>
              <w:t>HUMANO</w:t>
            </w:r>
          </w:p>
        </w:tc>
        <w:tc>
          <w:tcPr>
            <w:tcW w:w="13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5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599"/>
        </w:trPr>
        <w:tc>
          <w:tcPr>
            <w:tcW w:w="2380" w:type="dxa"/>
            <w:vAlign w:val="bottom"/>
          </w:tcPr>
          <w:p>
            <w:pPr>
              <w:jc w:val="center"/>
              <w:ind w:right="192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2"/>
                <w:szCs w:val="22"/>
                <w:color w:val="auto"/>
              </w:rPr>
              <w:t>Partir de la</w:t>
            </w:r>
          </w:p>
        </w:tc>
        <w:tc>
          <w:tcPr>
            <w:tcW w:w="23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5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3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5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07"/>
        </w:trPr>
        <w:tc>
          <w:tcPr>
            <w:tcW w:w="2380" w:type="dxa"/>
            <w:vAlign w:val="bottom"/>
          </w:tcPr>
          <w:p>
            <w:pPr>
              <w:jc w:val="center"/>
              <w:ind w:right="212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2"/>
                <w:szCs w:val="22"/>
                <w:color w:val="auto"/>
                <w:w w:val="98"/>
              </w:rPr>
              <w:t>reproducción</w:t>
            </w:r>
          </w:p>
        </w:tc>
        <w:tc>
          <w:tcPr>
            <w:tcW w:w="23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52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13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580" w:type="dxa"/>
            <w:vAlign w:val="bottom"/>
            <w:vMerge w:val="restart"/>
          </w:tcPr>
          <w:p>
            <w:pPr>
              <w:jc w:val="center"/>
              <w:ind w:left="591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2"/>
                <w:szCs w:val="22"/>
                <w:color w:val="auto"/>
              </w:rPr>
              <w:t>A nivel social distingue la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61"/>
        </w:trPr>
        <w:tc>
          <w:tcPr>
            <w:tcW w:w="2380" w:type="dxa"/>
            <w:vAlign w:val="bottom"/>
            <w:vMerge w:val="restart"/>
          </w:tcPr>
          <w:p>
            <w:pPr>
              <w:jc w:val="center"/>
              <w:ind w:right="212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2"/>
                <w:szCs w:val="22"/>
                <w:color w:val="auto"/>
              </w:rPr>
              <w:t>biológica como una</w:t>
            </w:r>
          </w:p>
        </w:tc>
        <w:tc>
          <w:tcPr>
            <w:tcW w:w="2340" w:type="dxa"/>
            <w:vAlign w:val="bottom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3520" w:type="dxa"/>
            <w:vAlign w:val="bottom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1380" w:type="dxa"/>
            <w:vAlign w:val="bottom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3580" w:type="dxa"/>
            <w:vAlign w:val="bottom"/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46"/>
        </w:trPr>
        <w:tc>
          <w:tcPr>
            <w:tcW w:w="2380" w:type="dxa"/>
            <w:vAlign w:val="bottom"/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234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352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138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3580" w:type="dxa"/>
            <w:vAlign w:val="bottom"/>
            <w:vMerge w:val="restart"/>
          </w:tcPr>
          <w:p>
            <w:pPr>
              <w:jc w:val="center"/>
              <w:ind w:left="591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2"/>
                <w:szCs w:val="22"/>
                <w:color w:val="auto"/>
              </w:rPr>
              <w:t>creación de los presupuestos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61"/>
        </w:trPr>
        <w:tc>
          <w:tcPr>
            <w:tcW w:w="2380" w:type="dxa"/>
            <w:vAlign w:val="bottom"/>
            <w:vMerge w:val="restart"/>
          </w:tcPr>
          <w:p>
            <w:pPr>
              <w:jc w:val="center"/>
              <w:ind w:right="212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2"/>
                <w:szCs w:val="22"/>
                <w:color w:val="auto"/>
              </w:rPr>
              <w:t>necesidad humana</w:t>
            </w:r>
          </w:p>
        </w:tc>
        <w:tc>
          <w:tcPr>
            <w:tcW w:w="2340" w:type="dxa"/>
            <w:vAlign w:val="bottom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3520" w:type="dxa"/>
            <w:vAlign w:val="bottom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1380" w:type="dxa"/>
            <w:vAlign w:val="bottom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3580" w:type="dxa"/>
            <w:vAlign w:val="bottom"/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51"/>
        </w:trPr>
        <w:tc>
          <w:tcPr>
            <w:tcW w:w="2380" w:type="dxa"/>
            <w:vAlign w:val="bottom"/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2340" w:type="dxa"/>
            <w:vAlign w:val="bottom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3520" w:type="dxa"/>
            <w:vAlign w:val="bottom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1380" w:type="dxa"/>
            <w:vAlign w:val="bottom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3580" w:type="dxa"/>
            <w:vAlign w:val="bottom"/>
            <w:vMerge w:val="restart"/>
          </w:tcPr>
          <w:p>
            <w:pPr>
              <w:jc w:val="center"/>
              <w:ind w:left="611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2"/>
                <w:szCs w:val="22"/>
                <w:color w:val="auto"/>
              </w:rPr>
              <w:t>para el desarrollo de las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61"/>
        </w:trPr>
        <w:tc>
          <w:tcPr>
            <w:tcW w:w="2380" w:type="dxa"/>
            <w:vAlign w:val="bottom"/>
            <w:vMerge w:val="restart"/>
          </w:tcPr>
          <w:p>
            <w:pPr>
              <w:jc w:val="center"/>
              <w:ind w:right="212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2"/>
                <w:szCs w:val="22"/>
                <w:color w:val="auto"/>
                <w:w w:val="99"/>
              </w:rPr>
              <w:t>implica un cambio</w:t>
            </w:r>
          </w:p>
        </w:tc>
        <w:tc>
          <w:tcPr>
            <w:tcW w:w="2340" w:type="dxa"/>
            <w:vAlign w:val="bottom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3520" w:type="dxa"/>
            <w:vAlign w:val="bottom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1380" w:type="dxa"/>
            <w:vAlign w:val="bottom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3580" w:type="dxa"/>
            <w:vAlign w:val="bottom"/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46"/>
        </w:trPr>
        <w:tc>
          <w:tcPr>
            <w:tcW w:w="2380" w:type="dxa"/>
            <w:vAlign w:val="bottom"/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234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352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138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3580" w:type="dxa"/>
            <w:vAlign w:val="bottom"/>
            <w:vMerge w:val="restart"/>
          </w:tcPr>
          <w:p>
            <w:pPr>
              <w:jc w:val="center"/>
              <w:ind w:left="611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2"/>
                <w:szCs w:val="22"/>
                <w:color w:val="auto"/>
              </w:rPr>
              <w:t>necesidades y capacidades y la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61"/>
        </w:trPr>
        <w:tc>
          <w:tcPr>
            <w:tcW w:w="2380" w:type="dxa"/>
            <w:vAlign w:val="bottom"/>
            <w:vMerge w:val="restart"/>
          </w:tcPr>
          <w:p>
            <w:pPr>
              <w:jc w:val="center"/>
              <w:ind w:right="192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2"/>
                <w:szCs w:val="22"/>
                <w:color w:val="auto"/>
              </w:rPr>
              <w:t>importante en la</w:t>
            </w:r>
          </w:p>
        </w:tc>
        <w:tc>
          <w:tcPr>
            <w:tcW w:w="2340" w:type="dxa"/>
            <w:vAlign w:val="bottom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3520" w:type="dxa"/>
            <w:vAlign w:val="bottom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1380" w:type="dxa"/>
            <w:vAlign w:val="bottom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3580" w:type="dxa"/>
            <w:vAlign w:val="bottom"/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46"/>
        </w:trPr>
        <w:tc>
          <w:tcPr>
            <w:tcW w:w="2380" w:type="dxa"/>
            <w:vAlign w:val="bottom"/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234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352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138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3580" w:type="dxa"/>
            <w:vAlign w:val="bottom"/>
            <w:vMerge w:val="restart"/>
          </w:tcPr>
          <w:p>
            <w:pPr>
              <w:jc w:val="center"/>
              <w:ind w:left="591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2"/>
                <w:szCs w:val="22"/>
                <w:color w:val="auto"/>
              </w:rPr>
              <w:t>creación de las condiciones de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61"/>
        </w:trPr>
        <w:tc>
          <w:tcPr>
            <w:tcW w:w="2380" w:type="dxa"/>
            <w:vAlign w:val="bottom"/>
            <w:vMerge w:val="restart"/>
          </w:tcPr>
          <w:p>
            <w:pPr>
              <w:jc w:val="center"/>
              <w:ind w:right="212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2"/>
                <w:szCs w:val="22"/>
                <w:color w:val="auto"/>
              </w:rPr>
              <w:t>política de la</w:t>
            </w:r>
          </w:p>
        </w:tc>
        <w:tc>
          <w:tcPr>
            <w:tcW w:w="2340" w:type="dxa"/>
            <w:vAlign w:val="bottom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3520" w:type="dxa"/>
            <w:vAlign w:val="bottom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1380" w:type="dxa"/>
            <w:vAlign w:val="bottom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3580" w:type="dxa"/>
            <w:vAlign w:val="bottom"/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51"/>
        </w:trPr>
        <w:tc>
          <w:tcPr>
            <w:tcW w:w="2380" w:type="dxa"/>
            <w:vAlign w:val="bottom"/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2340" w:type="dxa"/>
            <w:vAlign w:val="bottom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3520" w:type="dxa"/>
            <w:vAlign w:val="bottom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1380" w:type="dxa"/>
            <w:vAlign w:val="bottom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3580" w:type="dxa"/>
            <w:vAlign w:val="bottom"/>
            <w:vMerge w:val="restart"/>
          </w:tcPr>
          <w:p>
            <w:pPr>
              <w:jc w:val="center"/>
              <w:ind w:left="611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2"/>
                <w:szCs w:val="22"/>
                <w:color w:val="auto"/>
              </w:rPr>
              <w:t>para la satisfacción de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61"/>
        </w:trPr>
        <w:tc>
          <w:tcPr>
            <w:tcW w:w="2380" w:type="dxa"/>
            <w:vAlign w:val="bottom"/>
            <w:vMerge w:val="restart"/>
          </w:tcPr>
          <w:p>
            <w:pPr>
              <w:jc w:val="center"/>
              <w:ind w:right="212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2"/>
                <w:szCs w:val="22"/>
                <w:color w:val="auto"/>
              </w:rPr>
              <w:t>población.</w:t>
            </w:r>
          </w:p>
        </w:tc>
        <w:tc>
          <w:tcPr>
            <w:tcW w:w="2340" w:type="dxa"/>
            <w:vAlign w:val="bottom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3520" w:type="dxa"/>
            <w:vAlign w:val="bottom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1380" w:type="dxa"/>
            <w:vAlign w:val="bottom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3580" w:type="dxa"/>
            <w:vAlign w:val="bottom"/>
            <w:vMerge w:val="continue"/>
          </w:tcPr>
          <w:p>
            <w:pPr>
              <w:spacing w:after="0"/>
              <w:rPr>
                <w:sz w:val="13"/>
                <w:szCs w:val="13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46"/>
        </w:trPr>
        <w:tc>
          <w:tcPr>
            <w:tcW w:w="2380" w:type="dxa"/>
            <w:vAlign w:val="bottom"/>
            <w:vMerge w:val="continue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234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352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138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3580" w:type="dxa"/>
            <w:vAlign w:val="bottom"/>
          </w:tcPr>
          <w:p>
            <w:pPr>
              <w:spacing w:after="0"/>
              <w:rPr>
                <w:sz w:val="12"/>
                <w:szCs w:val="12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075"/>
        </w:trPr>
        <w:tc>
          <w:tcPr>
            <w:tcW w:w="23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340" w:type="dxa"/>
            <w:vAlign w:val="bottom"/>
          </w:tcPr>
          <w:p>
            <w:pPr>
              <w:jc w:val="center"/>
              <w:ind w:right="27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2"/>
                <w:szCs w:val="22"/>
                <w:color w:val="auto"/>
              </w:rPr>
              <w:t>El sentido del desarrollo</w:t>
            </w:r>
          </w:p>
        </w:tc>
        <w:tc>
          <w:tcPr>
            <w:tcW w:w="3520" w:type="dxa"/>
            <w:vAlign w:val="bottom"/>
            <w:vMerge w:val="restart"/>
          </w:tcPr>
          <w:p>
            <w:pPr>
              <w:jc w:val="center"/>
              <w:ind w:left="914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2"/>
                <w:szCs w:val="22"/>
                <w:color w:val="auto"/>
                <w:w w:val="99"/>
              </w:rPr>
              <w:t>La satisfacción de</w:t>
            </w:r>
          </w:p>
        </w:tc>
        <w:tc>
          <w:tcPr>
            <w:tcW w:w="13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580" w:type="dxa"/>
            <w:vAlign w:val="bottom"/>
            <w:vMerge w:val="restart"/>
          </w:tcPr>
          <w:p>
            <w:pPr>
              <w:jc w:val="center"/>
              <w:ind w:left="31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2"/>
                <w:szCs w:val="22"/>
                <w:color w:val="auto"/>
              </w:rPr>
              <w:t>La pobreza económica es solo el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99"/>
        </w:trPr>
        <w:tc>
          <w:tcPr>
            <w:tcW w:w="2380" w:type="dxa"/>
            <w:vAlign w:val="bottom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2340" w:type="dxa"/>
            <w:vAlign w:val="bottom"/>
            <w:vMerge w:val="restart"/>
          </w:tcPr>
          <w:p>
            <w:pPr>
              <w:jc w:val="center"/>
              <w:ind w:right="7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2"/>
                <w:szCs w:val="22"/>
                <w:color w:val="auto"/>
              </w:rPr>
              <w:t>de las necesidades es su</w:t>
            </w:r>
          </w:p>
        </w:tc>
        <w:tc>
          <w:tcPr>
            <w:tcW w:w="3520" w:type="dxa"/>
            <w:vAlign w:val="bottom"/>
            <w:vMerge w:val="continue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1380" w:type="dxa"/>
            <w:vAlign w:val="bottom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3580" w:type="dxa"/>
            <w:vAlign w:val="bottom"/>
            <w:vMerge w:val="continue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3"/>
        </w:trPr>
        <w:tc>
          <w:tcPr>
            <w:tcW w:w="238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2340" w:type="dxa"/>
            <w:vAlign w:val="bottom"/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3520" w:type="dxa"/>
            <w:vAlign w:val="bottom"/>
            <w:vMerge w:val="restart"/>
          </w:tcPr>
          <w:p>
            <w:pPr>
              <w:jc w:val="center"/>
              <w:ind w:left="914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2"/>
                <w:szCs w:val="22"/>
                <w:color w:val="auto"/>
                <w:w w:val="99"/>
              </w:rPr>
              <w:t>necesidades hace</w:t>
            </w:r>
          </w:p>
        </w:tc>
        <w:tc>
          <w:tcPr>
            <w:tcW w:w="138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3580" w:type="dxa"/>
            <w:vAlign w:val="bottom"/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96"/>
        </w:trPr>
        <w:tc>
          <w:tcPr>
            <w:tcW w:w="2380" w:type="dxa"/>
            <w:vAlign w:val="bottom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2340" w:type="dxa"/>
            <w:vAlign w:val="bottom"/>
            <w:vMerge w:val="continue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3520" w:type="dxa"/>
            <w:vAlign w:val="bottom"/>
            <w:vMerge w:val="continue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1380" w:type="dxa"/>
            <w:vAlign w:val="bottom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3580" w:type="dxa"/>
            <w:vAlign w:val="bottom"/>
            <w:vMerge w:val="restart"/>
          </w:tcPr>
          <w:p>
            <w:pPr>
              <w:jc w:val="center"/>
              <w:ind w:left="51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2"/>
                <w:szCs w:val="22"/>
                <w:color w:val="auto"/>
              </w:rPr>
              <w:t>primer obstáculo a vencer el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03"/>
        </w:trPr>
        <w:tc>
          <w:tcPr>
            <w:tcW w:w="2380" w:type="dxa"/>
            <w:vAlign w:val="bottom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2340" w:type="dxa"/>
            <w:vAlign w:val="bottom"/>
            <w:vMerge w:val="restart"/>
          </w:tcPr>
          <w:p>
            <w:pPr>
              <w:jc w:val="center"/>
              <w:ind w:right="7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2"/>
                <w:szCs w:val="22"/>
                <w:color w:val="auto"/>
              </w:rPr>
              <w:t>extensión.</w:t>
            </w:r>
          </w:p>
        </w:tc>
        <w:tc>
          <w:tcPr>
            <w:tcW w:w="3520" w:type="dxa"/>
            <w:vAlign w:val="bottom"/>
            <w:vMerge w:val="continue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1380" w:type="dxa"/>
            <w:vAlign w:val="bottom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3580" w:type="dxa"/>
            <w:vAlign w:val="bottom"/>
            <w:vMerge w:val="continue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3"/>
        </w:trPr>
        <w:tc>
          <w:tcPr>
            <w:tcW w:w="238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2340" w:type="dxa"/>
            <w:vAlign w:val="bottom"/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3520" w:type="dxa"/>
            <w:vAlign w:val="bottom"/>
            <w:vMerge w:val="restart"/>
          </w:tcPr>
          <w:p>
            <w:pPr>
              <w:jc w:val="center"/>
              <w:ind w:left="934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2"/>
                <w:szCs w:val="22"/>
                <w:color w:val="auto"/>
              </w:rPr>
              <w:t>posible el desarrollo de</w:t>
            </w:r>
          </w:p>
        </w:tc>
        <w:tc>
          <w:tcPr>
            <w:tcW w:w="138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3580" w:type="dxa"/>
            <w:vAlign w:val="bottom"/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96"/>
        </w:trPr>
        <w:tc>
          <w:tcPr>
            <w:tcW w:w="2380" w:type="dxa"/>
            <w:vAlign w:val="bottom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2340" w:type="dxa"/>
            <w:vAlign w:val="bottom"/>
            <w:vMerge w:val="continue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3520" w:type="dxa"/>
            <w:vAlign w:val="bottom"/>
            <w:vMerge w:val="continue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1380" w:type="dxa"/>
            <w:vAlign w:val="bottom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3580" w:type="dxa"/>
            <w:vAlign w:val="bottom"/>
            <w:vMerge w:val="restart"/>
          </w:tcPr>
          <w:p>
            <w:pPr>
              <w:jc w:val="center"/>
              <w:ind w:left="31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2"/>
                <w:szCs w:val="22"/>
                <w:color w:val="auto"/>
                <w:w w:val="99"/>
              </w:rPr>
              <w:t>florecimiento humano.</w:t>
            </w: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99"/>
        </w:trPr>
        <w:tc>
          <w:tcPr>
            <w:tcW w:w="2380" w:type="dxa"/>
            <w:vAlign w:val="bottom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2340" w:type="dxa"/>
            <w:vAlign w:val="bottom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3520" w:type="dxa"/>
            <w:vAlign w:val="bottom"/>
            <w:vMerge w:val="continue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1380" w:type="dxa"/>
            <w:vAlign w:val="bottom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3580" w:type="dxa"/>
            <w:vAlign w:val="bottom"/>
            <w:vMerge w:val="continue"/>
          </w:tcPr>
          <w:p>
            <w:pPr>
              <w:spacing w:after="0"/>
              <w:rPr>
                <w:sz w:val="8"/>
                <w:szCs w:val="8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13"/>
        </w:trPr>
        <w:tc>
          <w:tcPr>
            <w:tcW w:w="238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234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3520" w:type="dxa"/>
            <w:vAlign w:val="bottom"/>
            <w:vMerge w:val="restart"/>
          </w:tcPr>
          <w:p>
            <w:pPr>
              <w:jc w:val="center"/>
              <w:ind w:left="894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2"/>
                <w:szCs w:val="22"/>
                <w:color w:val="auto"/>
                <w:w w:val="99"/>
              </w:rPr>
              <w:t>capacidades de las</w:t>
            </w:r>
          </w:p>
        </w:tc>
        <w:tc>
          <w:tcPr>
            <w:tcW w:w="1380" w:type="dxa"/>
            <w:vAlign w:val="bottom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3580" w:type="dxa"/>
            <w:vAlign w:val="bottom"/>
            <w:vMerge w:val="continue"/>
          </w:tcPr>
          <w:p>
            <w:pPr>
              <w:spacing w:after="0"/>
              <w:rPr>
                <w:sz w:val="9"/>
                <w:szCs w:val="9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195"/>
        </w:trPr>
        <w:tc>
          <w:tcPr>
            <w:tcW w:w="2380" w:type="dxa"/>
            <w:vAlign w:val="bottom"/>
          </w:tcPr>
          <w:p>
            <w:pPr>
              <w:spacing w:after="0"/>
              <w:rPr>
                <w:sz w:val="16"/>
                <w:szCs w:val="16"/>
                <w:color w:val="auto"/>
              </w:rPr>
            </w:pPr>
          </w:p>
        </w:tc>
        <w:tc>
          <w:tcPr>
            <w:tcW w:w="2340" w:type="dxa"/>
            <w:vAlign w:val="bottom"/>
          </w:tcPr>
          <w:p>
            <w:pPr>
              <w:spacing w:after="0"/>
              <w:rPr>
                <w:sz w:val="16"/>
                <w:szCs w:val="16"/>
                <w:color w:val="auto"/>
              </w:rPr>
            </w:pPr>
          </w:p>
        </w:tc>
        <w:tc>
          <w:tcPr>
            <w:tcW w:w="3520" w:type="dxa"/>
            <w:vAlign w:val="bottom"/>
            <w:vMerge w:val="continue"/>
          </w:tcPr>
          <w:p>
            <w:pPr>
              <w:spacing w:after="0"/>
              <w:rPr>
                <w:sz w:val="16"/>
                <w:szCs w:val="16"/>
                <w:color w:val="auto"/>
              </w:rPr>
            </w:pPr>
          </w:p>
        </w:tc>
        <w:tc>
          <w:tcPr>
            <w:tcW w:w="1380" w:type="dxa"/>
            <w:vAlign w:val="bottom"/>
          </w:tcPr>
          <w:p>
            <w:pPr>
              <w:spacing w:after="0"/>
              <w:rPr>
                <w:sz w:val="16"/>
                <w:szCs w:val="16"/>
                <w:color w:val="auto"/>
              </w:rPr>
            </w:pPr>
          </w:p>
        </w:tc>
        <w:tc>
          <w:tcPr>
            <w:tcW w:w="3580" w:type="dxa"/>
            <w:vAlign w:val="bottom"/>
          </w:tcPr>
          <w:p>
            <w:pPr>
              <w:spacing w:after="0"/>
              <w:rPr>
                <w:sz w:val="16"/>
                <w:szCs w:val="16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  <w:tr>
        <w:trPr>
          <w:trHeight w:val="312"/>
        </w:trPr>
        <w:tc>
          <w:tcPr>
            <w:tcW w:w="23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234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520" w:type="dxa"/>
            <w:vAlign w:val="bottom"/>
          </w:tcPr>
          <w:p>
            <w:pPr>
              <w:jc w:val="center"/>
              <w:ind w:left="914"/>
              <w:spacing w:after="0"/>
              <w:rPr>
                <w:sz w:val="20"/>
                <w:szCs w:val="20"/>
                <w:color w:val="auto"/>
              </w:rPr>
            </w:pPr>
            <w:r>
              <w:rPr>
                <w:rFonts w:ascii="Calibri" w:cs="Calibri" w:eastAsia="Calibri" w:hAnsi="Calibri"/>
                <w:sz w:val="22"/>
                <w:szCs w:val="22"/>
                <w:color w:val="auto"/>
              </w:rPr>
              <w:t>personas.</w:t>
            </w:r>
          </w:p>
        </w:tc>
        <w:tc>
          <w:tcPr>
            <w:tcW w:w="13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3580" w:type="dxa"/>
            <w:vAlign w:val="bottom"/>
          </w:tcPr>
          <w:p>
            <w:pPr>
              <w:spacing w:after="0"/>
              <w:rPr>
                <w:sz w:val="24"/>
                <w:szCs w:val="24"/>
                <w:color w:val="auto"/>
              </w:rPr>
            </w:pPr>
          </w:p>
        </w:tc>
        <w:tc>
          <w:tcPr>
            <w:tcW w:w="0" w:type="dxa"/>
            <w:vAlign w:val="bottom"/>
          </w:tcPr>
          <w:p>
            <w:pPr>
              <w:spacing w:after="0"/>
              <w:rPr>
                <w:sz w:val="1"/>
                <w:szCs w:val="1"/>
                <w:color w:val="auto"/>
              </w:rPr>
            </w:pPr>
          </w:p>
        </w:tc>
      </w:tr>
    </w:tbl>
    <w:p>
      <w:pPr>
        <w:spacing w:after="0" w:line="1" w:lineRule="exact"/>
        <w:rPr>
          <w:sz w:val="24"/>
          <w:szCs w:val="24"/>
          <w:color w:val="auto"/>
        </w:rPr>
      </w:pPr>
    </w:p>
    <w:sectPr>
      <w:pgSz w:w="15840" w:h="12240" w:orient="landscape"/>
      <w:cols w:equalWidth="0" w:num="1">
        <w:col w:w="13200"/>
      </w:cols>
      <w:pgMar w:left="1220" w:top="966" w:right="1420" w:bottom="869" w:gutter="0" w:footer="0" w:header="0"/>
    </w:sectPr>
  </w:body>
</w:document>
</file>

<file path=word/fontTable.xml><?xml version="1.0" encoding="utf-8"?>
<w:fonts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styles.xml><?xml version="1.0" encoding="utf-8"?>
<w:styles xmlns:w="http://schemas.openxmlformats.org/wordprocessingml/2006/main">
  <w:docDefaults>
    <w:rPrDefault>
      <w:rPr>
        <w:rFonts w:eastAsiaTheme="minorEastAsia"/>
        <w:sz w:val="22"/>
        <w:szCs w:val="22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Layout w:type="fixed"/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
<Relationships xmlns="http://schemas.openxmlformats.org/package/2006/relationships"><Relationship Id="rId3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8" Type="http://schemas.openxmlformats.org/officeDocument/2006/relationships/image" Target="media/image1.jpeg"/>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2017-06-01T17:06:12Z</dcterms:created>
  <dcterms:modified xsi:type="dcterms:W3CDTF">2017-06-01T17:06:12Z</dcterms:modified>
</cp:coreProperties>
</file>