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Default Extension="jpeg" ContentType="image/jpeg"/>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spacing w:before="5"/>
        <w:rPr>
          <w:rFonts w:ascii="Times New Roman"/>
          <w:sz w:val="16"/>
        </w:rPr>
      </w:pPr>
    </w:p>
    <w:p>
      <w:pPr>
        <w:spacing w:before="59"/>
        <w:ind w:left="2695" w:right="0" w:firstLine="0"/>
        <w:jc w:val="left"/>
        <w:rPr>
          <w:b/>
          <w:i/>
          <w:sz w:val="32"/>
        </w:rPr>
      </w:pPr>
      <w:r>
        <w:rPr/>
        <w:drawing>
          <wp:anchor distT="0" distB="0" distL="0" distR="0" allowOverlap="1" layoutInCell="1" locked="0" behindDoc="0" simplePos="0" relativeHeight="0">
            <wp:simplePos x="0" y="0"/>
            <wp:positionH relativeFrom="page">
              <wp:posOffset>752475</wp:posOffset>
            </wp:positionH>
            <wp:positionV relativeFrom="paragraph">
              <wp:posOffset>-270664</wp:posOffset>
            </wp:positionV>
            <wp:extent cx="1400810" cy="1143000"/>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6" cstate="print"/>
                    <a:stretch>
                      <a:fillRect/>
                    </a:stretch>
                  </pic:blipFill>
                  <pic:spPr>
                    <a:xfrm>
                      <a:off x="0" y="0"/>
                      <a:ext cx="1400810" cy="1143000"/>
                    </a:xfrm>
                    <a:prstGeom prst="rect">
                      <a:avLst/>
                    </a:prstGeom>
                  </pic:spPr>
                </pic:pic>
              </a:graphicData>
            </a:graphic>
          </wp:anchor>
        </w:drawing>
      </w:r>
      <w:r>
        <w:rPr>
          <w:b/>
          <w:i/>
          <w:sz w:val="32"/>
          <w:u w:val="thick"/>
        </w:rPr>
        <w:t>Universidad Autónoma del Estado de México</w:t>
      </w:r>
    </w:p>
    <w:p>
      <w:pPr>
        <w:spacing w:before="2"/>
        <w:ind w:left="2695" w:right="0" w:firstLine="0"/>
        <w:jc w:val="left"/>
        <w:rPr>
          <w:sz w:val="32"/>
        </w:rPr>
      </w:pPr>
      <w:r>
        <w:rPr>
          <w:sz w:val="32"/>
        </w:rPr>
        <w:t>Centro Universitario UAEM Valle de Teotihuacán</w:t>
      </w:r>
    </w:p>
    <w:p>
      <w:pPr>
        <w:pStyle w:val="BodyText"/>
        <w:rPr>
          <w:sz w:val="32"/>
        </w:rPr>
      </w:pPr>
    </w:p>
    <w:p>
      <w:pPr>
        <w:pStyle w:val="BodyText"/>
        <w:rPr>
          <w:sz w:val="32"/>
        </w:rPr>
      </w:pPr>
    </w:p>
    <w:p>
      <w:pPr>
        <w:pStyle w:val="BodyText"/>
        <w:rPr>
          <w:sz w:val="32"/>
        </w:rPr>
      </w:pPr>
    </w:p>
    <w:p>
      <w:pPr>
        <w:pStyle w:val="BodyText"/>
        <w:rPr>
          <w:sz w:val="32"/>
        </w:rPr>
      </w:pPr>
    </w:p>
    <w:p>
      <w:pPr>
        <w:pStyle w:val="BodyText"/>
        <w:spacing w:before="2"/>
        <w:rPr>
          <w:sz w:val="26"/>
        </w:rPr>
      </w:pPr>
    </w:p>
    <w:p>
      <w:pPr>
        <w:spacing w:before="0"/>
        <w:ind w:left="4009" w:right="0" w:hanging="1556"/>
        <w:jc w:val="left"/>
        <w:rPr>
          <w:b/>
          <w:i/>
          <w:sz w:val="32"/>
        </w:rPr>
      </w:pPr>
      <w:r>
        <w:rPr>
          <w:b/>
          <w:i/>
          <w:sz w:val="32"/>
        </w:rPr>
        <w:t>LICENCIATURA EN CONTADURÍA</w:t>
      </w:r>
    </w:p>
    <w:p>
      <w:pPr>
        <w:pStyle w:val="BodyText"/>
        <w:rPr>
          <w:b/>
          <w:i/>
          <w:sz w:val="32"/>
        </w:rPr>
      </w:pPr>
    </w:p>
    <w:p>
      <w:pPr>
        <w:pStyle w:val="BodyText"/>
        <w:rPr>
          <w:b/>
          <w:i/>
          <w:sz w:val="32"/>
        </w:rPr>
      </w:pPr>
    </w:p>
    <w:p>
      <w:pPr>
        <w:pStyle w:val="BodyText"/>
        <w:spacing w:before="10"/>
        <w:rPr>
          <w:b/>
          <w:i/>
          <w:sz w:val="34"/>
        </w:rPr>
      </w:pPr>
    </w:p>
    <w:p>
      <w:pPr>
        <w:spacing w:line="489" w:lineRule="auto" w:before="0"/>
        <w:ind w:left="2765" w:right="1882" w:firstLine="1243"/>
        <w:jc w:val="left"/>
        <w:rPr>
          <w:b/>
          <w:sz w:val="32"/>
        </w:rPr>
      </w:pPr>
      <w:r>
        <w:rPr>
          <w:b/>
          <w:sz w:val="32"/>
        </w:rPr>
        <w:t>APUNTES DE SIMULACIÓN CONTABILIDAD</w:t>
      </w:r>
    </w:p>
    <w:p>
      <w:pPr>
        <w:pStyle w:val="BodyText"/>
        <w:rPr>
          <w:b/>
          <w:sz w:val="20"/>
        </w:rPr>
      </w:pPr>
    </w:p>
    <w:p>
      <w:pPr>
        <w:pStyle w:val="BodyText"/>
        <w:rPr>
          <w:b/>
          <w:sz w:val="20"/>
        </w:rPr>
      </w:pPr>
    </w:p>
    <w:p>
      <w:pPr>
        <w:pStyle w:val="BodyText"/>
        <w:spacing w:before="9" w:after="1"/>
        <w:rPr>
          <w:b/>
          <w:sz w:val="14"/>
        </w:rPr>
      </w:pPr>
    </w:p>
    <w:tbl>
      <w:tblPr>
        <w:tblW w:w="0" w:type="auto"/>
        <w:jc w:val="left"/>
        <w:tblInd w:w="5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18"/>
        <w:gridCol w:w="1049"/>
        <w:gridCol w:w="1143"/>
        <w:gridCol w:w="962"/>
        <w:gridCol w:w="1208"/>
        <w:gridCol w:w="1378"/>
        <w:gridCol w:w="1191"/>
        <w:gridCol w:w="1375"/>
      </w:tblGrid>
      <w:tr>
        <w:trPr>
          <w:trHeight w:val="1040" w:hRule="exact"/>
        </w:trPr>
        <w:tc>
          <w:tcPr>
            <w:tcW w:w="1018" w:type="dxa"/>
            <w:shd w:val="clear" w:color="auto" w:fill="76923B"/>
          </w:tcPr>
          <w:p>
            <w:pPr>
              <w:pStyle w:val="TableParagraph"/>
              <w:spacing w:before="10"/>
              <w:rPr>
                <w:rFonts w:ascii="Arial"/>
                <w:b/>
                <w:sz w:val="35"/>
              </w:rPr>
            </w:pPr>
          </w:p>
          <w:p>
            <w:pPr>
              <w:pStyle w:val="TableParagraph"/>
              <w:spacing w:before="1"/>
              <w:ind w:left="80" w:right="83"/>
              <w:jc w:val="center"/>
              <w:rPr>
                <w:rFonts w:ascii="Arial"/>
                <w:b/>
                <w:sz w:val="24"/>
              </w:rPr>
            </w:pPr>
            <w:r>
              <w:rPr>
                <w:rFonts w:ascii="Arial"/>
                <w:b/>
                <w:sz w:val="24"/>
              </w:rPr>
              <w:t>Clave</w:t>
            </w:r>
          </w:p>
        </w:tc>
        <w:tc>
          <w:tcPr>
            <w:tcW w:w="1049" w:type="dxa"/>
            <w:shd w:val="clear" w:color="auto" w:fill="76923B"/>
          </w:tcPr>
          <w:p>
            <w:pPr>
              <w:pStyle w:val="TableParagraph"/>
              <w:spacing w:before="10"/>
              <w:rPr>
                <w:rFonts w:ascii="Arial"/>
                <w:b/>
                <w:sz w:val="35"/>
              </w:rPr>
            </w:pPr>
          </w:p>
          <w:p>
            <w:pPr>
              <w:pStyle w:val="TableParagraph"/>
              <w:spacing w:before="1"/>
              <w:ind w:left="338" w:right="341"/>
              <w:jc w:val="center"/>
              <w:rPr>
                <w:rFonts w:ascii="Arial"/>
                <w:b/>
                <w:sz w:val="24"/>
              </w:rPr>
            </w:pPr>
            <w:r>
              <w:rPr>
                <w:rFonts w:ascii="Arial"/>
                <w:b/>
                <w:sz w:val="24"/>
              </w:rPr>
              <w:t>HT</w:t>
            </w:r>
          </w:p>
        </w:tc>
        <w:tc>
          <w:tcPr>
            <w:tcW w:w="1143" w:type="dxa"/>
            <w:shd w:val="clear" w:color="auto" w:fill="76923B"/>
          </w:tcPr>
          <w:p>
            <w:pPr>
              <w:pStyle w:val="TableParagraph"/>
              <w:spacing w:before="10"/>
              <w:rPr>
                <w:rFonts w:ascii="Arial"/>
                <w:b/>
                <w:sz w:val="35"/>
              </w:rPr>
            </w:pPr>
          </w:p>
          <w:p>
            <w:pPr>
              <w:pStyle w:val="TableParagraph"/>
              <w:spacing w:before="1"/>
              <w:ind w:left="379" w:right="380"/>
              <w:jc w:val="center"/>
              <w:rPr>
                <w:rFonts w:ascii="Arial"/>
                <w:b/>
                <w:sz w:val="24"/>
              </w:rPr>
            </w:pPr>
            <w:r>
              <w:rPr>
                <w:rFonts w:ascii="Arial"/>
                <w:b/>
                <w:sz w:val="24"/>
              </w:rPr>
              <w:t>HP</w:t>
            </w:r>
          </w:p>
        </w:tc>
        <w:tc>
          <w:tcPr>
            <w:tcW w:w="962" w:type="dxa"/>
            <w:shd w:val="clear" w:color="auto" w:fill="76923B"/>
          </w:tcPr>
          <w:p>
            <w:pPr>
              <w:pStyle w:val="TableParagraph"/>
              <w:spacing w:before="10"/>
              <w:rPr>
                <w:rFonts w:ascii="Arial"/>
                <w:b/>
                <w:sz w:val="35"/>
              </w:rPr>
            </w:pPr>
          </w:p>
          <w:p>
            <w:pPr>
              <w:pStyle w:val="TableParagraph"/>
              <w:spacing w:before="1"/>
              <w:ind w:left="295" w:right="297"/>
              <w:jc w:val="center"/>
              <w:rPr>
                <w:rFonts w:ascii="Arial"/>
                <w:b/>
                <w:sz w:val="24"/>
              </w:rPr>
            </w:pPr>
            <w:r>
              <w:rPr>
                <w:rFonts w:ascii="Arial"/>
                <w:b/>
                <w:sz w:val="24"/>
              </w:rPr>
              <w:t>TH</w:t>
            </w:r>
          </w:p>
        </w:tc>
        <w:tc>
          <w:tcPr>
            <w:tcW w:w="1208" w:type="dxa"/>
            <w:shd w:val="clear" w:color="auto" w:fill="76923B"/>
          </w:tcPr>
          <w:p>
            <w:pPr>
              <w:pStyle w:val="TableParagraph"/>
              <w:spacing w:line="360" w:lineRule="auto"/>
              <w:ind w:left="357" w:right="155" w:hanging="188"/>
              <w:rPr>
                <w:rFonts w:ascii="Arial"/>
                <w:b/>
                <w:sz w:val="24"/>
              </w:rPr>
            </w:pPr>
            <w:r>
              <w:rPr>
                <w:rFonts w:ascii="Arial"/>
                <w:b/>
                <w:sz w:val="24"/>
              </w:rPr>
              <w:t>Tipo de U.A.</w:t>
            </w:r>
          </w:p>
        </w:tc>
        <w:tc>
          <w:tcPr>
            <w:tcW w:w="1378" w:type="dxa"/>
            <w:shd w:val="clear" w:color="auto" w:fill="76923B"/>
          </w:tcPr>
          <w:p>
            <w:pPr>
              <w:pStyle w:val="TableParagraph"/>
              <w:spacing w:line="360" w:lineRule="auto"/>
              <w:ind w:left="268" w:right="181" w:hanging="75"/>
              <w:rPr>
                <w:rFonts w:ascii="Arial" w:hAnsi="Arial"/>
                <w:b/>
                <w:sz w:val="24"/>
              </w:rPr>
            </w:pPr>
            <w:r>
              <w:rPr>
                <w:rFonts w:ascii="Arial" w:hAnsi="Arial"/>
                <w:b/>
                <w:sz w:val="24"/>
              </w:rPr>
              <w:t>Carácter de U.A.</w:t>
            </w:r>
          </w:p>
        </w:tc>
        <w:tc>
          <w:tcPr>
            <w:tcW w:w="1191" w:type="dxa"/>
            <w:shd w:val="clear" w:color="auto" w:fill="76923B"/>
          </w:tcPr>
          <w:p>
            <w:pPr>
              <w:pStyle w:val="TableParagraph"/>
              <w:spacing w:before="10"/>
              <w:rPr>
                <w:rFonts w:ascii="Arial"/>
                <w:b/>
                <w:sz w:val="35"/>
              </w:rPr>
            </w:pPr>
          </w:p>
          <w:p>
            <w:pPr>
              <w:pStyle w:val="TableParagraph"/>
              <w:spacing w:before="1"/>
              <w:ind w:left="83" w:right="84"/>
              <w:jc w:val="center"/>
              <w:rPr>
                <w:rFonts w:ascii="Arial" w:hAnsi="Arial"/>
                <w:b/>
                <w:sz w:val="24"/>
              </w:rPr>
            </w:pPr>
            <w:r>
              <w:rPr>
                <w:rFonts w:ascii="Arial" w:hAnsi="Arial"/>
                <w:b/>
                <w:sz w:val="24"/>
              </w:rPr>
              <w:t>Créditos</w:t>
            </w:r>
          </w:p>
        </w:tc>
        <w:tc>
          <w:tcPr>
            <w:tcW w:w="1375" w:type="dxa"/>
            <w:shd w:val="clear" w:color="auto" w:fill="76923B"/>
          </w:tcPr>
          <w:p>
            <w:pPr>
              <w:pStyle w:val="TableParagraph"/>
              <w:spacing w:line="360" w:lineRule="auto"/>
              <w:ind w:left="475" w:right="91" w:hanging="368"/>
              <w:rPr>
                <w:rFonts w:ascii="Arial" w:hAnsi="Arial"/>
                <w:b/>
                <w:sz w:val="24"/>
              </w:rPr>
            </w:pPr>
            <w:r>
              <w:rPr>
                <w:rFonts w:ascii="Arial" w:hAnsi="Arial"/>
                <w:b/>
                <w:sz w:val="24"/>
              </w:rPr>
              <w:t>Núcleo de U.A</w:t>
            </w:r>
          </w:p>
        </w:tc>
      </w:tr>
      <w:tr>
        <w:trPr>
          <w:trHeight w:val="624" w:hRule="exact"/>
        </w:trPr>
        <w:tc>
          <w:tcPr>
            <w:tcW w:w="1018" w:type="dxa"/>
          </w:tcPr>
          <w:p>
            <w:pPr>
              <w:pStyle w:val="TableParagraph"/>
              <w:spacing w:before="46"/>
              <w:ind w:left="83" w:right="83"/>
              <w:jc w:val="center"/>
              <w:rPr>
                <w:rFonts w:ascii="Arial"/>
                <w:sz w:val="24"/>
              </w:rPr>
            </w:pPr>
            <w:r>
              <w:rPr>
                <w:rFonts w:ascii="Arial"/>
                <w:sz w:val="24"/>
              </w:rPr>
              <w:t>L30141</w:t>
            </w:r>
          </w:p>
        </w:tc>
        <w:tc>
          <w:tcPr>
            <w:tcW w:w="1049" w:type="dxa"/>
          </w:tcPr>
          <w:p>
            <w:pPr>
              <w:pStyle w:val="TableParagraph"/>
              <w:spacing w:before="46"/>
              <w:ind w:right="6"/>
              <w:jc w:val="center"/>
              <w:rPr>
                <w:rFonts w:ascii="Arial"/>
                <w:sz w:val="24"/>
              </w:rPr>
            </w:pPr>
            <w:r>
              <w:rPr>
                <w:rFonts w:ascii="Arial"/>
                <w:w w:val="99"/>
                <w:sz w:val="24"/>
              </w:rPr>
              <w:t>0</w:t>
            </w:r>
          </w:p>
        </w:tc>
        <w:tc>
          <w:tcPr>
            <w:tcW w:w="1143" w:type="dxa"/>
          </w:tcPr>
          <w:p>
            <w:pPr>
              <w:pStyle w:val="TableParagraph"/>
              <w:spacing w:before="46"/>
              <w:jc w:val="center"/>
              <w:rPr>
                <w:rFonts w:ascii="Arial"/>
                <w:sz w:val="24"/>
              </w:rPr>
            </w:pPr>
            <w:r>
              <w:rPr>
                <w:rFonts w:ascii="Arial"/>
                <w:w w:val="99"/>
                <w:sz w:val="24"/>
              </w:rPr>
              <w:t>4</w:t>
            </w:r>
          </w:p>
        </w:tc>
        <w:tc>
          <w:tcPr>
            <w:tcW w:w="962" w:type="dxa"/>
          </w:tcPr>
          <w:p>
            <w:pPr>
              <w:pStyle w:val="TableParagraph"/>
              <w:spacing w:before="46"/>
              <w:ind w:right="1"/>
              <w:jc w:val="center"/>
              <w:rPr>
                <w:rFonts w:ascii="Arial"/>
                <w:sz w:val="24"/>
              </w:rPr>
            </w:pPr>
            <w:r>
              <w:rPr>
                <w:rFonts w:ascii="Arial"/>
                <w:w w:val="99"/>
                <w:sz w:val="24"/>
              </w:rPr>
              <w:t>4</w:t>
            </w:r>
          </w:p>
        </w:tc>
        <w:tc>
          <w:tcPr>
            <w:tcW w:w="1208" w:type="dxa"/>
          </w:tcPr>
          <w:p>
            <w:pPr>
              <w:pStyle w:val="TableParagraph"/>
              <w:spacing w:line="274" w:lineRule="exact"/>
              <w:ind w:left="297" w:right="155"/>
              <w:rPr>
                <w:rFonts w:ascii="Arial"/>
                <w:sz w:val="24"/>
              </w:rPr>
            </w:pPr>
            <w:r>
              <w:rPr>
                <w:rFonts w:ascii="Arial"/>
                <w:sz w:val="24"/>
              </w:rPr>
              <w:t>Taller</w:t>
            </w:r>
          </w:p>
        </w:tc>
        <w:tc>
          <w:tcPr>
            <w:tcW w:w="1378" w:type="dxa"/>
          </w:tcPr>
          <w:p>
            <w:pPr>
              <w:pStyle w:val="TableParagraph"/>
              <w:spacing w:line="274" w:lineRule="exact"/>
              <w:ind w:left="103"/>
              <w:rPr>
                <w:rFonts w:ascii="Arial"/>
                <w:sz w:val="24"/>
              </w:rPr>
            </w:pPr>
            <w:r>
              <w:rPr>
                <w:rFonts w:ascii="Arial"/>
                <w:sz w:val="24"/>
              </w:rPr>
              <w:t>Obligatoria</w:t>
            </w:r>
          </w:p>
        </w:tc>
        <w:tc>
          <w:tcPr>
            <w:tcW w:w="1191" w:type="dxa"/>
          </w:tcPr>
          <w:p>
            <w:pPr>
              <w:pStyle w:val="TableParagraph"/>
              <w:spacing w:line="274" w:lineRule="exact"/>
              <w:ind w:right="1"/>
              <w:jc w:val="center"/>
              <w:rPr>
                <w:rFonts w:ascii="Arial"/>
                <w:sz w:val="24"/>
              </w:rPr>
            </w:pPr>
            <w:r>
              <w:rPr>
                <w:rFonts w:ascii="Arial"/>
                <w:w w:val="99"/>
                <w:sz w:val="24"/>
              </w:rPr>
              <w:t>4</w:t>
            </w:r>
          </w:p>
        </w:tc>
        <w:tc>
          <w:tcPr>
            <w:tcW w:w="1375" w:type="dxa"/>
          </w:tcPr>
          <w:p>
            <w:pPr>
              <w:pStyle w:val="TableParagraph"/>
              <w:spacing w:line="274" w:lineRule="exact"/>
              <w:ind w:left="280" w:right="91"/>
              <w:rPr>
                <w:rFonts w:ascii="Arial"/>
                <w:sz w:val="24"/>
              </w:rPr>
            </w:pPr>
            <w:r>
              <w:rPr>
                <w:rFonts w:ascii="Arial"/>
                <w:sz w:val="24"/>
              </w:rPr>
              <w:t>Integral</w:t>
            </w: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Heading1"/>
        <w:spacing w:before="230"/>
        <w:ind w:left="3728" w:right="3608"/>
        <w:jc w:val="center"/>
      </w:pPr>
      <w:r>
        <w:rPr/>
        <w:t>ELABORADO POR:</w:t>
      </w:r>
    </w:p>
    <w:p>
      <w:pPr>
        <w:pStyle w:val="BodyText"/>
        <w:spacing w:before="3"/>
        <w:rPr>
          <w:b/>
          <w:sz w:val="31"/>
        </w:rPr>
      </w:pPr>
    </w:p>
    <w:p>
      <w:pPr>
        <w:spacing w:before="0"/>
        <w:ind w:left="2326" w:right="0" w:firstLine="0"/>
        <w:jc w:val="left"/>
        <w:rPr>
          <w:b/>
          <w:sz w:val="28"/>
        </w:rPr>
      </w:pPr>
      <w:r>
        <w:rPr>
          <w:b/>
          <w:sz w:val="28"/>
        </w:rPr>
        <w:t>M. en Imp. Sendy Janet Sandoval Trujillo</w:t>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spacing w:before="2"/>
        <w:rPr>
          <w:b/>
          <w:sz w:val="38"/>
        </w:rPr>
      </w:pPr>
    </w:p>
    <w:p>
      <w:pPr>
        <w:spacing w:before="0"/>
        <w:ind w:left="0" w:right="495" w:firstLine="0"/>
        <w:jc w:val="right"/>
        <w:rPr>
          <w:b/>
          <w:sz w:val="28"/>
        </w:rPr>
      </w:pPr>
      <w:r>
        <w:rPr>
          <w:b/>
          <w:sz w:val="28"/>
        </w:rPr>
        <w:t>Septiembre 2015</w:t>
      </w:r>
    </w:p>
    <w:p>
      <w:pPr>
        <w:spacing w:after="0"/>
        <w:jc w:val="right"/>
        <w:rPr>
          <w:sz w:val="28"/>
        </w:rPr>
        <w:sectPr>
          <w:footerReference w:type="default" r:id="rId5"/>
          <w:type w:val="continuous"/>
          <w:pgSz w:w="12240" w:h="15840"/>
          <w:pgMar w:footer="779" w:top="880" w:bottom="960" w:left="1080" w:right="1200"/>
          <w:pgNumType w:start="1"/>
        </w:sectPr>
      </w:pPr>
    </w:p>
    <w:p>
      <w:pPr>
        <w:pStyle w:val="BodyText"/>
        <w:rPr>
          <w:b/>
          <w:sz w:val="20"/>
        </w:rPr>
      </w:pPr>
    </w:p>
    <w:p>
      <w:pPr>
        <w:spacing w:line="366" w:lineRule="exact" w:before="202"/>
        <w:ind w:left="2627" w:right="0" w:firstLine="0"/>
        <w:jc w:val="left"/>
        <w:rPr>
          <w:b/>
          <w:i/>
          <w:sz w:val="32"/>
        </w:rPr>
      </w:pPr>
      <w:r>
        <w:rPr/>
        <w:drawing>
          <wp:anchor distT="0" distB="0" distL="0" distR="0" allowOverlap="1" layoutInCell="1" locked="0" behindDoc="0" simplePos="0" relativeHeight="1048">
            <wp:simplePos x="0" y="0"/>
            <wp:positionH relativeFrom="page">
              <wp:posOffset>727075</wp:posOffset>
            </wp:positionH>
            <wp:positionV relativeFrom="paragraph">
              <wp:posOffset>-145569</wp:posOffset>
            </wp:positionV>
            <wp:extent cx="1362075" cy="1009650"/>
            <wp:effectExtent l="0" t="0" r="0" b="0"/>
            <wp:wrapNone/>
            <wp:docPr id="3" name="image1.png" descr=""/>
            <wp:cNvGraphicFramePr>
              <a:graphicFrameLocks noChangeAspect="1"/>
            </wp:cNvGraphicFramePr>
            <a:graphic>
              <a:graphicData uri="http://schemas.openxmlformats.org/drawingml/2006/picture">
                <pic:pic>
                  <pic:nvPicPr>
                    <pic:cNvPr id="4" name="image1.png"/>
                    <pic:cNvPicPr/>
                  </pic:nvPicPr>
                  <pic:blipFill>
                    <a:blip r:embed="rId6" cstate="print"/>
                    <a:stretch>
                      <a:fillRect/>
                    </a:stretch>
                  </pic:blipFill>
                  <pic:spPr>
                    <a:xfrm>
                      <a:off x="0" y="0"/>
                      <a:ext cx="1362075" cy="1009650"/>
                    </a:xfrm>
                    <a:prstGeom prst="rect">
                      <a:avLst/>
                    </a:prstGeom>
                  </pic:spPr>
                </pic:pic>
              </a:graphicData>
            </a:graphic>
          </wp:anchor>
        </w:drawing>
      </w:r>
      <w:r>
        <w:rPr>
          <w:b/>
          <w:i/>
          <w:sz w:val="32"/>
          <w:u w:val="thick"/>
        </w:rPr>
        <w:t>Universidad Autónoma del Estado de México</w:t>
      </w:r>
    </w:p>
    <w:p>
      <w:pPr>
        <w:spacing w:line="366" w:lineRule="exact" w:before="0"/>
        <w:ind w:left="2627" w:right="0" w:firstLine="0"/>
        <w:jc w:val="left"/>
        <w:rPr>
          <w:sz w:val="32"/>
        </w:rPr>
      </w:pPr>
      <w:r>
        <w:rPr>
          <w:sz w:val="32"/>
        </w:rPr>
        <w:t>Centro Universitario UAEM Valle de Teotihuacán</w:t>
      </w:r>
    </w:p>
    <w:p>
      <w:pPr>
        <w:pStyle w:val="BodyText"/>
        <w:rPr>
          <w:sz w:val="32"/>
        </w:rPr>
      </w:pPr>
    </w:p>
    <w:p>
      <w:pPr>
        <w:pStyle w:val="BodyText"/>
        <w:rPr>
          <w:sz w:val="32"/>
        </w:rPr>
      </w:pPr>
    </w:p>
    <w:p>
      <w:pPr>
        <w:pStyle w:val="BodyText"/>
        <w:rPr>
          <w:sz w:val="32"/>
        </w:rPr>
      </w:pPr>
    </w:p>
    <w:p>
      <w:pPr>
        <w:pStyle w:val="BodyText"/>
        <w:spacing w:before="8"/>
        <w:rPr>
          <w:sz w:val="26"/>
        </w:rPr>
      </w:pPr>
    </w:p>
    <w:p>
      <w:pPr>
        <w:pStyle w:val="Heading2"/>
        <w:ind w:left="4104" w:right="3568"/>
        <w:jc w:val="center"/>
      </w:pPr>
      <w:bookmarkStart w:name="_bookmark0" w:id="1"/>
      <w:bookmarkEnd w:id="1"/>
      <w:r>
        <w:rPr>
          <w:b w:val="0"/>
        </w:rPr>
      </w:r>
      <w:r>
        <w:rPr/>
        <w:t>PRESENTACIÓN</w:t>
      </w:r>
    </w:p>
    <w:p>
      <w:pPr>
        <w:pStyle w:val="BodyText"/>
        <w:rPr>
          <w:b/>
          <w:sz w:val="20"/>
        </w:rPr>
      </w:pPr>
    </w:p>
    <w:p>
      <w:pPr>
        <w:pStyle w:val="BodyText"/>
        <w:spacing w:before="11"/>
        <w:rPr>
          <w:b/>
          <w:sz w:val="21"/>
        </w:rPr>
      </w:pPr>
    </w:p>
    <w:p>
      <w:pPr>
        <w:pStyle w:val="BodyText"/>
        <w:spacing w:line="360" w:lineRule="auto" w:before="69"/>
        <w:ind w:left="662" w:right="126"/>
        <w:jc w:val="both"/>
      </w:pPr>
      <w:r>
        <w:rPr/>
        <w:t>Esta unidad de aprendizaje permitirá que el alumno desarrolle casos prácticos contables de acuerdo a las Normas de Información Financiera (NIF) y a las disposiciones fiscales aplicables.</w:t>
      </w:r>
    </w:p>
    <w:p>
      <w:pPr>
        <w:pStyle w:val="BodyText"/>
      </w:pPr>
    </w:p>
    <w:p>
      <w:pPr>
        <w:pStyle w:val="BodyText"/>
        <w:spacing w:line="360" w:lineRule="auto" w:before="142"/>
        <w:ind w:left="662" w:right="117"/>
        <w:jc w:val="both"/>
      </w:pPr>
      <w:r>
        <w:rPr/>
        <w:t>La unidad de aprendizaje se integra de cinco unidades de competencia, la primera nos ayuda a integrar los elementos necesarios para la constitución legal de una empresa, sea persona física o moral, la segunda nos ayuda a diseñar la organización contable de la entidad financiera, en la tercera se registran las operaciones con base en el esquema básico de la contabilidad financiera, en la cuarta se formulan los libros contables de la empresa y la quinta analiza e interpreta los resultados obtenidos por la entidad.</w:t>
      </w:r>
    </w:p>
    <w:p>
      <w:pPr>
        <w:pStyle w:val="BodyText"/>
      </w:pPr>
    </w:p>
    <w:p>
      <w:pPr>
        <w:pStyle w:val="BodyText"/>
      </w:pPr>
    </w:p>
    <w:p>
      <w:pPr>
        <w:pStyle w:val="BodyText"/>
      </w:pPr>
    </w:p>
    <w:p>
      <w:pPr>
        <w:pStyle w:val="BodyText"/>
      </w:pPr>
    </w:p>
    <w:p>
      <w:pPr>
        <w:pStyle w:val="BodyText"/>
      </w:pPr>
    </w:p>
    <w:p>
      <w:pPr>
        <w:pStyle w:val="Heading2"/>
        <w:ind w:left="4104" w:right="3561"/>
        <w:jc w:val="center"/>
      </w:pPr>
      <w:bookmarkStart w:name="_bookmark1" w:id="2"/>
      <w:bookmarkEnd w:id="2"/>
      <w:r>
        <w:rPr>
          <w:b w:val="0"/>
        </w:rPr>
      </w:r>
      <w:r>
        <w:rPr/>
        <w:t>OBJETIVO</w:t>
      </w:r>
    </w:p>
    <w:p>
      <w:pPr>
        <w:pStyle w:val="BodyText"/>
        <w:rPr>
          <w:b/>
        </w:rPr>
      </w:pPr>
    </w:p>
    <w:p>
      <w:pPr>
        <w:pStyle w:val="BodyText"/>
        <w:rPr>
          <w:b/>
        </w:rPr>
      </w:pPr>
    </w:p>
    <w:p>
      <w:pPr>
        <w:pStyle w:val="BodyText"/>
        <w:spacing w:line="360" w:lineRule="auto"/>
        <w:ind w:left="662" w:right="122"/>
        <w:jc w:val="both"/>
      </w:pPr>
      <w:r>
        <w:rPr/>
        <w:t>El alumno desarrolla casos prácticos contables de acuerdo a las Normas de Información Financiera (NIF) y a las disposiciones fiscales aplicables.</w:t>
      </w:r>
    </w:p>
    <w:p>
      <w:pPr>
        <w:spacing w:after="0" w:line="360" w:lineRule="auto"/>
        <w:jc w:val="both"/>
        <w:sectPr>
          <w:pgSz w:w="12240" w:h="15840"/>
          <w:pgMar w:header="0" w:footer="779" w:top="960" w:bottom="960" w:left="1040" w:right="1580"/>
        </w:sectPr>
      </w:pPr>
    </w:p>
    <w:p>
      <w:pPr>
        <w:pStyle w:val="Heading2"/>
        <w:spacing w:before="56"/>
        <w:ind w:left="3970" w:right="3996"/>
        <w:jc w:val="center"/>
      </w:pPr>
      <w:r>
        <w:rPr/>
        <w:t>Í N </w:t>
      </w:r>
      <w:r>
        <w:rPr>
          <w:spacing w:val="14"/>
        </w:rPr>
        <w:t>DI</w:t>
      </w:r>
      <w:r>
        <w:rPr>
          <w:spacing w:val="-37"/>
        </w:rPr>
        <w:t> </w:t>
      </w:r>
      <w:r>
        <w:rPr>
          <w:spacing w:val="14"/>
        </w:rPr>
        <w:t>CE</w:t>
      </w:r>
    </w:p>
    <w:p>
      <w:pPr>
        <w:spacing w:after="0"/>
        <w:jc w:val="center"/>
        <w:sectPr>
          <w:pgSz w:w="12240" w:h="15840"/>
          <w:pgMar w:header="0" w:footer="779" w:top="1360" w:bottom="2120" w:left="1600" w:right="1600"/>
        </w:sectPr>
      </w:pPr>
    </w:p>
    <w:sdt>
      <w:sdtPr>
        <w:docPartObj>
          <w:docPartGallery w:val="Table of Contents"/>
          <w:docPartUnique/>
        </w:docPartObj>
      </w:sdtPr>
      <w:sdtEndPr/>
      <w:sdtContent>
        <w:p>
          <w:pPr>
            <w:pStyle w:val="TOC1"/>
            <w:tabs>
              <w:tab w:pos="8929" w:val="right" w:leader="dot"/>
            </w:tabs>
          </w:pPr>
          <w:hyperlink w:history="true" w:anchor="_bookmark0">
            <w:r>
              <w:rPr/>
              <w:t>PRESENTACIÓN</w:t>
              <w:tab/>
              <w:t>2</w:t>
            </w:r>
          </w:hyperlink>
        </w:p>
        <w:p>
          <w:pPr>
            <w:pStyle w:val="TOC1"/>
            <w:tabs>
              <w:tab w:pos="8929" w:val="right" w:leader="dot"/>
            </w:tabs>
          </w:pPr>
          <w:hyperlink w:history="true" w:anchor="_bookmark1">
            <w:r>
              <w:rPr/>
              <w:t>OBJETIVO</w:t>
              <w:tab/>
              <w:t>2</w:t>
            </w:r>
          </w:hyperlink>
        </w:p>
        <w:p>
          <w:pPr>
            <w:pStyle w:val="TOC1"/>
            <w:tabs>
              <w:tab w:pos="8929" w:val="right" w:leader="dot"/>
            </w:tabs>
          </w:pPr>
          <w:hyperlink w:history="true" w:anchor="_bookmark2">
            <w:r>
              <w:rPr/>
              <w:t>UNIDAD I CONSTITUCIÓN LEGAL DE</w:t>
            </w:r>
            <w:r>
              <w:rPr>
                <w:spacing w:val="-1"/>
              </w:rPr>
              <w:t> </w:t>
            </w:r>
            <w:r>
              <w:rPr/>
              <w:t>LA</w:t>
            </w:r>
            <w:r>
              <w:rPr>
                <w:spacing w:val="-6"/>
              </w:rPr>
              <w:t> </w:t>
            </w:r>
            <w:r>
              <w:rPr/>
              <w:t>ENTIDAD</w:t>
              <w:tab/>
              <w:t>5</w:t>
            </w:r>
          </w:hyperlink>
        </w:p>
        <w:p>
          <w:pPr>
            <w:pStyle w:val="TOC2"/>
            <w:numPr>
              <w:ilvl w:val="1"/>
              <w:numId w:val="1"/>
            </w:numPr>
            <w:tabs>
              <w:tab w:pos="982" w:val="left" w:leader="none"/>
              <w:tab w:pos="983" w:val="left" w:leader="none"/>
              <w:tab w:pos="8929" w:val="right" w:leader="dot"/>
            </w:tabs>
            <w:spacing w:line="240" w:lineRule="auto" w:before="137" w:after="0"/>
            <w:ind w:left="982" w:right="0" w:hanging="660"/>
            <w:jc w:val="left"/>
          </w:pPr>
          <w:hyperlink w:history="true" w:anchor="_bookmark3">
            <w:r>
              <w:rPr/>
              <w:t>Concepto de</w:t>
            </w:r>
            <w:r>
              <w:rPr>
                <w:spacing w:val="-1"/>
              </w:rPr>
              <w:t> </w:t>
            </w:r>
            <w:r>
              <w:rPr/>
              <w:t>entidad</w:t>
              <w:tab/>
              <w:t>5</w:t>
            </w:r>
          </w:hyperlink>
        </w:p>
        <w:p>
          <w:pPr>
            <w:pStyle w:val="TOC2"/>
            <w:numPr>
              <w:ilvl w:val="1"/>
              <w:numId w:val="1"/>
            </w:numPr>
            <w:tabs>
              <w:tab w:pos="982" w:val="left" w:leader="none"/>
              <w:tab w:pos="983" w:val="left" w:leader="none"/>
              <w:tab w:pos="8929" w:val="right" w:leader="dot"/>
            </w:tabs>
            <w:spacing w:line="240" w:lineRule="auto" w:before="139" w:after="0"/>
            <w:ind w:left="982" w:right="0" w:hanging="660"/>
            <w:jc w:val="left"/>
          </w:pPr>
          <w:hyperlink w:history="true" w:anchor="_bookmark4">
            <w:r>
              <w:rPr/>
              <w:t>Tipos</w:t>
            </w:r>
            <w:r>
              <w:rPr>
                <w:spacing w:val="-3"/>
              </w:rPr>
              <w:t> </w:t>
            </w:r>
            <w:r>
              <w:rPr/>
              <w:t>de</w:t>
            </w:r>
            <w:r>
              <w:rPr>
                <w:spacing w:val="-2"/>
              </w:rPr>
              <w:t> </w:t>
            </w:r>
            <w:r>
              <w:rPr/>
              <w:t>entidades</w:t>
              <w:tab/>
              <w:t>6</w:t>
            </w:r>
          </w:hyperlink>
        </w:p>
        <w:p>
          <w:pPr>
            <w:pStyle w:val="TOC2"/>
            <w:numPr>
              <w:ilvl w:val="1"/>
              <w:numId w:val="1"/>
            </w:numPr>
            <w:tabs>
              <w:tab w:pos="982" w:val="left" w:leader="none"/>
              <w:tab w:pos="983" w:val="left" w:leader="none"/>
              <w:tab w:pos="8929" w:val="right" w:leader="dot"/>
            </w:tabs>
            <w:spacing w:line="240" w:lineRule="auto" w:before="137" w:after="0"/>
            <w:ind w:left="982" w:right="0" w:hanging="660"/>
            <w:jc w:val="left"/>
          </w:pPr>
          <w:hyperlink w:history="true" w:anchor="_bookmark5">
            <w:r>
              <w:rPr/>
              <w:t>Actividades</w:t>
            </w:r>
            <w:r>
              <w:rPr>
                <w:spacing w:val="-1"/>
              </w:rPr>
              <w:t> </w:t>
            </w:r>
            <w:r>
              <w:rPr/>
              <w:t>empresariales</w:t>
              <w:tab/>
              <w:t>7</w:t>
            </w:r>
          </w:hyperlink>
        </w:p>
        <w:p>
          <w:pPr>
            <w:pStyle w:val="TOC2"/>
            <w:numPr>
              <w:ilvl w:val="1"/>
              <w:numId w:val="1"/>
            </w:numPr>
            <w:tabs>
              <w:tab w:pos="982" w:val="left" w:leader="none"/>
              <w:tab w:pos="983" w:val="left" w:leader="none"/>
              <w:tab w:pos="8929" w:val="right" w:leader="dot"/>
            </w:tabs>
            <w:spacing w:line="240" w:lineRule="auto" w:before="139" w:after="0"/>
            <w:ind w:left="982" w:right="0" w:hanging="660"/>
            <w:jc w:val="left"/>
          </w:pPr>
          <w:hyperlink w:history="true" w:anchor="_bookmark6">
            <w:r>
              <w:rPr/>
              <w:t>Regímenes</w:t>
            </w:r>
            <w:r>
              <w:rPr>
                <w:spacing w:val="-2"/>
              </w:rPr>
              <w:t> </w:t>
            </w:r>
            <w:r>
              <w:rPr/>
              <w:t>fiscales</w:t>
              <w:tab/>
              <w:t>8</w:t>
            </w:r>
          </w:hyperlink>
        </w:p>
        <w:p>
          <w:pPr>
            <w:pStyle w:val="TOC2"/>
            <w:numPr>
              <w:ilvl w:val="1"/>
              <w:numId w:val="1"/>
            </w:numPr>
            <w:tabs>
              <w:tab w:pos="982" w:val="left" w:leader="none"/>
              <w:tab w:pos="983" w:val="left" w:leader="none"/>
              <w:tab w:pos="8933" w:val="right" w:leader="dot"/>
            </w:tabs>
            <w:spacing w:line="240" w:lineRule="auto" w:before="137" w:after="0"/>
            <w:ind w:left="982" w:right="0" w:hanging="660"/>
            <w:jc w:val="left"/>
          </w:pPr>
          <w:hyperlink w:history="true" w:anchor="_bookmark7">
            <w:r>
              <w:rPr/>
              <w:t>Trámites de apertura de</w:t>
            </w:r>
            <w:r>
              <w:rPr>
                <w:spacing w:val="-5"/>
              </w:rPr>
              <w:t> </w:t>
            </w:r>
            <w:r>
              <w:rPr/>
              <w:t>la</w:t>
            </w:r>
            <w:r>
              <w:rPr>
                <w:spacing w:val="-1"/>
              </w:rPr>
              <w:t> </w:t>
            </w:r>
            <w:r>
              <w:rPr/>
              <w:t>entidad</w:t>
              <w:tab/>
              <w:t>11</w:t>
            </w:r>
          </w:hyperlink>
        </w:p>
        <w:p>
          <w:pPr>
            <w:pStyle w:val="TOC1"/>
            <w:tabs>
              <w:tab w:pos="8933" w:val="right" w:leader="dot"/>
            </w:tabs>
          </w:pPr>
          <w:hyperlink w:history="true" w:anchor="_bookmark8">
            <w:r>
              <w:rPr/>
              <w:t>UNIDAD II ORGANIZACIÓN CONTABLE EN</w:t>
            </w:r>
            <w:r>
              <w:rPr>
                <w:spacing w:val="-2"/>
              </w:rPr>
              <w:t> </w:t>
            </w:r>
            <w:r>
              <w:rPr/>
              <w:t>LA</w:t>
            </w:r>
            <w:r>
              <w:rPr>
                <w:spacing w:val="-7"/>
              </w:rPr>
              <w:t> </w:t>
            </w:r>
            <w:r>
              <w:rPr/>
              <w:t>ENTIDAD</w:t>
              <w:tab/>
              <w:t>14</w:t>
            </w:r>
          </w:hyperlink>
        </w:p>
        <w:p>
          <w:pPr>
            <w:pStyle w:val="TOC2"/>
            <w:numPr>
              <w:ilvl w:val="1"/>
              <w:numId w:val="2"/>
            </w:numPr>
            <w:tabs>
              <w:tab w:pos="982" w:val="left" w:leader="none"/>
              <w:tab w:pos="983" w:val="left" w:leader="none"/>
              <w:tab w:pos="8933" w:val="right" w:leader="dot"/>
            </w:tabs>
            <w:spacing w:line="240" w:lineRule="auto" w:before="139" w:after="0"/>
            <w:ind w:left="982" w:right="0" w:hanging="660"/>
            <w:jc w:val="left"/>
          </w:pPr>
          <w:hyperlink w:history="true" w:anchor="_bookmark9">
            <w:r>
              <w:rPr/>
              <w:t>Entorno económico y social de</w:t>
            </w:r>
            <w:r>
              <w:rPr>
                <w:spacing w:val="-7"/>
              </w:rPr>
              <w:t> </w:t>
            </w:r>
            <w:r>
              <w:rPr/>
              <w:t>la</w:t>
            </w:r>
            <w:r>
              <w:rPr>
                <w:spacing w:val="-1"/>
              </w:rPr>
              <w:t> </w:t>
            </w:r>
            <w:r>
              <w:rPr/>
              <w:t>entidad</w:t>
              <w:tab/>
              <w:t>14</w:t>
            </w:r>
          </w:hyperlink>
        </w:p>
        <w:p>
          <w:pPr>
            <w:pStyle w:val="TOC2"/>
            <w:numPr>
              <w:ilvl w:val="1"/>
              <w:numId w:val="2"/>
            </w:numPr>
            <w:tabs>
              <w:tab w:pos="982" w:val="left" w:leader="none"/>
              <w:tab w:pos="983" w:val="left" w:leader="none"/>
              <w:tab w:pos="8933" w:val="right" w:leader="dot"/>
            </w:tabs>
            <w:spacing w:line="240" w:lineRule="auto" w:before="137" w:after="0"/>
            <w:ind w:left="982" w:right="0" w:hanging="660"/>
            <w:jc w:val="left"/>
          </w:pPr>
          <w:hyperlink w:history="true" w:anchor="_bookmark10">
            <w:r>
              <w:rPr/>
              <w:t>Manual</w:t>
            </w:r>
            <w:r>
              <w:rPr>
                <w:spacing w:val="-4"/>
              </w:rPr>
              <w:t> </w:t>
            </w:r>
            <w:r>
              <w:rPr/>
              <w:t>de</w:t>
            </w:r>
            <w:r>
              <w:rPr>
                <w:spacing w:val="-3"/>
              </w:rPr>
              <w:t> </w:t>
            </w:r>
            <w:r>
              <w:rPr/>
              <w:t>organización</w:t>
              <w:tab/>
              <w:t>16</w:t>
            </w:r>
          </w:hyperlink>
        </w:p>
        <w:p>
          <w:pPr>
            <w:pStyle w:val="TOC3"/>
            <w:numPr>
              <w:ilvl w:val="2"/>
              <w:numId w:val="2"/>
            </w:numPr>
            <w:tabs>
              <w:tab w:pos="1421" w:val="left" w:leader="none"/>
              <w:tab w:pos="1422" w:val="left" w:leader="none"/>
              <w:tab w:pos="8933" w:val="right" w:leader="dot"/>
            </w:tabs>
            <w:spacing w:line="240" w:lineRule="auto" w:before="139" w:after="0"/>
            <w:ind w:left="1422" w:right="0" w:hanging="881"/>
            <w:jc w:val="left"/>
          </w:pPr>
          <w:hyperlink w:history="true" w:anchor="_bookmark11">
            <w:r>
              <w:rPr/>
              <w:t>Organigrama</w:t>
              <w:tab/>
              <w:t>17</w:t>
            </w:r>
          </w:hyperlink>
        </w:p>
        <w:p>
          <w:pPr>
            <w:pStyle w:val="TOC3"/>
            <w:numPr>
              <w:ilvl w:val="2"/>
              <w:numId w:val="2"/>
            </w:numPr>
            <w:tabs>
              <w:tab w:pos="1421" w:val="left" w:leader="none"/>
              <w:tab w:pos="1422" w:val="left" w:leader="none"/>
              <w:tab w:pos="8933" w:val="right" w:leader="dot"/>
            </w:tabs>
            <w:spacing w:line="240" w:lineRule="auto" w:before="137" w:after="0"/>
            <w:ind w:left="1422" w:right="0" w:hanging="881"/>
            <w:jc w:val="left"/>
          </w:pPr>
          <w:hyperlink w:history="true" w:anchor="_bookmark12">
            <w:r>
              <w:rPr/>
              <w:t>Perfil</w:t>
            </w:r>
            <w:r>
              <w:rPr>
                <w:spacing w:val="-2"/>
              </w:rPr>
              <w:t> </w:t>
            </w:r>
            <w:r>
              <w:rPr/>
              <w:t>de</w:t>
            </w:r>
            <w:r>
              <w:rPr>
                <w:spacing w:val="-3"/>
              </w:rPr>
              <w:t> </w:t>
            </w:r>
            <w:r>
              <w:rPr/>
              <w:t>puestos.</w:t>
              <w:tab/>
              <w:t>20</w:t>
            </w:r>
          </w:hyperlink>
        </w:p>
        <w:p>
          <w:pPr>
            <w:pStyle w:val="TOC3"/>
            <w:numPr>
              <w:ilvl w:val="2"/>
              <w:numId w:val="2"/>
            </w:numPr>
            <w:tabs>
              <w:tab w:pos="1421" w:val="left" w:leader="none"/>
              <w:tab w:pos="1422" w:val="left" w:leader="none"/>
              <w:tab w:pos="8933" w:val="right" w:leader="dot"/>
            </w:tabs>
            <w:spacing w:line="240" w:lineRule="auto" w:before="139" w:after="0"/>
            <w:ind w:left="1422" w:right="0" w:hanging="881"/>
            <w:jc w:val="left"/>
          </w:pPr>
          <w:hyperlink w:history="true" w:anchor="_bookmark13">
            <w:r>
              <w:rPr/>
              <w:t>Descripción de</w:t>
            </w:r>
            <w:r>
              <w:rPr>
                <w:spacing w:val="-3"/>
              </w:rPr>
              <w:t> </w:t>
            </w:r>
            <w:r>
              <w:rPr/>
              <w:t>funciones.</w:t>
              <w:tab/>
              <w:t>21</w:t>
            </w:r>
          </w:hyperlink>
        </w:p>
        <w:p>
          <w:pPr>
            <w:pStyle w:val="TOC2"/>
            <w:numPr>
              <w:ilvl w:val="1"/>
              <w:numId w:val="2"/>
            </w:numPr>
            <w:tabs>
              <w:tab w:pos="982" w:val="left" w:leader="none"/>
              <w:tab w:pos="983" w:val="left" w:leader="none"/>
              <w:tab w:pos="8933" w:val="right" w:leader="dot"/>
            </w:tabs>
            <w:spacing w:line="240" w:lineRule="auto" w:before="137" w:after="0"/>
            <w:ind w:left="982" w:right="0" w:hanging="660"/>
            <w:jc w:val="left"/>
          </w:pPr>
          <w:hyperlink w:history="true" w:anchor="_bookmark14">
            <w:r>
              <w:rPr/>
              <w:t>Control Interno</w:t>
              <w:tab/>
              <w:t>22</w:t>
            </w:r>
          </w:hyperlink>
        </w:p>
        <w:p>
          <w:pPr>
            <w:pStyle w:val="TOC2"/>
            <w:numPr>
              <w:ilvl w:val="1"/>
              <w:numId w:val="2"/>
            </w:numPr>
            <w:tabs>
              <w:tab w:pos="982" w:val="left" w:leader="none"/>
              <w:tab w:pos="983" w:val="left" w:leader="none"/>
              <w:tab w:pos="8933" w:val="right" w:leader="dot"/>
            </w:tabs>
            <w:spacing w:line="240" w:lineRule="auto" w:before="139" w:after="0"/>
            <w:ind w:left="982" w:right="0" w:hanging="660"/>
            <w:jc w:val="left"/>
          </w:pPr>
          <w:hyperlink w:history="true" w:anchor="_bookmark15">
            <w:r>
              <w:rPr/>
              <w:t>Manual</w:t>
            </w:r>
            <w:r>
              <w:rPr>
                <w:spacing w:val="-1"/>
              </w:rPr>
              <w:t> </w:t>
            </w:r>
            <w:r>
              <w:rPr/>
              <w:t>contable.</w:t>
              <w:tab/>
              <w:t>24</w:t>
            </w:r>
          </w:hyperlink>
        </w:p>
        <w:p>
          <w:pPr>
            <w:pStyle w:val="TOC3"/>
            <w:numPr>
              <w:ilvl w:val="2"/>
              <w:numId w:val="3"/>
            </w:numPr>
            <w:tabs>
              <w:tab w:pos="1421" w:val="left" w:leader="none"/>
              <w:tab w:pos="1422" w:val="left" w:leader="none"/>
              <w:tab w:pos="8933" w:val="right" w:leader="dot"/>
            </w:tabs>
            <w:spacing w:line="240" w:lineRule="auto" w:before="137" w:after="0"/>
            <w:ind w:left="1422" w:right="0" w:hanging="881"/>
            <w:jc w:val="left"/>
          </w:pPr>
          <w:hyperlink w:history="true" w:anchor="_bookmark16">
            <w:r>
              <w:rPr/>
              <w:t>Catálogo</w:t>
            </w:r>
            <w:r>
              <w:rPr>
                <w:spacing w:val="-1"/>
              </w:rPr>
              <w:t> </w:t>
            </w:r>
            <w:r>
              <w:rPr/>
              <w:t>de</w:t>
            </w:r>
            <w:r>
              <w:rPr>
                <w:spacing w:val="-1"/>
              </w:rPr>
              <w:t> </w:t>
            </w:r>
            <w:r>
              <w:rPr/>
              <w:t>cuentas.</w:t>
              <w:tab/>
              <w:t>24</w:t>
            </w:r>
          </w:hyperlink>
        </w:p>
        <w:p>
          <w:pPr>
            <w:pStyle w:val="TOC3"/>
            <w:numPr>
              <w:ilvl w:val="2"/>
              <w:numId w:val="3"/>
            </w:numPr>
            <w:tabs>
              <w:tab w:pos="1421" w:val="left" w:leader="none"/>
              <w:tab w:pos="1422" w:val="left" w:leader="none"/>
              <w:tab w:pos="8933" w:val="right" w:leader="dot"/>
            </w:tabs>
            <w:spacing w:line="240" w:lineRule="auto" w:before="139" w:after="0"/>
            <w:ind w:left="1422" w:right="0" w:hanging="881"/>
            <w:jc w:val="left"/>
          </w:pPr>
          <w:hyperlink w:history="true" w:anchor="_bookmark17">
            <w:r>
              <w:rPr/>
              <w:t>Guía</w:t>
            </w:r>
            <w:r>
              <w:rPr>
                <w:spacing w:val="-1"/>
              </w:rPr>
              <w:t> </w:t>
            </w:r>
            <w:r>
              <w:rPr/>
              <w:t>contabilizadora.</w:t>
              <w:tab/>
              <w:t>25</w:t>
            </w:r>
          </w:hyperlink>
        </w:p>
        <w:p>
          <w:pPr>
            <w:pStyle w:val="TOC1"/>
            <w:tabs>
              <w:tab w:pos="8933" w:val="right" w:leader="dot"/>
            </w:tabs>
            <w:spacing w:before="549"/>
          </w:pPr>
          <w:hyperlink w:history="true" w:anchor="_bookmark18">
            <w:r>
              <w:rPr/>
              <w:t>UNIDAD III</w:t>
            </w:r>
            <w:r>
              <w:rPr>
                <w:spacing w:val="-1"/>
              </w:rPr>
              <w:t> </w:t>
            </w:r>
            <w:r>
              <w:rPr/>
              <w:t>REGISTRO</w:t>
            </w:r>
            <w:r>
              <w:rPr>
                <w:spacing w:val="-1"/>
              </w:rPr>
              <w:t> </w:t>
            </w:r>
            <w:r>
              <w:rPr/>
              <w:t>CONTABLE</w:t>
              <w:tab/>
              <w:t>27</w:t>
            </w:r>
          </w:hyperlink>
        </w:p>
        <w:p>
          <w:pPr>
            <w:pStyle w:val="TOC2"/>
            <w:numPr>
              <w:ilvl w:val="1"/>
              <w:numId w:val="4"/>
            </w:numPr>
            <w:tabs>
              <w:tab w:pos="982" w:val="left" w:leader="none"/>
              <w:tab w:pos="983" w:val="left" w:leader="none"/>
              <w:tab w:pos="8933" w:val="right" w:leader="dot"/>
            </w:tabs>
            <w:spacing w:line="240" w:lineRule="auto" w:before="140" w:after="0"/>
            <w:ind w:left="982" w:right="0" w:hanging="660"/>
            <w:jc w:val="left"/>
          </w:pPr>
          <w:hyperlink w:history="true" w:anchor="_bookmark19">
            <w:r>
              <w:rPr/>
              <w:t>Estructura básica de la</w:t>
            </w:r>
            <w:r>
              <w:rPr>
                <w:spacing w:val="-8"/>
              </w:rPr>
              <w:t> </w:t>
            </w:r>
            <w:r>
              <w:rPr/>
              <w:t>contabilidad</w:t>
            </w:r>
            <w:r>
              <w:rPr>
                <w:spacing w:val="-4"/>
              </w:rPr>
              <w:t> </w:t>
            </w:r>
            <w:r>
              <w:rPr/>
              <w:t>financiera</w:t>
              <w:tab/>
              <w:t>27</w:t>
            </w:r>
          </w:hyperlink>
        </w:p>
        <w:p>
          <w:pPr>
            <w:pStyle w:val="TOC2"/>
            <w:numPr>
              <w:ilvl w:val="1"/>
              <w:numId w:val="4"/>
            </w:numPr>
            <w:tabs>
              <w:tab w:pos="982" w:val="left" w:leader="none"/>
              <w:tab w:pos="983" w:val="left" w:leader="none"/>
              <w:tab w:pos="8933" w:val="right" w:leader="dot"/>
            </w:tabs>
            <w:spacing w:line="240" w:lineRule="auto" w:before="137" w:after="0"/>
            <w:ind w:left="982" w:right="0" w:hanging="660"/>
            <w:jc w:val="left"/>
          </w:pPr>
          <w:hyperlink w:history="true" w:anchor="_bookmark20">
            <w:r>
              <w:rPr/>
              <w:t>Reglas de valuación y presentación de la</w:t>
            </w:r>
            <w:r>
              <w:rPr>
                <w:spacing w:val="-8"/>
              </w:rPr>
              <w:t> </w:t>
            </w:r>
            <w:r>
              <w:rPr/>
              <w:t>información</w:t>
            </w:r>
            <w:r>
              <w:rPr>
                <w:spacing w:val="-4"/>
              </w:rPr>
              <w:t> </w:t>
            </w:r>
            <w:r>
              <w:rPr/>
              <w:t>financiera</w:t>
              <w:tab/>
              <w:t>28</w:t>
            </w:r>
          </w:hyperlink>
        </w:p>
        <w:p>
          <w:pPr>
            <w:pStyle w:val="TOC2"/>
            <w:numPr>
              <w:ilvl w:val="1"/>
              <w:numId w:val="4"/>
            </w:numPr>
            <w:tabs>
              <w:tab w:pos="982" w:val="left" w:leader="none"/>
              <w:tab w:pos="983" w:val="left" w:leader="none"/>
              <w:tab w:pos="8933" w:val="right" w:leader="dot"/>
            </w:tabs>
            <w:spacing w:line="240" w:lineRule="auto" w:before="139" w:after="0"/>
            <w:ind w:left="982" w:right="0" w:hanging="660"/>
            <w:jc w:val="left"/>
          </w:pPr>
          <w:hyperlink w:history="true" w:anchor="_bookmark21">
            <w:r>
              <w:rPr/>
              <w:t>Boletines de Activo, Pasivo</w:t>
            </w:r>
            <w:r>
              <w:rPr>
                <w:spacing w:val="-1"/>
              </w:rPr>
              <w:t> </w:t>
            </w:r>
            <w:r>
              <w:rPr/>
              <w:t>y</w:t>
            </w:r>
            <w:r>
              <w:rPr>
                <w:spacing w:val="-3"/>
              </w:rPr>
              <w:t> </w:t>
            </w:r>
            <w:r>
              <w:rPr/>
              <w:t>Capital.</w:t>
              <w:tab/>
              <w:t>30</w:t>
            </w:r>
          </w:hyperlink>
        </w:p>
        <w:p>
          <w:pPr>
            <w:pStyle w:val="TOC2"/>
            <w:numPr>
              <w:ilvl w:val="1"/>
              <w:numId w:val="4"/>
            </w:numPr>
            <w:tabs>
              <w:tab w:pos="982" w:val="left" w:leader="none"/>
              <w:tab w:pos="983" w:val="left" w:leader="none"/>
              <w:tab w:pos="8933" w:val="right" w:leader="dot"/>
            </w:tabs>
            <w:spacing w:line="240" w:lineRule="auto" w:before="137" w:after="0"/>
            <w:ind w:left="982" w:right="0" w:hanging="660"/>
            <w:jc w:val="left"/>
          </w:pPr>
          <w:hyperlink w:history="true" w:anchor="_bookmark22">
            <w:r>
              <w:rPr/>
              <w:t>Registro de operaciones por el sistema</w:t>
            </w:r>
            <w:r>
              <w:rPr>
                <w:spacing w:val="-7"/>
              </w:rPr>
              <w:t> </w:t>
            </w:r>
            <w:r>
              <w:rPr/>
              <w:t>de</w:t>
            </w:r>
            <w:r>
              <w:rPr>
                <w:spacing w:val="-3"/>
              </w:rPr>
              <w:t> </w:t>
            </w:r>
            <w:r>
              <w:rPr/>
              <w:t>pólizas.</w:t>
              <w:tab/>
              <w:t>33</w:t>
            </w:r>
          </w:hyperlink>
        </w:p>
        <w:p>
          <w:pPr>
            <w:pStyle w:val="TOC2"/>
            <w:numPr>
              <w:ilvl w:val="1"/>
              <w:numId w:val="4"/>
            </w:numPr>
            <w:tabs>
              <w:tab w:pos="982" w:val="left" w:leader="none"/>
              <w:tab w:pos="983" w:val="left" w:leader="none"/>
              <w:tab w:pos="8933" w:val="right" w:leader="dot"/>
            </w:tabs>
            <w:spacing w:line="240" w:lineRule="auto" w:before="139" w:after="0"/>
            <w:ind w:left="982" w:right="0" w:hanging="660"/>
            <w:jc w:val="left"/>
          </w:pPr>
          <w:hyperlink w:history="true" w:anchor="_bookmark23">
            <w:r>
              <w:rPr/>
              <w:t>Procesamiento de información en</w:t>
            </w:r>
            <w:r>
              <w:rPr>
                <w:spacing w:val="-5"/>
              </w:rPr>
              <w:t> </w:t>
            </w:r>
            <w:r>
              <w:rPr/>
              <w:t>paquetería</w:t>
            </w:r>
            <w:r>
              <w:rPr>
                <w:spacing w:val="-1"/>
              </w:rPr>
              <w:t> </w:t>
            </w:r>
            <w:r>
              <w:rPr/>
              <w:t>contable.</w:t>
              <w:tab/>
              <w:t>37</w:t>
            </w:r>
          </w:hyperlink>
        </w:p>
        <w:p>
          <w:pPr>
            <w:pStyle w:val="TOC1"/>
            <w:tabs>
              <w:tab w:pos="8933" w:val="right" w:leader="dot"/>
            </w:tabs>
            <w:spacing w:before="56"/>
          </w:pPr>
          <w:hyperlink w:history="true" w:anchor="_bookmark24">
            <w:r>
              <w:rPr/>
              <w:t>UNIDAD IV INFORMACIÓN</w:t>
            </w:r>
            <w:r>
              <w:rPr>
                <w:spacing w:val="-1"/>
              </w:rPr>
              <w:t> </w:t>
            </w:r>
            <w:r>
              <w:rPr/>
              <w:t>FINANCIERA</w:t>
              <w:tab/>
              <w:t>41</w:t>
            </w:r>
          </w:hyperlink>
        </w:p>
        <w:p>
          <w:pPr>
            <w:pStyle w:val="TOC2"/>
            <w:numPr>
              <w:ilvl w:val="1"/>
              <w:numId w:val="5"/>
            </w:numPr>
            <w:tabs>
              <w:tab w:pos="982" w:val="left" w:leader="none"/>
              <w:tab w:pos="983" w:val="left" w:leader="none"/>
              <w:tab w:pos="8933" w:val="right" w:leader="dot"/>
            </w:tabs>
            <w:spacing w:line="240" w:lineRule="auto" w:before="137" w:after="0"/>
            <w:ind w:left="982" w:right="0" w:hanging="660"/>
            <w:jc w:val="left"/>
          </w:pPr>
          <w:hyperlink w:history="true" w:anchor="_bookmark25">
            <w:r>
              <w:rPr/>
              <w:t>Libros</w:t>
            </w:r>
            <w:r>
              <w:rPr>
                <w:spacing w:val="-1"/>
              </w:rPr>
              <w:t> </w:t>
            </w:r>
            <w:r>
              <w:rPr/>
              <w:t>contables.</w:t>
              <w:tab/>
              <w:t>41</w:t>
            </w:r>
          </w:hyperlink>
        </w:p>
        <w:p>
          <w:pPr>
            <w:pStyle w:val="TOC2"/>
            <w:numPr>
              <w:ilvl w:val="1"/>
              <w:numId w:val="5"/>
            </w:numPr>
            <w:tabs>
              <w:tab w:pos="982" w:val="left" w:leader="none"/>
              <w:tab w:pos="983" w:val="left" w:leader="none"/>
              <w:tab w:pos="8933" w:val="right" w:leader="dot"/>
            </w:tabs>
            <w:spacing w:line="240" w:lineRule="auto" w:before="139" w:after="0"/>
            <w:ind w:left="982" w:right="0" w:hanging="660"/>
            <w:jc w:val="left"/>
          </w:pPr>
          <w:hyperlink w:history="true" w:anchor="_bookmark26">
            <w:r>
              <w:rPr/>
              <w:t>Estados</w:t>
            </w:r>
            <w:r>
              <w:rPr>
                <w:spacing w:val="-1"/>
              </w:rPr>
              <w:t> </w:t>
            </w:r>
            <w:r>
              <w:rPr/>
              <w:t>Financieros.</w:t>
              <w:tab/>
              <w:t>45</w:t>
            </w:r>
          </w:hyperlink>
        </w:p>
        <w:p>
          <w:pPr>
            <w:pStyle w:val="TOC1"/>
            <w:tabs>
              <w:tab w:pos="8933" w:val="right" w:leader="dot"/>
            </w:tabs>
          </w:pPr>
          <w:hyperlink w:history="true" w:anchor="_bookmark27">
            <w:r>
              <w:rPr/>
              <w:t>UNIDAD V INTERPRETACIÓN DE LA</w:t>
            </w:r>
            <w:r>
              <w:rPr>
                <w:spacing w:val="-8"/>
              </w:rPr>
              <w:t> </w:t>
            </w:r>
            <w:r>
              <w:rPr/>
              <w:t>INFORMACIÓN</w:t>
            </w:r>
            <w:r>
              <w:rPr>
                <w:spacing w:val="-1"/>
              </w:rPr>
              <w:t> </w:t>
            </w:r>
            <w:r>
              <w:rPr/>
              <w:t>FINANCIERA</w:t>
              <w:tab/>
              <w:t>59</w:t>
            </w:r>
          </w:hyperlink>
        </w:p>
        <w:p>
          <w:pPr>
            <w:pStyle w:val="TOC2"/>
            <w:numPr>
              <w:ilvl w:val="1"/>
              <w:numId w:val="6"/>
            </w:numPr>
            <w:tabs>
              <w:tab w:pos="982" w:val="left" w:leader="none"/>
              <w:tab w:pos="983" w:val="left" w:leader="none"/>
              <w:tab w:pos="8933" w:val="right" w:leader="dot"/>
            </w:tabs>
            <w:spacing w:line="240" w:lineRule="auto" w:before="137" w:after="0"/>
            <w:ind w:left="982" w:right="0" w:hanging="660"/>
            <w:jc w:val="left"/>
          </w:pPr>
          <w:hyperlink w:history="true" w:anchor="_bookmark28">
            <w:r>
              <w:rPr/>
              <w:t>Razones</w:t>
            </w:r>
            <w:r>
              <w:rPr>
                <w:spacing w:val="-2"/>
              </w:rPr>
              <w:t> </w:t>
            </w:r>
            <w:r>
              <w:rPr/>
              <w:t>financieras.</w:t>
              <w:tab/>
              <w:t>59</w:t>
            </w:r>
          </w:hyperlink>
        </w:p>
        <w:p>
          <w:pPr>
            <w:pStyle w:val="TOC2"/>
            <w:numPr>
              <w:ilvl w:val="1"/>
              <w:numId w:val="6"/>
            </w:numPr>
            <w:tabs>
              <w:tab w:pos="791" w:val="left" w:leader="none"/>
              <w:tab w:pos="8933" w:val="right" w:leader="dot"/>
            </w:tabs>
            <w:spacing w:line="240" w:lineRule="auto" w:before="139" w:after="0"/>
            <w:ind w:left="790" w:right="0" w:hanging="468"/>
            <w:jc w:val="left"/>
          </w:pPr>
          <w:hyperlink w:history="true" w:anchor="_bookmark29">
            <w:r>
              <w:rPr/>
              <w:t>Porcientos</w:t>
            </w:r>
            <w:r>
              <w:rPr>
                <w:spacing w:val="-1"/>
              </w:rPr>
              <w:t> </w:t>
            </w:r>
            <w:r>
              <w:rPr/>
              <w:t>integrales</w:t>
              <w:tab/>
              <w:t>66</w:t>
            </w:r>
          </w:hyperlink>
        </w:p>
        <w:p>
          <w:pPr>
            <w:pStyle w:val="TOC1"/>
            <w:tabs>
              <w:tab w:pos="8933" w:val="right" w:leader="dot"/>
            </w:tabs>
          </w:pPr>
          <w:hyperlink w:history="true" w:anchor="_bookmark30">
            <w:r>
              <w:rPr/>
              <w:t>BIBLIOGRAFÍA</w:t>
              <w:tab/>
              <w:t>70</w:t>
            </w:r>
          </w:hyperlink>
        </w:p>
      </w:sdtContent>
    </w:sdt>
    <w:p>
      <w:pPr>
        <w:spacing w:after="0"/>
        <w:sectPr>
          <w:type w:val="continuous"/>
          <w:pgSz w:w="12240" w:h="15840"/>
          <w:pgMar w:top="1360" w:bottom="2120" w:left="1600" w:right="1600"/>
        </w:sectPr>
      </w:pPr>
    </w:p>
    <w:p>
      <w:pPr>
        <w:pStyle w:val="Heading2"/>
        <w:spacing w:before="54"/>
        <w:ind w:left="1640"/>
        <w:jc w:val="left"/>
      </w:pPr>
      <w:bookmarkStart w:name="_bookmark2" w:id="3"/>
      <w:bookmarkEnd w:id="3"/>
      <w:r>
        <w:rPr>
          <w:b w:val="0"/>
        </w:rPr>
      </w:r>
      <w:r>
        <w:rPr/>
        <w:t>UNIDAD I CONSTITUCIÓN LEGAL DE LA ENTIDAD</w:t>
      </w:r>
    </w:p>
    <w:p>
      <w:pPr>
        <w:pStyle w:val="BodyText"/>
        <w:rPr>
          <w:b/>
        </w:rPr>
      </w:pPr>
    </w:p>
    <w:p>
      <w:pPr>
        <w:pStyle w:val="BodyText"/>
        <w:spacing w:line="360" w:lineRule="auto" w:before="183"/>
        <w:ind w:left="102" w:right="105"/>
        <w:jc w:val="both"/>
      </w:pPr>
      <w:r>
        <w:rPr/>
        <w:t>El alumno integra los elementos necesarios para la constitución legal de una empresa.</w:t>
      </w:r>
    </w:p>
    <w:p>
      <w:pPr>
        <w:pStyle w:val="ListParagraph"/>
        <w:numPr>
          <w:ilvl w:val="1"/>
          <w:numId w:val="7"/>
        </w:numPr>
        <w:tabs>
          <w:tab w:pos="1095" w:val="left" w:leader="none"/>
          <w:tab w:pos="1096" w:val="left" w:leader="none"/>
        </w:tabs>
        <w:spacing w:line="240" w:lineRule="auto" w:before="5" w:after="0"/>
        <w:ind w:left="1095" w:right="0" w:hanging="633"/>
        <w:jc w:val="left"/>
        <w:rPr>
          <w:sz w:val="24"/>
        </w:rPr>
      </w:pPr>
      <w:r>
        <w:rPr>
          <w:sz w:val="24"/>
        </w:rPr>
        <w:t>Concepto de</w:t>
      </w:r>
      <w:r>
        <w:rPr>
          <w:spacing w:val="-5"/>
          <w:sz w:val="24"/>
        </w:rPr>
        <w:t> </w:t>
      </w:r>
      <w:r>
        <w:rPr>
          <w:sz w:val="24"/>
        </w:rPr>
        <w:t>entidad.</w:t>
      </w:r>
    </w:p>
    <w:p>
      <w:pPr>
        <w:pStyle w:val="ListParagraph"/>
        <w:numPr>
          <w:ilvl w:val="1"/>
          <w:numId w:val="7"/>
        </w:numPr>
        <w:tabs>
          <w:tab w:pos="1095" w:val="left" w:leader="none"/>
          <w:tab w:pos="1096" w:val="left" w:leader="none"/>
        </w:tabs>
        <w:spacing w:line="240" w:lineRule="auto" w:before="137" w:after="0"/>
        <w:ind w:left="1095" w:right="0" w:hanging="633"/>
        <w:jc w:val="left"/>
        <w:rPr>
          <w:sz w:val="24"/>
        </w:rPr>
      </w:pPr>
      <w:r>
        <w:rPr>
          <w:sz w:val="24"/>
        </w:rPr>
        <w:t>Tipos de</w:t>
      </w:r>
      <w:r>
        <w:rPr>
          <w:spacing w:val="-6"/>
          <w:sz w:val="24"/>
        </w:rPr>
        <w:t> </w:t>
      </w:r>
      <w:r>
        <w:rPr>
          <w:sz w:val="24"/>
        </w:rPr>
        <w:t>entidades.</w:t>
      </w:r>
    </w:p>
    <w:p>
      <w:pPr>
        <w:pStyle w:val="ListParagraph"/>
        <w:numPr>
          <w:ilvl w:val="1"/>
          <w:numId w:val="7"/>
        </w:numPr>
        <w:tabs>
          <w:tab w:pos="1095" w:val="left" w:leader="none"/>
          <w:tab w:pos="1096" w:val="left" w:leader="none"/>
        </w:tabs>
        <w:spacing w:line="240" w:lineRule="auto" w:before="137" w:after="0"/>
        <w:ind w:left="1095" w:right="0" w:hanging="633"/>
        <w:jc w:val="left"/>
        <w:rPr>
          <w:sz w:val="24"/>
        </w:rPr>
      </w:pPr>
      <w:r>
        <w:rPr>
          <w:sz w:val="24"/>
        </w:rPr>
        <w:t>Actividades</w:t>
      </w:r>
      <w:r>
        <w:rPr>
          <w:spacing w:val="-8"/>
          <w:sz w:val="24"/>
        </w:rPr>
        <w:t> </w:t>
      </w:r>
      <w:r>
        <w:rPr>
          <w:sz w:val="24"/>
        </w:rPr>
        <w:t>empresariales.</w:t>
      </w:r>
    </w:p>
    <w:p>
      <w:pPr>
        <w:pStyle w:val="ListParagraph"/>
        <w:numPr>
          <w:ilvl w:val="1"/>
          <w:numId w:val="7"/>
        </w:numPr>
        <w:tabs>
          <w:tab w:pos="1095" w:val="left" w:leader="none"/>
          <w:tab w:pos="1096" w:val="left" w:leader="none"/>
        </w:tabs>
        <w:spacing w:line="240" w:lineRule="auto" w:before="139" w:after="0"/>
        <w:ind w:left="1095" w:right="0" w:hanging="633"/>
        <w:jc w:val="left"/>
        <w:rPr>
          <w:sz w:val="24"/>
        </w:rPr>
      </w:pPr>
      <w:r>
        <w:rPr>
          <w:sz w:val="24"/>
        </w:rPr>
        <w:t>Regímenes</w:t>
      </w:r>
      <w:r>
        <w:rPr>
          <w:spacing w:val="-6"/>
          <w:sz w:val="24"/>
        </w:rPr>
        <w:t> </w:t>
      </w:r>
      <w:r>
        <w:rPr>
          <w:sz w:val="24"/>
        </w:rPr>
        <w:t>fiscales.</w:t>
      </w:r>
    </w:p>
    <w:p>
      <w:pPr>
        <w:pStyle w:val="ListParagraph"/>
        <w:numPr>
          <w:ilvl w:val="1"/>
          <w:numId w:val="7"/>
        </w:numPr>
        <w:tabs>
          <w:tab w:pos="1095" w:val="left" w:leader="none"/>
          <w:tab w:pos="1096" w:val="left" w:leader="none"/>
        </w:tabs>
        <w:spacing w:line="240" w:lineRule="auto" w:before="137" w:after="0"/>
        <w:ind w:left="1095" w:right="0" w:hanging="633"/>
        <w:jc w:val="left"/>
        <w:rPr>
          <w:sz w:val="24"/>
        </w:rPr>
      </w:pPr>
      <w:r>
        <w:rPr>
          <w:sz w:val="24"/>
        </w:rPr>
        <w:t>Trámites de apertura de la</w:t>
      </w:r>
      <w:r>
        <w:rPr>
          <w:spacing w:val="-13"/>
          <w:sz w:val="24"/>
        </w:rPr>
        <w:t> </w:t>
      </w:r>
      <w:r>
        <w:rPr>
          <w:sz w:val="24"/>
        </w:rPr>
        <w:t>entidad.</w:t>
      </w:r>
    </w:p>
    <w:p>
      <w:pPr>
        <w:pStyle w:val="BodyText"/>
      </w:pPr>
    </w:p>
    <w:p>
      <w:pPr>
        <w:pStyle w:val="BodyText"/>
      </w:pPr>
    </w:p>
    <w:p>
      <w:pPr>
        <w:pStyle w:val="Heading2"/>
        <w:numPr>
          <w:ilvl w:val="1"/>
          <w:numId w:val="8"/>
        </w:numPr>
        <w:tabs>
          <w:tab w:pos="597" w:val="left" w:leader="none"/>
        </w:tabs>
        <w:spacing w:line="240" w:lineRule="auto" w:before="0" w:after="0"/>
        <w:ind w:left="596" w:right="0" w:hanging="494"/>
        <w:jc w:val="both"/>
      </w:pPr>
      <w:bookmarkStart w:name="_bookmark3" w:id="4"/>
      <w:bookmarkEnd w:id="4"/>
      <w:r>
        <w:rPr/>
        <w:t>C</w:t>
      </w:r>
      <w:r>
        <w:rPr/>
        <w:t>oncepto de</w:t>
      </w:r>
      <w:r>
        <w:rPr>
          <w:spacing w:val="-2"/>
        </w:rPr>
        <w:t> </w:t>
      </w:r>
      <w:r>
        <w:rPr/>
        <w:t>entidad</w:t>
      </w:r>
    </w:p>
    <w:p>
      <w:pPr>
        <w:pStyle w:val="BodyText"/>
        <w:rPr>
          <w:b/>
        </w:rPr>
      </w:pPr>
    </w:p>
    <w:p>
      <w:pPr>
        <w:pStyle w:val="BodyText"/>
        <w:spacing w:line="360" w:lineRule="auto" w:before="144"/>
        <w:ind w:left="102" w:right="104"/>
        <w:jc w:val="both"/>
      </w:pPr>
      <w:r>
        <w:rPr/>
        <w:t>Entidad es una unidad identificable que realiza actividades económicas,  constituida por combinaciones de recursos humanos, recursos naturales y capital, coordinados por una autoridad que toma decisiones encaminadas a la  consecución de los fines para los que fue</w:t>
      </w:r>
      <w:r>
        <w:rPr>
          <w:spacing w:val="-18"/>
        </w:rPr>
        <w:t> </w:t>
      </w:r>
      <w:r>
        <w:rPr/>
        <w:t>creada.</w:t>
      </w:r>
    </w:p>
    <w:p>
      <w:pPr>
        <w:pStyle w:val="BodyText"/>
        <w:spacing w:before="5"/>
      </w:pPr>
    </w:p>
    <w:p>
      <w:pPr>
        <w:spacing w:before="0"/>
        <w:ind w:left="102" w:right="0" w:firstLine="0"/>
        <w:jc w:val="both"/>
        <w:rPr>
          <w:i/>
          <w:sz w:val="24"/>
        </w:rPr>
      </w:pPr>
      <w:r>
        <w:rPr>
          <w:i/>
          <w:sz w:val="24"/>
          <w:u w:val="single"/>
        </w:rPr>
        <w:t> Elementos de las entidades</w:t>
      </w:r>
    </w:p>
    <w:p>
      <w:pPr>
        <w:pStyle w:val="BodyText"/>
        <w:rPr>
          <w:i/>
          <w:sz w:val="20"/>
        </w:rPr>
      </w:pPr>
    </w:p>
    <w:p>
      <w:pPr>
        <w:pStyle w:val="BodyText"/>
        <w:spacing w:before="188"/>
        <w:ind w:left="169"/>
        <w:jc w:val="both"/>
      </w:pPr>
      <w:r>
        <w:rPr/>
        <w:t>Toda entidad tiene los siguientes elementos:</w:t>
      </w:r>
    </w:p>
    <w:p>
      <w:pPr>
        <w:pStyle w:val="BodyText"/>
      </w:pPr>
    </w:p>
    <w:p>
      <w:pPr>
        <w:pStyle w:val="ListParagraph"/>
        <w:numPr>
          <w:ilvl w:val="2"/>
          <w:numId w:val="8"/>
        </w:numPr>
        <w:tabs>
          <w:tab w:pos="821" w:val="left" w:leader="none"/>
          <w:tab w:pos="822" w:val="left" w:leader="none"/>
        </w:tabs>
        <w:spacing w:line="360" w:lineRule="auto" w:before="146" w:after="0"/>
        <w:ind w:left="822" w:right="105" w:hanging="360"/>
        <w:jc w:val="left"/>
        <w:rPr>
          <w:sz w:val="24"/>
        </w:rPr>
      </w:pPr>
      <w:r>
        <w:rPr>
          <w:sz w:val="24"/>
        </w:rPr>
        <w:t>Conjunto de recursos destinados a satisfacer una necesidad social con estructura y operación</w:t>
      </w:r>
      <w:r>
        <w:rPr>
          <w:spacing w:val="-8"/>
          <w:sz w:val="24"/>
        </w:rPr>
        <w:t> </w:t>
      </w:r>
      <w:r>
        <w:rPr>
          <w:sz w:val="24"/>
        </w:rPr>
        <w:t>propia.</w:t>
      </w:r>
    </w:p>
    <w:p>
      <w:pPr>
        <w:pStyle w:val="BodyText"/>
        <w:spacing w:before="7"/>
      </w:pPr>
    </w:p>
    <w:p>
      <w:pPr>
        <w:pStyle w:val="ListParagraph"/>
        <w:numPr>
          <w:ilvl w:val="2"/>
          <w:numId w:val="8"/>
        </w:numPr>
        <w:tabs>
          <w:tab w:pos="821" w:val="left" w:leader="none"/>
          <w:tab w:pos="822" w:val="left" w:leader="none"/>
        </w:tabs>
        <w:spacing w:line="360" w:lineRule="auto" w:before="0" w:after="0"/>
        <w:ind w:left="822" w:right="104" w:hanging="360"/>
        <w:jc w:val="left"/>
        <w:rPr>
          <w:sz w:val="24"/>
        </w:rPr>
      </w:pPr>
      <w:r>
        <w:rPr>
          <w:sz w:val="24"/>
        </w:rPr>
        <w:t>Centro de decisiones independiente con respecto al logro de fines específicos, es decir, a la satisfacción de una necesidad</w:t>
      </w:r>
      <w:r>
        <w:rPr>
          <w:spacing w:val="-23"/>
          <w:sz w:val="24"/>
        </w:rPr>
        <w:t> </w:t>
      </w:r>
      <w:r>
        <w:rPr>
          <w:sz w:val="24"/>
        </w:rPr>
        <w:t>social.</w:t>
      </w:r>
    </w:p>
    <w:p>
      <w:pPr>
        <w:pStyle w:val="BodyText"/>
        <w:spacing w:before="8"/>
      </w:pPr>
    </w:p>
    <w:p>
      <w:pPr>
        <w:pStyle w:val="BodyText"/>
        <w:spacing w:line="360" w:lineRule="auto"/>
        <w:ind w:left="102" w:right="98"/>
        <w:jc w:val="both"/>
      </w:pPr>
      <w:r>
        <w:rPr/>
        <w:t>En muchas ocasiones se toma por igual el concepto de entidad y empresa, sin embargo este último hace referencia a la unidad básica de producción en los sistemas de mercado, la cual surge cuando no es la misma persona quien en aporta todos los factores de la producción, sino varios.</w:t>
      </w:r>
    </w:p>
    <w:p>
      <w:pPr>
        <w:spacing w:after="0" w:line="360" w:lineRule="auto"/>
        <w:jc w:val="both"/>
        <w:sectPr>
          <w:pgSz w:w="12240" w:h="15840"/>
          <w:pgMar w:header="0" w:footer="779" w:top="1360" w:bottom="960" w:left="1600" w:right="1600"/>
        </w:sectPr>
      </w:pPr>
    </w:p>
    <w:p>
      <w:pPr>
        <w:pStyle w:val="Heading2"/>
        <w:numPr>
          <w:ilvl w:val="1"/>
          <w:numId w:val="8"/>
        </w:numPr>
        <w:tabs>
          <w:tab w:pos="597" w:val="left" w:leader="none"/>
        </w:tabs>
        <w:spacing w:line="240" w:lineRule="auto" w:before="56" w:after="0"/>
        <w:ind w:left="596" w:right="0" w:hanging="494"/>
        <w:jc w:val="both"/>
      </w:pPr>
      <w:bookmarkStart w:name="_bookmark4" w:id="5"/>
      <w:bookmarkEnd w:id="5"/>
      <w:r>
        <w:rPr/>
        <w:t>Tipos</w:t>
      </w:r>
      <w:r>
        <w:rPr/>
        <w:t> de</w:t>
      </w:r>
      <w:r>
        <w:rPr>
          <w:spacing w:val="-2"/>
        </w:rPr>
        <w:t> </w:t>
      </w:r>
      <w:r>
        <w:rPr/>
        <w:t>entidades</w:t>
      </w:r>
    </w:p>
    <w:p>
      <w:pPr>
        <w:pStyle w:val="BodyText"/>
        <w:rPr>
          <w:b/>
        </w:rPr>
      </w:pPr>
    </w:p>
    <w:p>
      <w:pPr>
        <w:pStyle w:val="BodyText"/>
        <w:spacing w:line="360" w:lineRule="auto" w:before="142"/>
        <w:ind w:left="102" w:right="115"/>
        <w:jc w:val="both"/>
      </w:pPr>
      <w:r>
        <w:rPr/>
        <w:t>Las entidades que realizan actividades económicas pueden clasificarse de la siguiente manera:</w:t>
      </w:r>
    </w:p>
    <w:p>
      <w:pPr>
        <w:pStyle w:val="BodyText"/>
        <w:spacing w:before="10"/>
      </w:pPr>
    </w:p>
    <w:p>
      <w:pPr>
        <w:pStyle w:val="ListParagraph"/>
        <w:numPr>
          <w:ilvl w:val="2"/>
          <w:numId w:val="8"/>
        </w:numPr>
        <w:tabs>
          <w:tab w:pos="822" w:val="left" w:leader="none"/>
        </w:tabs>
        <w:spacing w:line="360" w:lineRule="auto" w:before="0" w:after="0"/>
        <w:ind w:left="822" w:right="122" w:hanging="360"/>
        <w:jc w:val="both"/>
        <w:rPr>
          <w:sz w:val="24"/>
        </w:rPr>
      </w:pPr>
      <w:r>
        <w:rPr>
          <w:sz w:val="24"/>
        </w:rPr>
        <w:t>Entidades con personalidad jurídica propia que son sujetas de derechos y obligaciones, pudiendo ser personas físicas o morales. Ambas tiene personalidad y patrimonios propios. Las entidades morales (colectivas) tienen personalidad y patrimonio propio diferente de las personas que las constituyen o administran, por lo cual, la contabilidad debe captar los derechos, obligaciones y resultados de operaciones propias de la</w:t>
      </w:r>
      <w:r>
        <w:rPr>
          <w:spacing w:val="-28"/>
          <w:sz w:val="24"/>
        </w:rPr>
        <w:t> </w:t>
      </w:r>
      <w:r>
        <w:rPr>
          <w:sz w:val="24"/>
        </w:rPr>
        <w:t>entidad.</w:t>
      </w:r>
    </w:p>
    <w:p>
      <w:pPr>
        <w:pStyle w:val="BodyText"/>
        <w:spacing w:before="7"/>
      </w:pPr>
    </w:p>
    <w:p>
      <w:pPr>
        <w:pStyle w:val="ListParagraph"/>
        <w:numPr>
          <w:ilvl w:val="2"/>
          <w:numId w:val="8"/>
        </w:numPr>
        <w:tabs>
          <w:tab w:pos="822" w:val="left" w:leader="none"/>
        </w:tabs>
        <w:spacing w:line="360" w:lineRule="auto" w:before="0" w:after="0"/>
        <w:ind w:left="822" w:right="115" w:hanging="360"/>
        <w:jc w:val="both"/>
        <w:rPr>
          <w:sz w:val="24"/>
        </w:rPr>
      </w:pPr>
      <w:r>
        <w:rPr>
          <w:sz w:val="24"/>
        </w:rPr>
        <w:t>Entidad sin personalidad jurídica propia, que son las entidades  consolidadas y el</w:t>
      </w:r>
      <w:r>
        <w:rPr>
          <w:spacing w:val="-10"/>
          <w:sz w:val="24"/>
        </w:rPr>
        <w:t> </w:t>
      </w:r>
      <w:r>
        <w:rPr>
          <w:sz w:val="24"/>
        </w:rPr>
        <w:t>fideicomiso.</w:t>
      </w:r>
    </w:p>
    <w:p>
      <w:pPr>
        <w:pStyle w:val="BodyText"/>
        <w:spacing w:before="7"/>
      </w:pPr>
    </w:p>
    <w:p>
      <w:pPr>
        <w:pStyle w:val="BodyText"/>
        <w:spacing w:line="360" w:lineRule="auto"/>
        <w:ind w:left="102" w:right="123"/>
        <w:jc w:val="both"/>
      </w:pPr>
      <w:r>
        <w:rPr/>
        <w:t>Las entidades consolidadas están integradas por dos o más entidades con personalidad jurídica propia que desarrollan actividades, ejercen sus derechos, y responden a sus obligaciones en forma individual.</w:t>
      </w:r>
    </w:p>
    <w:p>
      <w:pPr>
        <w:pStyle w:val="BodyText"/>
        <w:spacing w:before="8"/>
      </w:pPr>
    </w:p>
    <w:p>
      <w:pPr>
        <w:pStyle w:val="BodyText"/>
        <w:spacing w:line="360" w:lineRule="auto"/>
        <w:ind w:left="102" w:right="123"/>
        <w:jc w:val="both"/>
      </w:pPr>
      <w:r>
        <w:rPr/>
        <w:t>El fideicomiso constituye un patrimonio autónomo cuya titularidad se atribuye al fiduciario (institución de crédito) encargado del destino y de la realización del fin determinado. Al atribuirse la titularidad, la institución de crédito es la que toma las decisiones sobre los derechos y obligaciones; por tanto, el ente económico no tiene personalidad jurídica</w:t>
      </w:r>
      <w:r>
        <w:rPr>
          <w:spacing w:val="-15"/>
        </w:rPr>
        <w:t> </w:t>
      </w:r>
      <w:r>
        <w:rPr/>
        <w:t>propia.</w:t>
      </w:r>
    </w:p>
    <w:p>
      <w:pPr>
        <w:pStyle w:val="BodyText"/>
        <w:spacing w:before="7"/>
      </w:pPr>
    </w:p>
    <w:p>
      <w:pPr>
        <w:pStyle w:val="BodyText"/>
        <w:ind w:left="102"/>
        <w:jc w:val="both"/>
      </w:pPr>
      <w:r>
        <w:rPr/>
        <w:t>Las entidades pueden clasificarse también de la siguiente manera:</w:t>
      </w:r>
    </w:p>
    <w:p>
      <w:pPr>
        <w:pStyle w:val="BodyText"/>
      </w:pPr>
    </w:p>
    <w:p>
      <w:pPr>
        <w:pStyle w:val="ListParagraph"/>
        <w:numPr>
          <w:ilvl w:val="0"/>
          <w:numId w:val="9"/>
        </w:numPr>
        <w:tabs>
          <w:tab w:pos="461" w:val="left" w:leader="none"/>
          <w:tab w:pos="462" w:val="left" w:leader="none"/>
        </w:tabs>
        <w:spacing w:line="350" w:lineRule="auto" w:before="143" w:after="0"/>
        <w:ind w:left="462" w:right="124" w:hanging="360"/>
        <w:jc w:val="left"/>
        <w:rPr>
          <w:rFonts w:ascii="Symbol" w:hAnsi="Symbol"/>
          <w:sz w:val="24"/>
        </w:rPr>
      </w:pPr>
      <w:r>
        <w:rPr>
          <w:sz w:val="24"/>
        </w:rPr>
        <w:t>Atendiendo al número de personas que las integran: Entidades Físicas y Entidades</w:t>
      </w:r>
      <w:r>
        <w:rPr>
          <w:spacing w:val="-6"/>
          <w:sz w:val="24"/>
        </w:rPr>
        <w:t> </w:t>
      </w:r>
      <w:r>
        <w:rPr>
          <w:sz w:val="24"/>
        </w:rPr>
        <w:t>Morales.</w:t>
      </w:r>
    </w:p>
    <w:p>
      <w:pPr>
        <w:pStyle w:val="ListParagraph"/>
        <w:numPr>
          <w:ilvl w:val="0"/>
          <w:numId w:val="9"/>
        </w:numPr>
        <w:tabs>
          <w:tab w:pos="461" w:val="left" w:leader="none"/>
          <w:tab w:pos="462" w:val="left" w:leader="none"/>
        </w:tabs>
        <w:spacing w:line="350" w:lineRule="auto" w:before="16" w:after="0"/>
        <w:ind w:left="462" w:right="126" w:hanging="360"/>
        <w:jc w:val="left"/>
        <w:rPr>
          <w:rFonts w:ascii="Symbol"/>
          <w:sz w:val="24"/>
        </w:rPr>
      </w:pPr>
      <w:r>
        <w:rPr>
          <w:sz w:val="24"/>
        </w:rPr>
        <w:t>Atendiendo a la finalidad que persiguen: Entidades Lucrativas y Entidades No Lucrativas.</w:t>
      </w:r>
    </w:p>
    <w:p>
      <w:pPr>
        <w:pStyle w:val="ListParagraph"/>
        <w:numPr>
          <w:ilvl w:val="0"/>
          <w:numId w:val="9"/>
        </w:numPr>
        <w:tabs>
          <w:tab w:pos="461" w:val="left" w:leader="none"/>
          <w:tab w:pos="462" w:val="left" w:leader="none"/>
        </w:tabs>
        <w:spacing w:line="350" w:lineRule="auto" w:before="16" w:after="0"/>
        <w:ind w:left="462" w:right="126" w:hanging="360"/>
        <w:jc w:val="left"/>
        <w:rPr>
          <w:rFonts w:ascii="Symbol" w:hAnsi="Symbol"/>
          <w:sz w:val="24"/>
        </w:rPr>
      </w:pPr>
      <w:r>
        <w:rPr>
          <w:sz w:val="24"/>
        </w:rPr>
        <w:t>Atendiendo al tipo de entidad: Entidad Pública, Entidad Privada y Entidad Mixta.</w:t>
      </w:r>
    </w:p>
    <w:p>
      <w:pPr>
        <w:spacing w:after="0" w:line="350" w:lineRule="auto"/>
        <w:jc w:val="left"/>
        <w:rPr>
          <w:rFonts w:ascii="Symbol" w:hAnsi="Symbol"/>
          <w:sz w:val="24"/>
        </w:rPr>
        <w:sectPr>
          <w:pgSz w:w="12240" w:h="15840"/>
          <w:pgMar w:header="0" w:footer="779" w:top="1360" w:bottom="960" w:left="1600" w:right="1580"/>
        </w:sectPr>
      </w:pPr>
    </w:p>
    <w:p>
      <w:pPr>
        <w:pStyle w:val="ListParagraph"/>
        <w:numPr>
          <w:ilvl w:val="0"/>
          <w:numId w:val="9"/>
        </w:numPr>
        <w:tabs>
          <w:tab w:pos="461" w:val="left" w:leader="none"/>
          <w:tab w:pos="462" w:val="left" w:leader="none"/>
        </w:tabs>
        <w:spacing w:line="350" w:lineRule="auto" w:before="37" w:after="0"/>
        <w:ind w:left="462" w:right="105" w:hanging="360"/>
        <w:jc w:val="left"/>
        <w:rPr>
          <w:rFonts w:ascii="Symbol"/>
          <w:sz w:val="24"/>
        </w:rPr>
      </w:pPr>
      <w:r>
        <w:rPr>
          <w:sz w:val="24"/>
        </w:rPr>
        <w:t>Atendiendo a la procedencia de su capital: Entidad Nacional, Entidad Extranjera, y Entidad</w:t>
      </w:r>
      <w:r>
        <w:rPr>
          <w:spacing w:val="-14"/>
          <w:sz w:val="24"/>
        </w:rPr>
        <w:t> </w:t>
      </w:r>
      <w:r>
        <w:rPr>
          <w:sz w:val="24"/>
        </w:rPr>
        <w:t>Transnacional.</w:t>
      </w:r>
    </w:p>
    <w:p>
      <w:pPr>
        <w:pStyle w:val="ListParagraph"/>
        <w:numPr>
          <w:ilvl w:val="0"/>
          <w:numId w:val="9"/>
        </w:numPr>
        <w:tabs>
          <w:tab w:pos="461" w:val="left" w:leader="none"/>
          <w:tab w:pos="462" w:val="left" w:leader="none"/>
        </w:tabs>
        <w:spacing w:line="350" w:lineRule="auto" w:before="16" w:after="0"/>
        <w:ind w:left="462" w:right="105" w:hanging="360"/>
        <w:jc w:val="left"/>
        <w:rPr>
          <w:rFonts w:ascii="Symbol" w:hAnsi="Symbol"/>
          <w:sz w:val="24"/>
        </w:rPr>
      </w:pPr>
      <w:r>
        <w:rPr>
          <w:sz w:val="24"/>
        </w:rPr>
        <w:t>Atendiendo a la actividad que desarrollan: Entidades Comerciales, Industriales, de Servicios, de Actividades</w:t>
      </w:r>
      <w:r>
        <w:rPr>
          <w:spacing w:val="-16"/>
          <w:sz w:val="24"/>
        </w:rPr>
        <w:t> </w:t>
      </w:r>
      <w:r>
        <w:rPr>
          <w:sz w:val="24"/>
        </w:rPr>
        <w:t>Específicas.</w:t>
      </w:r>
    </w:p>
    <w:p>
      <w:pPr>
        <w:pStyle w:val="BodyText"/>
      </w:pPr>
    </w:p>
    <w:p>
      <w:pPr>
        <w:pStyle w:val="BodyText"/>
      </w:pPr>
    </w:p>
    <w:p>
      <w:pPr>
        <w:pStyle w:val="Heading2"/>
        <w:numPr>
          <w:ilvl w:val="1"/>
          <w:numId w:val="8"/>
        </w:numPr>
        <w:tabs>
          <w:tab w:pos="599" w:val="left" w:leader="none"/>
        </w:tabs>
        <w:spacing w:line="240" w:lineRule="auto" w:before="155" w:after="0"/>
        <w:ind w:left="598" w:right="0" w:hanging="496"/>
        <w:jc w:val="left"/>
      </w:pPr>
      <w:bookmarkStart w:name="_bookmark5" w:id="6"/>
      <w:bookmarkEnd w:id="6"/>
      <w:r>
        <w:rPr/>
        <w:t>A</w:t>
      </w:r>
      <w:r>
        <w:rPr/>
        <w:t>ctividades</w:t>
      </w:r>
      <w:r>
        <w:rPr>
          <w:spacing w:val="-7"/>
        </w:rPr>
        <w:t> </w:t>
      </w:r>
      <w:r>
        <w:rPr/>
        <w:t>empresariales</w:t>
      </w:r>
    </w:p>
    <w:p>
      <w:pPr>
        <w:pStyle w:val="BodyText"/>
        <w:rPr>
          <w:b/>
        </w:rPr>
      </w:pPr>
    </w:p>
    <w:p>
      <w:pPr>
        <w:pStyle w:val="BodyText"/>
        <w:spacing w:line="360" w:lineRule="auto" w:before="144"/>
        <w:ind w:left="102"/>
      </w:pPr>
      <w:r>
        <w:rPr/>
        <w:t>Se considera ingresos por actividades empresariales los provenientes de la realización de algunas de las siguientes actividades:</w:t>
      </w:r>
    </w:p>
    <w:p>
      <w:pPr>
        <w:pStyle w:val="BodyText"/>
        <w:spacing w:before="7"/>
      </w:pPr>
    </w:p>
    <w:p>
      <w:pPr>
        <w:pStyle w:val="ListParagraph"/>
        <w:numPr>
          <w:ilvl w:val="2"/>
          <w:numId w:val="8"/>
        </w:numPr>
        <w:tabs>
          <w:tab w:pos="821" w:val="left" w:leader="none"/>
          <w:tab w:pos="822" w:val="left" w:leader="none"/>
        </w:tabs>
        <w:spacing w:line="240" w:lineRule="auto" w:before="0" w:after="0"/>
        <w:ind w:left="822" w:right="0" w:hanging="360"/>
        <w:jc w:val="left"/>
        <w:rPr>
          <w:sz w:val="24"/>
        </w:rPr>
      </w:pPr>
      <w:r>
        <w:rPr>
          <w:sz w:val="24"/>
        </w:rPr>
        <w:t>Comerciales</w:t>
      </w:r>
    </w:p>
    <w:p>
      <w:pPr>
        <w:pStyle w:val="ListParagraph"/>
        <w:numPr>
          <w:ilvl w:val="2"/>
          <w:numId w:val="8"/>
        </w:numPr>
        <w:tabs>
          <w:tab w:pos="821" w:val="left" w:leader="none"/>
          <w:tab w:pos="822" w:val="left" w:leader="none"/>
        </w:tabs>
        <w:spacing w:line="240" w:lineRule="auto" w:before="139" w:after="0"/>
        <w:ind w:left="822" w:right="0" w:hanging="360"/>
        <w:jc w:val="left"/>
        <w:rPr>
          <w:sz w:val="24"/>
        </w:rPr>
      </w:pPr>
      <w:r>
        <w:rPr>
          <w:sz w:val="24"/>
        </w:rPr>
        <w:t>Industriales</w:t>
      </w:r>
    </w:p>
    <w:p>
      <w:pPr>
        <w:pStyle w:val="ListParagraph"/>
        <w:numPr>
          <w:ilvl w:val="2"/>
          <w:numId w:val="8"/>
        </w:numPr>
        <w:tabs>
          <w:tab w:pos="821" w:val="left" w:leader="none"/>
          <w:tab w:pos="822" w:val="left" w:leader="none"/>
        </w:tabs>
        <w:spacing w:line="240" w:lineRule="auto" w:before="137" w:after="0"/>
        <w:ind w:left="822" w:right="0" w:hanging="360"/>
        <w:jc w:val="left"/>
        <w:rPr>
          <w:sz w:val="24"/>
        </w:rPr>
      </w:pPr>
      <w:r>
        <w:rPr>
          <w:sz w:val="24"/>
        </w:rPr>
        <w:t>Agrícolas</w:t>
      </w:r>
    </w:p>
    <w:p>
      <w:pPr>
        <w:pStyle w:val="ListParagraph"/>
        <w:numPr>
          <w:ilvl w:val="2"/>
          <w:numId w:val="8"/>
        </w:numPr>
        <w:tabs>
          <w:tab w:pos="821" w:val="left" w:leader="none"/>
          <w:tab w:pos="822" w:val="left" w:leader="none"/>
        </w:tabs>
        <w:spacing w:line="240" w:lineRule="auto" w:before="139" w:after="0"/>
        <w:ind w:left="822" w:right="0" w:hanging="360"/>
        <w:jc w:val="left"/>
        <w:rPr>
          <w:sz w:val="24"/>
        </w:rPr>
      </w:pPr>
      <w:r>
        <w:rPr>
          <w:sz w:val="24"/>
        </w:rPr>
        <w:t>Ganaderas</w:t>
      </w:r>
    </w:p>
    <w:p>
      <w:pPr>
        <w:pStyle w:val="ListParagraph"/>
        <w:numPr>
          <w:ilvl w:val="2"/>
          <w:numId w:val="8"/>
        </w:numPr>
        <w:tabs>
          <w:tab w:pos="821" w:val="left" w:leader="none"/>
          <w:tab w:pos="822" w:val="left" w:leader="none"/>
        </w:tabs>
        <w:spacing w:line="240" w:lineRule="auto" w:before="137" w:after="0"/>
        <w:ind w:left="822" w:right="0" w:hanging="360"/>
        <w:jc w:val="left"/>
        <w:rPr>
          <w:sz w:val="24"/>
        </w:rPr>
      </w:pPr>
      <w:r>
        <w:rPr>
          <w:sz w:val="24"/>
        </w:rPr>
        <w:t>Pesqueras</w:t>
      </w:r>
    </w:p>
    <w:p>
      <w:pPr>
        <w:pStyle w:val="ListParagraph"/>
        <w:numPr>
          <w:ilvl w:val="2"/>
          <w:numId w:val="8"/>
        </w:numPr>
        <w:tabs>
          <w:tab w:pos="821" w:val="left" w:leader="none"/>
          <w:tab w:pos="822" w:val="left" w:leader="none"/>
        </w:tabs>
        <w:spacing w:line="240" w:lineRule="auto" w:before="139" w:after="0"/>
        <w:ind w:left="822" w:right="0" w:hanging="360"/>
        <w:jc w:val="left"/>
        <w:rPr>
          <w:sz w:val="24"/>
        </w:rPr>
      </w:pPr>
      <w:r>
        <w:rPr>
          <w:sz w:val="24"/>
        </w:rPr>
        <w:t>Silvícolas.</w:t>
      </w:r>
    </w:p>
    <w:p>
      <w:pPr>
        <w:pStyle w:val="BodyText"/>
      </w:pPr>
    </w:p>
    <w:p>
      <w:pPr>
        <w:pStyle w:val="BodyText"/>
        <w:spacing w:before="2"/>
        <w:rPr>
          <w:sz w:val="19"/>
        </w:rPr>
      </w:pPr>
    </w:p>
    <w:p>
      <w:pPr>
        <w:pStyle w:val="BodyText"/>
        <w:spacing w:line="360" w:lineRule="auto"/>
        <w:ind w:left="102" w:right="102"/>
        <w:jc w:val="both"/>
      </w:pPr>
      <w:r>
        <w:rPr/>
        <w:t>El Código Fiscal de la Federación en su artículo 16, fracciones I, II, III, IV y V señala que se entenderá por cada una de las actividades empresariales:</w:t>
      </w:r>
    </w:p>
    <w:p>
      <w:pPr>
        <w:pStyle w:val="BodyText"/>
        <w:spacing w:before="3"/>
        <w:rPr>
          <w:sz w:val="31"/>
        </w:rPr>
      </w:pPr>
    </w:p>
    <w:p>
      <w:pPr>
        <w:pStyle w:val="BodyText"/>
        <w:spacing w:line="362" w:lineRule="auto" w:before="1"/>
        <w:ind w:left="102" w:right="105"/>
        <w:jc w:val="both"/>
      </w:pPr>
      <w:r>
        <w:rPr>
          <w:i/>
        </w:rPr>
        <w:t>Comerciales </w:t>
      </w:r>
      <w:r>
        <w:rPr/>
        <w:t>son las que de conformidad con las leyes federales tienen ese carácter y no están comprendidas en las siguientes;</w:t>
      </w:r>
    </w:p>
    <w:p>
      <w:pPr>
        <w:pStyle w:val="BodyText"/>
        <w:spacing w:before="1"/>
        <w:rPr>
          <w:sz w:val="31"/>
        </w:rPr>
      </w:pPr>
    </w:p>
    <w:p>
      <w:pPr>
        <w:pStyle w:val="BodyText"/>
        <w:spacing w:line="362" w:lineRule="auto"/>
        <w:ind w:left="102" w:right="104"/>
        <w:jc w:val="both"/>
      </w:pPr>
      <w:r>
        <w:rPr>
          <w:i/>
        </w:rPr>
        <w:t>Industriales </w:t>
      </w:r>
      <w:r>
        <w:rPr/>
        <w:t>entendidas como la extracción, conservación o transformación de materias primas, acabado de productos y la elaboración de satisfactores.</w:t>
      </w:r>
    </w:p>
    <w:p>
      <w:pPr>
        <w:pStyle w:val="BodyText"/>
        <w:spacing w:before="1"/>
        <w:rPr>
          <w:sz w:val="31"/>
        </w:rPr>
      </w:pPr>
    </w:p>
    <w:p>
      <w:pPr>
        <w:pStyle w:val="BodyText"/>
        <w:spacing w:line="360" w:lineRule="auto" w:before="1"/>
        <w:ind w:left="102" w:right="102"/>
        <w:jc w:val="both"/>
      </w:pPr>
      <w:r>
        <w:rPr>
          <w:i/>
        </w:rPr>
        <w:t>Agrícolas </w:t>
      </w:r>
      <w:r>
        <w:rPr/>
        <w:t>comprenden las actividades de siembra, cultivo, cosecha y la primera enajenación de los productos obtenidos, que no hayan sido objeto de transformación industrial.</w:t>
      </w:r>
    </w:p>
    <w:p>
      <w:pPr>
        <w:spacing w:after="0" w:line="360" w:lineRule="auto"/>
        <w:jc w:val="both"/>
        <w:sectPr>
          <w:pgSz w:w="12240" w:h="15840"/>
          <w:pgMar w:header="0" w:footer="779" w:top="1380" w:bottom="960" w:left="1600" w:right="1600"/>
        </w:sectPr>
      </w:pPr>
    </w:p>
    <w:p>
      <w:pPr>
        <w:pStyle w:val="BodyText"/>
        <w:spacing w:line="362" w:lineRule="auto" w:before="51"/>
        <w:ind w:left="102" w:right="105"/>
        <w:jc w:val="both"/>
      </w:pPr>
      <w:r>
        <w:rPr>
          <w:i/>
        </w:rPr>
        <w:t>Ganaderas </w:t>
      </w:r>
      <w:r>
        <w:rPr/>
        <w:t>son las consistentes en la cría y engorda de ganado, aves de corral y animales, así como la primera enajenación de sus productos, que no hayan sido objeto de transformación industrial.</w:t>
      </w:r>
    </w:p>
    <w:p>
      <w:pPr>
        <w:pStyle w:val="BodyText"/>
        <w:spacing w:before="3"/>
        <w:rPr>
          <w:sz w:val="31"/>
        </w:rPr>
      </w:pPr>
    </w:p>
    <w:p>
      <w:pPr>
        <w:pStyle w:val="BodyText"/>
        <w:spacing w:line="360" w:lineRule="auto"/>
        <w:ind w:left="102" w:right="106"/>
        <w:jc w:val="both"/>
      </w:pPr>
      <w:r>
        <w:rPr/>
        <w:t>Las de pesca incluyen la cría, cultivo, fomento y cuidado de la reproducción de toda clase de especies marinas y de agua dulce, incluida la acuacultura, así como la captura y extracción de las mismas y la primera enajenación de esos productos, que no hayan sido objeto de transformación industrial.</w:t>
      </w:r>
    </w:p>
    <w:p>
      <w:pPr>
        <w:pStyle w:val="BodyText"/>
        <w:spacing w:before="8"/>
      </w:pPr>
    </w:p>
    <w:p>
      <w:pPr>
        <w:pStyle w:val="BodyText"/>
        <w:spacing w:line="360" w:lineRule="auto"/>
        <w:ind w:left="102" w:right="100" w:firstLine="67"/>
        <w:jc w:val="both"/>
      </w:pPr>
      <w:r>
        <w:rPr/>
        <w:t>Las silvícolas son las de cultivo de los bosques o montes, así como la cría, conservación, restauración, fomento y aprovechamiento de la vegetación de los mismos y la primera enajenación de sus productos, que no hayan sido objeto de transformación industrial.</w:t>
      </w:r>
    </w:p>
    <w:p>
      <w:pPr>
        <w:pStyle w:val="BodyText"/>
      </w:pPr>
    </w:p>
    <w:p>
      <w:pPr>
        <w:pStyle w:val="Heading2"/>
        <w:numPr>
          <w:ilvl w:val="1"/>
          <w:numId w:val="8"/>
        </w:numPr>
        <w:tabs>
          <w:tab w:pos="597" w:val="left" w:leader="none"/>
        </w:tabs>
        <w:spacing w:line="240" w:lineRule="auto" w:before="142" w:after="0"/>
        <w:ind w:left="596" w:right="0" w:hanging="494"/>
        <w:jc w:val="both"/>
      </w:pPr>
      <w:bookmarkStart w:name="_bookmark6" w:id="7"/>
      <w:bookmarkEnd w:id="7"/>
      <w:r>
        <w:rPr/>
        <w:t>Regímen</w:t>
      </w:r>
      <w:r>
        <w:rPr/>
        <w:t>es</w:t>
      </w:r>
      <w:r>
        <w:rPr>
          <w:spacing w:val="-6"/>
        </w:rPr>
        <w:t> </w:t>
      </w:r>
      <w:r>
        <w:rPr/>
        <w:t>fiscales</w:t>
      </w:r>
    </w:p>
    <w:p>
      <w:pPr>
        <w:pStyle w:val="BodyText"/>
        <w:rPr>
          <w:b/>
        </w:rPr>
      </w:pPr>
    </w:p>
    <w:p>
      <w:pPr>
        <w:pStyle w:val="BodyText"/>
        <w:spacing w:before="9"/>
        <w:rPr>
          <w:b/>
          <w:sz w:val="23"/>
        </w:rPr>
      </w:pPr>
    </w:p>
    <w:p>
      <w:pPr>
        <w:spacing w:before="0"/>
        <w:ind w:left="102" w:right="0" w:firstLine="0"/>
        <w:jc w:val="both"/>
        <w:rPr>
          <w:i/>
          <w:sz w:val="24"/>
        </w:rPr>
      </w:pPr>
      <w:r>
        <w:rPr>
          <w:i/>
          <w:sz w:val="24"/>
          <w:u w:val="single"/>
        </w:rPr>
        <w:t>Personas Morales del Régimen General de Ley</w:t>
      </w:r>
    </w:p>
    <w:p>
      <w:pPr>
        <w:pStyle w:val="ListParagraph"/>
        <w:numPr>
          <w:ilvl w:val="2"/>
          <w:numId w:val="8"/>
        </w:numPr>
        <w:tabs>
          <w:tab w:pos="821" w:val="left" w:leader="none"/>
          <w:tab w:pos="822" w:val="left" w:leader="none"/>
        </w:tabs>
        <w:spacing w:line="240" w:lineRule="auto" w:before="142" w:after="0"/>
        <w:ind w:left="822" w:right="0" w:hanging="360"/>
        <w:jc w:val="left"/>
        <w:rPr>
          <w:sz w:val="24"/>
        </w:rPr>
      </w:pPr>
      <w:r>
        <w:rPr>
          <w:sz w:val="24"/>
        </w:rPr>
        <w:t>Sociedades</w:t>
      </w:r>
      <w:r>
        <w:rPr>
          <w:spacing w:val="-7"/>
          <w:sz w:val="24"/>
        </w:rPr>
        <w:t> </w:t>
      </w:r>
      <w:r>
        <w:rPr>
          <w:sz w:val="24"/>
        </w:rPr>
        <w:t>mercantiles.</w:t>
      </w:r>
    </w:p>
    <w:p>
      <w:pPr>
        <w:pStyle w:val="ListParagraph"/>
        <w:numPr>
          <w:ilvl w:val="2"/>
          <w:numId w:val="8"/>
        </w:numPr>
        <w:tabs>
          <w:tab w:pos="821" w:val="left" w:leader="none"/>
          <w:tab w:pos="822" w:val="left" w:leader="none"/>
        </w:tabs>
        <w:spacing w:line="240" w:lineRule="auto" w:before="137" w:after="0"/>
        <w:ind w:left="822" w:right="0" w:hanging="360"/>
        <w:jc w:val="left"/>
        <w:rPr>
          <w:sz w:val="24"/>
        </w:rPr>
      </w:pPr>
      <w:r>
        <w:rPr>
          <w:sz w:val="24"/>
        </w:rPr>
        <w:t>Instituciones de crédito, de seguros y</w:t>
      </w:r>
      <w:r>
        <w:rPr>
          <w:spacing w:val="-16"/>
          <w:sz w:val="24"/>
        </w:rPr>
        <w:t> </w:t>
      </w:r>
      <w:r>
        <w:rPr>
          <w:sz w:val="24"/>
        </w:rPr>
        <w:t>fianzas.</w:t>
      </w:r>
    </w:p>
    <w:p>
      <w:pPr>
        <w:pStyle w:val="ListParagraph"/>
        <w:numPr>
          <w:ilvl w:val="2"/>
          <w:numId w:val="8"/>
        </w:numPr>
        <w:tabs>
          <w:tab w:pos="821" w:val="left" w:leader="none"/>
          <w:tab w:pos="822" w:val="left" w:leader="none"/>
        </w:tabs>
        <w:spacing w:line="240" w:lineRule="auto" w:before="139" w:after="0"/>
        <w:ind w:left="822" w:right="0" w:hanging="360"/>
        <w:jc w:val="left"/>
        <w:rPr>
          <w:sz w:val="24"/>
        </w:rPr>
      </w:pPr>
      <w:r>
        <w:rPr>
          <w:sz w:val="24"/>
        </w:rPr>
        <w:t>Almacenes generales de</w:t>
      </w:r>
      <w:r>
        <w:rPr>
          <w:spacing w:val="-13"/>
          <w:sz w:val="24"/>
        </w:rPr>
        <w:t> </w:t>
      </w:r>
      <w:r>
        <w:rPr>
          <w:sz w:val="24"/>
        </w:rPr>
        <w:t>depósito.</w:t>
      </w:r>
    </w:p>
    <w:p>
      <w:pPr>
        <w:pStyle w:val="ListParagraph"/>
        <w:numPr>
          <w:ilvl w:val="2"/>
          <w:numId w:val="8"/>
        </w:numPr>
        <w:tabs>
          <w:tab w:pos="821" w:val="left" w:leader="none"/>
          <w:tab w:pos="822" w:val="left" w:leader="none"/>
        </w:tabs>
        <w:spacing w:line="240" w:lineRule="auto" w:before="137" w:after="0"/>
        <w:ind w:left="822" w:right="0" w:hanging="360"/>
        <w:jc w:val="left"/>
        <w:rPr>
          <w:sz w:val="24"/>
        </w:rPr>
      </w:pPr>
      <w:r>
        <w:rPr>
          <w:sz w:val="24"/>
        </w:rPr>
        <w:t>Sociedades de inversión de</w:t>
      </w:r>
      <w:r>
        <w:rPr>
          <w:spacing w:val="-10"/>
          <w:sz w:val="24"/>
        </w:rPr>
        <w:t> </w:t>
      </w:r>
      <w:r>
        <w:rPr>
          <w:sz w:val="24"/>
        </w:rPr>
        <w:t>capitales.</w:t>
      </w:r>
    </w:p>
    <w:p>
      <w:pPr>
        <w:pStyle w:val="ListParagraph"/>
        <w:numPr>
          <w:ilvl w:val="2"/>
          <w:numId w:val="8"/>
        </w:numPr>
        <w:tabs>
          <w:tab w:pos="821" w:val="left" w:leader="none"/>
          <w:tab w:pos="822" w:val="left" w:leader="none"/>
        </w:tabs>
        <w:spacing w:line="360" w:lineRule="auto" w:before="139" w:after="0"/>
        <w:ind w:left="822" w:right="123" w:hanging="360"/>
        <w:jc w:val="left"/>
        <w:rPr>
          <w:sz w:val="24"/>
        </w:rPr>
      </w:pPr>
      <w:r>
        <w:rPr>
          <w:sz w:val="24"/>
        </w:rPr>
        <w:t>Organismos descentralizados que preponderantemente realicen</w:t>
      </w:r>
      <w:r>
        <w:rPr>
          <w:spacing w:val="-25"/>
          <w:sz w:val="24"/>
        </w:rPr>
        <w:t> </w:t>
      </w:r>
      <w:r>
        <w:rPr>
          <w:sz w:val="24"/>
        </w:rPr>
        <w:t>actividades empresariales.</w:t>
      </w:r>
    </w:p>
    <w:p>
      <w:pPr>
        <w:pStyle w:val="ListParagraph"/>
        <w:numPr>
          <w:ilvl w:val="2"/>
          <w:numId w:val="8"/>
        </w:numPr>
        <w:tabs>
          <w:tab w:pos="821" w:val="left" w:leader="none"/>
          <w:tab w:pos="822" w:val="left" w:leader="none"/>
        </w:tabs>
        <w:spacing w:line="360" w:lineRule="auto" w:before="5" w:after="0"/>
        <w:ind w:left="822" w:right="118" w:hanging="360"/>
        <w:jc w:val="left"/>
        <w:rPr>
          <w:sz w:val="24"/>
        </w:rPr>
      </w:pPr>
      <w:r>
        <w:rPr>
          <w:sz w:val="24"/>
        </w:rPr>
        <w:t>Sociedades y asociaciones civiles, excepto tratándose de personas morales no</w:t>
      </w:r>
      <w:r>
        <w:rPr>
          <w:spacing w:val="-8"/>
          <w:sz w:val="24"/>
        </w:rPr>
        <w:t> </w:t>
      </w:r>
      <w:r>
        <w:rPr>
          <w:sz w:val="24"/>
        </w:rPr>
        <w:t>contribuyentes.</w:t>
      </w:r>
    </w:p>
    <w:p>
      <w:pPr>
        <w:pStyle w:val="BodyText"/>
      </w:pPr>
    </w:p>
    <w:p>
      <w:pPr>
        <w:spacing w:before="140"/>
        <w:ind w:left="102" w:right="0" w:firstLine="0"/>
        <w:jc w:val="both"/>
        <w:rPr>
          <w:i/>
          <w:sz w:val="24"/>
        </w:rPr>
      </w:pPr>
      <w:r>
        <w:rPr>
          <w:i/>
          <w:sz w:val="24"/>
          <w:u w:val="single"/>
        </w:rPr>
        <w:t>Personas Morales no Contribuyentes</w:t>
      </w:r>
    </w:p>
    <w:p>
      <w:pPr>
        <w:pStyle w:val="ListParagraph"/>
        <w:numPr>
          <w:ilvl w:val="2"/>
          <w:numId w:val="8"/>
        </w:numPr>
        <w:tabs>
          <w:tab w:pos="821" w:val="left" w:leader="none"/>
          <w:tab w:pos="822" w:val="left" w:leader="none"/>
        </w:tabs>
        <w:spacing w:line="240" w:lineRule="auto" w:before="141" w:after="0"/>
        <w:ind w:left="822" w:right="0" w:hanging="360"/>
        <w:jc w:val="left"/>
        <w:rPr>
          <w:sz w:val="24"/>
        </w:rPr>
      </w:pPr>
      <w:r>
        <w:rPr>
          <w:sz w:val="24"/>
        </w:rPr>
        <w:t>Los sindicatos obreros y los organismos que los</w:t>
      </w:r>
      <w:r>
        <w:rPr>
          <w:spacing w:val="-19"/>
          <w:sz w:val="24"/>
        </w:rPr>
        <w:t> </w:t>
      </w:r>
      <w:r>
        <w:rPr>
          <w:sz w:val="24"/>
        </w:rPr>
        <w:t>agrupen.</w:t>
      </w:r>
    </w:p>
    <w:p>
      <w:pPr>
        <w:pStyle w:val="ListParagraph"/>
        <w:numPr>
          <w:ilvl w:val="2"/>
          <w:numId w:val="8"/>
        </w:numPr>
        <w:tabs>
          <w:tab w:pos="821" w:val="left" w:leader="none"/>
          <w:tab w:pos="822" w:val="left" w:leader="none"/>
        </w:tabs>
        <w:spacing w:line="240" w:lineRule="auto" w:before="137" w:after="0"/>
        <w:ind w:left="822" w:right="0" w:hanging="360"/>
        <w:jc w:val="left"/>
        <w:rPr>
          <w:sz w:val="24"/>
        </w:rPr>
      </w:pPr>
      <w:r>
        <w:rPr>
          <w:sz w:val="24"/>
        </w:rPr>
        <w:t>Asociaciones</w:t>
      </w:r>
      <w:r>
        <w:rPr>
          <w:spacing w:val="-9"/>
          <w:sz w:val="24"/>
        </w:rPr>
        <w:t> </w:t>
      </w:r>
      <w:r>
        <w:rPr>
          <w:sz w:val="24"/>
        </w:rPr>
        <w:t>patronales.</w:t>
      </w:r>
    </w:p>
    <w:p>
      <w:pPr>
        <w:pStyle w:val="ListParagraph"/>
        <w:numPr>
          <w:ilvl w:val="2"/>
          <w:numId w:val="8"/>
        </w:numPr>
        <w:tabs>
          <w:tab w:pos="821" w:val="left" w:leader="none"/>
          <w:tab w:pos="822" w:val="left" w:leader="none"/>
        </w:tabs>
        <w:spacing w:line="360" w:lineRule="auto" w:before="139" w:after="0"/>
        <w:ind w:left="822" w:right="103" w:hanging="360"/>
        <w:jc w:val="left"/>
        <w:rPr>
          <w:sz w:val="24"/>
        </w:rPr>
      </w:pPr>
      <w:r>
        <w:rPr>
          <w:sz w:val="24"/>
        </w:rPr>
        <w:t>Cámaras de Comercio e Industria, agrupaciones agrícolas, ganaderas, pesqueras o silvícolas, así como los organismos que las</w:t>
      </w:r>
      <w:r>
        <w:rPr>
          <w:spacing w:val="-19"/>
          <w:sz w:val="24"/>
        </w:rPr>
        <w:t> </w:t>
      </w:r>
      <w:r>
        <w:rPr>
          <w:sz w:val="24"/>
        </w:rPr>
        <w:t>reúnan.</w:t>
      </w:r>
    </w:p>
    <w:p>
      <w:pPr>
        <w:pStyle w:val="ListParagraph"/>
        <w:numPr>
          <w:ilvl w:val="2"/>
          <w:numId w:val="8"/>
        </w:numPr>
        <w:tabs>
          <w:tab w:pos="821" w:val="left" w:leader="none"/>
          <w:tab w:pos="822" w:val="left" w:leader="none"/>
        </w:tabs>
        <w:spacing w:line="240" w:lineRule="auto" w:before="5" w:after="0"/>
        <w:ind w:left="822" w:right="0" w:hanging="360"/>
        <w:jc w:val="left"/>
        <w:rPr>
          <w:sz w:val="24"/>
        </w:rPr>
      </w:pPr>
      <w:r>
        <w:rPr>
          <w:sz w:val="24"/>
        </w:rPr>
        <w:t>Colegios de Profesionales y los organismos que los</w:t>
      </w:r>
      <w:r>
        <w:rPr>
          <w:spacing w:val="-21"/>
          <w:sz w:val="24"/>
        </w:rPr>
        <w:t> </w:t>
      </w:r>
      <w:r>
        <w:rPr>
          <w:sz w:val="24"/>
        </w:rPr>
        <w:t>agrupen.</w:t>
      </w:r>
    </w:p>
    <w:p>
      <w:pPr>
        <w:spacing w:after="0" w:line="240" w:lineRule="auto"/>
        <w:jc w:val="left"/>
        <w:rPr>
          <w:sz w:val="24"/>
        </w:rPr>
        <w:sectPr>
          <w:pgSz w:w="12240" w:h="15840"/>
          <w:pgMar w:header="0" w:footer="779" w:top="1360" w:bottom="960" w:left="1600" w:right="1600"/>
        </w:sectPr>
      </w:pPr>
    </w:p>
    <w:p>
      <w:pPr>
        <w:pStyle w:val="ListParagraph"/>
        <w:numPr>
          <w:ilvl w:val="0"/>
          <w:numId w:val="10"/>
        </w:numPr>
        <w:tabs>
          <w:tab w:pos="702" w:val="left" w:leader="none"/>
        </w:tabs>
        <w:spacing w:line="360" w:lineRule="auto" w:before="56" w:after="0"/>
        <w:ind w:left="702" w:right="103" w:hanging="360"/>
        <w:jc w:val="both"/>
        <w:rPr>
          <w:sz w:val="24"/>
        </w:rPr>
      </w:pPr>
      <w:r>
        <w:rPr>
          <w:sz w:val="24"/>
        </w:rPr>
        <w:t>Asociaciones civiles y sociedades de responsabilidad limitada de interés público, que administren en forma descentralizada los distritos o unidades de riego, previa concesión y permiso</w:t>
      </w:r>
      <w:r>
        <w:rPr>
          <w:spacing w:val="-21"/>
          <w:sz w:val="24"/>
        </w:rPr>
        <w:t> </w:t>
      </w:r>
      <w:r>
        <w:rPr>
          <w:sz w:val="24"/>
        </w:rPr>
        <w:t>respectivo.</w:t>
      </w:r>
    </w:p>
    <w:p>
      <w:pPr>
        <w:pStyle w:val="ListParagraph"/>
        <w:numPr>
          <w:ilvl w:val="0"/>
          <w:numId w:val="10"/>
        </w:numPr>
        <w:tabs>
          <w:tab w:pos="702" w:val="left" w:leader="none"/>
        </w:tabs>
        <w:spacing w:line="360" w:lineRule="auto" w:before="2" w:after="0"/>
        <w:ind w:left="702" w:right="103" w:hanging="360"/>
        <w:jc w:val="both"/>
        <w:rPr>
          <w:sz w:val="24"/>
        </w:rPr>
      </w:pPr>
      <w:r>
        <w:rPr>
          <w:sz w:val="24"/>
        </w:rPr>
        <w:t>Instituciones de asistencia o de beneficencia autorizadas por las leyes de la materia, así como las sociedades o asociaciones civiles autorizadas para recibir donativos en los términos de la Ley del Impuesto sobre la</w:t>
      </w:r>
      <w:r>
        <w:rPr>
          <w:spacing w:val="-27"/>
          <w:sz w:val="24"/>
        </w:rPr>
        <w:t> </w:t>
      </w:r>
      <w:r>
        <w:rPr>
          <w:sz w:val="24"/>
        </w:rPr>
        <w:t>Renta.</w:t>
      </w:r>
    </w:p>
    <w:p>
      <w:pPr>
        <w:pStyle w:val="ListParagraph"/>
        <w:numPr>
          <w:ilvl w:val="0"/>
          <w:numId w:val="10"/>
        </w:numPr>
        <w:tabs>
          <w:tab w:pos="701" w:val="left" w:leader="none"/>
          <w:tab w:pos="702" w:val="left" w:leader="none"/>
        </w:tabs>
        <w:spacing w:line="240" w:lineRule="auto" w:before="5" w:after="0"/>
        <w:ind w:left="702" w:right="0" w:hanging="360"/>
        <w:jc w:val="left"/>
        <w:rPr>
          <w:sz w:val="24"/>
        </w:rPr>
      </w:pPr>
      <w:r>
        <w:rPr>
          <w:sz w:val="24"/>
        </w:rPr>
        <w:t>Sociedades cooperativas de</w:t>
      </w:r>
      <w:r>
        <w:rPr>
          <w:spacing w:val="-13"/>
          <w:sz w:val="24"/>
        </w:rPr>
        <w:t> </w:t>
      </w:r>
      <w:r>
        <w:rPr>
          <w:sz w:val="24"/>
        </w:rPr>
        <w:t>consumo.</w:t>
      </w:r>
    </w:p>
    <w:p>
      <w:pPr>
        <w:pStyle w:val="ListParagraph"/>
        <w:numPr>
          <w:ilvl w:val="0"/>
          <w:numId w:val="10"/>
        </w:numPr>
        <w:tabs>
          <w:tab w:pos="702" w:val="left" w:leader="none"/>
        </w:tabs>
        <w:spacing w:line="360" w:lineRule="auto" w:before="137" w:after="0"/>
        <w:ind w:left="702" w:right="103" w:hanging="360"/>
        <w:jc w:val="both"/>
        <w:rPr>
          <w:sz w:val="24"/>
        </w:rPr>
      </w:pPr>
      <w:r>
        <w:rPr>
          <w:sz w:val="24"/>
        </w:rPr>
        <w:t>Organismos que conforme a la Ley agrupen a las sociedades cooperativas, ya sea de productores o de</w:t>
      </w:r>
      <w:r>
        <w:rPr>
          <w:spacing w:val="-13"/>
          <w:sz w:val="24"/>
        </w:rPr>
        <w:t> </w:t>
      </w:r>
      <w:r>
        <w:rPr>
          <w:sz w:val="24"/>
        </w:rPr>
        <w:t>consumo.</w:t>
      </w:r>
    </w:p>
    <w:p>
      <w:pPr>
        <w:pStyle w:val="ListParagraph"/>
        <w:numPr>
          <w:ilvl w:val="0"/>
          <w:numId w:val="10"/>
        </w:numPr>
        <w:tabs>
          <w:tab w:pos="702" w:val="left" w:leader="none"/>
        </w:tabs>
        <w:spacing w:line="360" w:lineRule="auto" w:before="3" w:after="0"/>
        <w:ind w:left="702" w:right="105" w:hanging="360"/>
        <w:jc w:val="both"/>
        <w:rPr>
          <w:sz w:val="24"/>
        </w:rPr>
      </w:pPr>
      <w:r>
        <w:rPr>
          <w:sz w:val="24"/>
        </w:rPr>
        <w:t>Sociedades mutualistas que no operen con terceros, siempre que no realicen gastos para la adquisición de negocios, tales como premios, comisiones y otros</w:t>
      </w:r>
      <w:r>
        <w:rPr>
          <w:spacing w:val="-5"/>
          <w:sz w:val="24"/>
        </w:rPr>
        <w:t> </w:t>
      </w:r>
      <w:r>
        <w:rPr>
          <w:sz w:val="24"/>
        </w:rPr>
        <w:t>semejantes.</w:t>
      </w:r>
    </w:p>
    <w:p>
      <w:pPr>
        <w:pStyle w:val="ListParagraph"/>
        <w:numPr>
          <w:ilvl w:val="0"/>
          <w:numId w:val="10"/>
        </w:numPr>
        <w:tabs>
          <w:tab w:pos="702" w:val="left" w:leader="none"/>
        </w:tabs>
        <w:spacing w:line="360" w:lineRule="auto" w:before="5" w:after="0"/>
        <w:ind w:left="702" w:right="103" w:hanging="360"/>
        <w:jc w:val="both"/>
        <w:rPr>
          <w:sz w:val="24"/>
        </w:rPr>
      </w:pPr>
      <w:r>
        <w:rPr>
          <w:sz w:val="24"/>
        </w:rPr>
        <w:t>Sociedades o asociaciones de carácter civil que se dediquen a la enseñanza, con autorización o con reconocimiento de validez oficial de estudios, en los términos de la Ley Federal de</w:t>
      </w:r>
      <w:r>
        <w:rPr>
          <w:spacing w:val="-19"/>
          <w:sz w:val="24"/>
        </w:rPr>
        <w:t> </w:t>
      </w:r>
      <w:r>
        <w:rPr>
          <w:sz w:val="24"/>
        </w:rPr>
        <w:t>Educación.</w:t>
      </w:r>
    </w:p>
    <w:p>
      <w:pPr>
        <w:pStyle w:val="ListParagraph"/>
        <w:numPr>
          <w:ilvl w:val="0"/>
          <w:numId w:val="10"/>
        </w:numPr>
        <w:tabs>
          <w:tab w:pos="702" w:val="left" w:leader="none"/>
        </w:tabs>
        <w:spacing w:line="360" w:lineRule="auto" w:before="2" w:after="0"/>
        <w:ind w:left="702" w:right="104" w:hanging="360"/>
        <w:jc w:val="both"/>
        <w:rPr>
          <w:sz w:val="24"/>
        </w:rPr>
      </w:pPr>
      <w:r>
        <w:rPr>
          <w:sz w:val="24"/>
        </w:rPr>
        <w:t>Asociaciones o sociedades civiles organizadas con fines culturales; las dedicadas a la investigación científica o tecnológica que se encuentren inscritas en el Registro Nacional de Instituciones Científicas y Tecnológicas, así como bibliotecas y museos abiertos al</w:t>
      </w:r>
      <w:r>
        <w:rPr>
          <w:spacing w:val="-16"/>
          <w:sz w:val="24"/>
        </w:rPr>
        <w:t> </w:t>
      </w:r>
      <w:r>
        <w:rPr>
          <w:sz w:val="24"/>
        </w:rPr>
        <w:t>público.</w:t>
      </w:r>
    </w:p>
    <w:p>
      <w:pPr>
        <w:pStyle w:val="ListParagraph"/>
        <w:numPr>
          <w:ilvl w:val="0"/>
          <w:numId w:val="10"/>
        </w:numPr>
        <w:tabs>
          <w:tab w:pos="702" w:val="left" w:leader="none"/>
        </w:tabs>
        <w:spacing w:line="360" w:lineRule="auto" w:before="2" w:after="0"/>
        <w:ind w:left="702" w:right="99" w:hanging="360"/>
        <w:jc w:val="both"/>
        <w:rPr>
          <w:sz w:val="24"/>
        </w:rPr>
      </w:pPr>
      <w:r>
        <w:rPr>
          <w:sz w:val="24"/>
        </w:rPr>
        <w:t>Las instituciones o sociedades civiles constituidas únicamente con el objeto de administrar fondos o cajas de</w:t>
      </w:r>
      <w:r>
        <w:rPr>
          <w:spacing w:val="-17"/>
          <w:sz w:val="24"/>
        </w:rPr>
        <w:t> </w:t>
      </w:r>
      <w:r>
        <w:rPr>
          <w:sz w:val="24"/>
        </w:rPr>
        <w:t>ahorro.</w:t>
      </w:r>
    </w:p>
    <w:p>
      <w:pPr>
        <w:pStyle w:val="ListParagraph"/>
        <w:numPr>
          <w:ilvl w:val="0"/>
          <w:numId w:val="10"/>
        </w:numPr>
        <w:tabs>
          <w:tab w:pos="702" w:val="left" w:leader="none"/>
        </w:tabs>
        <w:spacing w:line="360" w:lineRule="auto" w:before="2" w:after="0"/>
        <w:ind w:left="702" w:right="102" w:hanging="360"/>
        <w:jc w:val="both"/>
        <w:rPr>
          <w:sz w:val="24"/>
        </w:rPr>
      </w:pPr>
      <w:r>
        <w:rPr>
          <w:sz w:val="24"/>
        </w:rPr>
        <w:t>Asociaciones de padres de familia constituidas y registradas en los términos del Reglamento de Asociaciones de Padres de Familia de la Ley Federal de Educación.</w:t>
      </w:r>
    </w:p>
    <w:p>
      <w:pPr>
        <w:pStyle w:val="ListParagraph"/>
        <w:numPr>
          <w:ilvl w:val="0"/>
          <w:numId w:val="10"/>
        </w:numPr>
        <w:tabs>
          <w:tab w:pos="702" w:val="left" w:leader="none"/>
        </w:tabs>
        <w:spacing w:line="362" w:lineRule="auto" w:before="2" w:after="0"/>
        <w:ind w:left="702" w:right="102" w:hanging="360"/>
        <w:jc w:val="both"/>
        <w:rPr>
          <w:sz w:val="24"/>
        </w:rPr>
      </w:pPr>
      <w:r>
        <w:rPr>
          <w:sz w:val="24"/>
        </w:rPr>
        <w:t>Sociedades de autores de interés público constituidas de acuerdo con la Ley Federal de Derechos de</w:t>
      </w:r>
      <w:r>
        <w:rPr>
          <w:spacing w:val="-14"/>
          <w:sz w:val="24"/>
        </w:rPr>
        <w:t> </w:t>
      </w:r>
      <w:r>
        <w:rPr>
          <w:sz w:val="24"/>
        </w:rPr>
        <w:t>Autor.</w:t>
      </w:r>
    </w:p>
    <w:p>
      <w:pPr>
        <w:pStyle w:val="ListParagraph"/>
        <w:numPr>
          <w:ilvl w:val="0"/>
          <w:numId w:val="10"/>
        </w:numPr>
        <w:tabs>
          <w:tab w:pos="702" w:val="left" w:leader="none"/>
        </w:tabs>
        <w:spacing w:line="360" w:lineRule="auto" w:before="0" w:after="0"/>
        <w:ind w:left="702" w:right="104" w:hanging="360"/>
        <w:jc w:val="both"/>
        <w:rPr>
          <w:sz w:val="24"/>
        </w:rPr>
      </w:pPr>
      <w:r>
        <w:rPr>
          <w:sz w:val="24"/>
        </w:rPr>
        <w:t>Asociaciones o sociedades civiles organizadas con fines políticos, deportivos o</w:t>
      </w:r>
      <w:r>
        <w:rPr>
          <w:spacing w:val="-8"/>
          <w:sz w:val="24"/>
        </w:rPr>
        <w:t> </w:t>
      </w:r>
      <w:r>
        <w:rPr>
          <w:sz w:val="24"/>
        </w:rPr>
        <w:t>religiosos.</w:t>
      </w:r>
    </w:p>
    <w:p>
      <w:pPr>
        <w:pStyle w:val="ListParagraph"/>
        <w:numPr>
          <w:ilvl w:val="0"/>
          <w:numId w:val="10"/>
        </w:numPr>
        <w:tabs>
          <w:tab w:pos="701" w:val="left" w:leader="none"/>
          <w:tab w:pos="702" w:val="left" w:leader="none"/>
        </w:tabs>
        <w:spacing w:line="240" w:lineRule="auto" w:before="2" w:after="0"/>
        <w:ind w:left="702" w:right="0" w:hanging="360"/>
        <w:jc w:val="left"/>
        <w:rPr>
          <w:sz w:val="24"/>
        </w:rPr>
      </w:pPr>
      <w:r>
        <w:rPr>
          <w:sz w:val="24"/>
        </w:rPr>
        <w:t>Asociaciones o sociedades civiles que otorguen</w:t>
      </w:r>
      <w:r>
        <w:rPr>
          <w:spacing w:val="-14"/>
          <w:sz w:val="24"/>
        </w:rPr>
        <w:t> </w:t>
      </w:r>
      <w:r>
        <w:rPr>
          <w:sz w:val="24"/>
        </w:rPr>
        <w:t>becas.</w:t>
      </w:r>
    </w:p>
    <w:p>
      <w:pPr>
        <w:spacing w:after="0" w:line="240" w:lineRule="auto"/>
        <w:jc w:val="left"/>
        <w:rPr>
          <w:sz w:val="24"/>
        </w:rPr>
        <w:sectPr>
          <w:pgSz w:w="12240" w:h="15840"/>
          <w:pgMar w:header="0" w:footer="779" w:top="1360" w:bottom="960" w:left="1720" w:right="1600"/>
        </w:sectPr>
      </w:pPr>
    </w:p>
    <w:p>
      <w:pPr>
        <w:pStyle w:val="ListParagraph"/>
        <w:numPr>
          <w:ilvl w:val="1"/>
          <w:numId w:val="10"/>
        </w:numPr>
        <w:tabs>
          <w:tab w:pos="822" w:val="left" w:leader="none"/>
        </w:tabs>
        <w:spacing w:line="360" w:lineRule="auto" w:before="56" w:after="0"/>
        <w:ind w:left="822" w:right="102" w:hanging="360"/>
        <w:jc w:val="both"/>
        <w:rPr>
          <w:sz w:val="24"/>
        </w:rPr>
      </w:pPr>
      <w:r>
        <w:rPr>
          <w:sz w:val="24"/>
        </w:rPr>
        <w:t>Asociaciones civiles de colonos y las asociaciones civiles que se dediquen exclusivamente a la administración de un inmueble de propiedad en condominio.</w:t>
      </w:r>
    </w:p>
    <w:p>
      <w:pPr>
        <w:pStyle w:val="ListParagraph"/>
        <w:numPr>
          <w:ilvl w:val="1"/>
          <w:numId w:val="10"/>
        </w:numPr>
        <w:tabs>
          <w:tab w:pos="822" w:val="left" w:leader="none"/>
        </w:tabs>
        <w:spacing w:line="360" w:lineRule="auto" w:before="2" w:after="0"/>
        <w:ind w:left="822" w:right="103" w:hanging="360"/>
        <w:jc w:val="both"/>
        <w:rPr>
          <w:sz w:val="24"/>
        </w:rPr>
      </w:pPr>
      <w:r>
        <w:rPr>
          <w:sz w:val="24"/>
        </w:rPr>
        <w:t>Las sociedades y asociaciones civiles que se constituyan y funcionen en forma exclusiva para la realización de actividades de investigación y preservación de la flora y fauna silvestre y</w:t>
      </w:r>
      <w:r>
        <w:rPr>
          <w:spacing w:val="-15"/>
          <w:sz w:val="24"/>
        </w:rPr>
        <w:t> </w:t>
      </w:r>
      <w:r>
        <w:rPr>
          <w:sz w:val="24"/>
        </w:rPr>
        <w:t>acuática.</w:t>
      </w:r>
    </w:p>
    <w:p>
      <w:pPr>
        <w:pStyle w:val="ListParagraph"/>
        <w:numPr>
          <w:ilvl w:val="1"/>
          <w:numId w:val="10"/>
        </w:numPr>
        <w:tabs>
          <w:tab w:pos="821" w:val="left" w:leader="none"/>
          <w:tab w:pos="822" w:val="left" w:leader="none"/>
        </w:tabs>
        <w:spacing w:line="240" w:lineRule="auto" w:before="5" w:after="0"/>
        <w:ind w:left="822" w:right="0" w:hanging="360"/>
        <w:jc w:val="left"/>
        <w:rPr>
          <w:sz w:val="24"/>
        </w:rPr>
      </w:pPr>
      <w:r>
        <w:rPr>
          <w:sz w:val="24"/>
        </w:rPr>
        <w:t>Los partidos y asociaciones políticas legalmente</w:t>
      </w:r>
      <w:r>
        <w:rPr>
          <w:spacing w:val="-13"/>
          <w:sz w:val="24"/>
        </w:rPr>
        <w:t> </w:t>
      </w:r>
      <w:r>
        <w:rPr>
          <w:sz w:val="24"/>
        </w:rPr>
        <w:t>reconocidas.</w:t>
      </w:r>
    </w:p>
    <w:p>
      <w:pPr>
        <w:pStyle w:val="ListParagraph"/>
        <w:numPr>
          <w:ilvl w:val="1"/>
          <w:numId w:val="10"/>
        </w:numPr>
        <w:tabs>
          <w:tab w:pos="822" w:val="left" w:leader="none"/>
        </w:tabs>
        <w:spacing w:line="360" w:lineRule="auto" w:before="137" w:after="0"/>
        <w:ind w:left="822" w:right="101" w:hanging="360"/>
        <w:jc w:val="both"/>
        <w:rPr>
          <w:sz w:val="24"/>
        </w:rPr>
      </w:pPr>
      <w:r>
        <w:rPr>
          <w:sz w:val="24"/>
        </w:rPr>
        <w:t>La Federación, los Estados, los Municipios y las instituciones que por Ley estén obligadas a entregar al Gobierno Federal el importe íntegro de su remanente de</w:t>
      </w:r>
      <w:r>
        <w:rPr>
          <w:spacing w:val="-8"/>
          <w:sz w:val="24"/>
        </w:rPr>
        <w:t> </w:t>
      </w:r>
      <w:r>
        <w:rPr>
          <w:sz w:val="24"/>
        </w:rPr>
        <w:t>operación.</w:t>
      </w:r>
    </w:p>
    <w:p>
      <w:pPr>
        <w:pStyle w:val="ListParagraph"/>
        <w:numPr>
          <w:ilvl w:val="1"/>
          <w:numId w:val="10"/>
        </w:numPr>
        <w:tabs>
          <w:tab w:pos="821" w:val="left" w:leader="none"/>
          <w:tab w:pos="822" w:val="left" w:leader="none"/>
        </w:tabs>
        <w:spacing w:line="360" w:lineRule="auto" w:before="5" w:after="0"/>
        <w:ind w:left="822" w:right="107" w:hanging="360"/>
        <w:jc w:val="left"/>
        <w:rPr>
          <w:sz w:val="24"/>
        </w:rPr>
      </w:pPr>
      <w:r>
        <w:rPr>
          <w:sz w:val="24"/>
        </w:rPr>
        <w:t>Los organismos descentralizados que no tributen conforme al Título II de la Ley del Impuesto sobre la</w:t>
      </w:r>
      <w:r>
        <w:rPr>
          <w:spacing w:val="-11"/>
          <w:sz w:val="24"/>
        </w:rPr>
        <w:t> </w:t>
      </w:r>
      <w:r>
        <w:rPr>
          <w:sz w:val="24"/>
        </w:rPr>
        <w:t>Renta.</w:t>
      </w:r>
    </w:p>
    <w:p>
      <w:pPr>
        <w:pStyle w:val="BodyText"/>
      </w:pPr>
    </w:p>
    <w:p>
      <w:pPr>
        <w:spacing w:before="139"/>
        <w:ind w:left="102" w:right="0" w:firstLine="0"/>
        <w:jc w:val="left"/>
        <w:rPr>
          <w:i/>
          <w:sz w:val="24"/>
        </w:rPr>
      </w:pPr>
      <w:r>
        <w:rPr>
          <w:i/>
          <w:sz w:val="24"/>
          <w:u w:val="single"/>
        </w:rPr>
        <w:t>Régimen opcional para grupos de sociedades</w:t>
      </w:r>
    </w:p>
    <w:p>
      <w:pPr>
        <w:pStyle w:val="ListParagraph"/>
        <w:numPr>
          <w:ilvl w:val="1"/>
          <w:numId w:val="10"/>
        </w:numPr>
        <w:tabs>
          <w:tab w:pos="821" w:val="left" w:leader="none"/>
          <w:tab w:pos="822" w:val="left" w:leader="none"/>
        </w:tabs>
        <w:spacing w:line="240" w:lineRule="auto" w:before="141" w:after="0"/>
        <w:ind w:left="822" w:right="0" w:hanging="360"/>
        <w:jc w:val="left"/>
        <w:rPr>
          <w:sz w:val="24"/>
        </w:rPr>
      </w:pPr>
      <w:r>
        <w:rPr>
          <w:sz w:val="24"/>
        </w:rPr>
        <w:t>Sociedad</w:t>
      </w:r>
      <w:r>
        <w:rPr>
          <w:spacing w:val="-5"/>
          <w:sz w:val="24"/>
        </w:rPr>
        <w:t> </w:t>
      </w:r>
      <w:r>
        <w:rPr>
          <w:sz w:val="24"/>
        </w:rPr>
        <w:t>integradora</w:t>
      </w:r>
    </w:p>
    <w:p>
      <w:pPr>
        <w:pStyle w:val="ListParagraph"/>
        <w:numPr>
          <w:ilvl w:val="1"/>
          <w:numId w:val="10"/>
        </w:numPr>
        <w:tabs>
          <w:tab w:pos="821" w:val="left" w:leader="none"/>
          <w:tab w:pos="822" w:val="left" w:leader="none"/>
        </w:tabs>
        <w:spacing w:line="240" w:lineRule="auto" w:before="137" w:after="0"/>
        <w:ind w:left="822" w:right="0" w:hanging="360"/>
        <w:jc w:val="left"/>
        <w:rPr>
          <w:sz w:val="24"/>
        </w:rPr>
      </w:pPr>
      <w:r>
        <w:rPr>
          <w:sz w:val="24"/>
        </w:rPr>
        <w:t>Sociedades</w:t>
      </w:r>
      <w:r>
        <w:rPr>
          <w:spacing w:val="-8"/>
          <w:sz w:val="24"/>
        </w:rPr>
        <w:t> </w:t>
      </w:r>
      <w:r>
        <w:rPr>
          <w:sz w:val="24"/>
        </w:rPr>
        <w:t>integradas</w:t>
      </w:r>
    </w:p>
    <w:p>
      <w:pPr>
        <w:pStyle w:val="BodyText"/>
      </w:pPr>
    </w:p>
    <w:p>
      <w:pPr>
        <w:pStyle w:val="BodyText"/>
        <w:spacing w:before="9"/>
        <w:rPr>
          <w:sz w:val="23"/>
        </w:rPr>
      </w:pPr>
    </w:p>
    <w:p>
      <w:pPr>
        <w:spacing w:before="0"/>
        <w:ind w:left="102" w:right="0" w:firstLine="0"/>
        <w:jc w:val="left"/>
        <w:rPr>
          <w:i/>
          <w:sz w:val="24"/>
        </w:rPr>
      </w:pPr>
      <w:r>
        <w:rPr>
          <w:i/>
          <w:sz w:val="24"/>
          <w:u w:val="single"/>
        </w:rPr>
        <w:t>Régimen de los coordinados</w:t>
      </w:r>
    </w:p>
    <w:p>
      <w:pPr>
        <w:pStyle w:val="ListParagraph"/>
        <w:numPr>
          <w:ilvl w:val="1"/>
          <w:numId w:val="10"/>
        </w:numPr>
        <w:tabs>
          <w:tab w:pos="821" w:val="left" w:leader="none"/>
          <w:tab w:pos="822" w:val="left" w:leader="none"/>
        </w:tabs>
        <w:spacing w:line="360" w:lineRule="auto" w:before="141" w:after="0"/>
        <w:ind w:left="822" w:right="102" w:hanging="360"/>
        <w:jc w:val="left"/>
        <w:rPr>
          <w:sz w:val="24"/>
        </w:rPr>
      </w:pPr>
      <w:r>
        <w:rPr>
          <w:sz w:val="24"/>
        </w:rPr>
        <w:t>Personas morales que administran y operan activos fijos o activos fijos y terrenos, relacionados con el autotransporte terrestre de carga o</w:t>
      </w:r>
      <w:r>
        <w:rPr>
          <w:spacing w:val="-28"/>
          <w:sz w:val="24"/>
        </w:rPr>
        <w:t> </w:t>
      </w:r>
      <w:r>
        <w:rPr>
          <w:sz w:val="24"/>
        </w:rPr>
        <w:t>pasajeros.</w:t>
      </w:r>
    </w:p>
    <w:p>
      <w:pPr>
        <w:pStyle w:val="BodyText"/>
      </w:pPr>
    </w:p>
    <w:p>
      <w:pPr>
        <w:spacing w:before="139"/>
        <w:ind w:left="102" w:right="0" w:firstLine="0"/>
        <w:jc w:val="left"/>
        <w:rPr>
          <w:i/>
          <w:sz w:val="24"/>
        </w:rPr>
      </w:pPr>
      <w:r>
        <w:rPr>
          <w:i/>
          <w:sz w:val="24"/>
          <w:u w:val="single"/>
        </w:rPr>
        <w:t>Régimen de actividades agrícolas, ganaderas, silvícolas y pesqueras</w:t>
      </w:r>
    </w:p>
    <w:p>
      <w:pPr>
        <w:pStyle w:val="ListParagraph"/>
        <w:numPr>
          <w:ilvl w:val="1"/>
          <w:numId w:val="10"/>
        </w:numPr>
        <w:tabs>
          <w:tab w:pos="821" w:val="left" w:leader="none"/>
          <w:tab w:pos="822" w:val="left" w:leader="none"/>
        </w:tabs>
        <w:spacing w:line="360" w:lineRule="auto" w:before="141" w:after="0"/>
        <w:ind w:left="822" w:right="442" w:hanging="360"/>
        <w:jc w:val="left"/>
        <w:rPr>
          <w:sz w:val="24"/>
        </w:rPr>
      </w:pPr>
      <w:r>
        <w:rPr>
          <w:sz w:val="24"/>
        </w:rPr>
        <w:t>Personas morales de derecho agrario que se dediquen exclusivamente</w:t>
      </w:r>
      <w:r>
        <w:rPr>
          <w:spacing w:val="-25"/>
          <w:sz w:val="24"/>
        </w:rPr>
        <w:t> </w:t>
      </w:r>
      <w:r>
        <w:rPr>
          <w:sz w:val="24"/>
        </w:rPr>
        <w:t>a actividades agrícolas, ganaderas o</w:t>
      </w:r>
      <w:r>
        <w:rPr>
          <w:spacing w:val="-17"/>
          <w:sz w:val="24"/>
        </w:rPr>
        <w:t> </w:t>
      </w:r>
      <w:r>
        <w:rPr>
          <w:sz w:val="24"/>
        </w:rPr>
        <w:t>silvícolas.</w:t>
      </w:r>
    </w:p>
    <w:p>
      <w:pPr>
        <w:pStyle w:val="ListParagraph"/>
        <w:numPr>
          <w:ilvl w:val="1"/>
          <w:numId w:val="10"/>
        </w:numPr>
        <w:tabs>
          <w:tab w:pos="821" w:val="left" w:leader="none"/>
          <w:tab w:pos="822" w:val="left" w:leader="none"/>
        </w:tabs>
        <w:spacing w:line="240" w:lineRule="auto" w:before="2" w:after="0"/>
        <w:ind w:left="822" w:right="0" w:hanging="360"/>
        <w:jc w:val="left"/>
        <w:rPr>
          <w:sz w:val="24"/>
        </w:rPr>
      </w:pPr>
      <w:r>
        <w:rPr>
          <w:sz w:val="24"/>
        </w:rPr>
        <w:t>Sociedades cooperativas de</w:t>
      </w:r>
      <w:r>
        <w:rPr>
          <w:spacing w:val="-9"/>
          <w:sz w:val="24"/>
        </w:rPr>
        <w:t> </w:t>
      </w:r>
      <w:r>
        <w:rPr>
          <w:sz w:val="24"/>
        </w:rPr>
        <w:t>producción.</w:t>
      </w:r>
    </w:p>
    <w:p>
      <w:pPr>
        <w:pStyle w:val="ListParagraph"/>
        <w:numPr>
          <w:ilvl w:val="1"/>
          <w:numId w:val="10"/>
        </w:numPr>
        <w:tabs>
          <w:tab w:pos="821" w:val="left" w:leader="none"/>
          <w:tab w:pos="822" w:val="left" w:leader="none"/>
        </w:tabs>
        <w:spacing w:line="360" w:lineRule="auto" w:before="140" w:after="0"/>
        <w:ind w:left="822" w:right="1253" w:hanging="360"/>
        <w:jc w:val="left"/>
        <w:rPr>
          <w:sz w:val="24"/>
        </w:rPr>
      </w:pPr>
      <w:r>
        <w:rPr>
          <w:sz w:val="24"/>
        </w:rPr>
        <w:t>Personas morales que se dediquen exclusivamente a</w:t>
      </w:r>
      <w:r>
        <w:rPr>
          <w:spacing w:val="-19"/>
          <w:sz w:val="24"/>
        </w:rPr>
        <w:t> </w:t>
      </w:r>
      <w:r>
        <w:rPr>
          <w:sz w:val="24"/>
        </w:rPr>
        <w:t>actividades pesqueras.</w:t>
      </w:r>
    </w:p>
    <w:p>
      <w:pPr>
        <w:pStyle w:val="ListParagraph"/>
        <w:numPr>
          <w:ilvl w:val="1"/>
          <w:numId w:val="10"/>
        </w:numPr>
        <w:tabs>
          <w:tab w:pos="821" w:val="left" w:leader="none"/>
          <w:tab w:pos="822" w:val="left" w:leader="none"/>
        </w:tabs>
        <w:spacing w:line="360" w:lineRule="auto" w:before="5" w:after="0"/>
        <w:ind w:left="822" w:right="317" w:hanging="360"/>
        <w:jc w:val="left"/>
        <w:rPr>
          <w:sz w:val="24"/>
        </w:rPr>
      </w:pPr>
      <w:r>
        <w:rPr>
          <w:sz w:val="24"/>
        </w:rPr>
        <w:t>Personas físicas que se dediquen exclusivamente a actividades agrícolas, ganaderas, silvícolas o</w:t>
      </w:r>
      <w:r>
        <w:rPr>
          <w:spacing w:val="-13"/>
          <w:sz w:val="24"/>
        </w:rPr>
        <w:t> </w:t>
      </w:r>
      <w:r>
        <w:rPr>
          <w:sz w:val="24"/>
        </w:rPr>
        <w:t>pesqueras.</w:t>
      </w:r>
    </w:p>
    <w:p>
      <w:pPr>
        <w:spacing w:after="0" w:line="360" w:lineRule="auto"/>
        <w:jc w:val="left"/>
        <w:rPr>
          <w:sz w:val="24"/>
        </w:rPr>
        <w:sectPr>
          <w:footerReference w:type="default" r:id="rId7"/>
          <w:pgSz w:w="12240" w:h="15840"/>
          <w:pgMar w:footer="779" w:header="0" w:top="1360" w:bottom="960" w:left="1600" w:right="1600"/>
        </w:sectPr>
      </w:pPr>
    </w:p>
    <w:p>
      <w:pPr>
        <w:spacing w:before="54"/>
        <w:ind w:left="102" w:right="120" w:firstLine="0"/>
        <w:jc w:val="left"/>
        <w:rPr>
          <w:i/>
          <w:sz w:val="24"/>
        </w:rPr>
      </w:pPr>
      <w:r>
        <w:rPr>
          <w:i/>
          <w:sz w:val="24"/>
          <w:u w:val="single"/>
        </w:rPr>
        <w:t>Regímenes para personas físicas</w:t>
      </w:r>
    </w:p>
    <w:p>
      <w:pPr>
        <w:pStyle w:val="ListParagraph"/>
        <w:numPr>
          <w:ilvl w:val="1"/>
          <w:numId w:val="10"/>
        </w:numPr>
        <w:tabs>
          <w:tab w:pos="821" w:val="left" w:leader="none"/>
          <w:tab w:pos="822" w:val="left" w:leader="none"/>
        </w:tabs>
        <w:spacing w:line="240" w:lineRule="auto" w:before="139" w:after="0"/>
        <w:ind w:left="822" w:right="0" w:hanging="360"/>
        <w:jc w:val="left"/>
        <w:rPr>
          <w:sz w:val="24"/>
        </w:rPr>
      </w:pPr>
      <w:r>
        <w:rPr>
          <w:sz w:val="24"/>
        </w:rPr>
        <w:t>Régimen de actividades empresariales y</w:t>
      </w:r>
      <w:r>
        <w:rPr>
          <w:spacing w:val="-14"/>
          <w:sz w:val="24"/>
        </w:rPr>
        <w:t> </w:t>
      </w:r>
      <w:r>
        <w:rPr>
          <w:sz w:val="24"/>
        </w:rPr>
        <w:t>profesionales</w:t>
      </w:r>
    </w:p>
    <w:p>
      <w:pPr>
        <w:pStyle w:val="ListParagraph"/>
        <w:numPr>
          <w:ilvl w:val="1"/>
          <w:numId w:val="10"/>
        </w:numPr>
        <w:tabs>
          <w:tab w:pos="821" w:val="left" w:leader="none"/>
          <w:tab w:pos="822" w:val="left" w:leader="none"/>
        </w:tabs>
        <w:spacing w:line="240" w:lineRule="auto" w:before="139" w:after="0"/>
        <w:ind w:left="822" w:right="0" w:hanging="360"/>
        <w:jc w:val="left"/>
        <w:rPr>
          <w:sz w:val="24"/>
        </w:rPr>
      </w:pPr>
      <w:r>
        <w:rPr>
          <w:sz w:val="24"/>
        </w:rPr>
        <w:t>Régimen de incorporación</w:t>
      </w:r>
      <w:r>
        <w:rPr>
          <w:spacing w:val="-8"/>
          <w:sz w:val="24"/>
        </w:rPr>
        <w:t> </w:t>
      </w:r>
      <w:r>
        <w:rPr>
          <w:sz w:val="24"/>
        </w:rPr>
        <w:t>fiscal</w:t>
      </w:r>
    </w:p>
    <w:p>
      <w:pPr>
        <w:pStyle w:val="ListParagraph"/>
        <w:numPr>
          <w:ilvl w:val="1"/>
          <w:numId w:val="10"/>
        </w:numPr>
        <w:tabs>
          <w:tab w:pos="821" w:val="left" w:leader="none"/>
          <w:tab w:pos="822" w:val="left" w:leader="none"/>
        </w:tabs>
        <w:spacing w:line="240" w:lineRule="auto" w:before="137" w:after="0"/>
        <w:ind w:left="822" w:right="0" w:hanging="360"/>
        <w:jc w:val="left"/>
        <w:rPr>
          <w:sz w:val="24"/>
        </w:rPr>
      </w:pPr>
      <w:r>
        <w:rPr>
          <w:sz w:val="24"/>
        </w:rPr>
        <w:t>Régimen de</w:t>
      </w:r>
      <w:r>
        <w:rPr>
          <w:spacing w:val="-10"/>
          <w:sz w:val="24"/>
        </w:rPr>
        <w:t> </w:t>
      </w:r>
      <w:r>
        <w:rPr>
          <w:sz w:val="24"/>
        </w:rPr>
        <w:t>arrendamiento</w:t>
      </w:r>
    </w:p>
    <w:p>
      <w:pPr>
        <w:pStyle w:val="ListParagraph"/>
        <w:numPr>
          <w:ilvl w:val="1"/>
          <w:numId w:val="10"/>
        </w:numPr>
        <w:tabs>
          <w:tab w:pos="821" w:val="left" w:leader="none"/>
          <w:tab w:pos="822" w:val="left" w:leader="none"/>
        </w:tabs>
        <w:spacing w:line="240" w:lineRule="auto" w:before="139" w:after="0"/>
        <w:ind w:left="822" w:right="0" w:hanging="360"/>
        <w:jc w:val="left"/>
        <w:rPr>
          <w:sz w:val="24"/>
        </w:rPr>
      </w:pPr>
      <w:r>
        <w:rPr>
          <w:sz w:val="24"/>
        </w:rPr>
        <w:t>Régimen de enajenación de</w:t>
      </w:r>
      <w:r>
        <w:rPr>
          <w:spacing w:val="-11"/>
          <w:sz w:val="24"/>
        </w:rPr>
        <w:t> </w:t>
      </w:r>
      <w:r>
        <w:rPr>
          <w:sz w:val="24"/>
        </w:rPr>
        <w:t>bienes</w:t>
      </w:r>
    </w:p>
    <w:p>
      <w:pPr>
        <w:pStyle w:val="ListParagraph"/>
        <w:numPr>
          <w:ilvl w:val="2"/>
          <w:numId w:val="10"/>
        </w:numPr>
        <w:tabs>
          <w:tab w:pos="1541" w:val="left" w:leader="none"/>
          <w:tab w:pos="1542" w:val="left" w:leader="none"/>
        </w:tabs>
        <w:spacing w:line="240" w:lineRule="auto" w:before="137" w:after="0"/>
        <w:ind w:left="1542" w:right="0" w:hanging="360"/>
        <w:jc w:val="left"/>
        <w:rPr>
          <w:sz w:val="24"/>
        </w:rPr>
      </w:pPr>
      <w:r>
        <w:rPr>
          <w:sz w:val="24"/>
        </w:rPr>
        <w:t>Régimen</w:t>
      </w:r>
      <w:r>
        <w:rPr>
          <w:spacing w:val="-5"/>
          <w:sz w:val="24"/>
        </w:rPr>
        <w:t> </w:t>
      </w:r>
      <w:r>
        <w:rPr>
          <w:sz w:val="24"/>
        </w:rPr>
        <w:t>general</w:t>
      </w:r>
    </w:p>
    <w:p>
      <w:pPr>
        <w:pStyle w:val="ListParagraph"/>
        <w:numPr>
          <w:ilvl w:val="2"/>
          <w:numId w:val="10"/>
        </w:numPr>
        <w:tabs>
          <w:tab w:pos="1541" w:val="left" w:leader="none"/>
          <w:tab w:pos="1542" w:val="left" w:leader="none"/>
        </w:tabs>
        <w:spacing w:line="240" w:lineRule="auto" w:before="130" w:after="0"/>
        <w:ind w:left="1542" w:right="0" w:hanging="360"/>
        <w:jc w:val="left"/>
        <w:rPr>
          <w:sz w:val="24"/>
        </w:rPr>
      </w:pPr>
      <w:r>
        <w:rPr>
          <w:sz w:val="24"/>
        </w:rPr>
        <w:t>Régimen de enajenación de acciones en bolsa de</w:t>
      </w:r>
      <w:r>
        <w:rPr>
          <w:spacing w:val="-22"/>
          <w:sz w:val="24"/>
        </w:rPr>
        <w:t> </w:t>
      </w:r>
      <w:r>
        <w:rPr>
          <w:sz w:val="24"/>
        </w:rPr>
        <w:t>valores</w:t>
      </w:r>
    </w:p>
    <w:p>
      <w:pPr>
        <w:pStyle w:val="ListParagraph"/>
        <w:numPr>
          <w:ilvl w:val="1"/>
          <w:numId w:val="10"/>
        </w:numPr>
        <w:tabs>
          <w:tab w:pos="821" w:val="left" w:leader="none"/>
          <w:tab w:pos="822" w:val="left" w:leader="none"/>
        </w:tabs>
        <w:spacing w:line="240" w:lineRule="auto" w:before="127" w:after="0"/>
        <w:ind w:left="822" w:right="0" w:hanging="360"/>
        <w:jc w:val="left"/>
        <w:rPr>
          <w:sz w:val="24"/>
        </w:rPr>
      </w:pPr>
      <w:r>
        <w:rPr>
          <w:sz w:val="24"/>
        </w:rPr>
        <w:t>Régimen de adquisición de</w:t>
      </w:r>
      <w:r>
        <w:rPr>
          <w:spacing w:val="-7"/>
          <w:sz w:val="24"/>
        </w:rPr>
        <w:t> </w:t>
      </w:r>
      <w:r>
        <w:rPr>
          <w:sz w:val="24"/>
        </w:rPr>
        <w:t>bienes</w:t>
      </w:r>
    </w:p>
    <w:p>
      <w:pPr>
        <w:pStyle w:val="ListParagraph"/>
        <w:numPr>
          <w:ilvl w:val="1"/>
          <w:numId w:val="10"/>
        </w:numPr>
        <w:tabs>
          <w:tab w:pos="821" w:val="left" w:leader="none"/>
          <w:tab w:pos="822" w:val="left" w:leader="none"/>
        </w:tabs>
        <w:spacing w:line="240" w:lineRule="auto" w:before="139" w:after="0"/>
        <w:ind w:left="822" w:right="0" w:hanging="360"/>
        <w:jc w:val="left"/>
        <w:rPr>
          <w:sz w:val="24"/>
        </w:rPr>
      </w:pPr>
      <w:r>
        <w:rPr>
          <w:sz w:val="24"/>
        </w:rPr>
        <w:t>Régimen de</w:t>
      </w:r>
      <w:r>
        <w:rPr>
          <w:spacing w:val="-5"/>
          <w:sz w:val="24"/>
        </w:rPr>
        <w:t> </w:t>
      </w:r>
      <w:r>
        <w:rPr>
          <w:sz w:val="24"/>
        </w:rPr>
        <w:t>intereses</w:t>
      </w:r>
    </w:p>
    <w:p>
      <w:pPr>
        <w:pStyle w:val="ListParagraph"/>
        <w:numPr>
          <w:ilvl w:val="1"/>
          <w:numId w:val="10"/>
        </w:numPr>
        <w:tabs>
          <w:tab w:pos="821" w:val="left" w:leader="none"/>
          <w:tab w:pos="822" w:val="left" w:leader="none"/>
        </w:tabs>
        <w:spacing w:line="240" w:lineRule="auto" w:before="137" w:after="0"/>
        <w:ind w:left="822" w:right="0" w:hanging="360"/>
        <w:jc w:val="left"/>
        <w:rPr>
          <w:sz w:val="24"/>
        </w:rPr>
      </w:pPr>
      <w:r>
        <w:rPr>
          <w:sz w:val="24"/>
        </w:rPr>
        <w:t>Régimen por la obtención de</w:t>
      </w:r>
      <w:r>
        <w:rPr>
          <w:spacing w:val="-10"/>
          <w:sz w:val="24"/>
        </w:rPr>
        <w:t> </w:t>
      </w:r>
      <w:r>
        <w:rPr>
          <w:sz w:val="24"/>
        </w:rPr>
        <w:t>premios</w:t>
      </w:r>
    </w:p>
    <w:p>
      <w:pPr>
        <w:pStyle w:val="ListParagraph"/>
        <w:numPr>
          <w:ilvl w:val="1"/>
          <w:numId w:val="10"/>
        </w:numPr>
        <w:tabs>
          <w:tab w:pos="821" w:val="left" w:leader="none"/>
          <w:tab w:pos="822" w:val="left" w:leader="none"/>
        </w:tabs>
        <w:spacing w:line="240" w:lineRule="auto" w:before="139" w:after="0"/>
        <w:ind w:left="822" w:right="0" w:hanging="360"/>
        <w:jc w:val="left"/>
        <w:rPr>
          <w:sz w:val="24"/>
        </w:rPr>
      </w:pPr>
      <w:r>
        <w:rPr>
          <w:sz w:val="24"/>
        </w:rPr>
        <w:t>Régimen de los ingresos por</w:t>
      </w:r>
      <w:r>
        <w:rPr>
          <w:spacing w:val="-12"/>
          <w:sz w:val="24"/>
        </w:rPr>
        <w:t> </w:t>
      </w:r>
      <w:r>
        <w:rPr>
          <w:sz w:val="24"/>
        </w:rPr>
        <w:t>dividendos</w:t>
      </w:r>
    </w:p>
    <w:p>
      <w:pPr>
        <w:pStyle w:val="ListParagraph"/>
        <w:numPr>
          <w:ilvl w:val="1"/>
          <w:numId w:val="10"/>
        </w:numPr>
        <w:tabs>
          <w:tab w:pos="821" w:val="left" w:leader="none"/>
          <w:tab w:pos="822" w:val="left" w:leader="none"/>
        </w:tabs>
        <w:spacing w:line="240" w:lineRule="auto" w:before="137" w:after="0"/>
        <w:ind w:left="822" w:right="0" w:hanging="360"/>
        <w:jc w:val="left"/>
        <w:rPr>
          <w:sz w:val="24"/>
        </w:rPr>
      </w:pPr>
      <w:r>
        <w:rPr>
          <w:sz w:val="24"/>
        </w:rPr>
        <w:t>Régimen de los demás</w:t>
      </w:r>
      <w:r>
        <w:rPr>
          <w:spacing w:val="-11"/>
          <w:sz w:val="24"/>
        </w:rPr>
        <w:t> </w:t>
      </w:r>
      <w:r>
        <w:rPr>
          <w:sz w:val="24"/>
        </w:rPr>
        <w:t>ingresos</w:t>
      </w:r>
    </w:p>
    <w:p>
      <w:pPr>
        <w:pStyle w:val="BodyText"/>
      </w:pPr>
    </w:p>
    <w:p>
      <w:pPr>
        <w:pStyle w:val="BodyText"/>
      </w:pPr>
    </w:p>
    <w:p>
      <w:pPr>
        <w:pStyle w:val="Heading2"/>
        <w:numPr>
          <w:ilvl w:val="1"/>
          <w:numId w:val="8"/>
        </w:numPr>
        <w:tabs>
          <w:tab w:pos="597" w:val="left" w:leader="none"/>
        </w:tabs>
        <w:spacing w:line="240" w:lineRule="auto" w:before="0" w:after="0"/>
        <w:ind w:left="596" w:right="0" w:hanging="494"/>
        <w:jc w:val="left"/>
      </w:pPr>
      <w:bookmarkStart w:name="_bookmark7" w:id="8"/>
      <w:bookmarkEnd w:id="8"/>
      <w:r>
        <w:rPr/>
        <w:t>Trámites</w:t>
      </w:r>
      <w:r>
        <w:rPr/>
        <w:t> de apertura de la</w:t>
      </w:r>
      <w:r>
        <w:rPr>
          <w:spacing w:val="-6"/>
        </w:rPr>
        <w:t> </w:t>
      </w:r>
      <w:r>
        <w:rPr/>
        <w:t>entidad</w:t>
      </w:r>
    </w:p>
    <w:p>
      <w:pPr>
        <w:pStyle w:val="BodyText"/>
        <w:spacing w:before="139"/>
        <w:ind w:left="102" w:right="120"/>
      </w:pPr>
      <w:r>
        <w:rPr/>
        <w:t>El proceso constitutivo de una Sociedad requiere los siguientes pasos:</w:t>
      </w:r>
    </w:p>
    <w:p>
      <w:pPr>
        <w:pStyle w:val="BodyText"/>
        <w:spacing w:before="2"/>
        <w:rPr>
          <w:sz w:val="29"/>
        </w:rPr>
      </w:pPr>
    </w:p>
    <w:p>
      <w:pPr>
        <w:pStyle w:val="ListParagraph"/>
        <w:numPr>
          <w:ilvl w:val="0"/>
          <w:numId w:val="11"/>
        </w:numPr>
        <w:tabs>
          <w:tab w:pos="462" w:val="left" w:leader="none"/>
        </w:tabs>
        <w:spacing w:line="240" w:lineRule="auto" w:before="0" w:after="0"/>
        <w:ind w:left="462" w:right="0" w:hanging="360"/>
        <w:jc w:val="left"/>
        <w:rPr>
          <w:sz w:val="24"/>
        </w:rPr>
      </w:pPr>
      <w:r>
        <w:rPr>
          <w:sz w:val="24"/>
        </w:rPr>
        <w:t>Formular un proyecto del contrato social</w:t>
      </w:r>
      <w:r>
        <w:rPr>
          <w:spacing w:val="-19"/>
          <w:sz w:val="24"/>
        </w:rPr>
        <w:t> </w:t>
      </w:r>
      <w:r>
        <w:rPr>
          <w:sz w:val="24"/>
        </w:rPr>
        <w:t>constitutivo.</w:t>
      </w:r>
    </w:p>
    <w:p>
      <w:pPr>
        <w:pStyle w:val="ListParagraph"/>
        <w:numPr>
          <w:ilvl w:val="0"/>
          <w:numId w:val="11"/>
        </w:numPr>
        <w:tabs>
          <w:tab w:pos="462" w:val="left" w:leader="none"/>
        </w:tabs>
        <w:spacing w:line="360" w:lineRule="auto" w:before="139" w:after="0"/>
        <w:ind w:left="462" w:right="126" w:hanging="360"/>
        <w:jc w:val="left"/>
        <w:rPr>
          <w:sz w:val="24"/>
        </w:rPr>
      </w:pPr>
      <w:r>
        <w:rPr>
          <w:sz w:val="24"/>
        </w:rPr>
        <w:t>Solicitar permiso para la constitución de la sociedad, ante la Secretaría de Relaciones</w:t>
      </w:r>
      <w:r>
        <w:rPr>
          <w:spacing w:val="-6"/>
          <w:sz w:val="24"/>
        </w:rPr>
        <w:t> </w:t>
      </w:r>
      <w:r>
        <w:rPr>
          <w:sz w:val="24"/>
        </w:rPr>
        <w:t>Exteriores.</w:t>
      </w:r>
    </w:p>
    <w:p>
      <w:pPr>
        <w:pStyle w:val="ListParagraph"/>
        <w:numPr>
          <w:ilvl w:val="0"/>
          <w:numId w:val="11"/>
        </w:numPr>
        <w:tabs>
          <w:tab w:pos="462" w:val="left" w:leader="none"/>
        </w:tabs>
        <w:spacing w:line="240" w:lineRule="auto" w:before="5" w:after="0"/>
        <w:ind w:left="462" w:right="0" w:hanging="360"/>
        <w:jc w:val="left"/>
        <w:rPr>
          <w:sz w:val="24"/>
        </w:rPr>
      </w:pPr>
      <w:r>
        <w:rPr>
          <w:sz w:val="24"/>
        </w:rPr>
        <w:t>Obtener el permiso enunciado en el punto</w:t>
      </w:r>
      <w:r>
        <w:rPr>
          <w:spacing w:val="-20"/>
          <w:sz w:val="24"/>
        </w:rPr>
        <w:t> </w:t>
      </w:r>
      <w:r>
        <w:rPr>
          <w:sz w:val="24"/>
        </w:rPr>
        <w:t>anterior.</w:t>
      </w:r>
    </w:p>
    <w:p>
      <w:pPr>
        <w:pStyle w:val="ListParagraph"/>
        <w:numPr>
          <w:ilvl w:val="0"/>
          <w:numId w:val="11"/>
        </w:numPr>
        <w:tabs>
          <w:tab w:pos="462" w:val="left" w:leader="none"/>
        </w:tabs>
        <w:spacing w:line="360" w:lineRule="auto" w:before="137" w:after="0"/>
        <w:ind w:left="462" w:right="117" w:hanging="360"/>
        <w:jc w:val="left"/>
        <w:rPr>
          <w:sz w:val="24"/>
        </w:rPr>
      </w:pPr>
      <w:r>
        <w:rPr>
          <w:sz w:val="24"/>
        </w:rPr>
        <w:t>Acudir al notario público y conjuntamente confeccionar el contrato social definitivo.</w:t>
      </w:r>
    </w:p>
    <w:p>
      <w:pPr>
        <w:pStyle w:val="ListParagraph"/>
        <w:numPr>
          <w:ilvl w:val="0"/>
          <w:numId w:val="11"/>
        </w:numPr>
        <w:tabs>
          <w:tab w:pos="462" w:val="left" w:leader="none"/>
        </w:tabs>
        <w:spacing w:line="240" w:lineRule="auto" w:before="2" w:after="0"/>
        <w:ind w:left="462" w:right="0" w:hanging="360"/>
        <w:jc w:val="left"/>
        <w:rPr>
          <w:sz w:val="24"/>
        </w:rPr>
      </w:pPr>
      <w:r>
        <w:rPr>
          <w:sz w:val="24"/>
        </w:rPr>
        <w:t>Protocolizar ante notario público el contrato</w:t>
      </w:r>
      <w:r>
        <w:rPr>
          <w:spacing w:val="-18"/>
          <w:sz w:val="24"/>
        </w:rPr>
        <w:t> </w:t>
      </w:r>
      <w:r>
        <w:rPr>
          <w:sz w:val="24"/>
        </w:rPr>
        <w:t>social.</w:t>
      </w:r>
    </w:p>
    <w:p>
      <w:pPr>
        <w:pStyle w:val="ListParagraph"/>
        <w:numPr>
          <w:ilvl w:val="0"/>
          <w:numId w:val="11"/>
        </w:numPr>
        <w:tabs>
          <w:tab w:pos="462" w:val="left" w:leader="none"/>
        </w:tabs>
        <w:spacing w:line="360" w:lineRule="auto" w:before="139" w:after="0"/>
        <w:ind w:left="462" w:right="126" w:hanging="360"/>
        <w:jc w:val="left"/>
        <w:rPr>
          <w:sz w:val="24"/>
        </w:rPr>
      </w:pPr>
      <w:r>
        <w:rPr>
          <w:sz w:val="24"/>
        </w:rPr>
        <w:t>El notario público registra e inscribe el contrato social en el Registro Público de Comercio.</w:t>
      </w:r>
    </w:p>
    <w:p>
      <w:pPr>
        <w:pStyle w:val="BodyText"/>
      </w:pPr>
    </w:p>
    <w:p>
      <w:pPr>
        <w:pStyle w:val="BodyText"/>
        <w:spacing w:line="360" w:lineRule="auto" w:before="142"/>
        <w:ind w:left="102" w:right="120"/>
      </w:pPr>
      <w:r>
        <w:rPr/>
        <w:t>Los permisos que otorga la Secretaría de Relaciones Exteriores para la constitución de Sociedades Mercantiles pueden ser de tres clases:</w:t>
      </w:r>
    </w:p>
    <w:p>
      <w:pPr>
        <w:pStyle w:val="ListParagraph"/>
        <w:numPr>
          <w:ilvl w:val="0"/>
          <w:numId w:val="9"/>
        </w:numPr>
        <w:tabs>
          <w:tab w:pos="809" w:val="left" w:leader="none"/>
          <w:tab w:pos="810" w:val="left" w:leader="none"/>
        </w:tabs>
        <w:spacing w:line="240" w:lineRule="auto" w:before="3" w:after="0"/>
        <w:ind w:left="810" w:right="0" w:hanging="708"/>
        <w:jc w:val="left"/>
        <w:rPr>
          <w:rFonts w:ascii="Symbol" w:hAnsi="Symbol"/>
          <w:sz w:val="24"/>
        </w:rPr>
      </w:pPr>
      <w:r>
        <w:rPr>
          <w:sz w:val="24"/>
        </w:rPr>
        <w:t>Sociedad con cláusula de exclusión de</w:t>
      </w:r>
      <w:r>
        <w:rPr>
          <w:spacing w:val="-17"/>
          <w:sz w:val="24"/>
        </w:rPr>
        <w:t> </w:t>
      </w:r>
      <w:r>
        <w:rPr>
          <w:sz w:val="24"/>
        </w:rPr>
        <w:t>extranjeros</w:t>
      </w:r>
    </w:p>
    <w:p>
      <w:pPr>
        <w:pStyle w:val="ListParagraph"/>
        <w:numPr>
          <w:ilvl w:val="0"/>
          <w:numId w:val="9"/>
        </w:numPr>
        <w:tabs>
          <w:tab w:pos="809" w:val="left" w:leader="none"/>
          <w:tab w:pos="810" w:val="left" w:leader="none"/>
        </w:tabs>
        <w:spacing w:line="240" w:lineRule="auto" w:before="135" w:after="0"/>
        <w:ind w:left="810" w:right="0" w:hanging="708"/>
        <w:jc w:val="left"/>
        <w:rPr>
          <w:rFonts w:ascii="Symbol"/>
          <w:sz w:val="24"/>
        </w:rPr>
      </w:pPr>
      <w:r>
        <w:rPr>
          <w:sz w:val="24"/>
        </w:rPr>
        <w:t>Sociedad con el 51% obligatorio de socios</w:t>
      </w:r>
      <w:r>
        <w:rPr>
          <w:spacing w:val="-21"/>
          <w:sz w:val="24"/>
        </w:rPr>
        <w:t> </w:t>
      </w:r>
      <w:r>
        <w:rPr>
          <w:sz w:val="24"/>
        </w:rPr>
        <w:t>mexicanos.</w:t>
      </w:r>
    </w:p>
    <w:p>
      <w:pPr>
        <w:pStyle w:val="ListParagraph"/>
        <w:numPr>
          <w:ilvl w:val="0"/>
          <w:numId w:val="9"/>
        </w:numPr>
        <w:tabs>
          <w:tab w:pos="809" w:val="left" w:leader="none"/>
          <w:tab w:pos="810" w:val="left" w:leader="none"/>
        </w:tabs>
        <w:spacing w:line="240" w:lineRule="auto" w:before="138" w:after="0"/>
        <w:ind w:left="810" w:right="0" w:hanging="708"/>
        <w:jc w:val="left"/>
        <w:rPr>
          <w:rFonts w:ascii="Symbol" w:hAnsi="Symbol"/>
          <w:sz w:val="24"/>
        </w:rPr>
      </w:pPr>
      <w:r>
        <w:rPr>
          <w:sz w:val="24"/>
        </w:rPr>
        <w:t>Sociedad con cláusula de libre admisión de</w:t>
      </w:r>
      <w:r>
        <w:rPr>
          <w:spacing w:val="-21"/>
          <w:sz w:val="24"/>
        </w:rPr>
        <w:t> </w:t>
      </w:r>
      <w:r>
        <w:rPr>
          <w:sz w:val="24"/>
        </w:rPr>
        <w:t>extranjeros.</w:t>
      </w:r>
    </w:p>
    <w:p>
      <w:pPr>
        <w:spacing w:after="0" w:line="240" w:lineRule="auto"/>
        <w:jc w:val="left"/>
        <w:rPr>
          <w:rFonts w:ascii="Symbol" w:hAnsi="Symbol"/>
          <w:sz w:val="24"/>
        </w:rPr>
        <w:sectPr>
          <w:footerReference w:type="default" r:id="rId8"/>
          <w:pgSz w:w="12240" w:h="15840"/>
          <w:pgMar w:footer="779" w:header="0" w:top="1360" w:bottom="960" w:left="1600" w:right="1580"/>
          <w:pgNumType w:start="11"/>
        </w:sectPr>
      </w:pPr>
    </w:p>
    <w:p>
      <w:pPr>
        <w:pStyle w:val="BodyText"/>
        <w:spacing w:before="56"/>
        <w:ind w:left="102"/>
      </w:pPr>
      <w:r>
        <w:rPr>
          <w:u w:val="single"/>
        </w:rPr>
        <w:t>Características del contrato social</w:t>
      </w:r>
    </w:p>
    <w:p>
      <w:pPr>
        <w:pStyle w:val="BodyText"/>
        <w:spacing w:before="5"/>
        <w:rPr>
          <w:sz w:val="23"/>
        </w:rPr>
      </w:pPr>
    </w:p>
    <w:p>
      <w:pPr>
        <w:pStyle w:val="ListParagraph"/>
        <w:numPr>
          <w:ilvl w:val="0"/>
          <w:numId w:val="12"/>
        </w:numPr>
        <w:tabs>
          <w:tab w:pos="821" w:val="left" w:leader="none"/>
          <w:tab w:pos="822" w:val="left" w:leader="none"/>
        </w:tabs>
        <w:spacing w:line="360" w:lineRule="auto" w:before="69" w:after="0"/>
        <w:ind w:left="822" w:right="108" w:hanging="720"/>
        <w:jc w:val="left"/>
        <w:rPr>
          <w:sz w:val="24"/>
        </w:rPr>
      </w:pPr>
      <w:r>
        <w:rPr>
          <w:sz w:val="24"/>
        </w:rPr>
        <w:t>Nombre, nacionalidad y domicilio de las personas físicas o morales que la constituyen,</w:t>
      </w:r>
    </w:p>
    <w:p>
      <w:pPr>
        <w:pStyle w:val="ListParagraph"/>
        <w:numPr>
          <w:ilvl w:val="0"/>
          <w:numId w:val="12"/>
        </w:numPr>
        <w:tabs>
          <w:tab w:pos="821" w:val="left" w:leader="none"/>
          <w:tab w:pos="822" w:val="left" w:leader="none"/>
        </w:tabs>
        <w:spacing w:line="240" w:lineRule="auto" w:before="5" w:after="0"/>
        <w:ind w:left="822" w:right="0" w:hanging="720"/>
        <w:jc w:val="left"/>
        <w:rPr>
          <w:sz w:val="24"/>
        </w:rPr>
      </w:pPr>
      <w:r>
        <w:rPr>
          <w:sz w:val="24"/>
        </w:rPr>
        <w:t>El objeto de la</w:t>
      </w:r>
      <w:r>
        <w:rPr>
          <w:spacing w:val="-9"/>
          <w:sz w:val="24"/>
        </w:rPr>
        <w:t> </w:t>
      </w:r>
      <w:r>
        <w:rPr>
          <w:sz w:val="24"/>
        </w:rPr>
        <w:t>sociedad,</w:t>
      </w:r>
    </w:p>
    <w:p>
      <w:pPr>
        <w:pStyle w:val="ListParagraph"/>
        <w:numPr>
          <w:ilvl w:val="0"/>
          <w:numId w:val="12"/>
        </w:numPr>
        <w:tabs>
          <w:tab w:pos="821" w:val="left" w:leader="none"/>
          <w:tab w:pos="822" w:val="left" w:leader="none"/>
        </w:tabs>
        <w:spacing w:line="240" w:lineRule="auto" w:before="137" w:after="0"/>
        <w:ind w:left="822" w:right="0" w:hanging="720"/>
        <w:jc w:val="left"/>
        <w:rPr>
          <w:sz w:val="24"/>
        </w:rPr>
      </w:pPr>
      <w:r>
        <w:rPr>
          <w:sz w:val="24"/>
        </w:rPr>
        <w:t>Su razón y denominación</w:t>
      </w:r>
      <w:r>
        <w:rPr>
          <w:spacing w:val="-14"/>
          <w:sz w:val="24"/>
        </w:rPr>
        <w:t> </w:t>
      </w:r>
      <w:r>
        <w:rPr>
          <w:sz w:val="24"/>
        </w:rPr>
        <w:t>social,</w:t>
      </w:r>
    </w:p>
    <w:p>
      <w:pPr>
        <w:pStyle w:val="ListParagraph"/>
        <w:numPr>
          <w:ilvl w:val="0"/>
          <w:numId w:val="12"/>
        </w:numPr>
        <w:tabs>
          <w:tab w:pos="821" w:val="left" w:leader="none"/>
          <w:tab w:pos="822" w:val="left" w:leader="none"/>
        </w:tabs>
        <w:spacing w:line="240" w:lineRule="auto" w:before="139" w:after="0"/>
        <w:ind w:left="822" w:right="0" w:hanging="720"/>
        <w:jc w:val="left"/>
        <w:rPr>
          <w:sz w:val="24"/>
        </w:rPr>
      </w:pPr>
      <w:r>
        <w:rPr>
          <w:sz w:val="24"/>
        </w:rPr>
        <w:t>Su</w:t>
      </w:r>
      <w:r>
        <w:rPr>
          <w:spacing w:val="-2"/>
          <w:sz w:val="24"/>
        </w:rPr>
        <w:t> </w:t>
      </w:r>
      <w:r>
        <w:rPr>
          <w:sz w:val="24"/>
        </w:rPr>
        <w:t>duración,</w:t>
      </w:r>
    </w:p>
    <w:p>
      <w:pPr>
        <w:pStyle w:val="ListParagraph"/>
        <w:numPr>
          <w:ilvl w:val="0"/>
          <w:numId w:val="12"/>
        </w:numPr>
        <w:tabs>
          <w:tab w:pos="821" w:val="left" w:leader="none"/>
          <w:tab w:pos="822" w:val="left" w:leader="none"/>
        </w:tabs>
        <w:spacing w:line="240" w:lineRule="auto" w:before="137" w:after="0"/>
        <w:ind w:left="822" w:right="0" w:hanging="720"/>
        <w:jc w:val="left"/>
        <w:rPr>
          <w:sz w:val="24"/>
        </w:rPr>
      </w:pPr>
      <w:r>
        <w:rPr>
          <w:sz w:val="24"/>
        </w:rPr>
        <w:t>Importe del capital</w:t>
      </w:r>
      <w:r>
        <w:rPr>
          <w:spacing w:val="-9"/>
          <w:sz w:val="24"/>
        </w:rPr>
        <w:t> </w:t>
      </w:r>
      <w:r>
        <w:rPr>
          <w:sz w:val="24"/>
        </w:rPr>
        <w:t>social,</w:t>
      </w:r>
    </w:p>
    <w:p>
      <w:pPr>
        <w:pStyle w:val="ListParagraph"/>
        <w:numPr>
          <w:ilvl w:val="0"/>
          <w:numId w:val="12"/>
        </w:numPr>
        <w:tabs>
          <w:tab w:pos="821" w:val="left" w:leader="none"/>
          <w:tab w:pos="822" w:val="left" w:leader="none"/>
        </w:tabs>
        <w:spacing w:line="240" w:lineRule="auto" w:before="139" w:after="0"/>
        <w:ind w:left="822" w:right="0" w:hanging="720"/>
        <w:jc w:val="left"/>
        <w:rPr>
          <w:sz w:val="24"/>
        </w:rPr>
      </w:pPr>
      <w:r>
        <w:rPr>
          <w:sz w:val="24"/>
        </w:rPr>
        <w:t>La expresión de lo que cada socio aporte en dinero o</w:t>
      </w:r>
      <w:r>
        <w:rPr>
          <w:spacing w:val="-15"/>
          <w:sz w:val="24"/>
        </w:rPr>
        <w:t> </w:t>
      </w:r>
      <w:r>
        <w:rPr>
          <w:sz w:val="24"/>
        </w:rPr>
        <w:t>bienes,</w:t>
      </w:r>
    </w:p>
    <w:p>
      <w:pPr>
        <w:pStyle w:val="ListParagraph"/>
        <w:numPr>
          <w:ilvl w:val="0"/>
          <w:numId w:val="12"/>
        </w:numPr>
        <w:tabs>
          <w:tab w:pos="821" w:val="left" w:leader="none"/>
          <w:tab w:pos="822" w:val="left" w:leader="none"/>
        </w:tabs>
        <w:spacing w:line="360" w:lineRule="auto" w:before="137" w:after="0"/>
        <w:ind w:left="822" w:right="105" w:hanging="720"/>
        <w:jc w:val="left"/>
        <w:rPr>
          <w:sz w:val="24"/>
        </w:rPr>
      </w:pPr>
      <w:r>
        <w:rPr>
          <w:sz w:val="24"/>
        </w:rPr>
        <w:t>Cuando el capital sea variable así se expresará, indicándose el mínimo que se</w:t>
      </w:r>
      <w:r>
        <w:rPr>
          <w:spacing w:val="-2"/>
          <w:sz w:val="24"/>
        </w:rPr>
        <w:t> </w:t>
      </w:r>
      <w:r>
        <w:rPr>
          <w:sz w:val="24"/>
        </w:rPr>
        <w:t>fije,</w:t>
      </w:r>
    </w:p>
    <w:p>
      <w:pPr>
        <w:pStyle w:val="ListParagraph"/>
        <w:numPr>
          <w:ilvl w:val="0"/>
          <w:numId w:val="12"/>
        </w:numPr>
        <w:tabs>
          <w:tab w:pos="821" w:val="left" w:leader="none"/>
          <w:tab w:pos="822" w:val="left" w:leader="none"/>
        </w:tabs>
        <w:spacing w:line="240" w:lineRule="auto" w:before="2" w:after="0"/>
        <w:ind w:left="822" w:right="0" w:hanging="720"/>
        <w:jc w:val="left"/>
        <w:rPr>
          <w:sz w:val="24"/>
        </w:rPr>
      </w:pPr>
      <w:r>
        <w:rPr>
          <w:sz w:val="24"/>
        </w:rPr>
        <w:t>El domicilio de la</w:t>
      </w:r>
      <w:r>
        <w:rPr>
          <w:spacing w:val="-7"/>
          <w:sz w:val="24"/>
        </w:rPr>
        <w:t> </w:t>
      </w:r>
      <w:r>
        <w:rPr>
          <w:sz w:val="24"/>
        </w:rPr>
        <w:t>sociedad,</w:t>
      </w:r>
    </w:p>
    <w:p>
      <w:pPr>
        <w:pStyle w:val="ListParagraph"/>
        <w:numPr>
          <w:ilvl w:val="0"/>
          <w:numId w:val="12"/>
        </w:numPr>
        <w:tabs>
          <w:tab w:pos="821" w:val="left" w:leader="none"/>
          <w:tab w:pos="822" w:val="left" w:leader="none"/>
        </w:tabs>
        <w:spacing w:line="360" w:lineRule="auto" w:before="139" w:after="0"/>
        <w:ind w:left="822" w:right="105" w:hanging="720"/>
        <w:jc w:val="left"/>
        <w:rPr>
          <w:sz w:val="24"/>
        </w:rPr>
      </w:pPr>
      <w:r>
        <w:rPr>
          <w:sz w:val="24"/>
        </w:rPr>
        <w:t>La manera de cómo se ha de administrar la sociedad y las facultades de los administradores,</w:t>
      </w:r>
    </w:p>
    <w:p>
      <w:pPr>
        <w:pStyle w:val="ListParagraph"/>
        <w:numPr>
          <w:ilvl w:val="0"/>
          <w:numId w:val="12"/>
        </w:numPr>
        <w:tabs>
          <w:tab w:pos="821" w:val="left" w:leader="none"/>
          <w:tab w:pos="822" w:val="left" w:leader="none"/>
        </w:tabs>
        <w:spacing w:line="360" w:lineRule="auto" w:before="2" w:after="0"/>
        <w:ind w:left="822" w:right="100" w:hanging="720"/>
        <w:jc w:val="left"/>
        <w:rPr>
          <w:sz w:val="24"/>
        </w:rPr>
      </w:pPr>
      <w:r>
        <w:rPr>
          <w:sz w:val="24"/>
        </w:rPr>
        <w:t>El nombramiento de los administradores y la designación de los que han de llevar la firma</w:t>
      </w:r>
      <w:r>
        <w:rPr>
          <w:spacing w:val="-5"/>
          <w:sz w:val="24"/>
        </w:rPr>
        <w:t> </w:t>
      </w:r>
      <w:r>
        <w:rPr>
          <w:sz w:val="24"/>
        </w:rPr>
        <w:t>social,</w:t>
      </w:r>
    </w:p>
    <w:p>
      <w:pPr>
        <w:pStyle w:val="ListParagraph"/>
        <w:numPr>
          <w:ilvl w:val="0"/>
          <w:numId w:val="12"/>
        </w:numPr>
        <w:tabs>
          <w:tab w:pos="821" w:val="left" w:leader="none"/>
          <w:tab w:pos="822" w:val="left" w:leader="none"/>
        </w:tabs>
        <w:spacing w:line="362" w:lineRule="auto" w:before="2" w:after="0"/>
        <w:ind w:left="822" w:right="106" w:hanging="720"/>
        <w:jc w:val="left"/>
        <w:rPr>
          <w:sz w:val="24"/>
        </w:rPr>
      </w:pPr>
      <w:r>
        <w:rPr>
          <w:sz w:val="24"/>
        </w:rPr>
        <w:t>La manera de hacer la distribución de las utilidades y pérdidas entre los miembros de la sociedad en caso de disolución o</w:t>
      </w:r>
      <w:r>
        <w:rPr>
          <w:spacing w:val="-12"/>
          <w:sz w:val="24"/>
        </w:rPr>
        <w:t> </w:t>
      </w:r>
      <w:r>
        <w:rPr>
          <w:sz w:val="24"/>
        </w:rPr>
        <w:t>liquidación,</w:t>
      </w:r>
    </w:p>
    <w:p>
      <w:pPr>
        <w:pStyle w:val="ListParagraph"/>
        <w:numPr>
          <w:ilvl w:val="0"/>
          <w:numId w:val="12"/>
        </w:numPr>
        <w:tabs>
          <w:tab w:pos="821" w:val="left" w:leader="none"/>
          <w:tab w:pos="822" w:val="left" w:leader="none"/>
        </w:tabs>
        <w:spacing w:line="240" w:lineRule="auto" w:before="0" w:after="0"/>
        <w:ind w:left="822" w:right="0" w:hanging="720"/>
        <w:jc w:val="left"/>
        <w:rPr>
          <w:sz w:val="24"/>
        </w:rPr>
      </w:pPr>
      <w:r>
        <w:rPr>
          <w:sz w:val="24"/>
        </w:rPr>
        <w:t>El importe del fondo de</w:t>
      </w:r>
      <w:r>
        <w:rPr>
          <w:spacing w:val="-14"/>
          <w:sz w:val="24"/>
        </w:rPr>
        <w:t> </w:t>
      </w:r>
      <w:r>
        <w:rPr>
          <w:sz w:val="24"/>
        </w:rPr>
        <w:t>reserva,</w:t>
      </w:r>
    </w:p>
    <w:p>
      <w:pPr>
        <w:pStyle w:val="ListParagraph"/>
        <w:numPr>
          <w:ilvl w:val="0"/>
          <w:numId w:val="12"/>
        </w:numPr>
        <w:tabs>
          <w:tab w:pos="821" w:val="left" w:leader="none"/>
          <w:tab w:pos="822" w:val="left" w:leader="none"/>
        </w:tabs>
        <w:spacing w:line="240" w:lineRule="auto" w:before="139" w:after="0"/>
        <w:ind w:left="822" w:right="0" w:hanging="720"/>
        <w:jc w:val="left"/>
        <w:rPr>
          <w:sz w:val="24"/>
        </w:rPr>
      </w:pPr>
      <w:r>
        <w:rPr>
          <w:sz w:val="24"/>
        </w:rPr>
        <w:t>Los casos en que la sociedad haya de disolverse anticipadamente,</w:t>
      </w:r>
      <w:r>
        <w:rPr>
          <w:spacing w:val="-20"/>
          <w:sz w:val="24"/>
        </w:rPr>
        <w:t> </w:t>
      </w:r>
      <w:r>
        <w:rPr>
          <w:sz w:val="24"/>
        </w:rPr>
        <w:t>y</w:t>
      </w:r>
    </w:p>
    <w:p>
      <w:pPr>
        <w:pStyle w:val="ListParagraph"/>
        <w:numPr>
          <w:ilvl w:val="0"/>
          <w:numId w:val="12"/>
        </w:numPr>
        <w:tabs>
          <w:tab w:pos="821" w:val="left" w:leader="none"/>
          <w:tab w:pos="822" w:val="left" w:leader="none"/>
        </w:tabs>
        <w:spacing w:line="360" w:lineRule="auto" w:before="137" w:after="0"/>
        <w:ind w:left="822" w:right="105" w:hanging="720"/>
        <w:jc w:val="left"/>
        <w:rPr>
          <w:sz w:val="24"/>
        </w:rPr>
      </w:pPr>
      <w:r>
        <w:rPr>
          <w:sz w:val="24"/>
        </w:rPr>
        <w:t>Las bases para practicar la liquidación de la sociedad y el modo de  proceder a la elección de los</w:t>
      </w:r>
      <w:r>
        <w:rPr>
          <w:spacing w:val="-12"/>
          <w:sz w:val="24"/>
        </w:rPr>
        <w:t> </w:t>
      </w:r>
      <w:r>
        <w:rPr>
          <w:sz w:val="24"/>
        </w:rPr>
        <w:t>liquidadores.</w:t>
      </w:r>
    </w:p>
    <w:p>
      <w:pPr>
        <w:pStyle w:val="BodyText"/>
      </w:pPr>
    </w:p>
    <w:p>
      <w:pPr>
        <w:pStyle w:val="BodyText"/>
        <w:spacing w:before="142"/>
        <w:ind w:left="102"/>
      </w:pPr>
      <w:r>
        <w:rPr>
          <w:u w:val="single"/>
        </w:rPr>
        <w:t>Inscripción al Registro Federal de Contribuyentes</w:t>
      </w:r>
    </w:p>
    <w:p>
      <w:pPr>
        <w:pStyle w:val="BodyText"/>
        <w:rPr>
          <w:sz w:val="20"/>
        </w:rPr>
      </w:pPr>
    </w:p>
    <w:p>
      <w:pPr>
        <w:pStyle w:val="BodyText"/>
        <w:rPr>
          <w:sz w:val="22"/>
        </w:rPr>
      </w:pPr>
    </w:p>
    <w:p>
      <w:pPr>
        <w:pStyle w:val="BodyText"/>
        <w:spacing w:line="360" w:lineRule="auto" w:before="69"/>
        <w:ind w:left="102" w:right="98"/>
        <w:jc w:val="both"/>
      </w:pPr>
      <w:r>
        <w:rPr/>
        <w:t>Cuando las Sociedades ya cuentan con su contrato social deben proceder a registrarla al Registro Federal de Contribuyentes (RFC) ante la Secretaría de Hacienda y Crédito Público, debiendo reunir los siguientes documentos:</w:t>
      </w:r>
    </w:p>
    <w:p>
      <w:pPr>
        <w:pStyle w:val="ListParagraph"/>
        <w:numPr>
          <w:ilvl w:val="1"/>
          <w:numId w:val="12"/>
        </w:numPr>
        <w:tabs>
          <w:tab w:pos="954" w:val="left" w:leader="none"/>
        </w:tabs>
        <w:spacing w:line="240" w:lineRule="auto" w:before="3" w:after="0"/>
        <w:ind w:left="954" w:right="0" w:hanging="286"/>
        <w:jc w:val="left"/>
        <w:rPr>
          <w:sz w:val="24"/>
        </w:rPr>
      </w:pPr>
      <w:r>
        <w:rPr>
          <w:sz w:val="24"/>
        </w:rPr>
        <w:t>Acta</w:t>
      </w:r>
      <w:r>
        <w:rPr>
          <w:spacing w:val="-5"/>
          <w:sz w:val="24"/>
        </w:rPr>
        <w:t> </w:t>
      </w:r>
      <w:r>
        <w:rPr>
          <w:sz w:val="24"/>
        </w:rPr>
        <w:t>constitutiva</w:t>
      </w:r>
    </w:p>
    <w:p>
      <w:pPr>
        <w:pStyle w:val="ListParagraph"/>
        <w:numPr>
          <w:ilvl w:val="1"/>
          <w:numId w:val="12"/>
        </w:numPr>
        <w:tabs>
          <w:tab w:pos="954" w:val="left" w:leader="none"/>
        </w:tabs>
        <w:spacing w:line="240" w:lineRule="auto" w:before="135" w:after="0"/>
        <w:ind w:left="954" w:right="0" w:hanging="286"/>
        <w:jc w:val="left"/>
        <w:rPr>
          <w:sz w:val="24"/>
        </w:rPr>
      </w:pPr>
      <w:r>
        <w:rPr>
          <w:sz w:val="24"/>
        </w:rPr>
        <w:t>RFC del Representante</w:t>
      </w:r>
      <w:r>
        <w:rPr>
          <w:spacing w:val="-8"/>
          <w:sz w:val="24"/>
        </w:rPr>
        <w:t> </w:t>
      </w:r>
      <w:r>
        <w:rPr>
          <w:sz w:val="24"/>
        </w:rPr>
        <w:t>legal</w:t>
      </w:r>
    </w:p>
    <w:p>
      <w:pPr>
        <w:pStyle w:val="ListParagraph"/>
        <w:numPr>
          <w:ilvl w:val="1"/>
          <w:numId w:val="12"/>
        </w:numPr>
        <w:tabs>
          <w:tab w:pos="954" w:val="left" w:leader="none"/>
        </w:tabs>
        <w:spacing w:line="240" w:lineRule="auto" w:before="138" w:after="0"/>
        <w:ind w:left="954" w:right="0" w:hanging="286"/>
        <w:jc w:val="left"/>
        <w:rPr>
          <w:sz w:val="24"/>
        </w:rPr>
      </w:pPr>
      <w:r>
        <w:rPr>
          <w:sz w:val="24"/>
        </w:rPr>
        <w:t>Identificación oficial vigente del Representante</w:t>
      </w:r>
      <w:r>
        <w:rPr>
          <w:spacing w:val="-14"/>
          <w:sz w:val="24"/>
        </w:rPr>
        <w:t> </w:t>
      </w:r>
      <w:r>
        <w:rPr>
          <w:sz w:val="24"/>
        </w:rPr>
        <w:t>legal</w:t>
      </w:r>
    </w:p>
    <w:p>
      <w:pPr>
        <w:pStyle w:val="ListParagraph"/>
        <w:numPr>
          <w:ilvl w:val="1"/>
          <w:numId w:val="12"/>
        </w:numPr>
        <w:tabs>
          <w:tab w:pos="954" w:val="left" w:leader="none"/>
        </w:tabs>
        <w:spacing w:line="240" w:lineRule="auto" w:before="135" w:after="0"/>
        <w:ind w:left="954" w:right="0" w:hanging="286"/>
        <w:jc w:val="left"/>
        <w:rPr>
          <w:sz w:val="24"/>
        </w:rPr>
      </w:pPr>
      <w:r>
        <w:rPr>
          <w:sz w:val="24"/>
        </w:rPr>
        <w:t>Comprobante de domicilio</w:t>
      </w:r>
      <w:r>
        <w:rPr>
          <w:spacing w:val="-10"/>
          <w:sz w:val="24"/>
        </w:rPr>
        <w:t> </w:t>
      </w:r>
      <w:r>
        <w:rPr>
          <w:sz w:val="24"/>
        </w:rPr>
        <w:t>reciente</w:t>
      </w:r>
    </w:p>
    <w:p>
      <w:pPr>
        <w:spacing w:after="0" w:line="240" w:lineRule="auto"/>
        <w:jc w:val="left"/>
        <w:rPr>
          <w:sz w:val="24"/>
        </w:rPr>
        <w:sectPr>
          <w:pgSz w:w="12240" w:h="15840"/>
          <w:pgMar w:header="0" w:footer="779" w:top="1360" w:bottom="960" w:left="1600" w:right="1600"/>
        </w:sectPr>
      </w:pPr>
    </w:p>
    <w:p>
      <w:pPr>
        <w:pStyle w:val="ListParagraph"/>
        <w:numPr>
          <w:ilvl w:val="1"/>
          <w:numId w:val="12"/>
        </w:numPr>
        <w:tabs>
          <w:tab w:pos="954" w:val="left" w:leader="none"/>
        </w:tabs>
        <w:spacing w:line="240" w:lineRule="auto" w:before="37" w:after="0"/>
        <w:ind w:left="954" w:right="0" w:hanging="286"/>
        <w:jc w:val="left"/>
        <w:rPr>
          <w:sz w:val="24"/>
        </w:rPr>
      </w:pPr>
      <w:r>
        <w:rPr>
          <w:sz w:val="24"/>
        </w:rPr>
        <w:t>Croquis de</w:t>
      </w:r>
      <w:r>
        <w:rPr>
          <w:spacing w:val="-7"/>
          <w:sz w:val="24"/>
        </w:rPr>
        <w:t> </w:t>
      </w:r>
      <w:r>
        <w:rPr>
          <w:sz w:val="24"/>
        </w:rPr>
        <w:t>ubicación</w:t>
      </w:r>
    </w:p>
    <w:p>
      <w:pPr>
        <w:pStyle w:val="BodyText"/>
      </w:pPr>
    </w:p>
    <w:p>
      <w:pPr>
        <w:pStyle w:val="BodyText"/>
        <w:spacing w:before="10"/>
        <w:rPr>
          <w:sz w:val="23"/>
        </w:rPr>
      </w:pPr>
    </w:p>
    <w:p>
      <w:pPr>
        <w:pStyle w:val="BodyText"/>
        <w:spacing w:line="360" w:lineRule="auto"/>
        <w:ind w:left="102" w:right="117"/>
        <w:jc w:val="both"/>
      </w:pPr>
      <w:r>
        <w:rPr/>
        <w:t>El siguiente paso será tramitar una cita en el SAT </w:t>
      </w:r>
      <w:hyperlink r:id="rId9">
        <w:r>
          <w:rPr>
            <w:color w:val="0000FF"/>
            <w:u w:val="single" w:color="0000FF"/>
          </w:rPr>
          <w:t>www.sat.gob.mx </w:t>
        </w:r>
      </w:hyperlink>
      <w:r>
        <w:rPr/>
        <w:t>y acudir a la oficina de Administración Local de Recaudación correspondiente al domicilio.</w:t>
      </w:r>
    </w:p>
    <w:p>
      <w:pPr>
        <w:pStyle w:val="BodyText"/>
      </w:pPr>
    </w:p>
    <w:p>
      <w:pPr>
        <w:pStyle w:val="BodyText"/>
        <w:spacing w:line="360" w:lineRule="auto" w:before="142"/>
        <w:ind w:left="102" w:right="126"/>
        <w:jc w:val="both"/>
      </w:pPr>
      <w:r>
        <w:rPr/>
        <w:t>Adicionalmente deberán tramitar todos los permisos necesarios de acuerdo al giro del negocio, como son: licencia de funcionamiento, permiso de la Secretaría de Salud, alta al Instituto Mexicano del Seguro Social y a las oficinas de rentas de la Entidad Federativa para el pago del Impuesto sobre Nóminas.</w:t>
      </w:r>
    </w:p>
    <w:p>
      <w:pPr>
        <w:spacing w:after="0" w:line="360" w:lineRule="auto"/>
        <w:jc w:val="both"/>
        <w:sectPr>
          <w:pgSz w:w="12240" w:h="15840"/>
          <w:pgMar w:header="0" w:footer="779" w:top="1380" w:bottom="960" w:left="1600" w:right="1580"/>
        </w:sectPr>
      </w:pPr>
    </w:p>
    <w:p>
      <w:pPr>
        <w:pStyle w:val="Heading2"/>
        <w:spacing w:before="56"/>
        <w:ind w:left="1318" w:right="120"/>
        <w:jc w:val="left"/>
      </w:pPr>
      <w:bookmarkStart w:name="_bookmark8" w:id="9"/>
      <w:bookmarkEnd w:id="9"/>
      <w:r>
        <w:rPr>
          <w:b w:val="0"/>
        </w:rPr>
      </w:r>
      <w:r>
        <w:rPr/>
        <w:t>UNIDAD II ORGANIZACIÓN CONTABLE EN LA ENTIDAD</w:t>
      </w:r>
    </w:p>
    <w:p>
      <w:pPr>
        <w:pStyle w:val="BodyText"/>
        <w:rPr>
          <w:b/>
        </w:rPr>
      </w:pPr>
    </w:p>
    <w:p>
      <w:pPr>
        <w:pStyle w:val="BodyText"/>
        <w:spacing w:before="180"/>
        <w:ind w:left="102" w:right="120"/>
      </w:pPr>
      <w:r>
        <w:rPr/>
        <w:t>El alumno diseña la organización contable de la entidad financiera.</w:t>
      </w:r>
    </w:p>
    <w:p>
      <w:pPr>
        <w:pStyle w:val="ListParagraph"/>
        <w:numPr>
          <w:ilvl w:val="1"/>
          <w:numId w:val="13"/>
        </w:numPr>
        <w:tabs>
          <w:tab w:pos="1095" w:val="left" w:leader="none"/>
          <w:tab w:pos="1096" w:val="left" w:leader="none"/>
        </w:tabs>
        <w:spacing w:line="240" w:lineRule="auto" w:before="137" w:after="0"/>
        <w:ind w:left="1095" w:right="0" w:hanging="633"/>
        <w:jc w:val="left"/>
        <w:rPr>
          <w:sz w:val="24"/>
        </w:rPr>
      </w:pPr>
      <w:r>
        <w:rPr>
          <w:sz w:val="24"/>
        </w:rPr>
        <w:t>Entorno económico y social de la</w:t>
      </w:r>
      <w:r>
        <w:rPr>
          <w:spacing w:val="-13"/>
          <w:sz w:val="24"/>
        </w:rPr>
        <w:t> </w:t>
      </w:r>
      <w:r>
        <w:rPr>
          <w:sz w:val="24"/>
        </w:rPr>
        <w:t>entidad.</w:t>
      </w:r>
    </w:p>
    <w:p>
      <w:pPr>
        <w:pStyle w:val="ListParagraph"/>
        <w:numPr>
          <w:ilvl w:val="1"/>
          <w:numId w:val="13"/>
        </w:numPr>
        <w:tabs>
          <w:tab w:pos="1095" w:val="left" w:leader="none"/>
          <w:tab w:pos="1096" w:val="left" w:leader="none"/>
        </w:tabs>
        <w:spacing w:line="240" w:lineRule="auto" w:before="139" w:after="0"/>
        <w:ind w:left="1095" w:right="0" w:hanging="633"/>
        <w:jc w:val="left"/>
        <w:rPr>
          <w:sz w:val="24"/>
        </w:rPr>
      </w:pPr>
      <w:r>
        <w:rPr>
          <w:sz w:val="24"/>
        </w:rPr>
        <w:t>Manual de</w:t>
      </w:r>
      <w:r>
        <w:rPr>
          <w:spacing w:val="-10"/>
          <w:sz w:val="24"/>
        </w:rPr>
        <w:t> </w:t>
      </w:r>
      <w:r>
        <w:rPr>
          <w:sz w:val="24"/>
        </w:rPr>
        <w:t>organización:</w:t>
      </w:r>
    </w:p>
    <w:p>
      <w:pPr>
        <w:pStyle w:val="ListParagraph"/>
        <w:numPr>
          <w:ilvl w:val="2"/>
          <w:numId w:val="13"/>
        </w:numPr>
        <w:tabs>
          <w:tab w:pos="1902" w:val="left" w:leader="none"/>
        </w:tabs>
        <w:spacing w:line="240" w:lineRule="auto" w:before="137" w:after="0"/>
        <w:ind w:left="1902" w:right="0" w:hanging="720"/>
        <w:jc w:val="left"/>
        <w:rPr>
          <w:sz w:val="24"/>
        </w:rPr>
      </w:pPr>
      <w:r>
        <w:rPr>
          <w:sz w:val="24"/>
        </w:rPr>
        <w:t>Organigrama.</w:t>
      </w:r>
    </w:p>
    <w:p>
      <w:pPr>
        <w:pStyle w:val="ListParagraph"/>
        <w:numPr>
          <w:ilvl w:val="2"/>
          <w:numId w:val="13"/>
        </w:numPr>
        <w:tabs>
          <w:tab w:pos="1902" w:val="left" w:leader="none"/>
        </w:tabs>
        <w:spacing w:line="240" w:lineRule="auto" w:before="137" w:after="0"/>
        <w:ind w:left="1902" w:right="0" w:hanging="720"/>
        <w:jc w:val="left"/>
        <w:rPr>
          <w:sz w:val="24"/>
        </w:rPr>
      </w:pPr>
      <w:r>
        <w:rPr>
          <w:sz w:val="24"/>
        </w:rPr>
        <w:t>Perfil de</w:t>
      </w:r>
      <w:r>
        <w:rPr>
          <w:spacing w:val="-7"/>
          <w:sz w:val="24"/>
        </w:rPr>
        <w:t> </w:t>
      </w:r>
      <w:r>
        <w:rPr>
          <w:sz w:val="24"/>
        </w:rPr>
        <w:t>puestos.</w:t>
      </w:r>
    </w:p>
    <w:p>
      <w:pPr>
        <w:pStyle w:val="ListParagraph"/>
        <w:numPr>
          <w:ilvl w:val="2"/>
          <w:numId w:val="13"/>
        </w:numPr>
        <w:tabs>
          <w:tab w:pos="1902" w:val="left" w:leader="none"/>
        </w:tabs>
        <w:spacing w:line="240" w:lineRule="auto" w:before="139" w:after="0"/>
        <w:ind w:left="1902" w:right="0" w:hanging="720"/>
        <w:jc w:val="left"/>
        <w:rPr>
          <w:sz w:val="24"/>
        </w:rPr>
      </w:pPr>
      <w:r>
        <w:rPr>
          <w:sz w:val="24"/>
        </w:rPr>
        <w:t>Descripción de</w:t>
      </w:r>
      <w:r>
        <w:rPr>
          <w:spacing w:val="-4"/>
          <w:sz w:val="24"/>
        </w:rPr>
        <w:t> </w:t>
      </w:r>
      <w:r>
        <w:rPr>
          <w:sz w:val="24"/>
        </w:rPr>
        <w:t>funciones.</w:t>
      </w:r>
    </w:p>
    <w:p>
      <w:pPr>
        <w:pStyle w:val="ListParagraph"/>
        <w:numPr>
          <w:ilvl w:val="1"/>
          <w:numId w:val="13"/>
        </w:numPr>
        <w:tabs>
          <w:tab w:pos="1095" w:val="left" w:leader="none"/>
          <w:tab w:pos="1096" w:val="left" w:leader="none"/>
        </w:tabs>
        <w:spacing w:line="240" w:lineRule="auto" w:before="137" w:after="0"/>
        <w:ind w:left="1095" w:right="0" w:hanging="633"/>
        <w:jc w:val="left"/>
        <w:rPr>
          <w:sz w:val="24"/>
        </w:rPr>
      </w:pPr>
      <w:r>
        <w:rPr>
          <w:sz w:val="24"/>
        </w:rPr>
        <w:t>Control</w:t>
      </w:r>
      <w:r>
        <w:rPr>
          <w:spacing w:val="-2"/>
          <w:sz w:val="24"/>
        </w:rPr>
        <w:t> </w:t>
      </w:r>
      <w:r>
        <w:rPr>
          <w:sz w:val="24"/>
        </w:rPr>
        <w:t>Interno.</w:t>
      </w:r>
    </w:p>
    <w:p>
      <w:pPr>
        <w:pStyle w:val="ListParagraph"/>
        <w:numPr>
          <w:ilvl w:val="1"/>
          <w:numId w:val="13"/>
        </w:numPr>
        <w:tabs>
          <w:tab w:pos="1095" w:val="left" w:leader="none"/>
          <w:tab w:pos="1096" w:val="left" w:leader="none"/>
        </w:tabs>
        <w:spacing w:line="240" w:lineRule="auto" w:before="140" w:after="0"/>
        <w:ind w:left="1095" w:right="0" w:hanging="633"/>
        <w:jc w:val="left"/>
        <w:rPr>
          <w:sz w:val="24"/>
        </w:rPr>
      </w:pPr>
      <w:r>
        <w:rPr>
          <w:sz w:val="24"/>
        </w:rPr>
        <w:t>Manual</w:t>
      </w:r>
      <w:r>
        <w:rPr>
          <w:spacing w:val="-7"/>
          <w:sz w:val="24"/>
        </w:rPr>
        <w:t> </w:t>
      </w:r>
      <w:r>
        <w:rPr>
          <w:sz w:val="24"/>
        </w:rPr>
        <w:t>contable.</w:t>
      </w:r>
    </w:p>
    <w:p>
      <w:pPr>
        <w:pStyle w:val="ListParagraph"/>
        <w:numPr>
          <w:ilvl w:val="2"/>
          <w:numId w:val="13"/>
        </w:numPr>
        <w:tabs>
          <w:tab w:pos="1902" w:val="left" w:leader="none"/>
        </w:tabs>
        <w:spacing w:line="240" w:lineRule="auto" w:before="137" w:after="0"/>
        <w:ind w:left="1902" w:right="0" w:hanging="720"/>
        <w:jc w:val="left"/>
        <w:rPr>
          <w:sz w:val="24"/>
        </w:rPr>
      </w:pPr>
      <w:r>
        <w:rPr>
          <w:sz w:val="24"/>
        </w:rPr>
        <w:t>Catálogo de</w:t>
      </w:r>
      <w:r>
        <w:rPr>
          <w:spacing w:val="-6"/>
          <w:sz w:val="24"/>
        </w:rPr>
        <w:t> </w:t>
      </w:r>
      <w:r>
        <w:rPr>
          <w:sz w:val="24"/>
        </w:rPr>
        <w:t>cuentas.</w:t>
      </w:r>
    </w:p>
    <w:p>
      <w:pPr>
        <w:pStyle w:val="ListParagraph"/>
        <w:numPr>
          <w:ilvl w:val="2"/>
          <w:numId w:val="13"/>
        </w:numPr>
        <w:tabs>
          <w:tab w:pos="1902" w:val="left" w:leader="none"/>
        </w:tabs>
        <w:spacing w:line="240" w:lineRule="auto" w:before="139" w:after="0"/>
        <w:ind w:left="1902" w:right="0" w:hanging="720"/>
        <w:jc w:val="left"/>
        <w:rPr>
          <w:sz w:val="24"/>
        </w:rPr>
      </w:pPr>
      <w:r>
        <w:rPr>
          <w:sz w:val="24"/>
        </w:rPr>
        <w:t>Guía</w:t>
      </w:r>
      <w:r>
        <w:rPr>
          <w:spacing w:val="-7"/>
          <w:sz w:val="24"/>
        </w:rPr>
        <w:t> </w:t>
      </w:r>
      <w:r>
        <w:rPr>
          <w:sz w:val="24"/>
        </w:rPr>
        <w:t>contabilizadora.</w:t>
      </w:r>
    </w:p>
    <w:p>
      <w:pPr>
        <w:pStyle w:val="BodyText"/>
      </w:pPr>
    </w:p>
    <w:p>
      <w:pPr>
        <w:pStyle w:val="BodyText"/>
      </w:pPr>
    </w:p>
    <w:p>
      <w:pPr>
        <w:pStyle w:val="Heading2"/>
        <w:numPr>
          <w:ilvl w:val="1"/>
          <w:numId w:val="14"/>
        </w:numPr>
        <w:tabs>
          <w:tab w:pos="809" w:val="left" w:leader="none"/>
          <w:tab w:pos="810" w:val="left" w:leader="none"/>
        </w:tabs>
        <w:spacing w:line="240" w:lineRule="auto" w:before="0" w:after="0"/>
        <w:ind w:left="810" w:right="0" w:hanging="708"/>
        <w:jc w:val="left"/>
      </w:pPr>
      <w:bookmarkStart w:name="_bookmark9" w:id="10"/>
      <w:bookmarkEnd w:id="10"/>
      <w:r>
        <w:rPr>
          <w:b w:val="0"/>
        </w:rPr>
      </w:r>
      <w:bookmarkStart w:name="_bookmark9" w:id="11"/>
      <w:bookmarkEnd w:id="11"/>
      <w:r>
        <w:rPr/>
        <w:t>En</w:t>
      </w:r>
      <w:r>
        <w:rPr/>
        <w:t>torno económico y social de la</w:t>
      </w:r>
      <w:r>
        <w:rPr>
          <w:spacing w:val="-9"/>
        </w:rPr>
        <w:t> </w:t>
      </w:r>
      <w:r>
        <w:rPr/>
        <w:t>entidad.</w:t>
      </w:r>
    </w:p>
    <w:p>
      <w:pPr>
        <w:pStyle w:val="BodyText"/>
        <w:rPr>
          <w:b/>
        </w:rPr>
      </w:pPr>
    </w:p>
    <w:p>
      <w:pPr>
        <w:pStyle w:val="BodyText"/>
        <w:spacing w:before="9"/>
        <w:rPr>
          <w:b/>
          <w:sz w:val="23"/>
        </w:rPr>
      </w:pPr>
    </w:p>
    <w:p>
      <w:pPr>
        <w:spacing w:before="0"/>
        <w:ind w:left="102" w:right="120" w:firstLine="0"/>
        <w:jc w:val="left"/>
        <w:rPr>
          <w:i/>
          <w:sz w:val="24"/>
        </w:rPr>
      </w:pPr>
      <w:r>
        <w:rPr>
          <w:i/>
          <w:sz w:val="24"/>
          <w:u w:val="single"/>
        </w:rPr>
        <w:t>Entorno económico</w:t>
      </w:r>
    </w:p>
    <w:p>
      <w:pPr>
        <w:pStyle w:val="BodyText"/>
        <w:spacing w:line="362" w:lineRule="auto" w:before="139"/>
        <w:ind w:left="102" w:right="120"/>
      </w:pPr>
      <w:r>
        <w:rPr/>
        <w:t>Condiciones y tendencias generales de la economía que pueden ser factores relevantes en las actividades de la organización.</w:t>
      </w:r>
    </w:p>
    <w:p>
      <w:pPr>
        <w:pStyle w:val="BodyText"/>
      </w:pPr>
    </w:p>
    <w:p>
      <w:pPr>
        <w:pStyle w:val="BodyText"/>
        <w:spacing w:line="360" w:lineRule="auto" w:before="139"/>
        <w:ind w:left="102" w:right="120"/>
      </w:pPr>
      <w:r>
        <w:rPr/>
        <w:t>Como parte del entorno económico podemos encontrar los siguientes: Capital, trabajo, niveles de precios, políticas fiscales y tributarias, clientes.</w:t>
      </w:r>
    </w:p>
    <w:p>
      <w:pPr>
        <w:pStyle w:val="ListParagraph"/>
        <w:numPr>
          <w:ilvl w:val="0"/>
          <w:numId w:val="15"/>
        </w:numPr>
        <w:tabs>
          <w:tab w:pos="822" w:val="left" w:leader="none"/>
        </w:tabs>
        <w:spacing w:line="360" w:lineRule="auto" w:before="5" w:after="0"/>
        <w:ind w:left="822" w:right="116" w:hanging="360"/>
        <w:jc w:val="both"/>
        <w:rPr>
          <w:sz w:val="24"/>
        </w:rPr>
      </w:pPr>
      <w:r>
        <w:rPr>
          <w:sz w:val="24"/>
        </w:rPr>
        <w:t>Capital. Casi todas las organizaciones necesitan capital como maquinaria, edificios, inventarios de bienes, equipos de oficina, herramientas de todo tipo y efectivo. Existen organizaciones que son capaces de producir su propio capital, por ejemplo cuando una empresa construye su propia maquinaria. También se pueden producir dentro de la organización  recursos en efectivo para comprar bienes de capital en el</w:t>
      </w:r>
      <w:r>
        <w:rPr>
          <w:spacing w:val="-23"/>
          <w:sz w:val="24"/>
        </w:rPr>
        <w:t> </w:t>
      </w:r>
      <w:r>
        <w:rPr>
          <w:sz w:val="24"/>
        </w:rPr>
        <w:t>exterior.</w:t>
      </w:r>
    </w:p>
    <w:p>
      <w:pPr>
        <w:pStyle w:val="ListParagraph"/>
        <w:numPr>
          <w:ilvl w:val="0"/>
          <w:numId w:val="15"/>
        </w:numPr>
        <w:tabs>
          <w:tab w:pos="822" w:val="left" w:leader="none"/>
        </w:tabs>
        <w:spacing w:line="360" w:lineRule="auto" w:before="5" w:after="0"/>
        <w:ind w:left="822" w:right="119" w:hanging="360"/>
        <w:jc w:val="both"/>
        <w:rPr>
          <w:sz w:val="24"/>
        </w:rPr>
      </w:pPr>
      <w:r>
        <w:rPr>
          <w:sz w:val="24"/>
        </w:rPr>
        <w:t>Trabajo. Otro insumo importante del medio económico es la disponibilidad, la calidad y el precio de la fuerza laboral. El precio de la mano de obra es  un factor económico importante para la empresa, aunque la automatización disminuye los altos</w:t>
      </w:r>
      <w:r>
        <w:rPr>
          <w:spacing w:val="-8"/>
          <w:sz w:val="24"/>
        </w:rPr>
        <w:t> </w:t>
      </w:r>
      <w:r>
        <w:rPr>
          <w:sz w:val="24"/>
        </w:rPr>
        <w:t>costos.</w:t>
      </w:r>
    </w:p>
    <w:p>
      <w:pPr>
        <w:spacing w:after="0" w:line="360" w:lineRule="auto"/>
        <w:jc w:val="both"/>
        <w:rPr>
          <w:sz w:val="24"/>
        </w:rPr>
        <w:sectPr>
          <w:pgSz w:w="12240" w:h="15840"/>
          <w:pgMar w:header="0" w:footer="779" w:top="1360" w:bottom="960" w:left="1600" w:right="1580"/>
        </w:sectPr>
      </w:pPr>
    </w:p>
    <w:p>
      <w:pPr>
        <w:pStyle w:val="ListParagraph"/>
        <w:numPr>
          <w:ilvl w:val="0"/>
          <w:numId w:val="15"/>
        </w:numPr>
        <w:tabs>
          <w:tab w:pos="822" w:val="left" w:leader="none"/>
        </w:tabs>
        <w:spacing w:line="360" w:lineRule="auto" w:before="56" w:after="0"/>
        <w:ind w:left="822" w:right="99" w:hanging="360"/>
        <w:jc w:val="both"/>
        <w:rPr>
          <w:sz w:val="24"/>
        </w:rPr>
      </w:pPr>
      <w:r>
        <w:rPr>
          <w:sz w:val="24"/>
        </w:rPr>
        <w:t>Niveles de precios. Los cambios de precios repercuten en la inflación y estos a su vez no sólo desequilibran a las empresas, sino que también distorsionan todo tipo de organizaciones por sus efectos sobre los costos  de la mano de obra, los materiales y otros</w:t>
      </w:r>
      <w:r>
        <w:rPr>
          <w:spacing w:val="-22"/>
          <w:sz w:val="24"/>
        </w:rPr>
        <w:t> </w:t>
      </w:r>
      <w:r>
        <w:rPr>
          <w:sz w:val="24"/>
        </w:rPr>
        <w:t>artículos.</w:t>
      </w:r>
    </w:p>
    <w:p>
      <w:pPr>
        <w:pStyle w:val="ListParagraph"/>
        <w:numPr>
          <w:ilvl w:val="0"/>
          <w:numId w:val="15"/>
        </w:numPr>
        <w:tabs>
          <w:tab w:pos="822" w:val="left" w:leader="none"/>
        </w:tabs>
        <w:spacing w:line="360" w:lineRule="auto" w:before="5" w:after="0"/>
        <w:ind w:left="822" w:right="98" w:hanging="360"/>
        <w:jc w:val="both"/>
        <w:rPr>
          <w:sz w:val="24"/>
        </w:rPr>
      </w:pPr>
      <w:r>
        <w:rPr>
          <w:sz w:val="24"/>
        </w:rPr>
        <w:t>Políticas fiscales y tributarias. Repercuten económicamente en gran manera sobre todas las empresas. El control gubernamental de la disponibilidad de créditos mediante su política fiscal tiene efectos significativos no sólo sobre los negocios sino también sobre operaciones que no se le relacionan. En forma similar la política de impuestos de gobierno afecta cada segmento de la</w:t>
      </w:r>
      <w:r>
        <w:rPr>
          <w:spacing w:val="-2"/>
          <w:sz w:val="24"/>
        </w:rPr>
        <w:t> </w:t>
      </w:r>
      <w:r>
        <w:rPr>
          <w:sz w:val="24"/>
        </w:rPr>
        <w:t>sociedad.</w:t>
      </w:r>
    </w:p>
    <w:p>
      <w:pPr>
        <w:pStyle w:val="ListParagraph"/>
        <w:numPr>
          <w:ilvl w:val="0"/>
          <w:numId w:val="15"/>
        </w:numPr>
        <w:tabs>
          <w:tab w:pos="822" w:val="left" w:leader="none"/>
        </w:tabs>
        <w:spacing w:line="360" w:lineRule="auto" w:before="5" w:after="0"/>
        <w:ind w:left="822" w:right="106" w:hanging="360"/>
        <w:jc w:val="both"/>
        <w:rPr>
          <w:sz w:val="24"/>
        </w:rPr>
      </w:pPr>
      <w:r>
        <w:rPr>
          <w:sz w:val="24"/>
        </w:rPr>
        <w:t>Clientes. El factor más importante para que una empresa tenga éxito son sus clientes sin ellos el negocio no puede</w:t>
      </w:r>
      <w:r>
        <w:rPr>
          <w:spacing w:val="-18"/>
          <w:sz w:val="24"/>
        </w:rPr>
        <w:t> </w:t>
      </w:r>
      <w:r>
        <w:rPr>
          <w:sz w:val="24"/>
        </w:rPr>
        <w:t>existir.</w:t>
      </w:r>
    </w:p>
    <w:p>
      <w:pPr>
        <w:pStyle w:val="BodyText"/>
      </w:pPr>
    </w:p>
    <w:p>
      <w:pPr>
        <w:pStyle w:val="BodyText"/>
        <w:spacing w:line="360" w:lineRule="auto" w:before="142"/>
        <w:ind w:left="102" w:right="102"/>
        <w:jc w:val="both"/>
      </w:pPr>
      <w:r>
        <w:rPr/>
        <w:t>Es evidente que las expectativas de la demanda de diversos públicos a quienes atienden las empresas reciben la influencia de factores económicos y no económicos. Las principales son las actitudes, los deseos y las expectativas de las personas muchas de las cuales son producto de patrones culturales del ambiente social.</w:t>
      </w:r>
    </w:p>
    <w:p>
      <w:pPr>
        <w:pStyle w:val="BodyText"/>
      </w:pPr>
    </w:p>
    <w:p>
      <w:pPr>
        <w:spacing w:before="139"/>
        <w:ind w:left="102" w:right="0" w:firstLine="0"/>
        <w:jc w:val="both"/>
        <w:rPr>
          <w:i/>
          <w:sz w:val="24"/>
        </w:rPr>
      </w:pPr>
      <w:r>
        <w:rPr>
          <w:i/>
          <w:sz w:val="24"/>
          <w:u w:val="single"/>
        </w:rPr>
        <w:t>Entorno social</w:t>
      </w:r>
    </w:p>
    <w:p>
      <w:pPr>
        <w:pStyle w:val="BodyText"/>
        <w:spacing w:line="360" w:lineRule="auto" w:before="141"/>
        <w:ind w:left="102" w:right="103"/>
        <w:jc w:val="both"/>
      </w:pPr>
      <w:r>
        <w:rPr/>
        <w:t>El ambiente social se compone de actitudes, formas de ser, expectativas, grados de inteligencia y educación, creencias y costumbres de las personas de un grupo  o sociedad</w:t>
      </w:r>
      <w:r>
        <w:rPr>
          <w:spacing w:val="-10"/>
        </w:rPr>
        <w:t> </w:t>
      </w:r>
      <w:r>
        <w:rPr/>
        <w:t>determinados.</w:t>
      </w:r>
    </w:p>
    <w:p>
      <w:pPr>
        <w:pStyle w:val="BodyText"/>
      </w:pPr>
    </w:p>
    <w:p>
      <w:pPr>
        <w:pStyle w:val="BodyText"/>
        <w:spacing w:line="360" w:lineRule="auto" w:before="139"/>
        <w:ind w:left="102" w:right="101"/>
        <w:jc w:val="both"/>
      </w:pPr>
      <w:r>
        <w:rPr/>
        <w:t>El entrelazamiento de estos elementos ambientales dificulta en extremo su estudio y comprensión. Pronosticarlos para que el administrador pueda anticiparse y prepararse para los cambios resulta incluso más complejo. Los deseos, expectativas y presiones sociales dan lugar a leyes y estándares de ética.</w:t>
      </w:r>
    </w:p>
    <w:p>
      <w:pPr>
        <w:pStyle w:val="BodyText"/>
      </w:pPr>
    </w:p>
    <w:p>
      <w:pPr>
        <w:pStyle w:val="BodyText"/>
        <w:spacing w:line="360" w:lineRule="auto" w:before="142"/>
        <w:ind w:left="102" w:right="100"/>
        <w:jc w:val="both"/>
      </w:pPr>
      <w:r>
        <w:rPr/>
        <w:t>Se ha criticado a los administradores de diversas empresas por no mostrar sensibilidad hacia las actitudes, creencias y valores sociales de personas,   grupos</w:t>
      </w:r>
    </w:p>
    <w:p>
      <w:pPr>
        <w:spacing w:after="0" w:line="360" w:lineRule="auto"/>
        <w:jc w:val="both"/>
        <w:sectPr>
          <w:pgSz w:w="12240" w:h="15840"/>
          <w:pgMar w:header="0" w:footer="779" w:top="1360" w:bottom="960" w:left="1600" w:right="1600"/>
        </w:sectPr>
      </w:pPr>
    </w:p>
    <w:p>
      <w:pPr>
        <w:pStyle w:val="BodyText"/>
        <w:spacing w:line="360" w:lineRule="auto" w:before="56"/>
        <w:ind w:left="102" w:right="117"/>
        <w:jc w:val="both"/>
      </w:pPr>
      <w:r>
        <w:rPr/>
        <w:t>o sociedades en particular. Sin embargo, las actitudes y los valores difieren entre los diversos grupos sociales. Esta variedad complica a los administradores el diseño de un ambiente propicio para el desempeño y la satisfacción. Y es más difícil aún de responder a estas fuerzas cuando se encuentra fuera de la empresa. Pero los administradores no tienen otra alternativa que considerarlas a la hora de tomar decisiones.</w:t>
      </w:r>
    </w:p>
    <w:p>
      <w:pPr>
        <w:pStyle w:val="BodyText"/>
      </w:pPr>
    </w:p>
    <w:p>
      <w:pPr>
        <w:pStyle w:val="BodyText"/>
        <w:spacing w:line="360" w:lineRule="auto" w:before="142"/>
        <w:ind w:left="102" w:right="124"/>
        <w:jc w:val="both"/>
      </w:pPr>
      <w:r>
        <w:rPr/>
        <w:t>Aunque hay muchos valores fundamentales en una sociedad, los tiempos destacan preocupaciones diferentes. Con frecuencia, los valores sociales se reflejan en las preocupaciones de las empresas. Cada vez son más las compañías que están proporcionando servicios tales como instalaciones para la atención de los niños, además de oportunidades para compartir empleos y un horario flexible de</w:t>
      </w:r>
      <w:r>
        <w:rPr>
          <w:spacing w:val="-4"/>
        </w:rPr>
        <w:t> </w:t>
      </w:r>
      <w:r>
        <w:rPr/>
        <w:t>trabajo.</w:t>
      </w:r>
    </w:p>
    <w:p>
      <w:pPr>
        <w:pStyle w:val="BodyText"/>
      </w:pPr>
    </w:p>
    <w:p>
      <w:pPr>
        <w:pStyle w:val="BodyText"/>
      </w:pPr>
    </w:p>
    <w:p>
      <w:pPr>
        <w:pStyle w:val="BodyText"/>
        <w:spacing w:before="2"/>
      </w:pPr>
    </w:p>
    <w:p>
      <w:pPr>
        <w:pStyle w:val="Heading2"/>
        <w:numPr>
          <w:ilvl w:val="1"/>
          <w:numId w:val="14"/>
        </w:numPr>
        <w:tabs>
          <w:tab w:pos="810" w:val="left" w:leader="none"/>
        </w:tabs>
        <w:spacing w:line="240" w:lineRule="auto" w:before="1" w:after="0"/>
        <w:ind w:left="810" w:right="0" w:hanging="708"/>
        <w:jc w:val="both"/>
      </w:pPr>
      <w:bookmarkStart w:name="_bookmark10" w:id="12"/>
      <w:bookmarkEnd w:id="12"/>
      <w:r>
        <w:rPr>
          <w:b w:val="0"/>
        </w:rPr>
      </w:r>
      <w:bookmarkStart w:name="_bookmark10" w:id="13"/>
      <w:bookmarkEnd w:id="13"/>
      <w:r>
        <w:rPr/>
        <w:t>M</w:t>
      </w:r>
      <w:r>
        <w:rPr/>
        <w:t>anual de</w:t>
      </w:r>
      <w:r>
        <w:rPr>
          <w:spacing w:val="-7"/>
        </w:rPr>
        <w:t> </w:t>
      </w:r>
      <w:r>
        <w:rPr/>
        <w:t>organización</w:t>
      </w:r>
    </w:p>
    <w:p>
      <w:pPr>
        <w:pStyle w:val="BodyText"/>
        <w:rPr>
          <w:b/>
        </w:rPr>
      </w:pPr>
    </w:p>
    <w:p>
      <w:pPr>
        <w:pStyle w:val="BodyText"/>
        <w:rPr>
          <w:b/>
        </w:rPr>
      </w:pPr>
    </w:p>
    <w:p>
      <w:pPr>
        <w:pStyle w:val="BodyText"/>
        <w:spacing w:line="360" w:lineRule="auto"/>
        <w:ind w:left="102" w:right="117"/>
        <w:jc w:val="both"/>
      </w:pPr>
      <w:r>
        <w:rPr/>
        <w:t>El Manual de Organización es un documento que contiene, en forma ordenada y sistemática, la información y/o las instrucciones sobre su marco jurídico administrativo, atribuciones, historia, organización, objetivo y funciones de la dependencia o entidad, constituyéndose además en un instrumento de apoyo administrativo, que describe las relaciones orgánicas que se dan entre las unidades administrativas, siendo ello, un elemento de apoyo a su funcionamiento.</w:t>
      </w:r>
    </w:p>
    <w:p>
      <w:pPr>
        <w:pStyle w:val="BodyText"/>
      </w:pPr>
    </w:p>
    <w:p>
      <w:pPr>
        <w:pStyle w:val="BodyText"/>
        <w:spacing w:line="360" w:lineRule="auto" w:before="139"/>
        <w:ind w:left="102" w:right="121"/>
        <w:jc w:val="both"/>
      </w:pPr>
      <w:r>
        <w:rPr/>
        <w:t>Su objetivo es proporcionar, en forma ordenada, la información básica de la organización y funcionamiento de la unidad responsable como una referencia obligada para lograr el aprovechamiento de los recursos y el desarrollo de las funciones encomendadas.</w:t>
      </w:r>
    </w:p>
    <w:p>
      <w:pPr>
        <w:spacing w:after="0" w:line="360" w:lineRule="auto"/>
        <w:jc w:val="both"/>
        <w:sectPr>
          <w:pgSz w:w="12240" w:h="15840"/>
          <w:pgMar w:header="0" w:footer="779" w:top="1360" w:bottom="960" w:left="1600" w:right="1580"/>
        </w:sectPr>
      </w:pPr>
    </w:p>
    <w:p>
      <w:pPr>
        <w:pStyle w:val="Heading2"/>
        <w:numPr>
          <w:ilvl w:val="2"/>
          <w:numId w:val="14"/>
        </w:numPr>
        <w:tabs>
          <w:tab w:pos="810" w:val="left" w:leader="none"/>
        </w:tabs>
        <w:spacing w:line="240" w:lineRule="auto" w:before="56" w:after="0"/>
        <w:ind w:left="810" w:right="0" w:hanging="708"/>
        <w:jc w:val="both"/>
      </w:pPr>
      <w:bookmarkStart w:name="_bookmark11" w:id="14"/>
      <w:bookmarkEnd w:id="14"/>
      <w:r>
        <w:rPr>
          <w:b w:val="0"/>
        </w:rPr>
      </w:r>
      <w:bookmarkStart w:name="_bookmark11" w:id="15"/>
      <w:bookmarkEnd w:id="15"/>
      <w:r>
        <w:rPr/>
        <w:t>Org</w:t>
      </w:r>
      <w:r>
        <w:rPr/>
        <w:t>anigrama.</w:t>
      </w:r>
    </w:p>
    <w:p>
      <w:pPr>
        <w:pStyle w:val="BodyText"/>
        <w:spacing w:line="360" w:lineRule="auto" w:before="137"/>
        <w:ind w:left="102" w:right="122"/>
        <w:jc w:val="both"/>
      </w:pPr>
      <w:r>
        <w:rPr/>
        <w:t>Los </w:t>
      </w:r>
      <w:r>
        <w:rPr>
          <w:b/>
          <w:i/>
        </w:rPr>
        <w:t>organigramas </w:t>
      </w:r>
      <w:r>
        <w:rPr/>
        <w:t>son la representación gráfica de la estructura orgánica de una </w:t>
      </w:r>
      <w:r>
        <w:rPr>
          <w:i/>
        </w:rPr>
        <w:t>empresa </w:t>
      </w:r>
      <w:r>
        <w:rPr/>
        <w:t>u </w:t>
      </w:r>
      <w:r>
        <w:rPr>
          <w:i/>
        </w:rPr>
        <w:t>organización </w:t>
      </w:r>
      <w:r>
        <w:rPr/>
        <w:t>que refleja, en forma esquemática, la posición de las áreas que la integran, sus niveles jerárquicos, líneas de autoridad y de</w:t>
      </w:r>
      <w:r>
        <w:rPr>
          <w:spacing w:val="-30"/>
        </w:rPr>
        <w:t> </w:t>
      </w:r>
      <w:r>
        <w:rPr/>
        <w:t>asesoría.</w:t>
      </w:r>
    </w:p>
    <w:p>
      <w:pPr>
        <w:pStyle w:val="BodyText"/>
      </w:pPr>
    </w:p>
    <w:p>
      <w:pPr>
        <w:pStyle w:val="BodyText"/>
        <w:spacing w:before="142"/>
        <w:ind w:left="102"/>
        <w:jc w:val="both"/>
      </w:pPr>
      <w:r>
        <w:rPr/>
        <w:t>Los organigramas pueden ser:</w:t>
      </w:r>
    </w:p>
    <w:p>
      <w:pPr>
        <w:pStyle w:val="ListParagraph"/>
        <w:numPr>
          <w:ilvl w:val="3"/>
          <w:numId w:val="14"/>
        </w:numPr>
        <w:tabs>
          <w:tab w:pos="814" w:val="left" w:leader="none"/>
          <w:tab w:pos="815" w:val="left" w:leader="none"/>
        </w:tabs>
        <w:spacing w:line="240" w:lineRule="auto" w:before="139" w:after="0"/>
        <w:ind w:left="102" w:right="0" w:firstLine="357"/>
        <w:jc w:val="left"/>
        <w:rPr>
          <w:sz w:val="24"/>
        </w:rPr>
      </w:pPr>
      <w:r>
        <w:rPr>
          <w:sz w:val="24"/>
        </w:rPr>
        <w:t>Verticales</w:t>
      </w:r>
    </w:p>
    <w:p>
      <w:pPr>
        <w:pStyle w:val="ListParagraph"/>
        <w:numPr>
          <w:ilvl w:val="3"/>
          <w:numId w:val="14"/>
        </w:numPr>
        <w:tabs>
          <w:tab w:pos="814" w:val="left" w:leader="none"/>
          <w:tab w:pos="815" w:val="left" w:leader="none"/>
        </w:tabs>
        <w:spacing w:line="240" w:lineRule="auto" w:before="137" w:after="0"/>
        <w:ind w:left="814" w:right="0" w:hanging="355"/>
        <w:jc w:val="left"/>
        <w:rPr>
          <w:sz w:val="24"/>
        </w:rPr>
      </w:pPr>
      <w:r>
        <w:rPr>
          <w:sz w:val="24"/>
        </w:rPr>
        <w:t>Horizontales</w:t>
      </w:r>
    </w:p>
    <w:p>
      <w:pPr>
        <w:pStyle w:val="ListParagraph"/>
        <w:numPr>
          <w:ilvl w:val="3"/>
          <w:numId w:val="14"/>
        </w:numPr>
        <w:tabs>
          <w:tab w:pos="814" w:val="left" w:leader="none"/>
          <w:tab w:pos="815" w:val="left" w:leader="none"/>
        </w:tabs>
        <w:spacing w:line="240" w:lineRule="auto" w:before="139" w:after="0"/>
        <w:ind w:left="814" w:right="0" w:hanging="355"/>
        <w:jc w:val="left"/>
        <w:rPr>
          <w:sz w:val="24"/>
        </w:rPr>
      </w:pPr>
      <w:r>
        <w:rPr>
          <w:sz w:val="24"/>
        </w:rPr>
        <w:t>Circulares</w:t>
      </w:r>
    </w:p>
    <w:p>
      <w:pPr>
        <w:pStyle w:val="ListParagraph"/>
        <w:numPr>
          <w:ilvl w:val="3"/>
          <w:numId w:val="14"/>
        </w:numPr>
        <w:tabs>
          <w:tab w:pos="814" w:val="left" w:leader="none"/>
          <w:tab w:pos="815" w:val="left" w:leader="none"/>
        </w:tabs>
        <w:spacing w:line="602" w:lineRule="auto" w:before="137" w:after="0"/>
        <w:ind w:left="102" w:right="6729" w:firstLine="357"/>
        <w:jc w:val="left"/>
        <w:rPr>
          <w:sz w:val="24"/>
        </w:rPr>
      </w:pPr>
      <w:r>
        <w:rPr>
          <w:sz w:val="24"/>
        </w:rPr>
        <w:t>Escalares </w:t>
      </w:r>
      <w:r>
        <w:rPr>
          <w:sz w:val="24"/>
          <w:u w:val="single"/>
        </w:rPr>
        <w:t>Organigrama</w:t>
      </w:r>
      <w:r>
        <w:rPr>
          <w:spacing w:val="-7"/>
          <w:sz w:val="24"/>
          <w:u w:val="single"/>
        </w:rPr>
        <w:t> </w:t>
      </w:r>
      <w:r>
        <w:rPr>
          <w:sz w:val="24"/>
          <w:u w:val="single"/>
        </w:rPr>
        <w:t>vertical</w:t>
      </w:r>
    </w:p>
    <w:p>
      <w:pPr>
        <w:pStyle w:val="BodyText"/>
        <w:spacing w:line="360" w:lineRule="auto" w:before="15"/>
        <w:ind w:left="102" w:right="122"/>
        <w:jc w:val="both"/>
      </w:pPr>
      <w:r>
        <w:rPr/>
        <w:t>En los organigramas verticales, cada puesto subordinado a otro se representa por cuadros en un nivel inferior, ligados a aquel por líneas que representan la comunicación de responsabilidad y autoridad. De cada cuadro del segundo nivel se sacan líneas que indican la comunicación de autoridad y responsabilidad a los puestos que dependen de él y así</w:t>
      </w:r>
      <w:r>
        <w:rPr>
          <w:spacing w:val="-19"/>
        </w:rPr>
        <w:t> </w:t>
      </w:r>
      <w:r>
        <w:rPr/>
        <w:t>sucesivamente.</w:t>
      </w:r>
    </w:p>
    <w:p>
      <w:pPr>
        <w:pStyle w:val="BodyText"/>
        <w:spacing w:before="10"/>
      </w:pPr>
    </w:p>
    <w:p>
      <w:pPr>
        <w:pStyle w:val="BodyText"/>
        <w:ind w:left="102"/>
        <w:jc w:val="both"/>
      </w:pPr>
      <w:r>
        <w:rPr/>
        <w:t>Ventajas:</w:t>
      </w:r>
    </w:p>
    <w:p>
      <w:pPr>
        <w:pStyle w:val="ListParagraph"/>
        <w:numPr>
          <w:ilvl w:val="3"/>
          <w:numId w:val="14"/>
        </w:numPr>
        <w:tabs>
          <w:tab w:pos="821" w:val="left" w:leader="none"/>
          <w:tab w:pos="822" w:val="left" w:leader="none"/>
        </w:tabs>
        <w:spacing w:line="240" w:lineRule="auto" w:before="137" w:after="0"/>
        <w:ind w:left="822" w:right="0" w:hanging="360"/>
        <w:jc w:val="left"/>
        <w:rPr>
          <w:sz w:val="24"/>
        </w:rPr>
      </w:pPr>
      <w:r>
        <w:rPr>
          <w:sz w:val="24"/>
        </w:rPr>
        <w:t>Son los más usados y, por lo mismo, fácilmente</w:t>
      </w:r>
      <w:r>
        <w:rPr>
          <w:spacing w:val="-17"/>
          <w:sz w:val="24"/>
        </w:rPr>
        <w:t> </w:t>
      </w:r>
      <w:r>
        <w:rPr>
          <w:sz w:val="24"/>
        </w:rPr>
        <w:t>comprendidos.</w:t>
      </w:r>
    </w:p>
    <w:p>
      <w:pPr>
        <w:pStyle w:val="ListParagraph"/>
        <w:numPr>
          <w:ilvl w:val="3"/>
          <w:numId w:val="14"/>
        </w:numPr>
        <w:tabs>
          <w:tab w:pos="821" w:val="left" w:leader="none"/>
          <w:tab w:pos="822" w:val="left" w:leader="none"/>
        </w:tabs>
        <w:spacing w:line="240" w:lineRule="auto" w:before="139" w:after="0"/>
        <w:ind w:left="822" w:right="0" w:hanging="360"/>
        <w:jc w:val="left"/>
        <w:rPr>
          <w:sz w:val="24"/>
        </w:rPr>
      </w:pPr>
      <w:r>
        <w:rPr>
          <w:sz w:val="24"/>
        </w:rPr>
        <w:t>Indican en forma objetiva las jerarquías del</w:t>
      </w:r>
      <w:r>
        <w:rPr>
          <w:spacing w:val="-19"/>
          <w:sz w:val="24"/>
        </w:rPr>
        <w:t> </w:t>
      </w:r>
      <w:r>
        <w:rPr>
          <w:sz w:val="24"/>
        </w:rPr>
        <w:t>personal.</w:t>
      </w:r>
    </w:p>
    <w:p>
      <w:pPr>
        <w:pStyle w:val="BodyText"/>
      </w:pPr>
    </w:p>
    <w:p>
      <w:pPr>
        <w:pStyle w:val="BodyText"/>
        <w:spacing w:before="139"/>
        <w:ind w:left="102"/>
        <w:jc w:val="both"/>
      </w:pPr>
      <w:r>
        <w:rPr/>
        <w:t>Desventajas:</w:t>
      </w:r>
    </w:p>
    <w:p>
      <w:pPr>
        <w:pStyle w:val="BodyText"/>
      </w:pPr>
    </w:p>
    <w:p>
      <w:pPr>
        <w:pStyle w:val="BodyText"/>
        <w:spacing w:line="360" w:lineRule="auto" w:before="144"/>
        <w:ind w:left="102" w:right="126"/>
        <w:jc w:val="both"/>
      </w:pPr>
      <w:r>
        <w:rPr/>
        <w:t>Se produce el llamado “efecto de triangulación”, ya que, después de dos niveles, es muy difícil indicar los puestos inferiores, para lo que se requeriría hacerse organigramas muy alargados. Esto suele solucionarse:</w:t>
      </w:r>
    </w:p>
    <w:p>
      <w:pPr>
        <w:pStyle w:val="BodyText"/>
        <w:spacing w:before="7"/>
      </w:pPr>
    </w:p>
    <w:p>
      <w:pPr>
        <w:pStyle w:val="ListParagraph"/>
        <w:numPr>
          <w:ilvl w:val="3"/>
          <w:numId w:val="14"/>
        </w:numPr>
        <w:tabs>
          <w:tab w:pos="822" w:val="left" w:leader="none"/>
        </w:tabs>
        <w:spacing w:line="360" w:lineRule="auto" w:before="0" w:after="0"/>
        <w:ind w:left="822" w:right="117" w:hanging="360"/>
        <w:jc w:val="both"/>
        <w:rPr>
          <w:sz w:val="24"/>
        </w:rPr>
      </w:pPr>
      <w:r>
        <w:rPr>
          <w:sz w:val="24"/>
        </w:rPr>
        <w:t>Haciendo una carta maestra que comprenda hasta el primer nivel lineal y staff de la empresa, y posteriormente hacer para cada división, departamento o sección, una carta</w:t>
      </w:r>
      <w:r>
        <w:rPr>
          <w:spacing w:val="-20"/>
          <w:sz w:val="24"/>
        </w:rPr>
        <w:t> </w:t>
      </w:r>
      <w:r>
        <w:rPr>
          <w:sz w:val="24"/>
        </w:rPr>
        <w:t>suplementaria.</w:t>
      </w:r>
    </w:p>
    <w:p>
      <w:pPr>
        <w:spacing w:after="0" w:line="360" w:lineRule="auto"/>
        <w:jc w:val="both"/>
        <w:rPr>
          <w:sz w:val="24"/>
        </w:rPr>
        <w:sectPr>
          <w:pgSz w:w="12240" w:h="15840"/>
          <w:pgMar w:header="0" w:footer="779" w:top="1360" w:bottom="960" w:left="1600" w:right="1580"/>
        </w:sectPr>
      </w:pPr>
    </w:p>
    <w:p>
      <w:pPr>
        <w:pStyle w:val="ListParagraph"/>
        <w:numPr>
          <w:ilvl w:val="3"/>
          <w:numId w:val="14"/>
        </w:numPr>
        <w:tabs>
          <w:tab w:pos="822" w:val="left" w:leader="none"/>
        </w:tabs>
        <w:spacing w:line="360" w:lineRule="auto" w:before="56" w:after="0"/>
        <w:ind w:left="822" w:right="120" w:hanging="360"/>
        <w:jc w:val="both"/>
        <w:rPr>
          <w:sz w:val="24"/>
        </w:rPr>
      </w:pPr>
      <w:r>
        <w:rPr>
          <w:sz w:val="24"/>
        </w:rPr>
        <w:t>Colocando a los subordinados de un jefe, cuando son numerosos, uno sobre otro, ligados por la línea de autoridad y responsabilidad que corre a un</w:t>
      </w:r>
      <w:r>
        <w:rPr>
          <w:spacing w:val="-3"/>
          <w:sz w:val="24"/>
        </w:rPr>
        <w:t> </w:t>
      </w:r>
      <w:r>
        <w:rPr>
          <w:sz w:val="24"/>
        </w:rPr>
        <w:t>lado.</w:t>
      </w:r>
    </w:p>
    <w:p>
      <w:pPr>
        <w:pStyle w:val="BodyText"/>
        <w:rPr>
          <w:sz w:val="20"/>
        </w:rPr>
      </w:pPr>
    </w:p>
    <w:p>
      <w:pPr>
        <w:pStyle w:val="BodyText"/>
        <w:spacing w:before="1"/>
        <w:rPr>
          <w:sz w:val="13"/>
        </w:rPr>
      </w:pPr>
      <w:r>
        <w:rPr/>
        <w:drawing>
          <wp:anchor distT="0" distB="0" distL="0" distR="0" allowOverlap="1" layoutInCell="1" locked="0" behindDoc="0" simplePos="0" relativeHeight="1072">
            <wp:simplePos x="0" y="0"/>
            <wp:positionH relativeFrom="page">
              <wp:posOffset>2552700</wp:posOffset>
            </wp:positionH>
            <wp:positionV relativeFrom="paragraph">
              <wp:posOffset>120331</wp:posOffset>
            </wp:positionV>
            <wp:extent cx="2689938" cy="1883568"/>
            <wp:effectExtent l="0" t="0" r="0" b="0"/>
            <wp:wrapTopAndBottom/>
            <wp:docPr id="5" name="image2.png" descr=""/>
            <wp:cNvGraphicFramePr>
              <a:graphicFrameLocks noChangeAspect="1"/>
            </wp:cNvGraphicFramePr>
            <a:graphic>
              <a:graphicData uri="http://schemas.openxmlformats.org/drawingml/2006/picture">
                <pic:pic>
                  <pic:nvPicPr>
                    <pic:cNvPr id="6" name="image2.png"/>
                    <pic:cNvPicPr/>
                  </pic:nvPicPr>
                  <pic:blipFill>
                    <a:blip r:embed="rId10" cstate="print"/>
                    <a:stretch>
                      <a:fillRect/>
                    </a:stretch>
                  </pic:blipFill>
                  <pic:spPr>
                    <a:xfrm>
                      <a:off x="0" y="0"/>
                      <a:ext cx="2689938" cy="1883568"/>
                    </a:xfrm>
                    <a:prstGeom prst="rect">
                      <a:avLst/>
                    </a:prstGeom>
                  </pic:spPr>
                </pic:pic>
              </a:graphicData>
            </a:graphic>
          </wp:anchor>
        </w:drawing>
      </w:r>
    </w:p>
    <w:p>
      <w:pPr>
        <w:pStyle w:val="BodyText"/>
      </w:pPr>
    </w:p>
    <w:p>
      <w:pPr>
        <w:pStyle w:val="BodyText"/>
      </w:pPr>
    </w:p>
    <w:p>
      <w:pPr>
        <w:pStyle w:val="BodyText"/>
      </w:pPr>
    </w:p>
    <w:p>
      <w:pPr>
        <w:pStyle w:val="BodyText"/>
        <w:rPr>
          <w:sz w:val="21"/>
        </w:rPr>
      </w:pPr>
    </w:p>
    <w:p>
      <w:pPr>
        <w:pStyle w:val="BodyText"/>
        <w:ind w:left="102" w:right="120"/>
      </w:pPr>
      <w:r>
        <w:rPr>
          <w:u w:val="single"/>
        </w:rPr>
        <w:t>Organigrama horizontal</w:t>
      </w:r>
    </w:p>
    <w:p>
      <w:pPr>
        <w:pStyle w:val="BodyText"/>
        <w:rPr>
          <w:sz w:val="20"/>
        </w:rPr>
      </w:pPr>
    </w:p>
    <w:p>
      <w:pPr>
        <w:pStyle w:val="BodyText"/>
        <w:spacing w:line="360" w:lineRule="auto" w:before="187"/>
        <w:ind w:left="102" w:right="125"/>
        <w:jc w:val="both"/>
      </w:pPr>
      <w:r>
        <w:rPr/>
        <w:t>Representan los mismos elementos del organigrama anterior y en la misma forma, sólo que comenzando el nivel máximo jerárquico a la izquierda y haciéndose los demás niveles sucesivamente hacia la derecha.</w:t>
      </w:r>
    </w:p>
    <w:p>
      <w:pPr>
        <w:pStyle w:val="BodyText"/>
        <w:spacing w:before="7"/>
      </w:pPr>
    </w:p>
    <w:p>
      <w:pPr>
        <w:pStyle w:val="BodyText"/>
        <w:ind w:left="102"/>
        <w:jc w:val="both"/>
      </w:pPr>
      <w:r>
        <w:rPr/>
        <w:t>Ventajas:</w:t>
      </w:r>
    </w:p>
    <w:p>
      <w:pPr>
        <w:pStyle w:val="BodyText"/>
      </w:pPr>
    </w:p>
    <w:p>
      <w:pPr>
        <w:pStyle w:val="ListParagraph"/>
        <w:numPr>
          <w:ilvl w:val="3"/>
          <w:numId w:val="14"/>
        </w:numPr>
        <w:tabs>
          <w:tab w:pos="821" w:val="left" w:leader="none"/>
          <w:tab w:pos="822" w:val="left" w:leader="none"/>
        </w:tabs>
        <w:spacing w:line="240" w:lineRule="auto" w:before="141" w:after="0"/>
        <w:ind w:left="822" w:right="0" w:hanging="360"/>
        <w:jc w:val="left"/>
        <w:rPr>
          <w:sz w:val="24"/>
        </w:rPr>
      </w:pPr>
      <w:r>
        <w:rPr>
          <w:sz w:val="24"/>
        </w:rPr>
        <w:t>Siguen la forma normal en que acostumbramos</w:t>
      </w:r>
      <w:r>
        <w:rPr>
          <w:spacing w:val="-19"/>
          <w:sz w:val="24"/>
        </w:rPr>
        <w:t> </w:t>
      </w:r>
      <w:r>
        <w:rPr>
          <w:sz w:val="24"/>
        </w:rPr>
        <w:t>leer.</w:t>
      </w:r>
    </w:p>
    <w:p>
      <w:pPr>
        <w:pStyle w:val="ListParagraph"/>
        <w:numPr>
          <w:ilvl w:val="3"/>
          <w:numId w:val="14"/>
        </w:numPr>
        <w:tabs>
          <w:tab w:pos="821" w:val="left" w:leader="none"/>
          <w:tab w:pos="822" w:val="left" w:leader="none"/>
        </w:tabs>
        <w:spacing w:line="240" w:lineRule="auto" w:before="139" w:after="0"/>
        <w:ind w:left="822" w:right="0" w:hanging="360"/>
        <w:jc w:val="left"/>
        <w:rPr>
          <w:sz w:val="24"/>
        </w:rPr>
      </w:pPr>
      <w:r>
        <w:rPr>
          <w:sz w:val="24"/>
        </w:rPr>
        <w:t>Disminuyen en forma muy considerable el efecto de</w:t>
      </w:r>
      <w:r>
        <w:rPr>
          <w:spacing w:val="-23"/>
          <w:sz w:val="24"/>
        </w:rPr>
        <w:t> </w:t>
      </w:r>
      <w:r>
        <w:rPr>
          <w:sz w:val="24"/>
        </w:rPr>
        <w:t>triangulación.</w:t>
      </w:r>
    </w:p>
    <w:p>
      <w:pPr>
        <w:pStyle w:val="ListParagraph"/>
        <w:numPr>
          <w:ilvl w:val="3"/>
          <w:numId w:val="14"/>
        </w:numPr>
        <w:tabs>
          <w:tab w:pos="821" w:val="left" w:leader="none"/>
          <w:tab w:pos="822" w:val="left" w:leader="none"/>
        </w:tabs>
        <w:spacing w:line="240" w:lineRule="auto" w:before="137" w:after="0"/>
        <w:ind w:left="822" w:right="0" w:hanging="360"/>
        <w:jc w:val="left"/>
        <w:rPr>
          <w:sz w:val="24"/>
        </w:rPr>
      </w:pPr>
      <w:r>
        <w:rPr>
          <w:sz w:val="24"/>
        </w:rPr>
        <w:t>Indican mejor la longitud de los niveles por donde pasa la autoridad</w:t>
      </w:r>
      <w:r>
        <w:rPr>
          <w:spacing w:val="-29"/>
          <w:sz w:val="24"/>
        </w:rPr>
        <w:t> </w:t>
      </w:r>
      <w:r>
        <w:rPr>
          <w:sz w:val="24"/>
        </w:rPr>
        <w:t>formal.</w:t>
      </w:r>
    </w:p>
    <w:p>
      <w:pPr>
        <w:pStyle w:val="BodyText"/>
      </w:pPr>
    </w:p>
    <w:p>
      <w:pPr>
        <w:pStyle w:val="BodyText"/>
        <w:spacing w:before="142"/>
        <w:ind w:left="102"/>
        <w:jc w:val="both"/>
      </w:pPr>
      <w:r>
        <w:rPr/>
        <w:t>Desventajas:</w:t>
      </w:r>
    </w:p>
    <w:p>
      <w:pPr>
        <w:pStyle w:val="BodyText"/>
      </w:pPr>
    </w:p>
    <w:p>
      <w:pPr>
        <w:pStyle w:val="BodyText"/>
        <w:spacing w:line="360" w:lineRule="auto" w:before="144"/>
        <w:ind w:left="102" w:right="116"/>
        <w:jc w:val="both"/>
      </w:pPr>
      <w:r>
        <w:rPr/>
        <w:t>Son poco usados en prácticas, y muchas veces, aun pudiendo hacerse uno solo de toda la organización, resultan los nombres de los jefes demasiado largos, por lo tanto, se vuelven poco</w:t>
      </w:r>
      <w:r>
        <w:rPr>
          <w:spacing w:val="-8"/>
        </w:rPr>
        <w:t> </w:t>
      </w:r>
      <w:r>
        <w:rPr/>
        <w:t>claros.</w:t>
      </w:r>
    </w:p>
    <w:p>
      <w:pPr>
        <w:spacing w:after="0" w:line="360" w:lineRule="auto"/>
        <w:jc w:val="both"/>
        <w:sectPr>
          <w:pgSz w:w="12240" w:h="15840"/>
          <w:pgMar w:header="0" w:footer="779" w:top="1360" w:bottom="960" w:left="1600" w:right="1580"/>
        </w:sectPr>
      </w:pPr>
    </w:p>
    <w:p>
      <w:pPr>
        <w:pStyle w:val="BodyText"/>
        <w:ind w:left="2280"/>
        <w:rPr>
          <w:sz w:val="20"/>
        </w:rPr>
      </w:pPr>
      <w:r>
        <w:rPr>
          <w:sz w:val="20"/>
        </w:rPr>
        <w:drawing>
          <wp:inline distT="0" distB="0" distL="0" distR="0">
            <wp:extent cx="2867169" cy="1714500"/>
            <wp:effectExtent l="0" t="0" r="0" b="0"/>
            <wp:docPr id="7" name="image3.png" descr=""/>
            <wp:cNvGraphicFramePr>
              <a:graphicFrameLocks noChangeAspect="1"/>
            </wp:cNvGraphicFramePr>
            <a:graphic>
              <a:graphicData uri="http://schemas.openxmlformats.org/drawingml/2006/picture">
                <pic:pic>
                  <pic:nvPicPr>
                    <pic:cNvPr id="8" name="image3.png"/>
                    <pic:cNvPicPr/>
                  </pic:nvPicPr>
                  <pic:blipFill>
                    <a:blip r:embed="rId11" cstate="print"/>
                    <a:stretch>
                      <a:fillRect/>
                    </a:stretch>
                  </pic:blipFill>
                  <pic:spPr>
                    <a:xfrm>
                      <a:off x="0" y="0"/>
                      <a:ext cx="2867169" cy="1714500"/>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spacing w:before="11"/>
        <w:rPr>
          <w:sz w:val="29"/>
        </w:rPr>
      </w:pPr>
    </w:p>
    <w:p>
      <w:pPr>
        <w:pStyle w:val="BodyText"/>
        <w:spacing w:before="69"/>
        <w:ind w:left="102"/>
      </w:pPr>
      <w:r>
        <w:rPr>
          <w:u w:val="single"/>
        </w:rPr>
        <w:t>Organigramas circulares</w:t>
      </w:r>
    </w:p>
    <w:p>
      <w:pPr>
        <w:pStyle w:val="BodyText"/>
        <w:rPr>
          <w:sz w:val="20"/>
        </w:rPr>
      </w:pPr>
    </w:p>
    <w:p>
      <w:pPr>
        <w:pStyle w:val="BodyText"/>
        <w:spacing w:line="360" w:lineRule="auto" w:before="187"/>
        <w:ind w:left="102" w:right="98"/>
        <w:jc w:val="both"/>
      </w:pPr>
      <w:r>
        <w:rPr/>
        <w:t>Formados por un cuadro central, que corresponde a la autoridad máxima en la empresa, a cuyo derredor se trazan círculos concéntricos, cada uno de los cuales constituye un nivel de organización. En cada uno de esos círculos se coloca a los jefes inmediatos, y se les liga con líneas, que representan los canales de autoridad y responsabilidad.</w:t>
      </w:r>
    </w:p>
    <w:p>
      <w:pPr>
        <w:pStyle w:val="BodyText"/>
        <w:spacing w:before="8"/>
      </w:pPr>
    </w:p>
    <w:p>
      <w:pPr>
        <w:pStyle w:val="BodyText"/>
        <w:ind w:left="102"/>
        <w:jc w:val="both"/>
      </w:pPr>
      <w:r>
        <w:rPr/>
        <w:t>Ventajas:</w:t>
      </w:r>
    </w:p>
    <w:p>
      <w:pPr>
        <w:pStyle w:val="BodyText"/>
      </w:pPr>
    </w:p>
    <w:p>
      <w:pPr>
        <w:pStyle w:val="ListParagraph"/>
        <w:numPr>
          <w:ilvl w:val="3"/>
          <w:numId w:val="14"/>
        </w:numPr>
        <w:tabs>
          <w:tab w:pos="821" w:val="left" w:leader="none"/>
          <w:tab w:pos="822" w:val="left" w:leader="none"/>
        </w:tabs>
        <w:spacing w:line="240" w:lineRule="auto" w:before="141" w:after="0"/>
        <w:ind w:left="822" w:right="0" w:hanging="360"/>
        <w:jc w:val="left"/>
        <w:rPr>
          <w:sz w:val="24"/>
        </w:rPr>
      </w:pPr>
      <w:r>
        <w:rPr>
          <w:sz w:val="24"/>
        </w:rPr>
        <w:t>Señalan muy bien, forzando a ello, la importancia de los niveles</w:t>
      </w:r>
      <w:r>
        <w:rPr>
          <w:spacing w:val="-32"/>
          <w:sz w:val="24"/>
        </w:rPr>
        <w:t> </w:t>
      </w:r>
      <w:r>
        <w:rPr>
          <w:sz w:val="24"/>
        </w:rPr>
        <w:t>jerárquicos.</w:t>
      </w:r>
    </w:p>
    <w:p>
      <w:pPr>
        <w:pStyle w:val="ListParagraph"/>
        <w:numPr>
          <w:ilvl w:val="3"/>
          <w:numId w:val="14"/>
        </w:numPr>
        <w:tabs>
          <w:tab w:pos="821" w:val="left" w:leader="none"/>
          <w:tab w:pos="822" w:val="left" w:leader="none"/>
        </w:tabs>
        <w:spacing w:line="240" w:lineRule="auto" w:before="139" w:after="0"/>
        <w:ind w:left="822" w:right="0" w:hanging="360"/>
        <w:jc w:val="left"/>
        <w:rPr>
          <w:sz w:val="24"/>
        </w:rPr>
      </w:pPr>
      <w:r>
        <w:rPr>
          <w:sz w:val="24"/>
        </w:rPr>
        <w:t>Eliminan, o disminuyen al menos, la idea del status más alto o más</w:t>
      </w:r>
      <w:r>
        <w:rPr>
          <w:spacing w:val="-26"/>
          <w:sz w:val="24"/>
        </w:rPr>
        <w:t> </w:t>
      </w:r>
      <w:r>
        <w:rPr>
          <w:sz w:val="24"/>
        </w:rPr>
        <w:t>bajo.</w:t>
      </w:r>
    </w:p>
    <w:p>
      <w:pPr>
        <w:pStyle w:val="ListParagraph"/>
        <w:numPr>
          <w:ilvl w:val="3"/>
          <w:numId w:val="14"/>
        </w:numPr>
        <w:tabs>
          <w:tab w:pos="821" w:val="left" w:leader="none"/>
          <w:tab w:pos="822" w:val="left" w:leader="none"/>
        </w:tabs>
        <w:spacing w:line="240" w:lineRule="auto" w:before="137" w:after="0"/>
        <w:ind w:left="822" w:right="0" w:hanging="360"/>
        <w:jc w:val="left"/>
        <w:rPr>
          <w:sz w:val="24"/>
        </w:rPr>
      </w:pPr>
      <w:r>
        <w:rPr>
          <w:sz w:val="24"/>
        </w:rPr>
        <w:t>Permiten colocar mayor número de puestos en el mismo</w:t>
      </w:r>
      <w:r>
        <w:rPr>
          <w:spacing w:val="-14"/>
          <w:sz w:val="24"/>
        </w:rPr>
        <w:t> </w:t>
      </w:r>
      <w:r>
        <w:rPr>
          <w:sz w:val="24"/>
        </w:rPr>
        <w:t>nivel.</w:t>
      </w:r>
    </w:p>
    <w:p>
      <w:pPr>
        <w:pStyle w:val="BodyText"/>
      </w:pPr>
    </w:p>
    <w:p>
      <w:pPr>
        <w:pStyle w:val="BodyText"/>
        <w:spacing w:before="141"/>
        <w:ind w:left="169"/>
        <w:jc w:val="both"/>
      </w:pPr>
      <w:r>
        <w:rPr/>
        <w:t>Desventajas:</w:t>
      </w:r>
    </w:p>
    <w:p>
      <w:pPr>
        <w:pStyle w:val="BodyText"/>
      </w:pPr>
    </w:p>
    <w:p>
      <w:pPr>
        <w:pStyle w:val="BodyText"/>
        <w:spacing w:line="360" w:lineRule="auto" w:before="144"/>
        <w:ind w:left="102" w:right="106"/>
        <w:jc w:val="both"/>
      </w:pPr>
      <w:r>
        <w:rPr/>
        <w:t>Resultan confusos y difíciles de leer; que no permiten colocar con facilidad niveles donde hay un solo funcionario y que fuerzan demasiado los niveles.</w:t>
      </w:r>
    </w:p>
    <w:p>
      <w:pPr>
        <w:spacing w:after="0" w:line="360" w:lineRule="auto"/>
        <w:jc w:val="both"/>
        <w:sectPr>
          <w:pgSz w:w="12240" w:h="15840"/>
          <w:pgMar w:header="0" w:footer="779" w:top="1420" w:bottom="960" w:left="1600" w:right="1600"/>
        </w:sectPr>
      </w:pPr>
    </w:p>
    <w:p>
      <w:pPr>
        <w:pStyle w:val="BodyText"/>
        <w:ind w:left="2480"/>
        <w:rPr>
          <w:sz w:val="20"/>
        </w:rPr>
      </w:pPr>
      <w:r>
        <w:rPr>
          <w:sz w:val="20"/>
        </w:rPr>
        <w:drawing>
          <wp:inline distT="0" distB="0" distL="0" distR="0">
            <wp:extent cx="2600507" cy="2211419"/>
            <wp:effectExtent l="0" t="0" r="0" b="0"/>
            <wp:docPr id="9" name="image4.png" descr=""/>
            <wp:cNvGraphicFramePr>
              <a:graphicFrameLocks noChangeAspect="1"/>
            </wp:cNvGraphicFramePr>
            <a:graphic>
              <a:graphicData uri="http://schemas.openxmlformats.org/drawingml/2006/picture">
                <pic:pic>
                  <pic:nvPicPr>
                    <pic:cNvPr id="10" name="image4.png"/>
                    <pic:cNvPicPr/>
                  </pic:nvPicPr>
                  <pic:blipFill>
                    <a:blip r:embed="rId13" cstate="print"/>
                    <a:stretch>
                      <a:fillRect/>
                    </a:stretch>
                  </pic:blipFill>
                  <pic:spPr>
                    <a:xfrm>
                      <a:off x="0" y="0"/>
                      <a:ext cx="2600507" cy="2211419"/>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00"/>
        <w:ind w:left="102"/>
      </w:pPr>
      <w:r>
        <w:rPr>
          <w:u w:val="single"/>
        </w:rPr>
        <w:t>Organigramas escalares</w:t>
      </w:r>
    </w:p>
    <w:p>
      <w:pPr>
        <w:pStyle w:val="BodyText"/>
        <w:rPr>
          <w:sz w:val="20"/>
        </w:rPr>
      </w:pPr>
    </w:p>
    <w:p>
      <w:pPr>
        <w:pStyle w:val="BodyText"/>
        <w:spacing w:line="360" w:lineRule="auto" w:before="187"/>
        <w:ind w:left="102" w:right="99"/>
        <w:jc w:val="both"/>
      </w:pPr>
      <w:r>
        <w:rPr/>
        <w:t>Señala con distintas sangrías en el margen izquierdo los distintos niveles jerárquicos, ayudándose de líneas que señalan dichos márgenes.</w:t>
      </w:r>
    </w:p>
    <w:p>
      <w:pPr>
        <w:pStyle w:val="BodyText"/>
        <w:spacing w:before="7"/>
      </w:pPr>
    </w:p>
    <w:p>
      <w:pPr>
        <w:pStyle w:val="BodyText"/>
        <w:ind w:left="102"/>
        <w:jc w:val="both"/>
      </w:pPr>
      <w:r>
        <w:rPr/>
        <w:t>Ventajas:</w:t>
      </w:r>
    </w:p>
    <w:p>
      <w:pPr>
        <w:pStyle w:val="BodyText"/>
        <w:spacing w:before="139"/>
        <w:ind w:left="102"/>
        <w:jc w:val="both"/>
      </w:pPr>
      <w:r>
        <w:rPr/>
        <w:t>Pueden usarse, para mayor claridad, distintos tipos de letras.</w:t>
      </w:r>
    </w:p>
    <w:p>
      <w:pPr>
        <w:pStyle w:val="BodyText"/>
      </w:pPr>
    </w:p>
    <w:p>
      <w:pPr>
        <w:pStyle w:val="BodyText"/>
      </w:pPr>
    </w:p>
    <w:p>
      <w:pPr>
        <w:pStyle w:val="BodyText"/>
        <w:ind w:left="102"/>
        <w:jc w:val="both"/>
      </w:pPr>
      <w:r>
        <w:rPr/>
        <w:t>Desventajas:</w:t>
      </w:r>
    </w:p>
    <w:p>
      <w:pPr>
        <w:pStyle w:val="BodyText"/>
        <w:spacing w:line="360" w:lineRule="auto" w:before="137"/>
        <w:ind w:left="102" w:right="106"/>
        <w:jc w:val="both"/>
      </w:pPr>
      <w:r>
        <w:rPr/>
        <w:t>Estos organigramas son poco usados todavía, y aunque resultan muy sencillos, carecen de la fuerza objetiva de aquellos que encierran cada nombre dentro de un cuadro, para destacarlo adecuadamente.</w:t>
      </w:r>
    </w:p>
    <w:p>
      <w:pPr>
        <w:pStyle w:val="BodyText"/>
      </w:pPr>
    </w:p>
    <w:p>
      <w:pPr>
        <w:pStyle w:val="Heading2"/>
        <w:numPr>
          <w:ilvl w:val="2"/>
          <w:numId w:val="14"/>
        </w:numPr>
        <w:tabs>
          <w:tab w:pos="810" w:val="left" w:leader="none"/>
        </w:tabs>
        <w:spacing w:line="240" w:lineRule="auto" w:before="142" w:after="0"/>
        <w:ind w:left="810" w:right="0" w:hanging="708"/>
        <w:jc w:val="both"/>
      </w:pPr>
      <w:bookmarkStart w:name="_bookmark12" w:id="16"/>
      <w:bookmarkEnd w:id="16"/>
      <w:r>
        <w:rPr>
          <w:b w:val="0"/>
        </w:rPr>
      </w:r>
      <w:bookmarkStart w:name="_bookmark12" w:id="17"/>
      <w:bookmarkEnd w:id="17"/>
      <w:r>
        <w:rPr/>
        <w:t>P</w:t>
      </w:r>
      <w:r>
        <w:rPr/>
        <w:t>erfil de</w:t>
      </w:r>
      <w:r>
        <w:rPr>
          <w:spacing w:val="-4"/>
        </w:rPr>
        <w:t> </w:t>
      </w:r>
      <w:r>
        <w:rPr/>
        <w:t>puestos.</w:t>
      </w:r>
    </w:p>
    <w:p>
      <w:pPr>
        <w:pStyle w:val="BodyText"/>
        <w:rPr>
          <w:b/>
        </w:rPr>
      </w:pPr>
    </w:p>
    <w:p>
      <w:pPr>
        <w:pStyle w:val="BodyText"/>
        <w:rPr>
          <w:b/>
        </w:rPr>
      </w:pPr>
    </w:p>
    <w:p>
      <w:pPr>
        <w:pStyle w:val="BodyText"/>
        <w:spacing w:line="360" w:lineRule="auto"/>
        <w:ind w:left="102" w:right="100"/>
        <w:jc w:val="both"/>
      </w:pPr>
      <w:r>
        <w:rPr/>
        <w:t>Puesto es la unidad de trabajo integrada por un conjunto homogéneo de tareas, responsabilidades y requisitos para el cumplimiento de una o varias funciones y el logro de los objetivos de una o varias áreas administrativas.</w:t>
      </w:r>
    </w:p>
    <w:p>
      <w:pPr>
        <w:spacing w:after="0" w:line="360" w:lineRule="auto"/>
        <w:jc w:val="both"/>
        <w:sectPr>
          <w:footerReference w:type="default" r:id="rId12"/>
          <w:pgSz w:w="12240" w:h="15840"/>
          <w:pgMar w:footer="779" w:header="0" w:top="1420" w:bottom="960" w:left="1600" w:right="1600"/>
        </w:sectPr>
      </w:pPr>
    </w:p>
    <w:p>
      <w:pPr>
        <w:pStyle w:val="BodyText"/>
        <w:spacing w:line="360" w:lineRule="auto" w:before="56"/>
        <w:ind w:left="102" w:right="126"/>
        <w:jc w:val="both"/>
      </w:pPr>
      <w:r>
        <w:rPr/>
        <w:t>Requiere la delimitación de todas aquellas características y habilidades que una persona tiene, las cuales pueden ser adaptadas para cierto puesto en una empresa u organización.</w:t>
      </w:r>
    </w:p>
    <w:p>
      <w:pPr>
        <w:pStyle w:val="BodyText"/>
      </w:pPr>
    </w:p>
    <w:p>
      <w:pPr>
        <w:pStyle w:val="BodyText"/>
        <w:spacing w:line="360" w:lineRule="auto" w:before="142"/>
        <w:ind w:left="102" w:right="125"/>
        <w:jc w:val="both"/>
      </w:pPr>
      <w:r>
        <w:rPr/>
        <w:t>Por ejemplo, si una persona es muy sociable y tiene facilidad de palabra y es muy insistente, probablemente su perfil de puesto sea alguno relacionado con las ventas.</w:t>
      </w:r>
    </w:p>
    <w:p>
      <w:pPr>
        <w:pStyle w:val="BodyText"/>
      </w:pPr>
    </w:p>
    <w:p>
      <w:pPr>
        <w:pStyle w:val="BodyText"/>
      </w:pPr>
    </w:p>
    <w:p>
      <w:pPr>
        <w:pStyle w:val="BodyText"/>
        <w:spacing w:before="3"/>
      </w:pPr>
    </w:p>
    <w:p>
      <w:pPr>
        <w:pStyle w:val="Heading2"/>
        <w:numPr>
          <w:ilvl w:val="2"/>
          <w:numId w:val="14"/>
        </w:numPr>
        <w:tabs>
          <w:tab w:pos="810" w:val="left" w:leader="none"/>
        </w:tabs>
        <w:spacing w:line="240" w:lineRule="auto" w:before="0" w:after="0"/>
        <w:ind w:left="810" w:right="0" w:hanging="708"/>
        <w:jc w:val="both"/>
      </w:pPr>
      <w:bookmarkStart w:name="_bookmark13" w:id="18"/>
      <w:bookmarkEnd w:id="18"/>
      <w:r>
        <w:rPr>
          <w:b w:val="0"/>
        </w:rPr>
      </w:r>
      <w:bookmarkStart w:name="_bookmark13" w:id="19"/>
      <w:bookmarkEnd w:id="19"/>
      <w:r>
        <w:rPr/>
        <w:t>De</w:t>
      </w:r>
      <w:r>
        <w:rPr/>
        <w:t>scripción de</w:t>
      </w:r>
      <w:r>
        <w:rPr>
          <w:spacing w:val="-2"/>
        </w:rPr>
        <w:t> </w:t>
      </w:r>
      <w:r>
        <w:rPr/>
        <w:t>funciones.</w:t>
      </w:r>
    </w:p>
    <w:p>
      <w:pPr>
        <w:pStyle w:val="BodyText"/>
        <w:rPr>
          <w:b/>
        </w:rPr>
      </w:pPr>
    </w:p>
    <w:p>
      <w:pPr>
        <w:pStyle w:val="BodyText"/>
        <w:rPr>
          <w:b/>
        </w:rPr>
      </w:pPr>
    </w:p>
    <w:p>
      <w:pPr>
        <w:pStyle w:val="BodyText"/>
        <w:spacing w:line="360" w:lineRule="auto"/>
        <w:ind w:left="102" w:right="122"/>
        <w:jc w:val="both"/>
      </w:pPr>
      <w:r>
        <w:rPr/>
        <w:t>Funciones es el conjunto de actividades afines y coordinadas que se necesitan realizar para alcanzar los objetivos de la entidad y de cuyo ejercicio generalmente es responsable un área organizacional. Son las actividades a desarrollar por la persona elegida para determinado puestos.</w:t>
      </w:r>
    </w:p>
    <w:p>
      <w:pPr>
        <w:pStyle w:val="BodyText"/>
      </w:pPr>
    </w:p>
    <w:p>
      <w:pPr>
        <w:pStyle w:val="BodyText"/>
        <w:spacing w:before="142"/>
        <w:ind w:left="102"/>
        <w:jc w:val="both"/>
      </w:pPr>
      <w:r>
        <w:rPr/>
        <w:t>Ejemplo:</w:t>
      </w:r>
    </w:p>
    <w:p>
      <w:pPr>
        <w:pStyle w:val="BodyText"/>
      </w:pPr>
    </w:p>
    <w:p>
      <w:pPr>
        <w:pStyle w:val="BodyText"/>
      </w:pPr>
    </w:p>
    <w:p>
      <w:pPr>
        <w:pStyle w:val="BodyText"/>
        <w:spacing w:line="360" w:lineRule="auto"/>
        <w:ind w:left="102" w:right="116"/>
        <w:jc w:val="both"/>
      </w:pPr>
      <w:r>
        <w:rPr/>
        <w:t>Asistente contable. La asistente contable se encarga de todo el </w:t>
      </w:r>
      <w:hyperlink r:id="rId15">
        <w:r>
          <w:rPr/>
          <w:t>registro</w:t>
        </w:r>
      </w:hyperlink>
      <w:r>
        <w:rPr/>
        <w:t> y cargado en el </w:t>
      </w:r>
      <w:hyperlink r:id="rId16">
        <w:r>
          <w:rPr/>
          <w:t>sistema</w:t>
        </w:r>
      </w:hyperlink>
      <w:r>
        <w:rPr/>
        <w:t> de todos los movimientos contables de </w:t>
      </w:r>
      <w:hyperlink r:id="rId17">
        <w:r>
          <w:rPr/>
          <w:t>la empresa</w:t>
        </w:r>
      </w:hyperlink>
      <w:r>
        <w:rPr/>
        <w:t>, </w:t>
      </w:r>
      <w:hyperlink r:id="rId18">
        <w:r>
          <w:rPr/>
          <w:t>libro</w:t>
        </w:r>
      </w:hyperlink>
      <w:r>
        <w:rPr/>
        <w:t>  caja, </w:t>
      </w:r>
      <w:hyperlink r:id="rId15">
        <w:r>
          <w:rPr/>
          <w:t>registro</w:t>
        </w:r>
      </w:hyperlink>
      <w:r>
        <w:rPr/>
        <w:t> de </w:t>
      </w:r>
      <w:hyperlink r:id="rId19">
        <w:r>
          <w:rPr/>
          <w:t>ventas</w:t>
        </w:r>
      </w:hyperlink>
      <w:r>
        <w:rPr/>
        <w:t>,  registro de </w:t>
      </w:r>
      <w:hyperlink r:id="rId20">
        <w:r>
          <w:rPr/>
          <w:t>compras</w:t>
        </w:r>
      </w:hyperlink>
      <w:r>
        <w:rPr/>
        <w:t>, planillas, tramites tributarios, etc.</w:t>
      </w:r>
    </w:p>
    <w:p>
      <w:pPr>
        <w:pStyle w:val="BodyText"/>
      </w:pPr>
    </w:p>
    <w:p>
      <w:pPr>
        <w:pStyle w:val="BodyText"/>
        <w:spacing w:before="142"/>
        <w:ind w:left="102"/>
        <w:jc w:val="both"/>
      </w:pPr>
      <w:r>
        <w:rPr/>
        <w:t>Las funciones  que cumple el asistente contable son las siguientes:</w:t>
      </w:r>
    </w:p>
    <w:p>
      <w:pPr>
        <w:pStyle w:val="ListParagraph"/>
        <w:numPr>
          <w:ilvl w:val="0"/>
          <w:numId w:val="9"/>
        </w:numPr>
        <w:tabs>
          <w:tab w:pos="386" w:val="left" w:leader="none"/>
        </w:tabs>
        <w:spacing w:line="240" w:lineRule="auto" w:before="137" w:after="0"/>
        <w:ind w:left="385" w:right="0" w:hanging="283"/>
        <w:jc w:val="both"/>
        <w:rPr>
          <w:rFonts w:ascii="Symbol"/>
          <w:sz w:val="24"/>
        </w:rPr>
      </w:pPr>
      <w:r>
        <w:rPr>
          <w:sz w:val="24"/>
        </w:rPr>
        <w:t>Registro de </w:t>
      </w:r>
      <w:hyperlink r:id="rId21">
        <w:r>
          <w:rPr>
            <w:sz w:val="24"/>
          </w:rPr>
          <w:t>operaciones</w:t>
        </w:r>
      </w:hyperlink>
      <w:r>
        <w:rPr>
          <w:sz w:val="24"/>
        </w:rPr>
        <w:t> contables de la</w:t>
      </w:r>
      <w:r>
        <w:rPr>
          <w:spacing w:val="-12"/>
          <w:sz w:val="24"/>
        </w:rPr>
        <w:t> </w:t>
      </w:r>
      <w:r>
        <w:rPr>
          <w:sz w:val="24"/>
        </w:rPr>
        <w:t>empresa.</w:t>
      </w:r>
    </w:p>
    <w:p>
      <w:pPr>
        <w:pStyle w:val="ListParagraph"/>
        <w:numPr>
          <w:ilvl w:val="0"/>
          <w:numId w:val="9"/>
        </w:numPr>
        <w:tabs>
          <w:tab w:pos="386" w:val="left" w:leader="none"/>
        </w:tabs>
        <w:spacing w:line="240" w:lineRule="auto" w:before="135" w:after="0"/>
        <w:ind w:left="385" w:right="0" w:hanging="283"/>
        <w:jc w:val="both"/>
        <w:rPr>
          <w:rFonts w:ascii="Symbol" w:hAnsi="Symbol"/>
          <w:sz w:val="24"/>
        </w:rPr>
      </w:pPr>
      <w:r>
        <w:rPr>
          <w:sz w:val="24"/>
        </w:rPr>
        <w:t>Digitación en el sistema de todas las operaciones</w:t>
      </w:r>
      <w:r>
        <w:rPr>
          <w:spacing w:val="-20"/>
          <w:sz w:val="24"/>
        </w:rPr>
        <w:t> </w:t>
      </w:r>
      <w:r>
        <w:rPr>
          <w:sz w:val="24"/>
        </w:rPr>
        <w:t>contables.</w:t>
      </w:r>
    </w:p>
    <w:p>
      <w:pPr>
        <w:pStyle w:val="ListParagraph"/>
        <w:numPr>
          <w:ilvl w:val="0"/>
          <w:numId w:val="9"/>
        </w:numPr>
        <w:tabs>
          <w:tab w:pos="386" w:val="left" w:leader="none"/>
        </w:tabs>
        <w:spacing w:line="240" w:lineRule="auto" w:before="136" w:after="0"/>
        <w:ind w:left="385" w:right="0" w:hanging="283"/>
        <w:jc w:val="both"/>
        <w:rPr>
          <w:rFonts w:ascii="Symbol" w:hAnsi="Symbol"/>
          <w:sz w:val="24"/>
        </w:rPr>
      </w:pPr>
      <w:r>
        <w:rPr>
          <w:sz w:val="24"/>
        </w:rPr>
        <w:t>Mantener al día todos los </w:t>
      </w:r>
      <w:hyperlink r:id="rId22">
        <w:r>
          <w:rPr>
            <w:sz w:val="24"/>
          </w:rPr>
          <w:t>libros</w:t>
        </w:r>
      </w:hyperlink>
      <w:r>
        <w:rPr>
          <w:sz w:val="24"/>
        </w:rPr>
        <w:t> contables de</w:t>
      </w:r>
      <w:r>
        <w:rPr>
          <w:spacing w:val="-18"/>
          <w:sz w:val="24"/>
        </w:rPr>
        <w:t> </w:t>
      </w:r>
      <w:hyperlink r:id="rId23">
        <w:r>
          <w:rPr>
            <w:sz w:val="24"/>
          </w:rPr>
          <w:t>ley</w:t>
        </w:r>
      </w:hyperlink>
      <w:r>
        <w:rPr>
          <w:sz w:val="24"/>
        </w:rPr>
        <w:t>.</w:t>
      </w:r>
    </w:p>
    <w:p>
      <w:pPr>
        <w:pStyle w:val="ListParagraph"/>
        <w:numPr>
          <w:ilvl w:val="0"/>
          <w:numId w:val="9"/>
        </w:numPr>
        <w:tabs>
          <w:tab w:pos="386" w:val="left" w:leader="none"/>
        </w:tabs>
        <w:spacing w:line="240" w:lineRule="auto" w:before="138" w:after="0"/>
        <w:ind w:left="385" w:right="0" w:hanging="283"/>
        <w:jc w:val="both"/>
        <w:rPr>
          <w:rFonts w:ascii="Symbol" w:hAnsi="Symbol"/>
          <w:sz w:val="24"/>
        </w:rPr>
      </w:pPr>
      <w:r>
        <w:rPr>
          <w:sz w:val="24"/>
        </w:rPr>
        <w:t>Generar información contable para toma de</w:t>
      </w:r>
      <w:r>
        <w:rPr>
          <w:spacing w:val="-20"/>
          <w:sz w:val="24"/>
        </w:rPr>
        <w:t> </w:t>
      </w:r>
      <w:r>
        <w:rPr>
          <w:sz w:val="24"/>
        </w:rPr>
        <w:t>decisiones.</w:t>
      </w:r>
    </w:p>
    <w:p>
      <w:pPr>
        <w:pStyle w:val="ListParagraph"/>
        <w:numPr>
          <w:ilvl w:val="0"/>
          <w:numId w:val="9"/>
        </w:numPr>
        <w:tabs>
          <w:tab w:pos="386" w:val="left" w:leader="none"/>
        </w:tabs>
        <w:spacing w:line="240" w:lineRule="auto" w:before="135" w:after="0"/>
        <w:ind w:left="385" w:right="0" w:hanging="283"/>
        <w:jc w:val="both"/>
        <w:rPr>
          <w:rFonts w:ascii="Symbol" w:hAnsi="Symbol"/>
          <w:sz w:val="24"/>
        </w:rPr>
      </w:pPr>
      <w:r>
        <w:rPr>
          <w:sz w:val="24"/>
        </w:rPr>
        <w:t>Elaborar el cronograma de pagos en coordinación con</w:t>
      </w:r>
      <w:r>
        <w:rPr>
          <w:spacing w:val="-18"/>
          <w:sz w:val="24"/>
        </w:rPr>
        <w:t> </w:t>
      </w:r>
      <w:hyperlink r:id="rId24">
        <w:r>
          <w:rPr>
            <w:sz w:val="24"/>
          </w:rPr>
          <w:t>finanzas</w:t>
        </w:r>
      </w:hyperlink>
      <w:r>
        <w:rPr>
          <w:sz w:val="24"/>
        </w:rPr>
        <w:t>.</w:t>
      </w:r>
    </w:p>
    <w:p>
      <w:pPr>
        <w:spacing w:after="0" w:line="240" w:lineRule="auto"/>
        <w:jc w:val="both"/>
        <w:rPr>
          <w:rFonts w:ascii="Symbol" w:hAnsi="Symbol"/>
          <w:sz w:val="24"/>
        </w:rPr>
        <w:sectPr>
          <w:footerReference w:type="default" r:id="rId14"/>
          <w:pgSz w:w="12240" w:h="15840"/>
          <w:pgMar w:footer="779" w:header="0" w:top="1360" w:bottom="960" w:left="1600" w:right="1580"/>
          <w:pgNumType w:start="21"/>
        </w:sectPr>
      </w:pPr>
    </w:p>
    <w:p>
      <w:pPr>
        <w:pStyle w:val="Heading2"/>
        <w:numPr>
          <w:ilvl w:val="1"/>
          <w:numId w:val="14"/>
        </w:numPr>
        <w:tabs>
          <w:tab w:pos="810" w:val="left" w:leader="none"/>
        </w:tabs>
        <w:spacing w:line="240" w:lineRule="auto" w:before="56" w:after="0"/>
        <w:ind w:left="810" w:right="0" w:hanging="708"/>
        <w:jc w:val="both"/>
      </w:pPr>
      <w:bookmarkStart w:name="_bookmark14" w:id="20"/>
      <w:bookmarkEnd w:id="20"/>
      <w:r>
        <w:rPr>
          <w:b w:val="0"/>
        </w:rPr>
      </w:r>
      <w:bookmarkStart w:name="_bookmark14" w:id="21"/>
      <w:bookmarkEnd w:id="21"/>
      <w:r>
        <w:rPr/>
        <w:t>C</w:t>
      </w:r>
      <w:r>
        <w:rPr/>
        <w:t>ontrol</w:t>
      </w:r>
      <w:r>
        <w:rPr>
          <w:spacing w:val="-3"/>
        </w:rPr>
        <w:t> </w:t>
      </w:r>
      <w:r>
        <w:rPr/>
        <w:t>Interno.</w:t>
      </w:r>
    </w:p>
    <w:p>
      <w:pPr>
        <w:pStyle w:val="BodyText"/>
        <w:rPr>
          <w:b/>
        </w:rPr>
      </w:pPr>
    </w:p>
    <w:p>
      <w:pPr>
        <w:pStyle w:val="BodyText"/>
        <w:rPr>
          <w:b/>
        </w:rPr>
      </w:pPr>
    </w:p>
    <w:p>
      <w:pPr>
        <w:pStyle w:val="BodyText"/>
        <w:spacing w:line="360" w:lineRule="auto"/>
        <w:ind w:left="102" w:right="118"/>
        <w:jc w:val="both"/>
      </w:pPr>
      <w:r>
        <w:rPr/>
        <w:t>De acuerdo con el Instituto Mexicano de Contadores Públicos comprende el plan de organización y todos los métodos y procedimientos que en forma coordinada son adoptados por una entidad para:</w:t>
      </w:r>
    </w:p>
    <w:p>
      <w:pPr>
        <w:pStyle w:val="ListParagraph"/>
        <w:numPr>
          <w:ilvl w:val="0"/>
          <w:numId w:val="16"/>
        </w:numPr>
        <w:tabs>
          <w:tab w:pos="821" w:val="left" w:leader="none"/>
          <w:tab w:pos="822" w:val="left" w:leader="none"/>
        </w:tabs>
        <w:spacing w:line="240" w:lineRule="auto" w:before="3" w:after="0"/>
        <w:ind w:left="822" w:right="0" w:hanging="360"/>
        <w:jc w:val="left"/>
        <w:rPr>
          <w:sz w:val="24"/>
        </w:rPr>
      </w:pPr>
      <w:r>
        <w:rPr>
          <w:sz w:val="24"/>
        </w:rPr>
        <w:t>Salvaguardar sus</w:t>
      </w:r>
      <w:r>
        <w:rPr>
          <w:spacing w:val="-7"/>
          <w:sz w:val="24"/>
        </w:rPr>
        <w:t> </w:t>
      </w:r>
      <w:r>
        <w:rPr>
          <w:sz w:val="24"/>
        </w:rPr>
        <w:t>activos,</w:t>
      </w:r>
    </w:p>
    <w:p>
      <w:pPr>
        <w:pStyle w:val="ListParagraph"/>
        <w:numPr>
          <w:ilvl w:val="0"/>
          <w:numId w:val="16"/>
        </w:numPr>
        <w:tabs>
          <w:tab w:pos="821" w:val="left" w:leader="none"/>
          <w:tab w:pos="822" w:val="left" w:leader="none"/>
        </w:tabs>
        <w:spacing w:line="240" w:lineRule="auto" w:before="135" w:after="0"/>
        <w:ind w:left="822" w:right="0" w:hanging="360"/>
        <w:jc w:val="left"/>
        <w:rPr>
          <w:sz w:val="24"/>
        </w:rPr>
      </w:pPr>
      <w:r>
        <w:rPr>
          <w:sz w:val="24"/>
        </w:rPr>
        <w:t>Verificar la confiabilidad de su información</w:t>
      </w:r>
      <w:r>
        <w:rPr>
          <w:spacing w:val="-11"/>
          <w:sz w:val="24"/>
        </w:rPr>
        <w:t> </w:t>
      </w:r>
      <w:r>
        <w:rPr>
          <w:sz w:val="24"/>
        </w:rPr>
        <w:t>financiera,</w:t>
      </w:r>
    </w:p>
    <w:p>
      <w:pPr>
        <w:pStyle w:val="ListParagraph"/>
        <w:numPr>
          <w:ilvl w:val="0"/>
          <w:numId w:val="16"/>
        </w:numPr>
        <w:tabs>
          <w:tab w:pos="821" w:val="left" w:leader="none"/>
          <w:tab w:pos="822" w:val="left" w:leader="none"/>
        </w:tabs>
        <w:spacing w:line="240" w:lineRule="auto" w:before="138" w:after="0"/>
        <w:ind w:left="822" w:right="0" w:hanging="360"/>
        <w:jc w:val="left"/>
        <w:rPr>
          <w:sz w:val="24"/>
        </w:rPr>
      </w:pPr>
      <w:r>
        <w:rPr>
          <w:sz w:val="24"/>
        </w:rPr>
        <w:t>Promover eficiencia operativa,</w:t>
      </w:r>
      <w:r>
        <w:rPr>
          <w:spacing w:val="-9"/>
          <w:sz w:val="24"/>
        </w:rPr>
        <w:t> </w:t>
      </w:r>
      <w:r>
        <w:rPr>
          <w:sz w:val="24"/>
        </w:rPr>
        <w:t>y</w:t>
      </w:r>
    </w:p>
    <w:p>
      <w:pPr>
        <w:pStyle w:val="ListParagraph"/>
        <w:numPr>
          <w:ilvl w:val="0"/>
          <w:numId w:val="16"/>
        </w:numPr>
        <w:tabs>
          <w:tab w:pos="821" w:val="left" w:leader="none"/>
          <w:tab w:pos="822" w:val="left" w:leader="none"/>
        </w:tabs>
        <w:spacing w:line="240" w:lineRule="auto" w:before="135" w:after="0"/>
        <w:ind w:left="822" w:right="0" w:hanging="360"/>
        <w:jc w:val="left"/>
        <w:rPr>
          <w:sz w:val="24"/>
        </w:rPr>
      </w:pPr>
      <w:r>
        <w:rPr>
          <w:sz w:val="24"/>
        </w:rPr>
        <w:t>Estimular adhesión a las políticas</w:t>
      </w:r>
      <w:r>
        <w:rPr>
          <w:spacing w:val="-17"/>
          <w:sz w:val="24"/>
        </w:rPr>
        <w:t> </w:t>
      </w:r>
      <w:r>
        <w:rPr>
          <w:sz w:val="24"/>
        </w:rPr>
        <w:t>administrativas.</w:t>
      </w:r>
    </w:p>
    <w:p>
      <w:pPr>
        <w:pStyle w:val="BodyText"/>
      </w:pPr>
    </w:p>
    <w:p>
      <w:pPr>
        <w:pStyle w:val="BodyText"/>
        <w:spacing w:before="10"/>
        <w:rPr>
          <w:sz w:val="23"/>
        </w:rPr>
      </w:pPr>
    </w:p>
    <w:p>
      <w:pPr>
        <w:pStyle w:val="BodyText"/>
        <w:spacing w:line="360" w:lineRule="auto"/>
        <w:ind w:left="102" w:right="124"/>
        <w:jc w:val="both"/>
      </w:pPr>
      <w:r>
        <w:rPr/>
        <w:t>Tal como menciona Rodríguez, J. (2006) el propósito de cualquier sistema de control interno es ayudar a los administradores de las empresas a incrementar el éxito de las mismas mediante acciones de control efectivas.</w:t>
      </w:r>
    </w:p>
    <w:p>
      <w:pPr>
        <w:pStyle w:val="BodyText"/>
      </w:pPr>
    </w:p>
    <w:p>
      <w:pPr>
        <w:pStyle w:val="BodyText"/>
        <w:spacing w:before="142"/>
        <w:ind w:left="102"/>
        <w:jc w:val="both"/>
      </w:pPr>
      <w:r>
        <w:rPr>
          <w:u w:val="single"/>
        </w:rPr>
        <w:t>Elementos del control interno.</w:t>
      </w:r>
    </w:p>
    <w:p>
      <w:pPr>
        <w:pStyle w:val="BodyText"/>
        <w:rPr>
          <w:sz w:val="20"/>
        </w:rPr>
      </w:pPr>
    </w:p>
    <w:p>
      <w:pPr>
        <w:pStyle w:val="BodyText"/>
        <w:spacing w:before="11"/>
        <w:rPr>
          <w:sz w:val="21"/>
        </w:rPr>
      </w:pPr>
    </w:p>
    <w:p>
      <w:pPr>
        <w:pStyle w:val="BodyText"/>
        <w:spacing w:line="360" w:lineRule="auto" w:before="69"/>
        <w:ind w:left="102" w:right="118"/>
        <w:jc w:val="both"/>
      </w:pPr>
      <w:r>
        <w:rPr/>
        <w:t>El control interno debe ser el adecuado para cada tipo de empresa así que en función al tipo y tamaño de la empresa requerirá de más o menos elementos, en términos generales debe extenderse más allá de las operaciones contables y financieras incluyendo por tanto la estructura organizacional, los sistemas y procedimientos administrativos, las políticas y la utilización de los recursos organizacionales.</w:t>
      </w:r>
    </w:p>
    <w:p>
      <w:pPr>
        <w:pStyle w:val="BodyText"/>
      </w:pPr>
    </w:p>
    <w:p>
      <w:pPr>
        <w:pStyle w:val="BodyText"/>
        <w:spacing w:line="360" w:lineRule="auto" w:before="142"/>
        <w:ind w:left="102" w:right="120"/>
        <w:jc w:val="both"/>
      </w:pPr>
      <w:r>
        <w:rPr/>
        <w:t>De acuerdo con Perdomo, A. (2008) los elementos del control interno son siete, a saber:</w:t>
      </w:r>
    </w:p>
    <w:p>
      <w:pPr>
        <w:pStyle w:val="ListParagraph"/>
        <w:numPr>
          <w:ilvl w:val="1"/>
          <w:numId w:val="16"/>
        </w:numPr>
        <w:tabs>
          <w:tab w:pos="1181" w:val="left" w:leader="none"/>
          <w:tab w:pos="1182" w:val="left" w:leader="none"/>
        </w:tabs>
        <w:spacing w:line="240" w:lineRule="auto" w:before="6" w:after="0"/>
        <w:ind w:left="1182" w:right="0" w:hanging="360"/>
        <w:jc w:val="left"/>
        <w:rPr>
          <w:sz w:val="24"/>
        </w:rPr>
      </w:pPr>
      <w:r>
        <w:rPr>
          <w:sz w:val="24"/>
        </w:rPr>
        <w:t>Organización</w:t>
      </w:r>
    </w:p>
    <w:p>
      <w:pPr>
        <w:pStyle w:val="ListParagraph"/>
        <w:numPr>
          <w:ilvl w:val="1"/>
          <w:numId w:val="16"/>
        </w:numPr>
        <w:tabs>
          <w:tab w:pos="1181" w:val="left" w:leader="none"/>
          <w:tab w:pos="1182" w:val="left" w:leader="none"/>
        </w:tabs>
        <w:spacing w:line="240" w:lineRule="auto" w:before="135" w:after="0"/>
        <w:ind w:left="1182" w:right="0" w:hanging="360"/>
        <w:jc w:val="left"/>
        <w:rPr>
          <w:sz w:val="24"/>
        </w:rPr>
      </w:pPr>
      <w:r>
        <w:rPr>
          <w:sz w:val="24"/>
        </w:rPr>
        <w:t>Catálogo de</w:t>
      </w:r>
      <w:r>
        <w:rPr>
          <w:spacing w:val="-6"/>
          <w:sz w:val="24"/>
        </w:rPr>
        <w:t> </w:t>
      </w:r>
      <w:r>
        <w:rPr>
          <w:sz w:val="24"/>
        </w:rPr>
        <w:t>cuentas</w:t>
      </w:r>
    </w:p>
    <w:p>
      <w:pPr>
        <w:pStyle w:val="ListParagraph"/>
        <w:numPr>
          <w:ilvl w:val="1"/>
          <w:numId w:val="16"/>
        </w:numPr>
        <w:tabs>
          <w:tab w:pos="1181" w:val="left" w:leader="none"/>
          <w:tab w:pos="1182" w:val="left" w:leader="none"/>
        </w:tabs>
        <w:spacing w:line="240" w:lineRule="auto" w:before="135" w:after="0"/>
        <w:ind w:left="1182" w:right="0" w:hanging="360"/>
        <w:jc w:val="left"/>
        <w:rPr>
          <w:sz w:val="24"/>
        </w:rPr>
      </w:pPr>
      <w:r>
        <w:rPr>
          <w:sz w:val="24"/>
        </w:rPr>
        <w:t>Sistema de</w:t>
      </w:r>
      <w:r>
        <w:rPr>
          <w:spacing w:val="-7"/>
          <w:sz w:val="24"/>
        </w:rPr>
        <w:t> </w:t>
      </w:r>
      <w:r>
        <w:rPr>
          <w:sz w:val="24"/>
        </w:rPr>
        <w:t>contabilidad</w:t>
      </w:r>
    </w:p>
    <w:p>
      <w:pPr>
        <w:pStyle w:val="ListParagraph"/>
        <w:numPr>
          <w:ilvl w:val="1"/>
          <w:numId w:val="16"/>
        </w:numPr>
        <w:tabs>
          <w:tab w:pos="1181" w:val="left" w:leader="none"/>
          <w:tab w:pos="1182" w:val="left" w:leader="none"/>
        </w:tabs>
        <w:spacing w:line="240" w:lineRule="auto" w:before="138" w:after="0"/>
        <w:ind w:left="1182" w:right="0" w:hanging="360"/>
        <w:jc w:val="left"/>
        <w:rPr>
          <w:sz w:val="24"/>
        </w:rPr>
      </w:pPr>
      <w:r>
        <w:rPr>
          <w:sz w:val="24"/>
        </w:rPr>
        <w:t>Estados</w:t>
      </w:r>
      <w:r>
        <w:rPr>
          <w:spacing w:val="-4"/>
          <w:sz w:val="24"/>
        </w:rPr>
        <w:t> </w:t>
      </w:r>
      <w:r>
        <w:rPr>
          <w:sz w:val="24"/>
        </w:rPr>
        <w:t>financieros</w:t>
      </w:r>
    </w:p>
    <w:p>
      <w:pPr>
        <w:pStyle w:val="ListParagraph"/>
        <w:numPr>
          <w:ilvl w:val="1"/>
          <w:numId w:val="16"/>
        </w:numPr>
        <w:tabs>
          <w:tab w:pos="1181" w:val="left" w:leader="none"/>
          <w:tab w:pos="1182" w:val="left" w:leader="none"/>
        </w:tabs>
        <w:spacing w:line="240" w:lineRule="auto" w:before="135" w:after="0"/>
        <w:ind w:left="1182" w:right="0" w:hanging="360"/>
        <w:jc w:val="left"/>
        <w:rPr>
          <w:sz w:val="24"/>
        </w:rPr>
      </w:pPr>
      <w:r>
        <w:rPr>
          <w:sz w:val="24"/>
        </w:rPr>
        <w:t>Presupuestos y</w:t>
      </w:r>
      <w:r>
        <w:rPr>
          <w:spacing w:val="-9"/>
          <w:sz w:val="24"/>
        </w:rPr>
        <w:t> </w:t>
      </w:r>
      <w:r>
        <w:rPr>
          <w:sz w:val="24"/>
        </w:rPr>
        <w:t>pronósticos</w:t>
      </w:r>
    </w:p>
    <w:p>
      <w:pPr>
        <w:pStyle w:val="ListParagraph"/>
        <w:numPr>
          <w:ilvl w:val="1"/>
          <w:numId w:val="16"/>
        </w:numPr>
        <w:tabs>
          <w:tab w:pos="1181" w:val="left" w:leader="none"/>
          <w:tab w:pos="1182" w:val="left" w:leader="none"/>
        </w:tabs>
        <w:spacing w:line="240" w:lineRule="auto" w:before="135" w:after="0"/>
        <w:ind w:left="1182" w:right="0" w:hanging="360"/>
        <w:jc w:val="left"/>
        <w:rPr>
          <w:sz w:val="24"/>
        </w:rPr>
      </w:pPr>
      <w:r>
        <w:rPr>
          <w:sz w:val="24"/>
        </w:rPr>
        <w:t>Entrenamiento, eficiencia y moralidad del</w:t>
      </w:r>
      <w:r>
        <w:rPr>
          <w:spacing w:val="-24"/>
          <w:sz w:val="24"/>
        </w:rPr>
        <w:t> </w:t>
      </w:r>
      <w:r>
        <w:rPr>
          <w:sz w:val="24"/>
        </w:rPr>
        <w:t>personal</w:t>
      </w:r>
    </w:p>
    <w:p>
      <w:pPr>
        <w:spacing w:after="0" w:line="240" w:lineRule="auto"/>
        <w:jc w:val="left"/>
        <w:rPr>
          <w:sz w:val="24"/>
        </w:rPr>
        <w:sectPr>
          <w:pgSz w:w="12240" w:h="15840"/>
          <w:pgMar w:header="0" w:footer="779" w:top="1360" w:bottom="960" w:left="1600" w:right="1580"/>
        </w:sectPr>
      </w:pPr>
    </w:p>
    <w:p>
      <w:pPr>
        <w:pStyle w:val="ListParagraph"/>
        <w:numPr>
          <w:ilvl w:val="1"/>
          <w:numId w:val="16"/>
        </w:numPr>
        <w:tabs>
          <w:tab w:pos="1181" w:val="left" w:leader="none"/>
          <w:tab w:pos="1182" w:val="left" w:leader="none"/>
        </w:tabs>
        <w:spacing w:line="240" w:lineRule="auto" w:before="37" w:after="0"/>
        <w:ind w:left="1182" w:right="0" w:hanging="360"/>
        <w:jc w:val="left"/>
        <w:rPr>
          <w:sz w:val="24"/>
        </w:rPr>
      </w:pPr>
      <w:r>
        <w:rPr>
          <w:sz w:val="24"/>
        </w:rPr>
        <w:t>Supervisión</w:t>
      </w:r>
    </w:p>
    <w:p>
      <w:pPr>
        <w:pStyle w:val="BodyText"/>
      </w:pPr>
    </w:p>
    <w:p>
      <w:pPr>
        <w:pStyle w:val="BodyText"/>
        <w:spacing w:before="10"/>
        <w:rPr>
          <w:sz w:val="23"/>
        </w:rPr>
      </w:pPr>
    </w:p>
    <w:p>
      <w:pPr>
        <w:pStyle w:val="BodyText"/>
        <w:spacing w:line="360" w:lineRule="auto"/>
        <w:ind w:left="102" w:right="120"/>
      </w:pPr>
      <w:r>
        <w:rPr/>
        <w:t>El control interno administrativo se basa en el proceso administrativo por lo que sus elementos</w:t>
      </w:r>
      <w:r>
        <w:rPr>
          <w:spacing w:val="-4"/>
        </w:rPr>
        <w:t> </w:t>
      </w:r>
      <w:r>
        <w:rPr/>
        <w:t>son:</w:t>
      </w:r>
    </w:p>
    <w:p>
      <w:pPr>
        <w:pStyle w:val="BodyText"/>
      </w:pPr>
    </w:p>
    <w:p>
      <w:pPr>
        <w:pStyle w:val="ListParagraph"/>
        <w:numPr>
          <w:ilvl w:val="0"/>
          <w:numId w:val="17"/>
        </w:numPr>
        <w:tabs>
          <w:tab w:pos="822" w:val="left" w:leader="none"/>
        </w:tabs>
        <w:spacing w:line="360" w:lineRule="auto" w:before="142" w:after="0"/>
        <w:ind w:left="822" w:right="103" w:hanging="360"/>
        <w:jc w:val="both"/>
        <w:rPr>
          <w:sz w:val="24"/>
        </w:rPr>
      </w:pPr>
      <w:r>
        <w:rPr>
          <w:b/>
          <w:sz w:val="24"/>
        </w:rPr>
        <w:t>Planeación. </w:t>
      </w:r>
      <w:r>
        <w:rPr>
          <w:sz w:val="24"/>
        </w:rPr>
        <w:t>Búsqueda y selección de la alternativa óptima mediante los tipos de secuencia: objetivos, políticas, programas y</w:t>
      </w:r>
      <w:r>
        <w:rPr>
          <w:spacing w:val="-28"/>
          <w:sz w:val="24"/>
        </w:rPr>
        <w:t> </w:t>
      </w:r>
      <w:r>
        <w:rPr>
          <w:sz w:val="24"/>
        </w:rPr>
        <w:t>procedimientos.</w:t>
      </w:r>
    </w:p>
    <w:p>
      <w:pPr>
        <w:pStyle w:val="ListParagraph"/>
        <w:numPr>
          <w:ilvl w:val="0"/>
          <w:numId w:val="17"/>
        </w:numPr>
        <w:tabs>
          <w:tab w:pos="822" w:val="left" w:leader="none"/>
        </w:tabs>
        <w:spacing w:line="360" w:lineRule="auto" w:before="5" w:after="0"/>
        <w:ind w:left="822" w:right="102" w:hanging="360"/>
        <w:jc w:val="both"/>
        <w:rPr>
          <w:sz w:val="24"/>
        </w:rPr>
      </w:pPr>
      <w:r>
        <w:rPr>
          <w:b/>
          <w:sz w:val="24"/>
        </w:rPr>
        <w:t>Organización. </w:t>
      </w:r>
      <w:r>
        <w:rPr>
          <w:sz w:val="24"/>
        </w:rPr>
        <w:t>Coordinación de funciones mediante la estructura óptima, determinación de autoridad y responsabilidad, asignación de labores y reestructuración de</w:t>
      </w:r>
      <w:r>
        <w:rPr>
          <w:spacing w:val="-8"/>
          <w:sz w:val="24"/>
        </w:rPr>
        <w:t> </w:t>
      </w:r>
      <w:r>
        <w:rPr>
          <w:sz w:val="24"/>
        </w:rPr>
        <w:t>puestos.</w:t>
      </w:r>
    </w:p>
    <w:p>
      <w:pPr>
        <w:pStyle w:val="ListParagraph"/>
        <w:numPr>
          <w:ilvl w:val="0"/>
          <w:numId w:val="17"/>
        </w:numPr>
        <w:tabs>
          <w:tab w:pos="822" w:val="left" w:leader="none"/>
        </w:tabs>
        <w:spacing w:line="360" w:lineRule="auto" w:before="2" w:after="0"/>
        <w:ind w:left="822" w:right="102" w:hanging="360"/>
        <w:jc w:val="both"/>
        <w:rPr>
          <w:sz w:val="24"/>
        </w:rPr>
      </w:pPr>
      <w:r>
        <w:rPr>
          <w:b/>
          <w:sz w:val="24"/>
        </w:rPr>
        <w:t>Integración. </w:t>
      </w:r>
      <w:r>
        <w:rPr>
          <w:sz w:val="24"/>
        </w:rPr>
        <w:t>La materialización de lo planeado sobre actividades humanas y elementos materiales, coordinando los objetivos empresariales con los de los</w:t>
      </w:r>
      <w:r>
        <w:rPr>
          <w:spacing w:val="-7"/>
          <w:sz w:val="24"/>
        </w:rPr>
        <w:t> </w:t>
      </w:r>
      <w:r>
        <w:rPr>
          <w:sz w:val="24"/>
        </w:rPr>
        <w:t>trabajadores.</w:t>
      </w:r>
    </w:p>
    <w:p>
      <w:pPr>
        <w:pStyle w:val="ListParagraph"/>
        <w:numPr>
          <w:ilvl w:val="0"/>
          <w:numId w:val="17"/>
        </w:numPr>
        <w:tabs>
          <w:tab w:pos="822" w:val="left" w:leader="none"/>
        </w:tabs>
        <w:spacing w:line="360" w:lineRule="auto" w:before="5" w:after="0"/>
        <w:ind w:left="822" w:right="105" w:hanging="360"/>
        <w:jc w:val="both"/>
        <w:rPr>
          <w:sz w:val="24"/>
        </w:rPr>
      </w:pPr>
      <w:r>
        <w:rPr>
          <w:b/>
          <w:sz w:val="24"/>
        </w:rPr>
        <w:t>Dirección. </w:t>
      </w:r>
      <w:r>
        <w:rPr>
          <w:sz w:val="24"/>
        </w:rPr>
        <w:t>Consiste en ejercer la autoridad de que se está investido a fin  de que el organismo funcional alcance en plenitud sus</w:t>
      </w:r>
      <w:r>
        <w:rPr>
          <w:spacing w:val="-25"/>
          <w:sz w:val="24"/>
        </w:rPr>
        <w:t> </w:t>
      </w:r>
      <w:r>
        <w:rPr>
          <w:sz w:val="24"/>
        </w:rPr>
        <w:t>objetivos.</w:t>
      </w:r>
    </w:p>
    <w:p>
      <w:pPr>
        <w:pStyle w:val="ListParagraph"/>
        <w:numPr>
          <w:ilvl w:val="0"/>
          <w:numId w:val="17"/>
        </w:numPr>
        <w:tabs>
          <w:tab w:pos="822" w:val="left" w:leader="none"/>
        </w:tabs>
        <w:spacing w:line="360" w:lineRule="auto" w:before="5" w:after="0"/>
        <w:ind w:left="822" w:right="98" w:hanging="360"/>
        <w:jc w:val="both"/>
        <w:rPr>
          <w:sz w:val="24"/>
        </w:rPr>
      </w:pPr>
      <w:r>
        <w:rPr>
          <w:b/>
          <w:sz w:val="24"/>
        </w:rPr>
        <w:t>Control. </w:t>
      </w:r>
      <w:r>
        <w:rPr>
          <w:sz w:val="24"/>
        </w:rPr>
        <w:t>Es la medida de los resultados obtenidos y su confrontación con los resultados esperados, analizando las</w:t>
      </w:r>
      <w:r>
        <w:rPr>
          <w:spacing w:val="-25"/>
          <w:sz w:val="24"/>
        </w:rPr>
        <w:t> </w:t>
      </w:r>
      <w:r>
        <w:rPr>
          <w:sz w:val="24"/>
        </w:rPr>
        <w:t>desviaciones.</w:t>
      </w:r>
    </w:p>
    <w:p>
      <w:pPr>
        <w:pStyle w:val="BodyText"/>
      </w:pPr>
    </w:p>
    <w:p>
      <w:pPr>
        <w:pStyle w:val="BodyText"/>
        <w:spacing w:before="142"/>
        <w:ind w:left="102"/>
      </w:pPr>
      <w:r>
        <w:rPr>
          <w:u w:val="single"/>
        </w:rPr>
        <w:t>Objetivos básicos y generales del control interno.</w:t>
      </w:r>
    </w:p>
    <w:p>
      <w:pPr>
        <w:pStyle w:val="BodyText"/>
        <w:rPr>
          <w:sz w:val="20"/>
        </w:rPr>
      </w:pPr>
    </w:p>
    <w:p>
      <w:pPr>
        <w:pStyle w:val="BodyText"/>
        <w:spacing w:before="8"/>
        <w:rPr>
          <w:sz w:val="21"/>
        </w:rPr>
      </w:pPr>
    </w:p>
    <w:p>
      <w:pPr>
        <w:spacing w:before="70"/>
        <w:ind w:left="102" w:right="0" w:firstLine="0"/>
        <w:jc w:val="left"/>
        <w:rPr>
          <w:i/>
          <w:sz w:val="24"/>
        </w:rPr>
      </w:pPr>
      <w:r>
        <w:rPr>
          <w:i/>
          <w:sz w:val="24"/>
        </w:rPr>
        <w:t>Objetivos básicos del control interno</w:t>
      </w:r>
    </w:p>
    <w:p>
      <w:pPr>
        <w:pStyle w:val="ListParagraph"/>
        <w:numPr>
          <w:ilvl w:val="1"/>
          <w:numId w:val="9"/>
        </w:numPr>
        <w:tabs>
          <w:tab w:pos="809" w:val="left" w:leader="none"/>
          <w:tab w:pos="810" w:val="left" w:leader="none"/>
        </w:tabs>
        <w:spacing w:line="350" w:lineRule="auto" w:before="142" w:after="0"/>
        <w:ind w:left="810" w:right="106" w:hanging="425"/>
        <w:jc w:val="left"/>
        <w:rPr>
          <w:sz w:val="24"/>
        </w:rPr>
      </w:pPr>
      <w:r>
        <w:rPr>
          <w:sz w:val="24"/>
        </w:rPr>
        <w:t>Fomentar y asegurar el pleno respeto, apego, observancia y adhesión a las políticas prescritas o establecidas por la administración de la</w:t>
      </w:r>
      <w:r>
        <w:rPr>
          <w:spacing w:val="-20"/>
          <w:sz w:val="24"/>
        </w:rPr>
        <w:t> </w:t>
      </w:r>
      <w:r>
        <w:rPr>
          <w:sz w:val="24"/>
        </w:rPr>
        <w:t>entidad.</w:t>
      </w:r>
    </w:p>
    <w:p>
      <w:pPr>
        <w:pStyle w:val="ListParagraph"/>
        <w:numPr>
          <w:ilvl w:val="1"/>
          <w:numId w:val="9"/>
        </w:numPr>
        <w:tabs>
          <w:tab w:pos="809" w:val="left" w:leader="none"/>
          <w:tab w:pos="810" w:val="left" w:leader="none"/>
        </w:tabs>
        <w:spacing w:line="240" w:lineRule="auto" w:before="14" w:after="0"/>
        <w:ind w:left="810" w:right="0" w:hanging="425"/>
        <w:jc w:val="left"/>
        <w:rPr>
          <w:sz w:val="24"/>
        </w:rPr>
      </w:pPr>
      <w:r>
        <w:rPr>
          <w:sz w:val="24"/>
        </w:rPr>
        <w:t>Promover eficiencia</w:t>
      </w:r>
      <w:r>
        <w:rPr>
          <w:spacing w:val="-13"/>
          <w:sz w:val="24"/>
        </w:rPr>
        <w:t> </w:t>
      </w:r>
      <w:r>
        <w:rPr>
          <w:sz w:val="24"/>
        </w:rPr>
        <w:t>operativa.</w:t>
      </w:r>
    </w:p>
    <w:p>
      <w:pPr>
        <w:pStyle w:val="ListParagraph"/>
        <w:numPr>
          <w:ilvl w:val="1"/>
          <w:numId w:val="9"/>
        </w:numPr>
        <w:tabs>
          <w:tab w:pos="810" w:val="left" w:leader="none"/>
        </w:tabs>
        <w:spacing w:line="355" w:lineRule="auto" w:before="138" w:after="0"/>
        <w:ind w:left="810" w:right="104" w:hanging="425"/>
        <w:jc w:val="both"/>
        <w:rPr>
          <w:sz w:val="24"/>
        </w:rPr>
      </w:pPr>
      <w:r>
        <w:rPr>
          <w:sz w:val="24"/>
        </w:rPr>
        <w:t>Asegurar razonabilidad, confiabilidad, oportunidad e integridad de la información financiera y la complementaria administrativa y operacional que se genera en la</w:t>
      </w:r>
      <w:r>
        <w:rPr>
          <w:spacing w:val="-8"/>
          <w:sz w:val="24"/>
        </w:rPr>
        <w:t> </w:t>
      </w:r>
      <w:r>
        <w:rPr>
          <w:sz w:val="24"/>
        </w:rPr>
        <w:t>entidad.</w:t>
      </w:r>
    </w:p>
    <w:p>
      <w:pPr>
        <w:pStyle w:val="ListParagraph"/>
        <w:numPr>
          <w:ilvl w:val="1"/>
          <w:numId w:val="9"/>
        </w:numPr>
        <w:tabs>
          <w:tab w:pos="809" w:val="left" w:leader="none"/>
          <w:tab w:pos="810" w:val="left" w:leader="none"/>
        </w:tabs>
        <w:spacing w:line="240" w:lineRule="auto" w:before="11" w:after="0"/>
        <w:ind w:left="810" w:right="0" w:hanging="425"/>
        <w:jc w:val="left"/>
        <w:rPr>
          <w:sz w:val="24"/>
        </w:rPr>
      </w:pPr>
      <w:r>
        <w:rPr>
          <w:sz w:val="24"/>
        </w:rPr>
        <w:t>Protección de los activos de la</w:t>
      </w:r>
      <w:r>
        <w:rPr>
          <w:spacing w:val="-8"/>
          <w:sz w:val="24"/>
        </w:rPr>
        <w:t> </w:t>
      </w:r>
      <w:r>
        <w:rPr>
          <w:sz w:val="24"/>
        </w:rPr>
        <w:t>entidad.</w:t>
      </w:r>
    </w:p>
    <w:p>
      <w:pPr>
        <w:pStyle w:val="BodyText"/>
      </w:pPr>
    </w:p>
    <w:p>
      <w:pPr>
        <w:pStyle w:val="BodyText"/>
        <w:spacing w:before="7"/>
        <w:rPr>
          <w:sz w:val="23"/>
        </w:rPr>
      </w:pPr>
    </w:p>
    <w:p>
      <w:pPr>
        <w:spacing w:before="0"/>
        <w:ind w:left="102" w:right="0" w:firstLine="0"/>
        <w:jc w:val="left"/>
        <w:rPr>
          <w:i/>
          <w:sz w:val="24"/>
        </w:rPr>
      </w:pPr>
      <w:r>
        <w:rPr>
          <w:i/>
          <w:sz w:val="24"/>
        </w:rPr>
        <w:t>Objetivos generales del control interno</w:t>
      </w:r>
    </w:p>
    <w:p>
      <w:pPr>
        <w:pStyle w:val="ListParagraph"/>
        <w:numPr>
          <w:ilvl w:val="1"/>
          <w:numId w:val="9"/>
        </w:numPr>
        <w:tabs>
          <w:tab w:pos="821" w:val="left" w:leader="none"/>
          <w:tab w:pos="822" w:val="left" w:leader="none"/>
        </w:tabs>
        <w:spacing w:line="240" w:lineRule="auto" w:before="139" w:after="0"/>
        <w:ind w:left="822" w:right="0" w:hanging="360"/>
        <w:jc w:val="left"/>
        <w:rPr>
          <w:sz w:val="24"/>
        </w:rPr>
      </w:pPr>
      <w:r>
        <w:rPr>
          <w:sz w:val="24"/>
        </w:rPr>
        <w:t>Autorización</w:t>
      </w:r>
    </w:p>
    <w:p>
      <w:pPr>
        <w:spacing w:after="0" w:line="240" w:lineRule="auto"/>
        <w:jc w:val="left"/>
        <w:rPr>
          <w:sz w:val="24"/>
        </w:rPr>
        <w:sectPr>
          <w:pgSz w:w="12240" w:h="15840"/>
          <w:pgMar w:header="0" w:footer="779" w:top="1380" w:bottom="960" w:left="1600" w:right="1600"/>
        </w:sectPr>
      </w:pPr>
    </w:p>
    <w:p>
      <w:pPr>
        <w:pStyle w:val="ListParagraph"/>
        <w:numPr>
          <w:ilvl w:val="1"/>
          <w:numId w:val="9"/>
        </w:numPr>
        <w:tabs>
          <w:tab w:pos="821" w:val="left" w:leader="none"/>
          <w:tab w:pos="822" w:val="left" w:leader="none"/>
        </w:tabs>
        <w:spacing w:line="240" w:lineRule="auto" w:before="37" w:after="0"/>
        <w:ind w:left="822" w:right="0" w:hanging="360"/>
        <w:jc w:val="left"/>
        <w:rPr>
          <w:sz w:val="24"/>
        </w:rPr>
      </w:pPr>
      <w:r>
        <w:rPr>
          <w:sz w:val="24"/>
        </w:rPr>
        <w:t>Procesamiento y clasificación de</w:t>
      </w:r>
      <w:r>
        <w:rPr>
          <w:spacing w:val="-14"/>
          <w:sz w:val="24"/>
        </w:rPr>
        <w:t> </w:t>
      </w:r>
      <w:r>
        <w:rPr>
          <w:sz w:val="24"/>
        </w:rPr>
        <w:t>transacciones.</w:t>
      </w:r>
    </w:p>
    <w:p>
      <w:pPr>
        <w:pStyle w:val="ListParagraph"/>
        <w:numPr>
          <w:ilvl w:val="1"/>
          <w:numId w:val="9"/>
        </w:numPr>
        <w:tabs>
          <w:tab w:pos="821" w:val="left" w:leader="none"/>
          <w:tab w:pos="822" w:val="left" w:leader="none"/>
        </w:tabs>
        <w:spacing w:line="240" w:lineRule="auto" w:before="136" w:after="0"/>
        <w:ind w:left="822" w:right="0" w:hanging="360"/>
        <w:jc w:val="left"/>
        <w:rPr>
          <w:sz w:val="24"/>
        </w:rPr>
      </w:pPr>
      <w:r>
        <w:rPr>
          <w:sz w:val="24"/>
        </w:rPr>
        <w:t>Verificación y</w:t>
      </w:r>
      <w:r>
        <w:rPr>
          <w:spacing w:val="-9"/>
          <w:sz w:val="24"/>
        </w:rPr>
        <w:t> </w:t>
      </w:r>
      <w:r>
        <w:rPr>
          <w:sz w:val="24"/>
        </w:rPr>
        <w:t>evaluación.</w:t>
      </w:r>
    </w:p>
    <w:p>
      <w:pPr>
        <w:pStyle w:val="ListParagraph"/>
        <w:numPr>
          <w:ilvl w:val="1"/>
          <w:numId w:val="9"/>
        </w:numPr>
        <w:tabs>
          <w:tab w:pos="821" w:val="left" w:leader="none"/>
          <w:tab w:pos="822" w:val="left" w:leader="none"/>
        </w:tabs>
        <w:spacing w:line="240" w:lineRule="auto" w:before="135" w:after="0"/>
        <w:ind w:left="822" w:right="0" w:hanging="360"/>
        <w:jc w:val="left"/>
        <w:rPr>
          <w:sz w:val="24"/>
        </w:rPr>
      </w:pPr>
      <w:r>
        <w:rPr>
          <w:sz w:val="24"/>
        </w:rPr>
        <w:t>Salvaguarda</w:t>
      </w:r>
      <w:r>
        <w:rPr>
          <w:spacing w:val="-7"/>
          <w:sz w:val="24"/>
        </w:rPr>
        <w:t> </w:t>
      </w:r>
      <w:r>
        <w:rPr>
          <w:sz w:val="24"/>
        </w:rPr>
        <w:t>física.</w:t>
      </w:r>
    </w:p>
    <w:p>
      <w:pPr>
        <w:pStyle w:val="BodyText"/>
      </w:pPr>
    </w:p>
    <w:p>
      <w:pPr>
        <w:pStyle w:val="BodyText"/>
      </w:pPr>
    </w:p>
    <w:p>
      <w:pPr>
        <w:pStyle w:val="BodyText"/>
        <w:spacing w:before="8"/>
        <w:rPr>
          <w:sz w:val="35"/>
        </w:rPr>
      </w:pPr>
    </w:p>
    <w:p>
      <w:pPr>
        <w:pStyle w:val="Heading2"/>
        <w:numPr>
          <w:ilvl w:val="1"/>
          <w:numId w:val="14"/>
        </w:numPr>
        <w:tabs>
          <w:tab w:pos="810" w:val="left" w:leader="none"/>
        </w:tabs>
        <w:spacing w:line="240" w:lineRule="auto" w:before="0" w:after="0"/>
        <w:ind w:left="810" w:right="0" w:hanging="708"/>
        <w:jc w:val="both"/>
      </w:pPr>
      <w:bookmarkStart w:name="_bookmark15" w:id="22"/>
      <w:bookmarkEnd w:id="22"/>
      <w:r>
        <w:rPr>
          <w:b w:val="0"/>
        </w:rPr>
      </w:r>
      <w:bookmarkStart w:name="_bookmark15" w:id="23"/>
      <w:bookmarkEnd w:id="23"/>
      <w:r>
        <w:rPr/>
        <w:t>M</w:t>
      </w:r>
      <w:r>
        <w:rPr/>
        <w:t>anual</w:t>
      </w:r>
      <w:r>
        <w:rPr>
          <w:spacing w:val="-5"/>
        </w:rPr>
        <w:t> </w:t>
      </w:r>
      <w:r>
        <w:rPr/>
        <w:t>contable.</w:t>
      </w:r>
    </w:p>
    <w:p>
      <w:pPr>
        <w:pStyle w:val="BodyText"/>
        <w:rPr>
          <w:b/>
        </w:rPr>
      </w:pPr>
    </w:p>
    <w:p>
      <w:pPr>
        <w:pStyle w:val="BodyText"/>
        <w:rPr>
          <w:b/>
        </w:rPr>
      </w:pPr>
    </w:p>
    <w:p>
      <w:pPr>
        <w:pStyle w:val="BodyText"/>
        <w:spacing w:line="360" w:lineRule="auto"/>
        <w:ind w:left="102" w:right="116"/>
        <w:jc w:val="both"/>
      </w:pPr>
      <w:r>
        <w:rPr/>
        <w:t>Es un documento que contiene instrucciones detalladas de las cuentas que maneja la empresa y sus movimientos, de todas operaciones que se pueden presentar regularmente o de manera excepcional. Se elabora de acuerdo a las necesidades específicas de cada empresa y sirve como guía para </w:t>
      </w:r>
      <w:r>
        <w:rPr>
          <w:spacing w:val="3"/>
        </w:rPr>
        <w:t>los </w:t>
      </w:r>
      <w:r>
        <w:rPr/>
        <w:t>nuevos trabajadores del área</w:t>
      </w:r>
      <w:r>
        <w:rPr>
          <w:spacing w:val="-11"/>
        </w:rPr>
        <w:t> </w:t>
      </w:r>
      <w:r>
        <w:rPr/>
        <w:t>contable.</w:t>
      </w:r>
    </w:p>
    <w:p>
      <w:pPr>
        <w:pStyle w:val="BodyText"/>
      </w:pPr>
    </w:p>
    <w:p>
      <w:pPr>
        <w:pStyle w:val="Heading2"/>
        <w:numPr>
          <w:ilvl w:val="2"/>
          <w:numId w:val="18"/>
        </w:numPr>
        <w:tabs>
          <w:tab w:pos="810" w:val="left" w:leader="none"/>
        </w:tabs>
        <w:spacing w:line="240" w:lineRule="auto" w:before="142" w:after="0"/>
        <w:ind w:left="810" w:right="0" w:hanging="708"/>
        <w:jc w:val="both"/>
      </w:pPr>
      <w:bookmarkStart w:name="_bookmark16" w:id="24"/>
      <w:bookmarkEnd w:id="24"/>
      <w:r>
        <w:rPr>
          <w:b w:val="0"/>
        </w:rPr>
      </w:r>
      <w:bookmarkStart w:name="_bookmark16" w:id="25"/>
      <w:bookmarkEnd w:id="25"/>
      <w:r>
        <w:rPr/>
        <w:t>Catá</w:t>
      </w:r>
      <w:r>
        <w:rPr/>
        <w:t>logo de</w:t>
      </w:r>
      <w:r>
        <w:rPr>
          <w:spacing w:val="-4"/>
        </w:rPr>
        <w:t> </w:t>
      </w:r>
      <w:r>
        <w:rPr/>
        <w:t>cuentas.</w:t>
      </w:r>
    </w:p>
    <w:p>
      <w:pPr>
        <w:pStyle w:val="BodyText"/>
        <w:spacing w:line="360" w:lineRule="auto" w:before="139"/>
        <w:ind w:left="102" w:right="122"/>
        <w:jc w:val="both"/>
      </w:pPr>
      <w:r>
        <w:rPr/>
        <w:t>El catálogo es una lista de todas las cuentas que pueden necesitarse en vista de las actividades a que la empresa se dedique. Por supuesto, habrá cuentas que se usen en todas las </w:t>
      </w:r>
      <w:hyperlink r:id="rId17">
        <w:r>
          <w:rPr/>
          <w:t>empresas</w:t>
        </w:r>
      </w:hyperlink>
      <w:r>
        <w:rPr/>
        <w:t> y otras que sean características de cierto tipo de </w:t>
      </w:r>
      <w:hyperlink r:id="rId25">
        <w:r>
          <w:rPr/>
          <w:t>negocios</w:t>
        </w:r>
      </w:hyperlink>
      <w:r>
        <w:rPr/>
        <w:t>.</w:t>
      </w:r>
    </w:p>
    <w:p>
      <w:pPr>
        <w:pStyle w:val="BodyText"/>
      </w:pPr>
    </w:p>
    <w:p>
      <w:pPr>
        <w:pStyle w:val="BodyText"/>
        <w:rPr>
          <w:sz w:val="28"/>
        </w:rPr>
      </w:pPr>
    </w:p>
    <w:p>
      <w:pPr>
        <w:pStyle w:val="BodyText"/>
        <w:spacing w:line="360" w:lineRule="auto"/>
        <w:ind w:left="102" w:right="118"/>
        <w:jc w:val="both"/>
      </w:pPr>
      <w:r>
        <w:rPr/>
        <w:t>Cuando la empresa alcanza un cierto grado de </w:t>
      </w:r>
      <w:hyperlink r:id="rId26">
        <w:r>
          <w:rPr/>
          <w:t>desarrollo</w:t>
        </w:r>
      </w:hyperlink>
      <w:r>
        <w:rPr/>
        <w:t>, es absolutamente indispensable formar una lista de las cuentas que deberán utilizarse, evitando así errores de aplicación, y asignar a cada cuenta una cifra que la identifique, ya que se trate de las cuentas que integran el mayor general o de las subcuentas que forman los mayores auxiliares.</w:t>
      </w:r>
    </w:p>
    <w:p>
      <w:pPr>
        <w:pStyle w:val="BodyText"/>
      </w:pPr>
    </w:p>
    <w:p>
      <w:pPr>
        <w:pStyle w:val="BodyText"/>
        <w:spacing w:line="360" w:lineRule="auto" w:before="142"/>
        <w:ind w:left="102" w:right="119"/>
        <w:jc w:val="both"/>
      </w:pPr>
      <w:r>
        <w:rPr/>
        <w:t>Hay diversas maneras de organizar este </w:t>
      </w:r>
      <w:hyperlink r:id="rId16">
        <w:r>
          <w:rPr/>
          <w:t>sistema</w:t>
        </w:r>
      </w:hyperlink>
      <w:r>
        <w:rPr/>
        <w:t> de identificación y, salvo casos especiales, quizá lo más práctico sea optar por una clasificación decimal que permita agregar o suprimir partidas según sea necesario.</w:t>
      </w:r>
    </w:p>
    <w:p>
      <w:pPr>
        <w:pStyle w:val="BodyText"/>
      </w:pPr>
    </w:p>
    <w:p>
      <w:pPr>
        <w:pStyle w:val="BodyText"/>
        <w:spacing w:line="360" w:lineRule="auto" w:before="142"/>
        <w:ind w:left="102" w:right="119"/>
        <w:jc w:val="both"/>
      </w:pPr>
      <w:r>
        <w:rPr/>
        <w:t>En el caso de la contabilidad general, que al fin y al cabo, controla  toda  la actividad de la empresa, conviene comenzar por dar un número índice a cada</w:t>
      </w:r>
    </w:p>
    <w:p>
      <w:pPr>
        <w:spacing w:after="0" w:line="360" w:lineRule="auto"/>
        <w:jc w:val="both"/>
        <w:sectPr>
          <w:pgSz w:w="12240" w:h="15840"/>
          <w:pgMar w:header="0" w:footer="779" w:top="1380" w:bottom="960" w:left="1600" w:right="1580"/>
        </w:sectPr>
      </w:pPr>
    </w:p>
    <w:p>
      <w:pPr>
        <w:pStyle w:val="BodyText"/>
        <w:spacing w:line="360" w:lineRule="auto" w:before="56"/>
        <w:ind w:left="102" w:right="120"/>
      </w:pPr>
      <w:hyperlink r:id="rId27">
        <w:r>
          <w:rPr/>
          <w:t>grupo</w:t>
        </w:r>
      </w:hyperlink>
      <w:r>
        <w:rPr/>
        <w:t> general, tanto del balance como del </w:t>
      </w:r>
      <w:hyperlink r:id="rId28">
        <w:r>
          <w:rPr/>
          <w:t>estado</w:t>
        </w:r>
      </w:hyperlink>
      <w:r>
        <w:rPr/>
        <w:t> de pérdidas y ganancias, de la siguiente forma:</w:t>
      </w:r>
    </w:p>
    <w:p>
      <w:pPr>
        <w:pStyle w:val="BodyText"/>
        <w:spacing w:before="185"/>
        <w:ind w:left="102"/>
        <w:jc w:val="both"/>
      </w:pPr>
      <w:r>
        <w:rPr/>
        <w:t>Balance:</w:t>
      </w:r>
    </w:p>
    <w:p>
      <w:pPr>
        <w:pStyle w:val="BodyText"/>
        <w:spacing w:before="6"/>
        <w:rPr>
          <w:sz w:val="27"/>
        </w:rPr>
      </w:pPr>
    </w:p>
    <w:p>
      <w:pPr>
        <w:pStyle w:val="ListParagraph"/>
        <w:numPr>
          <w:ilvl w:val="0"/>
          <w:numId w:val="19"/>
        </w:numPr>
        <w:tabs>
          <w:tab w:pos="371" w:val="left" w:leader="none"/>
        </w:tabs>
        <w:spacing w:line="240" w:lineRule="auto" w:before="0" w:after="0"/>
        <w:ind w:left="370" w:right="0" w:hanging="268"/>
        <w:jc w:val="both"/>
        <w:rPr>
          <w:sz w:val="24"/>
        </w:rPr>
      </w:pPr>
      <w:r>
        <w:rPr>
          <w:sz w:val="24"/>
        </w:rPr>
        <w:t>Activo</w:t>
      </w:r>
    </w:p>
    <w:p>
      <w:pPr>
        <w:pStyle w:val="BodyText"/>
        <w:spacing w:before="8"/>
        <w:rPr>
          <w:sz w:val="27"/>
        </w:rPr>
      </w:pPr>
    </w:p>
    <w:p>
      <w:pPr>
        <w:pStyle w:val="ListParagraph"/>
        <w:numPr>
          <w:ilvl w:val="0"/>
          <w:numId w:val="19"/>
        </w:numPr>
        <w:tabs>
          <w:tab w:pos="371" w:val="left" w:leader="none"/>
        </w:tabs>
        <w:spacing w:line="240" w:lineRule="auto" w:before="0" w:after="0"/>
        <w:ind w:left="370" w:right="0" w:hanging="268"/>
        <w:jc w:val="both"/>
        <w:rPr>
          <w:sz w:val="24"/>
        </w:rPr>
      </w:pPr>
      <w:r>
        <w:rPr>
          <w:sz w:val="24"/>
        </w:rPr>
        <w:t>Pasivo</w:t>
      </w:r>
    </w:p>
    <w:p>
      <w:pPr>
        <w:pStyle w:val="BodyText"/>
        <w:spacing w:before="6"/>
        <w:rPr>
          <w:sz w:val="27"/>
        </w:rPr>
      </w:pPr>
    </w:p>
    <w:p>
      <w:pPr>
        <w:pStyle w:val="ListParagraph"/>
        <w:numPr>
          <w:ilvl w:val="0"/>
          <w:numId w:val="19"/>
        </w:numPr>
        <w:tabs>
          <w:tab w:pos="371" w:val="left" w:leader="none"/>
        </w:tabs>
        <w:spacing w:line="240" w:lineRule="auto" w:before="0" w:after="0"/>
        <w:ind w:left="370" w:right="0" w:hanging="268"/>
        <w:jc w:val="both"/>
        <w:rPr>
          <w:sz w:val="24"/>
        </w:rPr>
      </w:pPr>
      <w:r>
        <w:rPr>
          <w:sz w:val="24"/>
        </w:rPr>
        <w:t>Capital</w:t>
      </w:r>
    </w:p>
    <w:p>
      <w:pPr>
        <w:pStyle w:val="BodyText"/>
        <w:spacing w:before="8"/>
        <w:rPr>
          <w:sz w:val="27"/>
        </w:rPr>
      </w:pPr>
    </w:p>
    <w:p>
      <w:pPr>
        <w:pStyle w:val="BodyText"/>
        <w:ind w:left="102"/>
        <w:jc w:val="both"/>
      </w:pPr>
      <w:r>
        <w:rPr/>
        <w:t>Estado de Pérdidas y Ganancias:</w:t>
      </w:r>
    </w:p>
    <w:p>
      <w:pPr>
        <w:pStyle w:val="BodyText"/>
        <w:spacing w:before="6"/>
        <w:rPr>
          <w:sz w:val="27"/>
        </w:rPr>
      </w:pPr>
    </w:p>
    <w:p>
      <w:pPr>
        <w:pStyle w:val="ListParagraph"/>
        <w:numPr>
          <w:ilvl w:val="0"/>
          <w:numId w:val="19"/>
        </w:numPr>
        <w:tabs>
          <w:tab w:pos="371" w:val="left" w:leader="none"/>
        </w:tabs>
        <w:spacing w:line="240" w:lineRule="auto" w:before="1" w:after="0"/>
        <w:ind w:left="370" w:right="0" w:hanging="268"/>
        <w:jc w:val="both"/>
        <w:rPr>
          <w:sz w:val="24"/>
        </w:rPr>
      </w:pPr>
      <w:r>
        <w:rPr>
          <w:sz w:val="24"/>
        </w:rPr>
        <w:t>Ingresos</w:t>
      </w:r>
    </w:p>
    <w:p>
      <w:pPr>
        <w:pStyle w:val="BodyText"/>
        <w:spacing w:before="8"/>
        <w:rPr>
          <w:sz w:val="27"/>
        </w:rPr>
      </w:pPr>
    </w:p>
    <w:p>
      <w:pPr>
        <w:pStyle w:val="ListParagraph"/>
        <w:numPr>
          <w:ilvl w:val="0"/>
          <w:numId w:val="19"/>
        </w:numPr>
        <w:tabs>
          <w:tab w:pos="371" w:val="left" w:leader="none"/>
        </w:tabs>
        <w:spacing w:line="240" w:lineRule="auto" w:before="0" w:after="0"/>
        <w:ind w:left="370" w:right="0" w:hanging="268"/>
        <w:jc w:val="both"/>
        <w:rPr>
          <w:sz w:val="24"/>
        </w:rPr>
      </w:pPr>
      <w:r>
        <w:rPr>
          <w:sz w:val="24"/>
        </w:rPr>
        <w:t>Costos</w:t>
      </w:r>
    </w:p>
    <w:p>
      <w:pPr>
        <w:pStyle w:val="BodyText"/>
        <w:spacing w:before="6"/>
        <w:rPr>
          <w:sz w:val="27"/>
        </w:rPr>
      </w:pPr>
    </w:p>
    <w:p>
      <w:pPr>
        <w:pStyle w:val="ListParagraph"/>
        <w:numPr>
          <w:ilvl w:val="0"/>
          <w:numId w:val="19"/>
        </w:numPr>
        <w:tabs>
          <w:tab w:pos="371" w:val="left" w:leader="none"/>
        </w:tabs>
        <w:spacing w:line="240" w:lineRule="auto" w:before="0" w:after="0"/>
        <w:ind w:left="370" w:right="0" w:hanging="268"/>
        <w:jc w:val="both"/>
        <w:rPr>
          <w:sz w:val="24"/>
        </w:rPr>
      </w:pPr>
      <w:r>
        <w:rPr>
          <w:sz w:val="24"/>
        </w:rPr>
        <w:t>Gastos de</w:t>
      </w:r>
      <w:r>
        <w:rPr>
          <w:spacing w:val="-11"/>
          <w:sz w:val="24"/>
        </w:rPr>
        <w:t> </w:t>
      </w:r>
      <w:r>
        <w:rPr>
          <w:sz w:val="24"/>
        </w:rPr>
        <w:t>operación</w:t>
      </w:r>
    </w:p>
    <w:p>
      <w:pPr>
        <w:pStyle w:val="BodyText"/>
        <w:spacing w:before="8"/>
        <w:rPr>
          <w:sz w:val="27"/>
        </w:rPr>
      </w:pPr>
    </w:p>
    <w:p>
      <w:pPr>
        <w:pStyle w:val="ListParagraph"/>
        <w:numPr>
          <w:ilvl w:val="0"/>
          <w:numId w:val="19"/>
        </w:numPr>
        <w:tabs>
          <w:tab w:pos="371" w:val="left" w:leader="none"/>
        </w:tabs>
        <w:spacing w:line="240" w:lineRule="auto" w:before="0" w:after="0"/>
        <w:ind w:left="370" w:right="0" w:hanging="268"/>
        <w:jc w:val="both"/>
        <w:rPr>
          <w:sz w:val="24"/>
        </w:rPr>
      </w:pPr>
      <w:r>
        <w:rPr>
          <w:sz w:val="24"/>
        </w:rPr>
        <w:t>Otros gastos y</w:t>
      </w:r>
      <w:r>
        <w:rPr>
          <w:spacing w:val="-4"/>
          <w:sz w:val="24"/>
        </w:rPr>
        <w:t> </w:t>
      </w:r>
      <w:r>
        <w:rPr>
          <w:sz w:val="24"/>
        </w:rPr>
        <w:t>productos</w:t>
      </w:r>
    </w:p>
    <w:p>
      <w:pPr>
        <w:pStyle w:val="BodyText"/>
        <w:spacing w:before="6"/>
        <w:rPr>
          <w:sz w:val="27"/>
        </w:rPr>
      </w:pPr>
    </w:p>
    <w:p>
      <w:pPr>
        <w:pStyle w:val="BodyText"/>
        <w:ind w:left="102"/>
        <w:jc w:val="both"/>
      </w:pPr>
      <w:r>
        <w:rPr/>
        <w:t>9. Cuentas de Orden</w:t>
      </w:r>
    </w:p>
    <w:p>
      <w:pPr>
        <w:pStyle w:val="BodyText"/>
        <w:spacing w:before="9"/>
        <w:rPr>
          <w:sz w:val="27"/>
        </w:rPr>
      </w:pPr>
    </w:p>
    <w:p>
      <w:pPr>
        <w:pStyle w:val="BodyText"/>
        <w:ind w:left="102"/>
        <w:jc w:val="both"/>
      </w:pPr>
      <w:r>
        <w:rPr/>
        <w:t>0. Cuentas "puente".</w:t>
      </w:r>
    </w:p>
    <w:p>
      <w:pPr>
        <w:pStyle w:val="BodyText"/>
        <w:spacing w:before="6"/>
        <w:rPr>
          <w:sz w:val="27"/>
        </w:rPr>
      </w:pPr>
    </w:p>
    <w:p>
      <w:pPr>
        <w:pStyle w:val="BodyText"/>
        <w:spacing w:line="360" w:lineRule="auto"/>
        <w:ind w:left="102" w:right="125"/>
        <w:jc w:val="both"/>
      </w:pPr>
      <w:r>
        <w:rPr/>
        <w:t>Estas cifras indican, cada una de ellas, un grupo general distinto y permanecerán invariables, de manera que todas las cuentas de activo comenzarán con el número 1, las del pasivo con el 2, y así sucesivamente.</w:t>
      </w:r>
    </w:p>
    <w:p>
      <w:pPr>
        <w:pStyle w:val="BodyText"/>
      </w:pPr>
    </w:p>
    <w:p>
      <w:pPr>
        <w:pStyle w:val="Heading2"/>
        <w:numPr>
          <w:ilvl w:val="2"/>
          <w:numId w:val="18"/>
        </w:numPr>
        <w:tabs>
          <w:tab w:pos="810" w:val="left" w:leader="none"/>
        </w:tabs>
        <w:spacing w:line="240" w:lineRule="auto" w:before="142" w:after="0"/>
        <w:ind w:left="810" w:right="0" w:hanging="708"/>
        <w:jc w:val="both"/>
      </w:pPr>
      <w:bookmarkStart w:name="_bookmark17" w:id="26"/>
      <w:bookmarkEnd w:id="26"/>
      <w:r>
        <w:rPr>
          <w:b w:val="0"/>
        </w:rPr>
      </w:r>
      <w:bookmarkStart w:name="_bookmark17" w:id="27"/>
      <w:bookmarkEnd w:id="27"/>
      <w:r>
        <w:rPr/>
        <w:t>Guí</w:t>
      </w:r>
      <w:r>
        <w:rPr/>
        <w:t>a</w:t>
      </w:r>
      <w:r>
        <w:rPr>
          <w:spacing w:val="-7"/>
        </w:rPr>
        <w:t> </w:t>
      </w:r>
      <w:r>
        <w:rPr/>
        <w:t>contabilizadora.</w:t>
      </w:r>
    </w:p>
    <w:p>
      <w:pPr>
        <w:pStyle w:val="BodyText"/>
        <w:spacing w:line="360" w:lineRule="auto" w:before="139"/>
        <w:ind w:left="102" w:right="115"/>
        <w:jc w:val="both"/>
      </w:pPr>
      <w:r>
        <w:rPr/>
        <w:t>En las empresas de cierto </w:t>
      </w:r>
      <w:hyperlink r:id="rId29">
        <w:r>
          <w:rPr/>
          <w:t>movimiento</w:t>
        </w:r>
      </w:hyperlink>
      <w:r>
        <w:rPr/>
        <w:t>, con un </w:t>
      </w:r>
      <w:hyperlink r:id="rId30">
        <w:r>
          <w:rPr/>
          <w:t>personal</w:t>
        </w:r>
      </w:hyperlink>
      <w:r>
        <w:rPr/>
        <w:t> numeroso en el Departamento de Contabilidad y, probablemente, con agencias, sucursales y oficinas foráneas, conviene formular un catálogo de cuentas tan amplio momo las necesidades de la casa lo requieran; y redactar, además, una guía contabilizadora para el manejo de las propias cuentas. Podrá parecer ocioso dar instrucciones a un contador acerca de cómo manejar las cuentas de un catálogo, pues es de suponerse que este </w:t>
      </w:r>
      <w:hyperlink r:id="rId31">
        <w:r>
          <w:rPr/>
          <w:t>conocimiento</w:t>
        </w:r>
      </w:hyperlink>
      <w:r>
        <w:rPr/>
        <w:t> forma parte de su preparación técnica; sin embargo,  debe  recordarse  que  en  la  práctica  existen  reglas,  costumbres    </w:t>
      </w:r>
      <w:r>
        <w:rPr>
          <w:spacing w:val="45"/>
        </w:rPr>
        <w:t> </w:t>
      </w:r>
      <w:r>
        <w:rPr/>
        <w:t>y</w:t>
      </w:r>
    </w:p>
    <w:p>
      <w:pPr>
        <w:spacing w:after="0" w:line="360" w:lineRule="auto"/>
        <w:jc w:val="both"/>
        <w:sectPr>
          <w:pgSz w:w="12240" w:h="15840"/>
          <w:pgMar w:header="0" w:footer="779" w:top="1360" w:bottom="960" w:left="1600" w:right="1580"/>
        </w:sectPr>
      </w:pPr>
    </w:p>
    <w:p>
      <w:pPr>
        <w:pStyle w:val="BodyText"/>
        <w:spacing w:line="360" w:lineRule="auto" w:before="56"/>
        <w:ind w:left="102" w:right="121"/>
        <w:jc w:val="both"/>
      </w:pPr>
      <w:r>
        <w:rPr/>
        <w:t>conveniencias particulares en cada compañía que no tienen más justificación que ciertas </w:t>
      </w:r>
      <w:hyperlink r:id="rId23">
        <w:r>
          <w:rPr/>
          <w:t>normas</w:t>
        </w:r>
      </w:hyperlink>
      <w:r>
        <w:rPr/>
        <w:t> establecidas en vista de su experiencia particular.</w:t>
      </w:r>
    </w:p>
    <w:p>
      <w:pPr>
        <w:pStyle w:val="BodyText"/>
      </w:pPr>
    </w:p>
    <w:p>
      <w:pPr>
        <w:pStyle w:val="BodyText"/>
        <w:spacing w:line="360" w:lineRule="auto" w:before="142"/>
        <w:ind w:left="102" w:right="115"/>
        <w:jc w:val="both"/>
      </w:pPr>
      <w:r>
        <w:rPr/>
        <w:t>Por ejemplo, en una fábrica existirá seguramente la cuenta de Equipo Industrial, cuyo nombre por sí mismo explica la </w:t>
      </w:r>
      <w:hyperlink r:id="rId32">
        <w:r>
          <w:rPr/>
          <w:t>naturaleza</w:t>
        </w:r>
      </w:hyperlink>
      <w:r>
        <w:rPr/>
        <w:t> del movimiento que debe registrarse en ella; pero es muy posible que según la </w:t>
      </w:r>
      <w:hyperlink r:id="rId33">
        <w:r>
          <w:rPr/>
          <w:t>política económica</w:t>
        </w:r>
      </w:hyperlink>
      <w:r>
        <w:rPr/>
        <w:t> de la compañía, solamente las adiciones al equipo industrial por un </w:t>
      </w:r>
      <w:hyperlink r:id="rId34">
        <w:r>
          <w:rPr/>
          <w:t>costo</w:t>
        </w:r>
      </w:hyperlink>
      <w:r>
        <w:rPr/>
        <w:t> superior a ‘X" por unidad deba cargarse a esta cuenta, para ser debidamente depreciadas; y que toda compra de equipo por cantidad inferior deba cargarse a los </w:t>
      </w:r>
      <w:hyperlink r:id="rId35">
        <w:r>
          <w:rPr/>
          <w:t>gastos</w:t>
        </w:r>
      </w:hyperlink>
      <w:r>
        <w:rPr/>
        <w:t> de fabricación, a pesar de que, teóricamente, represente un aumento de activo fijo.</w:t>
      </w:r>
    </w:p>
    <w:p>
      <w:pPr>
        <w:pStyle w:val="BodyText"/>
      </w:pPr>
    </w:p>
    <w:p>
      <w:pPr>
        <w:pStyle w:val="BodyText"/>
        <w:spacing w:line="360" w:lineRule="auto" w:before="142"/>
        <w:ind w:left="102" w:right="117"/>
        <w:jc w:val="both"/>
      </w:pPr>
      <w:r>
        <w:rPr/>
        <w:t>De manera semejante suele ser necesario dar instrucciones precisas acerca del tratamiento contable a que deban sujetarse ciertas instalaciones, depreciaciones y amortizaciones, así como las normas a seguir en el caso de depreciaciones, amortizaciones, cancelación de cuentas incobrables y demás </w:t>
      </w:r>
      <w:hyperlink r:id="rId36">
        <w:r>
          <w:rPr/>
          <w:t>problemas</w:t>
        </w:r>
      </w:hyperlink>
      <w:r>
        <w:rPr/>
        <w:t>, que con frecuencia se prestan a distintas interpretaciones según el criterio de quien trate  de</w:t>
      </w:r>
      <w:r>
        <w:rPr>
          <w:spacing w:val="-6"/>
        </w:rPr>
        <w:t> </w:t>
      </w:r>
      <w:r>
        <w:rPr/>
        <w:t>resolverlos.</w:t>
      </w:r>
    </w:p>
    <w:p>
      <w:pPr>
        <w:pStyle w:val="BodyText"/>
      </w:pPr>
    </w:p>
    <w:p>
      <w:pPr>
        <w:pStyle w:val="BodyText"/>
        <w:spacing w:line="360" w:lineRule="auto" w:before="142"/>
        <w:ind w:left="102" w:right="125"/>
        <w:jc w:val="both"/>
      </w:pPr>
      <w:r>
        <w:rPr/>
        <w:t>Salta a la vista pues, que en estos casos no sólo es indispensable el catálogo de cuenta sino que se hace necesario también complementado con un instructivo  para su manejo, instructivo tan amplio y detallado como las circunstancias lo ameriten.</w:t>
      </w:r>
    </w:p>
    <w:p>
      <w:pPr>
        <w:spacing w:after="0" w:line="360" w:lineRule="auto"/>
        <w:jc w:val="both"/>
        <w:sectPr>
          <w:pgSz w:w="12240" w:h="15840"/>
          <w:pgMar w:header="0" w:footer="779" w:top="1360" w:bottom="960" w:left="1600" w:right="1580"/>
        </w:sectPr>
      </w:pPr>
    </w:p>
    <w:p>
      <w:pPr>
        <w:pStyle w:val="Heading2"/>
        <w:spacing w:before="54"/>
        <w:ind w:left="2560" w:right="120"/>
        <w:jc w:val="left"/>
      </w:pPr>
      <w:bookmarkStart w:name="_bookmark18" w:id="28"/>
      <w:bookmarkEnd w:id="28"/>
      <w:r>
        <w:rPr>
          <w:b w:val="0"/>
        </w:rPr>
      </w:r>
      <w:r>
        <w:rPr/>
        <w:t>UNIDAD III REGISTRO CONTABLE</w:t>
      </w:r>
    </w:p>
    <w:p>
      <w:pPr>
        <w:pStyle w:val="BodyText"/>
        <w:rPr>
          <w:b/>
        </w:rPr>
      </w:pPr>
    </w:p>
    <w:p>
      <w:pPr>
        <w:pStyle w:val="BodyText"/>
        <w:spacing w:line="360" w:lineRule="auto" w:before="183"/>
        <w:ind w:left="102" w:right="125"/>
        <w:jc w:val="both"/>
      </w:pPr>
      <w:r>
        <w:rPr/>
        <w:t>El alumno registra las operaciones con base en el esquema básico de la contabilidad financiera.</w:t>
      </w:r>
    </w:p>
    <w:p>
      <w:pPr>
        <w:pStyle w:val="ListParagraph"/>
        <w:numPr>
          <w:ilvl w:val="1"/>
          <w:numId w:val="20"/>
        </w:numPr>
        <w:tabs>
          <w:tab w:pos="1095" w:val="left" w:leader="none"/>
          <w:tab w:pos="1096" w:val="left" w:leader="none"/>
        </w:tabs>
        <w:spacing w:line="240" w:lineRule="auto" w:before="5" w:after="0"/>
        <w:ind w:left="1095" w:right="0" w:hanging="633"/>
        <w:jc w:val="left"/>
        <w:rPr>
          <w:sz w:val="24"/>
        </w:rPr>
      </w:pPr>
      <w:r>
        <w:rPr>
          <w:sz w:val="24"/>
        </w:rPr>
        <w:t>Estructura básica de la contabilidad</w:t>
      </w:r>
      <w:r>
        <w:rPr>
          <w:spacing w:val="-13"/>
          <w:sz w:val="24"/>
        </w:rPr>
        <w:t> </w:t>
      </w:r>
      <w:r>
        <w:rPr>
          <w:sz w:val="24"/>
        </w:rPr>
        <w:t>financiera.</w:t>
      </w:r>
    </w:p>
    <w:p>
      <w:pPr>
        <w:pStyle w:val="ListParagraph"/>
        <w:numPr>
          <w:ilvl w:val="1"/>
          <w:numId w:val="20"/>
        </w:numPr>
        <w:tabs>
          <w:tab w:pos="1095" w:val="left" w:leader="none"/>
          <w:tab w:pos="1096" w:val="left" w:leader="none"/>
        </w:tabs>
        <w:spacing w:line="240" w:lineRule="auto" w:before="137" w:after="0"/>
        <w:ind w:left="1095" w:right="0" w:hanging="633"/>
        <w:jc w:val="left"/>
        <w:rPr>
          <w:sz w:val="24"/>
        </w:rPr>
      </w:pPr>
      <w:r>
        <w:rPr>
          <w:sz w:val="24"/>
        </w:rPr>
        <w:t>Reglas de valuación y presentación de la información</w:t>
      </w:r>
      <w:r>
        <w:rPr>
          <w:spacing w:val="-15"/>
          <w:sz w:val="24"/>
        </w:rPr>
        <w:t> </w:t>
      </w:r>
      <w:r>
        <w:rPr>
          <w:sz w:val="24"/>
        </w:rPr>
        <w:t>financiera.</w:t>
      </w:r>
    </w:p>
    <w:p>
      <w:pPr>
        <w:pStyle w:val="ListParagraph"/>
        <w:numPr>
          <w:ilvl w:val="1"/>
          <w:numId w:val="20"/>
        </w:numPr>
        <w:tabs>
          <w:tab w:pos="1095" w:val="left" w:leader="none"/>
          <w:tab w:pos="1096" w:val="left" w:leader="none"/>
        </w:tabs>
        <w:spacing w:line="240" w:lineRule="auto" w:before="137" w:after="0"/>
        <w:ind w:left="1095" w:right="0" w:hanging="633"/>
        <w:jc w:val="left"/>
        <w:rPr>
          <w:sz w:val="24"/>
        </w:rPr>
      </w:pPr>
      <w:r>
        <w:rPr>
          <w:sz w:val="24"/>
        </w:rPr>
        <w:t>Boletines de Activo, Pasivo y</w:t>
      </w:r>
      <w:r>
        <w:rPr>
          <w:spacing w:val="-14"/>
          <w:sz w:val="24"/>
        </w:rPr>
        <w:t> </w:t>
      </w:r>
      <w:r>
        <w:rPr>
          <w:sz w:val="24"/>
        </w:rPr>
        <w:t>Capital.</w:t>
      </w:r>
    </w:p>
    <w:p>
      <w:pPr>
        <w:pStyle w:val="ListParagraph"/>
        <w:numPr>
          <w:ilvl w:val="1"/>
          <w:numId w:val="20"/>
        </w:numPr>
        <w:tabs>
          <w:tab w:pos="1095" w:val="left" w:leader="none"/>
          <w:tab w:pos="1096" w:val="left" w:leader="none"/>
        </w:tabs>
        <w:spacing w:line="240" w:lineRule="auto" w:before="139" w:after="0"/>
        <w:ind w:left="1095" w:right="0" w:hanging="633"/>
        <w:jc w:val="left"/>
        <w:rPr>
          <w:sz w:val="24"/>
        </w:rPr>
      </w:pPr>
      <w:r>
        <w:rPr>
          <w:sz w:val="24"/>
        </w:rPr>
        <w:t>Registro de operaciones por el sistema de</w:t>
      </w:r>
      <w:r>
        <w:rPr>
          <w:spacing w:val="-20"/>
          <w:sz w:val="24"/>
        </w:rPr>
        <w:t> </w:t>
      </w:r>
      <w:r>
        <w:rPr>
          <w:sz w:val="24"/>
        </w:rPr>
        <w:t>pólizas.</w:t>
      </w:r>
    </w:p>
    <w:p>
      <w:pPr>
        <w:pStyle w:val="ListParagraph"/>
        <w:numPr>
          <w:ilvl w:val="1"/>
          <w:numId w:val="20"/>
        </w:numPr>
        <w:tabs>
          <w:tab w:pos="1095" w:val="left" w:leader="none"/>
          <w:tab w:pos="1096" w:val="left" w:leader="none"/>
        </w:tabs>
        <w:spacing w:line="240" w:lineRule="auto" w:before="137" w:after="0"/>
        <w:ind w:left="1095" w:right="0" w:hanging="633"/>
        <w:jc w:val="left"/>
        <w:rPr>
          <w:sz w:val="24"/>
        </w:rPr>
      </w:pPr>
      <w:r>
        <w:rPr>
          <w:sz w:val="24"/>
        </w:rPr>
        <w:t>Procesamiento de información en paquetería</w:t>
      </w:r>
      <w:r>
        <w:rPr>
          <w:spacing w:val="-16"/>
          <w:sz w:val="24"/>
        </w:rPr>
        <w:t> </w:t>
      </w:r>
      <w:r>
        <w:rPr>
          <w:sz w:val="24"/>
        </w:rPr>
        <w:t>contable.</w:t>
      </w:r>
    </w:p>
    <w:p>
      <w:pPr>
        <w:pStyle w:val="BodyText"/>
      </w:pPr>
    </w:p>
    <w:p>
      <w:pPr>
        <w:pStyle w:val="BodyText"/>
      </w:pPr>
    </w:p>
    <w:p>
      <w:pPr>
        <w:pStyle w:val="Heading2"/>
        <w:numPr>
          <w:ilvl w:val="1"/>
          <w:numId w:val="21"/>
        </w:numPr>
        <w:tabs>
          <w:tab w:pos="669" w:val="left" w:leader="none"/>
        </w:tabs>
        <w:spacing w:line="240" w:lineRule="auto" w:before="202" w:after="0"/>
        <w:ind w:left="668" w:right="0" w:hanging="566"/>
        <w:jc w:val="both"/>
      </w:pPr>
      <w:bookmarkStart w:name="_bookmark19" w:id="29"/>
      <w:bookmarkEnd w:id="29"/>
      <w:r>
        <w:rPr>
          <w:b w:val="0"/>
        </w:rPr>
      </w:r>
      <w:bookmarkStart w:name="_bookmark19" w:id="30"/>
      <w:bookmarkEnd w:id="30"/>
      <w:r>
        <w:rPr/>
        <w:t>E</w:t>
      </w:r>
      <w:r>
        <w:rPr/>
        <w:t>structura básica de la contabilidad</w:t>
      </w:r>
      <w:r>
        <w:rPr>
          <w:spacing w:val="-10"/>
        </w:rPr>
        <w:t> </w:t>
      </w:r>
      <w:r>
        <w:rPr/>
        <w:t>financiera.</w:t>
      </w:r>
    </w:p>
    <w:p>
      <w:pPr>
        <w:pStyle w:val="BodyText"/>
        <w:rPr>
          <w:b/>
        </w:rPr>
      </w:pPr>
    </w:p>
    <w:p>
      <w:pPr>
        <w:pStyle w:val="BodyText"/>
        <w:rPr>
          <w:b/>
        </w:rPr>
      </w:pPr>
    </w:p>
    <w:p>
      <w:pPr>
        <w:pStyle w:val="BodyText"/>
        <w:spacing w:line="360" w:lineRule="auto"/>
        <w:ind w:left="102" w:right="116"/>
        <w:jc w:val="both"/>
      </w:pPr>
      <w:r>
        <w:rPr/>
        <w:t>La estructura básica de la teoría contable es el conjunto de principios, reglas, criterios, postulados, normas y técnicas que rigen el estudio y ejercicio de contaduría pública.</w:t>
      </w:r>
    </w:p>
    <w:p>
      <w:pPr>
        <w:pStyle w:val="BodyText"/>
      </w:pPr>
    </w:p>
    <w:p>
      <w:pPr>
        <w:pStyle w:val="BodyText"/>
        <w:spacing w:line="360" w:lineRule="auto" w:before="142"/>
        <w:ind w:left="102" w:right="118"/>
        <w:jc w:val="both"/>
      </w:pPr>
      <w:r>
        <w:rPr/>
        <w:t>Hoy día integrado por las Normas de Información Financiera, las cuales se definen como el conjunto de pronunciamientos normativos, conceptuales y particulares, emitidos por el CINIF o transferidos al CINIF, que regulan la información contenida en los estados financieros y sus notas, en un lugar y fecha determinados, que son aceptados de manera amplia y generalizada por la comunidad financiera .</w:t>
      </w:r>
    </w:p>
    <w:p>
      <w:pPr>
        <w:pStyle w:val="BodyText"/>
      </w:pPr>
    </w:p>
    <w:p>
      <w:pPr>
        <w:pStyle w:val="BodyText"/>
        <w:spacing w:before="142"/>
        <w:ind w:left="102"/>
        <w:jc w:val="both"/>
      </w:pPr>
      <w:r>
        <w:rPr/>
        <w:t>Las NIF se conforman de:</w:t>
      </w:r>
    </w:p>
    <w:p>
      <w:pPr>
        <w:pStyle w:val="ListParagraph"/>
        <w:numPr>
          <w:ilvl w:val="2"/>
          <w:numId w:val="21"/>
        </w:numPr>
        <w:tabs>
          <w:tab w:pos="954" w:val="left" w:leader="none"/>
        </w:tabs>
        <w:spacing w:line="350" w:lineRule="auto" w:before="137" w:after="0"/>
        <w:ind w:left="954" w:right="124" w:hanging="286"/>
        <w:jc w:val="both"/>
        <w:rPr>
          <w:sz w:val="24"/>
        </w:rPr>
      </w:pPr>
      <w:r>
        <w:rPr>
          <w:sz w:val="24"/>
        </w:rPr>
        <w:t>Las NIF y las Interpretaciones a las NIF (INIF), aprobadas por el Consejo emisor del CINIF, y emitidas por el</w:t>
      </w:r>
      <w:r>
        <w:rPr>
          <w:spacing w:val="-8"/>
          <w:sz w:val="24"/>
        </w:rPr>
        <w:t> </w:t>
      </w:r>
      <w:r>
        <w:rPr>
          <w:sz w:val="24"/>
        </w:rPr>
        <w:t>CINIF;</w:t>
      </w:r>
    </w:p>
    <w:p>
      <w:pPr>
        <w:pStyle w:val="ListParagraph"/>
        <w:numPr>
          <w:ilvl w:val="2"/>
          <w:numId w:val="21"/>
        </w:numPr>
        <w:tabs>
          <w:tab w:pos="954" w:val="left" w:leader="none"/>
        </w:tabs>
        <w:spacing w:line="355" w:lineRule="auto" w:before="17" w:after="0"/>
        <w:ind w:left="954" w:right="122" w:hanging="286"/>
        <w:jc w:val="both"/>
        <w:rPr>
          <w:sz w:val="24"/>
        </w:rPr>
      </w:pPr>
      <w:r>
        <w:rPr>
          <w:sz w:val="24"/>
        </w:rPr>
        <w:t>Los Boletines emitidos por la CPC del IMCP y transferidos al CINIF el 31 de mayo de 2004, que no hayan sido modificados, sustituidos o derogados por nuevas NIF;</w:t>
      </w:r>
      <w:r>
        <w:rPr>
          <w:spacing w:val="-6"/>
          <w:sz w:val="24"/>
        </w:rPr>
        <w:t> </w:t>
      </w:r>
      <w:r>
        <w:rPr>
          <w:sz w:val="24"/>
        </w:rPr>
        <w:t>y</w:t>
      </w:r>
    </w:p>
    <w:p>
      <w:pPr>
        <w:pStyle w:val="ListParagraph"/>
        <w:numPr>
          <w:ilvl w:val="2"/>
          <w:numId w:val="21"/>
        </w:numPr>
        <w:tabs>
          <w:tab w:pos="954" w:val="left" w:leader="none"/>
        </w:tabs>
        <w:spacing w:line="350" w:lineRule="auto" w:before="8" w:after="0"/>
        <w:ind w:left="954" w:right="124" w:hanging="286"/>
        <w:jc w:val="both"/>
        <w:rPr>
          <w:sz w:val="24"/>
        </w:rPr>
      </w:pPr>
      <w:r>
        <w:rPr>
          <w:sz w:val="24"/>
        </w:rPr>
        <w:t>Las Normas Internacionales de Información Financiera aplicables de manera</w:t>
      </w:r>
      <w:r>
        <w:rPr>
          <w:spacing w:val="-8"/>
          <w:sz w:val="24"/>
        </w:rPr>
        <w:t> </w:t>
      </w:r>
      <w:r>
        <w:rPr>
          <w:sz w:val="24"/>
        </w:rPr>
        <w:t>supletoria.</w:t>
      </w:r>
    </w:p>
    <w:p>
      <w:pPr>
        <w:spacing w:after="0" w:line="350" w:lineRule="auto"/>
        <w:jc w:val="both"/>
        <w:rPr>
          <w:sz w:val="24"/>
        </w:rPr>
        <w:sectPr>
          <w:pgSz w:w="12240" w:h="15840"/>
          <w:pgMar w:header="0" w:footer="779" w:top="1360" w:bottom="960" w:left="1600" w:right="1580"/>
        </w:sectPr>
      </w:pPr>
    </w:p>
    <w:p>
      <w:pPr>
        <w:pStyle w:val="BodyText"/>
        <w:spacing w:before="56"/>
        <w:ind w:left="102"/>
        <w:jc w:val="both"/>
      </w:pPr>
      <w:r>
        <w:rPr/>
        <w:t>Se dividen en tres grandes apartados:</w:t>
      </w:r>
    </w:p>
    <w:p>
      <w:pPr>
        <w:pStyle w:val="ListParagraph"/>
        <w:numPr>
          <w:ilvl w:val="2"/>
          <w:numId w:val="21"/>
        </w:numPr>
        <w:tabs>
          <w:tab w:pos="954" w:val="left" w:leader="none"/>
        </w:tabs>
        <w:spacing w:line="240" w:lineRule="auto" w:before="138" w:after="0"/>
        <w:ind w:left="954" w:right="0" w:hanging="286"/>
        <w:jc w:val="left"/>
        <w:rPr>
          <w:sz w:val="24"/>
        </w:rPr>
      </w:pPr>
      <w:r>
        <w:rPr>
          <w:sz w:val="24"/>
        </w:rPr>
        <w:t>Normas de Información Financiera Conceptuales o “marco</w:t>
      </w:r>
      <w:r>
        <w:rPr>
          <w:spacing w:val="-25"/>
          <w:sz w:val="24"/>
        </w:rPr>
        <w:t> </w:t>
      </w:r>
      <w:r>
        <w:rPr>
          <w:sz w:val="24"/>
        </w:rPr>
        <w:t>conceptual”.</w:t>
      </w:r>
    </w:p>
    <w:p>
      <w:pPr>
        <w:pStyle w:val="ListParagraph"/>
        <w:numPr>
          <w:ilvl w:val="2"/>
          <w:numId w:val="21"/>
        </w:numPr>
        <w:tabs>
          <w:tab w:pos="954" w:val="left" w:leader="none"/>
        </w:tabs>
        <w:spacing w:line="240" w:lineRule="auto" w:before="138" w:after="0"/>
        <w:ind w:left="954" w:right="0" w:hanging="286"/>
        <w:jc w:val="left"/>
        <w:rPr>
          <w:sz w:val="24"/>
        </w:rPr>
      </w:pPr>
      <w:r>
        <w:rPr>
          <w:sz w:val="24"/>
        </w:rPr>
        <w:t>Normas de Información Financiera Particulares o “NIF</w:t>
      </w:r>
      <w:r>
        <w:rPr>
          <w:spacing w:val="-10"/>
          <w:sz w:val="24"/>
        </w:rPr>
        <w:t> </w:t>
      </w:r>
      <w:r>
        <w:rPr>
          <w:sz w:val="24"/>
        </w:rPr>
        <w:t>particulares.</w:t>
      </w:r>
    </w:p>
    <w:p>
      <w:pPr>
        <w:pStyle w:val="ListParagraph"/>
        <w:numPr>
          <w:ilvl w:val="2"/>
          <w:numId w:val="21"/>
        </w:numPr>
        <w:tabs>
          <w:tab w:pos="954" w:val="left" w:leader="none"/>
        </w:tabs>
        <w:spacing w:line="240" w:lineRule="auto" w:before="135" w:after="0"/>
        <w:ind w:left="954" w:right="0" w:hanging="286"/>
        <w:jc w:val="left"/>
        <w:rPr>
          <w:sz w:val="24"/>
        </w:rPr>
      </w:pPr>
      <w:r>
        <w:rPr>
          <w:sz w:val="24"/>
        </w:rPr>
        <w:t>Interpretaciones a las NIF o</w:t>
      </w:r>
      <w:r>
        <w:rPr>
          <w:spacing w:val="-2"/>
          <w:sz w:val="24"/>
        </w:rPr>
        <w:t> </w:t>
      </w:r>
      <w:r>
        <w:rPr>
          <w:sz w:val="24"/>
        </w:rPr>
        <w:t>“INIF”.</w:t>
      </w:r>
    </w:p>
    <w:p>
      <w:pPr>
        <w:pStyle w:val="BodyText"/>
      </w:pPr>
    </w:p>
    <w:p>
      <w:pPr>
        <w:pStyle w:val="BodyText"/>
        <w:spacing w:before="7"/>
        <w:rPr>
          <w:sz w:val="23"/>
        </w:rPr>
      </w:pPr>
    </w:p>
    <w:p>
      <w:pPr>
        <w:pStyle w:val="BodyText"/>
        <w:spacing w:line="360" w:lineRule="auto"/>
        <w:ind w:left="102" w:right="126"/>
        <w:jc w:val="both"/>
      </w:pPr>
      <w:r>
        <w:rPr/>
        <w:t>El marco conceptual establece conceptos fundamentales que sirven de sustento para la elaboración de las NIF particulares.</w:t>
      </w:r>
    </w:p>
    <w:p>
      <w:pPr>
        <w:pStyle w:val="BodyText"/>
      </w:pPr>
    </w:p>
    <w:p>
      <w:pPr>
        <w:pStyle w:val="BodyText"/>
        <w:spacing w:line="360" w:lineRule="auto" w:before="142"/>
        <w:ind w:left="102" w:right="118"/>
        <w:jc w:val="both"/>
      </w:pPr>
      <w:r>
        <w:rPr/>
        <w:t>Las NIF particulares establecen las bases específicas de valuación, presentación y revelación de las operaciones, transformaciones internas y otros eventos, que afectan económicamente a la entidad, que son sujetos de reconocimiento contable en la información financiera.</w:t>
      </w:r>
    </w:p>
    <w:p>
      <w:pPr>
        <w:pStyle w:val="BodyText"/>
      </w:pPr>
    </w:p>
    <w:p>
      <w:pPr>
        <w:pStyle w:val="BodyText"/>
        <w:spacing w:before="142"/>
        <w:ind w:left="102"/>
        <w:jc w:val="both"/>
      </w:pPr>
      <w:r>
        <w:rPr/>
        <w:t>Las interpretaciones de las NIF tienen por objeto:</w:t>
      </w:r>
    </w:p>
    <w:p>
      <w:pPr>
        <w:pStyle w:val="ListParagraph"/>
        <w:numPr>
          <w:ilvl w:val="2"/>
          <w:numId w:val="21"/>
        </w:numPr>
        <w:tabs>
          <w:tab w:pos="954" w:val="left" w:leader="none"/>
        </w:tabs>
        <w:spacing w:line="240" w:lineRule="auto" w:before="140" w:after="0"/>
        <w:ind w:left="954" w:right="0" w:hanging="286"/>
        <w:jc w:val="left"/>
        <w:rPr>
          <w:sz w:val="24"/>
        </w:rPr>
      </w:pPr>
      <w:r>
        <w:rPr>
          <w:sz w:val="24"/>
        </w:rPr>
        <w:t>Aclarar o ampliar temas ya contemplados dentro de alguna</w:t>
      </w:r>
      <w:r>
        <w:rPr>
          <w:spacing w:val="-12"/>
          <w:sz w:val="24"/>
        </w:rPr>
        <w:t> </w:t>
      </w:r>
      <w:r>
        <w:rPr>
          <w:sz w:val="24"/>
        </w:rPr>
        <w:t>NIF.</w:t>
      </w:r>
    </w:p>
    <w:p>
      <w:pPr>
        <w:pStyle w:val="ListParagraph"/>
        <w:numPr>
          <w:ilvl w:val="2"/>
          <w:numId w:val="21"/>
        </w:numPr>
        <w:tabs>
          <w:tab w:pos="954" w:val="left" w:leader="none"/>
        </w:tabs>
        <w:spacing w:line="357" w:lineRule="auto" w:before="135" w:after="0"/>
        <w:ind w:left="954" w:right="121" w:hanging="286"/>
        <w:jc w:val="both"/>
        <w:rPr>
          <w:sz w:val="24"/>
        </w:rPr>
      </w:pPr>
      <w:r>
        <w:rPr>
          <w:sz w:val="24"/>
        </w:rPr>
        <w:t>Proporcionar oportunamente guías sobre problemas detectados en la información financiera que no estén tratados específicamente en las NIF; o bien sobre aquellos problemas sobre los que se hayan desarrollado,  o  que desarrollen, tratamientos poco satisfactorios o</w:t>
      </w:r>
      <w:r>
        <w:rPr>
          <w:spacing w:val="-26"/>
          <w:sz w:val="24"/>
        </w:rPr>
        <w:t> </w:t>
      </w:r>
      <w:r>
        <w:rPr>
          <w:sz w:val="24"/>
        </w:rPr>
        <w:t>contradictorios.</w:t>
      </w:r>
    </w:p>
    <w:p>
      <w:pPr>
        <w:pStyle w:val="BodyText"/>
      </w:pPr>
    </w:p>
    <w:p>
      <w:pPr>
        <w:pStyle w:val="BodyText"/>
        <w:spacing w:line="360" w:lineRule="auto" w:before="144"/>
        <w:ind w:left="102" w:right="117"/>
        <w:jc w:val="both"/>
      </w:pPr>
      <w:r>
        <w:rPr/>
        <w:t>Eventualmente las CINIF puede emitir orientaciones sobre asuntos emergentes que vayan surgiendo y que requieran de atención rápida, las cuales no son sometidas a auscultación, por lo que no son obligatorias.</w:t>
      </w:r>
    </w:p>
    <w:p>
      <w:pPr>
        <w:pStyle w:val="BodyText"/>
      </w:pPr>
    </w:p>
    <w:p>
      <w:pPr>
        <w:pStyle w:val="BodyText"/>
      </w:pPr>
    </w:p>
    <w:p>
      <w:pPr>
        <w:pStyle w:val="BodyText"/>
        <w:spacing w:before="5"/>
      </w:pPr>
    </w:p>
    <w:p>
      <w:pPr>
        <w:pStyle w:val="Heading2"/>
        <w:numPr>
          <w:ilvl w:val="1"/>
          <w:numId w:val="21"/>
        </w:numPr>
        <w:tabs>
          <w:tab w:pos="669" w:val="left" w:leader="none"/>
        </w:tabs>
        <w:spacing w:line="240" w:lineRule="auto" w:before="1" w:after="0"/>
        <w:ind w:left="668" w:right="0" w:hanging="566"/>
        <w:jc w:val="both"/>
      </w:pPr>
      <w:bookmarkStart w:name="_bookmark20" w:id="31"/>
      <w:bookmarkEnd w:id="31"/>
      <w:r>
        <w:rPr>
          <w:b w:val="0"/>
        </w:rPr>
      </w:r>
      <w:bookmarkStart w:name="_bookmark20" w:id="32"/>
      <w:bookmarkEnd w:id="32"/>
      <w:r>
        <w:rPr/>
        <w:t>Regl</w:t>
      </w:r>
      <w:r>
        <w:rPr/>
        <w:t>as de valuación y presentación de la información</w:t>
      </w:r>
      <w:r>
        <w:rPr>
          <w:spacing w:val="-22"/>
        </w:rPr>
        <w:t> </w:t>
      </w:r>
      <w:r>
        <w:rPr/>
        <w:t>financiera.</w:t>
      </w:r>
    </w:p>
    <w:p>
      <w:pPr>
        <w:pStyle w:val="BodyText"/>
        <w:rPr>
          <w:b/>
        </w:rPr>
      </w:pPr>
    </w:p>
    <w:p>
      <w:pPr>
        <w:pStyle w:val="BodyText"/>
        <w:rPr>
          <w:b/>
        </w:rPr>
      </w:pPr>
    </w:p>
    <w:p>
      <w:pPr>
        <w:pStyle w:val="BodyText"/>
        <w:spacing w:line="360" w:lineRule="auto"/>
        <w:ind w:left="102" w:right="122"/>
        <w:jc w:val="both"/>
      </w:pPr>
      <w:r>
        <w:rPr/>
        <w:t>Las NIF particulares establecen las bases concretas que deben observarse para reconocer contablemente los elementos que integran los estados financieros en un momento determinado y comprenden normas de valuación, presentación y revelación.</w:t>
      </w:r>
    </w:p>
    <w:p>
      <w:pPr>
        <w:spacing w:after="0" w:line="360" w:lineRule="auto"/>
        <w:jc w:val="both"/>
        <w:sectPr>
          <w:pgSz w:w="12240" w:h="15840"/>
          <w:pgMar w:header="0" w:footer="779" w:top="1360" w:bottom="960" w:left="1600" w:right="1580"/>
        </w:sectPr>
      </w:pPr>
    </w:p>
    <w:p>
      <w:pPr>
        <w:pStyle w:val="BodyText"/>
        <w:spacing w:before="7"/>
        <w:rPr>
          <w:sz w:val="22"/>
        </w:rPr>
      </w:pPr>
    </w:p>
    <w:p>
      <w:pPr>
        <w:pStyle w:val="BodyText"/>
        <w:spacing w:line="360" w:lineRule="auto" w:before="69"/>
        <w:ind w:left="102" w:right="117"/>
        <w:jc w:val="both"/>
      </w:pPr>
      <w:r>
        <w:rPr/>
        <w:t>Las NIF particulares se clasifican en normas aplicables a los estados financieros en su conjunto, a los conceptos específicos de los estados financieros, a problemas de determinación de resultados y a las actividades especializadas de distintos</w:t>
      </w:r>
      <w:r>
        <w:rPr>
          <w:spacing w:val="-5"/>
        </w:rPr>
        <w:t> </w:t>
      </w:r>
      <w:r>
        <w:rPr/>
        <w:t>sectores.</w:t>
      </w:r>
    </w:p>
    <w:p>
      <w:pPr>
        <w:pStyle w:val="BodyText"/>
      </w:pPr>
    </w:p>
    <w:p>
      <w:pPr>
        <w:pStyle w:val="BodyText"/>
        <w:spacing w:line="360" w:lineRule="auto" w:before="142"/>
        <w:ind w:left="102" w:right="119"/>
        <w:jc w:val="both"/>
      </w:pPr>
      <w:r>
        <w:rPr/>
        <w:t>En el caso de que las NIF particulares mencionadas incluyan alternativas, debe utilizarse    el    juicio     profesional     para    seleccionar     la    más     adecuada El desarrollo de las NIF particulares debe basarse en la identificación de la sustancia económica de las operaciones y eventos que afectan a la entidad y sustentarse en el marco conceptual.</w:t>
      </w:r>
    </w:p>
    <w:p>
      <w:pPr>
        <w:pStyle w:val="BodyText"/>
      </w:pPr>
    </w:p>
    <w:p>
      <w:pPr>
        <w:pStyle w:val="BodyText"/>
        <w:spacing w:line="360" w:lineRule="auto" w:before="142"/>
        <w:ind w:left="102" w:right="124"/>
        <w:jc w:val="both"/>
      </w:pPr>
      <w:r>
        <w:rPr/>
        <w:t>Este enfoque no pretende que la norma particular establezca tratamientos contables para cada operación o evento que afecte a la entidad; por ende,  conlleva al empleo del juicio profesional, el cual debe orientarse hacia el cumplimiento de los objetivos de la norma. Las NIF particulares deben contener objetivos y alcances</w:t>
      </w:r>
      <w:r>
        <w:rPr>
          <w:spacing w:val="-7"/>
        </w:rPr>
        <w:t> </w:t>
      </w:r>
      <w:r>
        <w:rPr/>
        <w:t>claros.</w:t>
      </w:r>
    </w:p>
    <w:p>
      <w:pPr>
        <w:pStyle w:val="BodyText"/>
      </w:pPr>
    </w:p>
    <w:p>
      <w:pPr>
        <w:pStyle w:val="BodyText"/>
        <w:spacing w:line="360" w:lineRule="auto" w:before="142"/>
        <w:ind w:left="102" w:right="115"/>
        <w:jc w:val="both"/>
      </w:pPr>
      <w:r>
        <w:rPr/>
        <w:t>En el desarrollo de NIF particulares debe evitarse, hasta donde sea posible, el uso de excepciones o alternativas en el alcance, en el tratamiento contable o en el contenido de párrafos transitorios; así como, el establecimiento de procedimientos específicos en cada caso.</w:t>
      </w:r>
    </w:p>
    <w:p>
      <w:pPr>
        <w:pStyle w:val="BodyText"/>
      </w:pPr>
    </w:p>
    <w:p>
      <w:pPr>
        <w:pStyle w:val="BodyText"/>
        <w:spacing w:line="360" w:lineRule="auto" w:before="142"/>
        <w:ind w:left="102" w:right="117"/>
        <w:jc w:val="both"/>
      </w:pPr>
      <w:r>
        <w:rPr/>
        <w:t>El uso de excepciones debe evitarse pues incrementa el nivel de detalle y complejidad de las normas, porque a menudo es necesario contar con procedimientos adicionales o innumerables guías de interpretación o implementación para, entre otras cosas, describir y delimitar las transacciones y eventos que no están cubiertos por las normas.</w:t>
      </w:r>
    </w:p>
    <w:p>
      <w:pPr>
        <w:spacing w:after="0" w:line="360" w:lineRule="auto"/>
        <w:jc w:val="both"/>
        <w:sectPr>
          <w:pgSz w:w="12240" w:h="15840"/>
          <w:pgMar w:header="0" w:footer="779" w:top="1500" w:bottom="960" w:left="1600" w:right="1580"/>
        </w:sectPr>
      </w:pPr>
    </w:p>
    <w:p>
      <w:pPr>
        <w:pStyle w:val="Heading2"/>
        <w:numPr>
          <w:ilvl w:val="1"/>
          <w:numId w:val="21"/>
        </w:numPr>
        <w:tabs>
          <w:tab w:pos="789" w:val="left" w:leader="none"/>
        </w:tabs>
        <w:spacing w:line="240" w:lineRule="auto" w:before="56" w:after="0"/>
        <w:ind w:left="788" w:right="0" w:hanging="566"/>
        <w:jc w:val="both"/>
      </w:pPr>
      <w:bookmarkStart w:name="_bookmark21" w:id="33"/>
      <w:bookmarkEnd w:id="33"/>
      <w:r>
        <w:rPr>
          <w:b w:val="0"/>
        </w:rPr>
      </w:r>
      <w:bookmarkStart w:name="_bookmark21" w:id="34"/>
      <w:bookmarkEnd w:id="34"/>
      <w:r>
        <w:rPr/>
        <w:t>B</w:t>
      </w:r>
      <w:r>
        <w:rPr/>
        <w:t>oletines de Activo, Pasivo y</w:t>
      </w:r>
      <w:r>
        <w:rPr>
          <w:spacing w:val="-11"/>
        </w:rPr>
        <w:t> </w:t>
      </w:r>
      <w:r>
        <w:rPr/>
        <w:t>Capital.</w:t>
      </w:r>
    </w:p>
    <w:p>
      <w:pPr>
        <w:pStyle w:val="BodyText"/>
        <w:rPr>
          <w:b/>
        </w:rPr>
      </w:pPr>
    </w:p>
    <w:p>
      <w:pPr>
        <w:pStyle w:val="BodyText"/>
        <w:rPr>
          <w:b/>
        </w:rPr>
      </w:pPr>
    </w:p>
    <w:p>
      <w:pPr>
        <w:spacing w:before="0"/>
        <w:ind w:left="222" w:right="0" w:firstLine="0"/>
        <w:jc w:val="both"/>
        <w:rPr>
          <w:b/>
          <w:sz w:val="24"/>
        </w:rPr>
      </w:pPr>
      <w:r>
        <w:rPr>
          <w:b/>
          <w:sz w:val="24"/>
        </w:rPr>
        <w:t>Activos</w:t>
      </w:r>
    </w:p>
    <w:p>
      <w:pPr>
        <w:pStyle w:val="BodyText"/>
        <w:spacing w:line="360" w:lineRule="auto" w:before="137"/>
        <w:ind w:left="222" w:right="565"/>
        <w:jc w:val="both"/>
      </w:pPr>
      <w:r>
        <w:rPr/>
        <w:t>Un activo es un recurso controlado por una entidad, identificado, cuantificado en términos monetarios y del que se esperan fundamentalmente, beneficios económicos futuros, derivado de operaciones y otros eventos ocurridos en el pasado que han afectado económicamente a la entidad.</w:t>
      </w:r>
    </w:p>
    <w:p>
      <w:pPr>
        <w:pStyle w:val="BodyText"/>
      </w:pPr>
    </w:p>
    <w:p>
      <w:pPr>
        <w:pStyle w:val="BodyText"/>
        <w:spacing w:line="360" w:lineRule="auto" w:before="142"/>
        <w:ind w:left="222" w:right="554"/>
        <w:jc w:val="both"/>
      </w:pPr>
      <w:r>
        <w:rPr/>
        <w:t>Todo activo es de una entidad económica determinada, por lo que no puede pertenecer simultáneamente a otra entidad; la entidad que lo posee tiene el poder de obtener sus beneficios económicos futuros y de regular el acceso de terceros a dichos beneficios.</w:t>
      </w:r>
    </w:p>
    <w:p>
      <w:pPr>
        <w:pStyle w:val="BodyText"/>
      </w:pPr>
    </w:p>
    <w:p>
      <w:pPr>
        <w:pStyle w:val="BodyText"/>
        <w:spacing w:line="360" w:lineRule="auto" w:before="142"/>
        <w:ind w:left="222" w:right="556"/>
        <w:jc w:val="both"/>
      </w:pPr>
      <w:r>
        <w:rPr/>
        <w:t>Un activo ha sido identificado cuando pueden distinguirse los beneficios económicos que generará a la entidad esto se logra cuando el activo puede separarse para venderlo, rentarlo, intercambiarlo, licenciarlo, transferirlo o distribuir sus beneficios económicos.</w:t>
      </w:r>
    </w:p>
    <w:p>
      <w:pPr>
        <w:pStyle w:val="BodyText"/>
      </w:pPr>
    </w:p>
    <w:p>
      <w:pPr>
        <w:pStyle w:val="BodyText"/>
        <w:spacing w:before="142"/>
        <w:ind w:left="3205"/>
      </w:pPr>
      <w:r>
        <w:rPr/>
        <w:t>Clasificación de los activos</w:t>
      </w:r>
    </w:p>
    <w:p>
      <w:pPr>
        <w:pStyle w:val="BodyText"/>
        <w:rPr>
          <w:sz w:val="12"/>
        </w:rPr>
      </w:pPr>
    </w:p>
    <w:tbl>
      <w:tblPr>
        <w:tblW w:w="0" w:type="auto"/>
        <w:jc w:val="left"/>
        <w:tblInd w:w="104" w:type="dxa"/>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Layout w:type="fixed"/>
        <w:tblCellMar>
          <w:top w:w="0" w:type="dxa"/>
          <w:left w:w="0" w:type="dxa"/>
          <w:bottom w:w="0" w:type="dxa"/>
          <w:right w:w="0" w:type="dxa"/>
        </w:tblCellMar>
        <w:tblLook w:val="01E0"/>
      </w:tblPr>
      <w:tblGrid>
        <w:gridCol w:w="2518"/>
        <w:gridCol w:w="2693"/>
        <w:gridCol w:w="4167"/>
      </w:tblGrid>
      <w:tr>
        <w:trPr>
          <w:trHeight w:val="410" w:hRule="exact"/>
        </w:trPr>
        <w:tc>
          <w:tcPr>
            <w:tcW w:w="2518" w:type="dxa"/>
            <w:tcBorders>
              <w:bottom w:val="single" w:sz="17" w:space="0" w:color="C0504D"/>
            </w:tcBorders>
          </w:tcPr>
          <w:p>
            <w:pPr>
              <w:pStyle w:val="TableParagraph"/>
              <w:spacing w:line="248" w:lineRule="exact"/>
              <w:ind w:left="98"/>
              <w:rPr>
                <w:rFonts w:ascii="Arial"/>
                <w:b/>
                <w:sz w:val="22"/>
              </w:rPr>
            </w:pPr>
            <w:r>
              <w:rPr>
                <w:rFonts w:ascii="Arial"/>
                <w:b/>
                <w:sz w:val="22"/>
              </w:rPr>
              <w:t>TIPO DE ACTIVO</w:t>
            </w:r>
          </w:p>
        </w:tc>
        <w:tc>
          <w:tcPr>
            <w:tcW w:w="2693" w:type="dxa"/>
            <w:tcBorders>
              <w:bottom w:val="single" w:sz="17" w:space="0" w:color="C0504D"/>
            </w:tcBorders>
          </w:tcPr>
          <w:p>
            <w:pPr>
              <w:pStyle w:val="TableParagraph"/>
              <w:spacing w:line="248" w:lineRule="exact"/>
              <w:ind w:left="98"/>
              <w:rPr>
                <w:rFonts w:ascii="Arial"/>
                <w:b/>
                <w:sz w:val="22"/>
              </w:rPr>
            </w:pPr>
            <w:r>
              <w:rPr>
                <w:rFonts w:ascii="Arial"/>
                <w:b/>
                <w:sz w:val="22"/>
              </w:rPr>
              <w:t>CUENTA</w:t>
            </w:r>
          </w:p>
        </w:tc>
        <w:tc>
          <w:tcPr>
            <w:tcW w:w="4167" w:type="dxa"/>
            <w:tcBorders>
              <w:bottom w:val="single" w:sz="17" w:space="0" w:color="C0504D"/>
            </w:tcBorders>
          </w:tcPr>
          <w:p>
            <w:pPr>
              <w:pStyle w:val="TableParagraph"/>
              <w:spacing w:line="248" w:lineRule="exact"/>
              <w:ind w:left="98" w:right="97"/>
              <w:rPr>
                <w:rFonts w:ascii="Arial"/>
                <w:b/>
                <w:sz w:val="22"/>
              </w:rPr>
            </w:pPr>
            <w:r>
              <w:rPr>
                <w:rFonts w:ascii="Arial"/>
                <w:b/>
                <w:sz w:val="22"/>
              </w:rPr>
              <w:t>CONCEPTOS QUE AGRUPA</w:t>
            </w:r>
          </w:p>
        </w:tc>
      </w:tr>
      <w:tr>
        <w:trPr>
          <w:trHeight w:val="792" w:hRule="exact"/>
        </w:trPr>
        <w:tc>
          <w:tcPr>
            <w:tcW w:w="2518" w:type="dxa"/>
            <w:vMerge w:val="restart"/>
            <w:tcBorders>
              <w:top w:val="single" w:sz="17" w:space="0" w:color="C0504D"/>
            </w:tcBorders>
            <w:shd w:val="clear" w:color="auto" w:fill="EED2D2"/>
          </w:tcPr>
          <w:p>
            <w:pPr>
              <w:pStyle w:val="TableParagraph"/>
              <w:ind w:left="98"/>
              <w:rPr>
                <w:rFonts w:ascii="Arial"/>
                <w:sz w:val="22"/>
              </w:rPr>
            </w:pPr>
            <w:r>
              <w:rPr>
                <w:rFonts w:ascii="Arial"/>
                <w:sz w:val="22"/>
              </w:rPr>
              <w:t>Circulante (Monetarios)</w:t>
            </w:r>
          </w:p>
        </w:tc>
        <w:tc>
          <w:tcPr>
            <w:tcW w:w="2693" w:type="dxa"/>
            <w:tcBorders>
              <w:top w:val="single" w:sz="17" w:space="0" w:color="C0504D"/>
            </w:tcBorders>
            <w:shd w:val="clear" w:color="auto" w:fill="EED2D2"/>
          </w:tcPr>
          <w:p>
            <w:pPr>
              <w:pStyle w:val="TableParagraph"/>
              <w:ind w:left="98"/>
              <w:rPr>
                <w:rFonts w:ascii="Arial"/>
                <w:sz w:val="22"/>
              </w:rPr>
            </w:pPr>
            <w:r>
              <w:rPr>
                <w:rFonts w:ascii="Arial"/>
                <w:sz w:val="22"/>
              </w:rPr>
              <w:t>Efectivo y valores</w:t>
            </w:r>
          </w:p>
        </w:tc>
        <w:tc>
          <w:tcPr>
            <w:tcW w:w="4167" w:type="dxa"/>
            <w:tcBorders>
              <w:top w:val="single" w:sz="17" w:space="0" w:color="C0504D"/>
            </w:tcBorders>
            <w:shd w:val="clear" w:color="auto" w:fill="EED2D2"/>
          </w:tcPr>
          <w:p>
            <w:pPr>
              <w:pStyle w:val="TableParagraph"/>
              <w:tabs>
                <w:tab w:pos="1139" w:val="left" w:leader="none"/>
                <w:tab w:pos="2580" w:val="left" w:leader="none"/>
                <w:tab w:pos="3156" w:val="left" w:leader="none"/>
              </w:tabs>
              <w:spacing w:line="360" w:lineRule="auto"/>
              <w:ind w:left="98" w:right="97"/>
              <w:rPr>
                <w:rFonts w:ascii="Arial" w:hAnsi="Arial"/>
                <w:sz w:val="22"/>
              </w:rPr>
            </w:pPr>
            <w:r>
              <w:rPr>
                <w:rFonts w:ascii="Arial" w:hAnsi="Arial"/>
                <w:sz w:val="22"/>
              </w:rPr>
              <w:t>Dinero,</w:t>
              <w:tab/>
              <w:t>certificados</w:t>
              <w:tab/>
              <w:t>de</w:t>
              <w:tab/>
            </w:r>
            <w:r>
              <w:rPr>
                <w:rFonts w:ascii="Arial" w:hAnsi="Arial"/>
                <w:spacing w:val="-1"/>
                <w:sz w:val="22"/>
              </w:rPr>
              <w:t>depósito, </w:t>
            </w:r>
            <w:r>
              <w:rPr>
                <w:rFonts w:ascii="Arial" w:hAnsi="Arial"/>
                <w:sz w:val="22"/>
              </w:rPr>
              <w:t>cheques.</w:t>
            </w:r>
          </w:p>
        </w:tc>
      </w:tr>
      <w:tr>
        <w:trPr>
          <w:trHeight w:val="780" w:hRule="exact"/>
        </w:trPr>
        <w:tc>
          <w:tcPr>
            <w:tcW w:w="2518" w:type="dxa"/>
            <w:vMerge/>
            <w:shd w:val="clear" w:color="auto" w:fill="EED2D2"/>
          </w:tcPr>
          <w:p>
            <w:pPr/>
          </w:p>
        </w:tc>
        <w:tc>
          <w:tcPr>
            <w:tcW w:w="2693" w:type="dxa"/>
          </w:tcPr>
          <w:p>
            <w:pPr>
              <w:pStyle w:val="TableParagraph"/>
              <w:ind w:left="98"/>
              <w:rPr>
                <w:rFonts w:ascii="Arial"/>
                <w:sz w:val="22"/>
              </w:rPr>
            </w:pPr>
            <w:r>
              <w:rPr>
                <w:rFonts w:ascii="Arial"/>
                <w:sz w:val="22"/>
              </w:rPr>
              <w:t>Clientes</w:t>
            </w:r>
          </w:p>
        </w:tc>
        <w:tc>
          <w:tcPr>
            <w:tcW w:w="4167" w:type="dxa"/>
          </w:tcPr>
          <w:p>
            <w:pPr>
              <w:pStyle w:val="TableParagraph"/>
              <w:spacing w:line="360" w:lineRule="auto"/>
              <w:ind w:left="98" w:right="97"/>
              <w:rPr>
                <w:rFonts w:ascii="Arial" w:hAnsi="Arial"/>
                <w:sz w:val="22"/>
              </w:rPr>
            </w:pPr>
            <w:r>
              <w:rPr>
                <w:rFonts w:ascii="Arial" w:hAnsi="Arial"/>
                <w:sz w:val="22"/>
              </w:rPr>
              <w:t>Facturación a los clientes del ente económico.</w:t>
            </w:r>
          </w:p>
        </w:tc>
      </w:tr>
      <w:tr>
        <w:trPr>
          <w:trHeight w:val="781" w:hRule="exact"/>
        </w:trPr>
        <w:tc>
          <w:tcPr>
            <w:tcW w:w="2518" w:type="dxa"/>
            <w:vMerge/>
            <w:shd w:val="clear" w:color="auto" w:fill="EED2D2"/>
          </w:tcPr>
          <w:p>
            <w:pPr/>
          </w:p>
        </w:tc>
        <w:tc>
          <w:tcPr>
            <w:tcW w:w="2693" w:type="dxa"/>
            <w:shd w:val="clear" w:color="auto" w:fill="EED2D2"/>
          </w:tcPr>
          <w:p>
            <w:pPr>
              <w:pStyle w:val="TableParagraph"/>
              <w:spacing w:line="251" w:lineRule="exact"/>
              <w:ind w:left="98"/>
              <w:rPr>
                <w:rFonts w:ascii="Arial"/>
                <w:sz w:val="22"/>
              </w:rPr>
            </w:pPr>
            <w:r>
              <w:rPr>
                <w:rFonts w:ascii="Arial"/>
                <w:sz w:val="22"/>
              </w:rPr>
              <w:t>Documentos por cobrar</w:t>
            </w:r>
          </w:p>
        </w:tc>
        <w:tc>
          <w:tcPr>
            <w:tcW w:w="4167" w:type="dxa"/>
            <w:shd w:val="clear" w:color="auto" w:fill="EED2D2"/>
          </w:tcPr>
          <w:p>
            <w:pPr>
              <w:pStyle w:val="TableParagraph"/>
              <w:spacing w:line="360" w:lineRule="auto"/>
              <w:ind w:left="98" w:right="97"/>
              <w:rPr>
                <w:rFonts w:ascii="Arial" w:hAnsi="Arial"/>
                <w:sz w:val="22"/>
              </w:rPr>
            </w:pPr>
            <w:r>
              <w:rPr>
                <w:rFonts w:ascii="Arial" w:hAnsi="Arial"/>
                <w:sz w:val="22"/>
              </w:rPr>
              <w:t>Pagarés y letras de cambio, cualquier promesa de pago documentada.</w:t>
            </w:r>
          </w:p>
        </w:tc>
      </w:tr>
      <w:tr>
        <w:trPr>
          <w:trHeight w:val="778" w:hRule="exact"/>
        </w:trPr>
        <w:tc>
          <w:tcPr>
            <w:tcW w:w="2518" w:type="dxa"/>
            <w:vMerge/>
            <w:shd w:val="clear" w:color="auto" w:fill="EED2D2"/>
          </w:tcPr>
          <w:p>
            <w:pPr/>
          </w:p>
        </w:tc>
        <w:tc>
          <w:tcPr>
            <w:tcW w:w="2693" w:type="dxa"/>
          </w:tcPr>
          <w:p>
            <w:pPr>
              <w:pStyle w:val="TableParagraph"/>
              <w:spacing w:line="251" w:lineRule="exact"/>
              <w:ind w:left="98"/>
              <w:rPr>
                <w:rFonts w:ascii="Arial"/>
                <w:sz w:val="22"/>
              </w:rPr>
            </w:pPr>
            <w:r>
              <w:rPr>
                <w:rFonts w:ascii="Arial"/>
                <w:sz w:val="22"/>
              </w:rPr>
              <w:t>Deudores diversos</w:t>
            </w:r>
          </w:p>
        </w:tc>
        <w:tc>
          <w:tcPr>
            <w:tcW w:w="4167" w:type="dxa"/>
          </w:tcPr>
          <w:p>
            <w:pPr>
              <w:pStyle w:val="TableParagraph"/>
              <w:spacing w:line="360" w:lineRule="auto"/>
              <w:ind w:left="98" w:right="97"/>
              <w:rPr>
                <w:rFonts w:ascii="Arial" w:hAnsi="Arial"/>
                <w:sz w:val="22"/>
              </w:rPr>
            </w:pPr>
            <w:r>
              <w:rPr>
                <w:rFonts w:ascii="Arial" w:hAnsi="Arial"/>
                <w:sz w:val="22"/>
              </w:rPr>
              <w:t>Préstamos otorgados a empleados del ente económico.</w:t>
            </w:r>
          </w:p>
        </w:tc>
      </w:tr>
      <w:tr>
        <w:trPr>
          <w:trHeight w:val="780" w:hRule="exact"/>
        </w:trPr>
        <w:tc>
          <w:tcPr>
            <w:tcW w:w="2518" w:type="dxa"/>
            <w:vMerge/>
            <w:shd w:val="clear" w:color="auto" w:fill="EED2D2"/>
          </w:tcPr>
          <w:p>
            <w:pPr/>
          </w:p>
        </w:tc>
        <w:tc>
          <w:tcPr>
            <w:tcW w:w="2693" w:type="dxa"/>
            <w:shd w:val="clear" w:color="auto" w:fill="EED2D2"/>
          </w:tcPr>
          <w:p>
            <w:pPr>
              <w:pStyle w:val="TableParagraph"/>
              <w:spacing w:line="251" w:lineRule="exact"/>
              <w:ind w:left="98"/>
              <w:rPr>
                <w:rFonts w:ascii="Arial"/>
                <w:sz w:val="22"/>
              </w:rPr>
            </w:pPr>
            <w:r>
              <w:rPr>
                <w:rFonts w:ascii="Arial"/>
                <w:sz w:val="22"/>
              </w:rPr>
              <w:t>Inventario</w:t>
            </w:r>
          </w:p>
        </w:tc>
        <w:tc>
          <w:tcPr>
            <w:tcW w:w="4167" w:type="dxa"/>
            <w:shd w:val="clear" w:color="auto" w:fill="EED2D2"/>
          </w:tcPr>
          <w:p>
            <w:pPr>
              <w:pStyle w:val="TableParagraph"/>
              <w:tabs>
                <w:tab w:pos="1369" w:val="left" w:leader="none"/>
                <w:tab w:pos="1722" w:val="left" w:leader="none"/>
                <w:tab w:pos="2617" w:val="left" w:leader="none"/>
                <w:tab w:pos="3927" w:val="left" w:leader="none"/>
              </w:tabs>
              <w:spacing w:line="362" w:lineRule="auto"/>
              <w:ind w:left="98" w:right="95"/>
              <w:rPr>
                <w:rFonts w:ascii="Arial" w:hAnsi="Arial"/>
                <w:sz w:val="22"/>
              </w:rPr>
            </w:pPr>
            <w:r>
              <w:rPr>
                <w:rFonts w:ascii="Arial" w:hAnsi="Arial"/>
                <w:sz w:val="22"/>
              </w:rPr>
              <w:t>Mercancía</w:t>
              <w:tab/>
              <w:t>y</w:t>
              <w:tab/>
              <w:t>bienes</w:t>
              <w:tab/>
              <w:t>destinados</w:t>
              <w:tab/>
              <w:t>a manufactura o</w:t>
            </w:r>
            <w:r>
              <w:rPr>
                <w:rFonts w:ascii="Arial" w:hAnsi="Arial"/>
                <w:spacing w:val="-6"/>
                <w:sz w:val="22"/>
              </w:rPr>
              <w:t> </w:t>
            </w:r>
            <w:r>
              <w:rPr>
                <w:rFonts w:ascii="Arial" w:hAnsi="Arial"/>
                <w:sz w:val="22"/>
              </w:rPr>
              <w:t>venta.</w:t>
            </w:r>
          </w:p>
        </w:tc>
      </w:tr>
      <w:tr>
        <w:trPr>
          <w:trHeight w:val="780" w:hRule="exact"/>
        </w:trPr>
        <w:tc>
          <w:tcPr>
            <w:tcW w:w="2518" w:type="dxa"/>
            <w:vMerge/>
            <w:shd w:val="clear" w:color="auto" w:fill="EED2D2"/>
          </w:tcPr>
          <w:p>
            <w:pPr/>
          </w:p>
        </w:tc>
        <w:tc>
          <w:tcPr>
            <w:tcW w:w="2693" w:type="dxa"/>
          </w:tcPr>
          <w:p>
            <w:pPr>
              <w:pStyle w:val="TableParagraph"/>
              <w:spacing w:line="251" w:lineRule="exact"/>
              <w:ind w:left="98"/>
              <w:rPr>
                <w:rFonts w:ascii="Arial"/>
                <w:sz w:val="22"/>
              </w:rPr>
            </w:pPr>
            <w:r>
              <w:rPr>
                <w:rFonts w:ascii="Arial"/>
                <w:sz w:val="22"/>
              </w:rPr>
              <w:t>Anticipos de impuestos</w:t>
            </w:r>
          </w:p>
        </w:tc>
        <w:tc>
          <w:tcPr>
            <w:tcW w:w="4167" w:type="dxa"/>
          </w:tcPr>
          <w:p>
            <w:pPr>
              <w:pStyle w:val="TableParagraph"/>
              <w:spacing w:line="360" w:lineRule="auto"/>
              <w:ind w:left="98" w:right="92"/>
              <w:rPr>
                <w:rFonts w:ascii="Arial"/>
                <w:sz w:val="22"/>
              </w:rPr>
            </w:pPr>
            <w:r>
              <w:rPr>
                <w:rFonts w:ascii="Arial"/>
                <w:sz w:val="22"/>
              </w:rPr>
              <w:t>Pagos provisionales, impuestos sobre la renta o impuestos al activo.</w:t>
            </w:r>
          </w:p>
        </w:tc>
      </w:tr>
    </w:tbl>
    <w:p>
      <w:pPr>
        <w:spacing w:after="0" w:line="360" w:lineRule="auto"/>
        <w:rPr>
          <w:rFonts w:ascii="Arial"/>
          <w:sz w:val="22"/>
        </w:rPr>
        <w:sectPr>
          <w:footerReference w:type="default" r:id="rId37"/>
          <w:pgSz w:w="12240" w:h="15840"/>
          <w:pgMar w:footer="779" w:header="0" w:top="1360" w:bottom="960" w:left="1480" w:right="1140"/>
        </w:sectPr>
      </w:pPr>
    </w:p>
    <w:tbl>
      <w:tblPr>
        <w:tblW w:w="0" w:type="auto"/>
        <w:jc w:val="left"/>
        <w:tblInd w:w="104" w:type="dxa"/>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Layout w:type="fixed"/>
        <w:tblCellMar>
          <w:top w:w="0" w:type="dxa"/>
          <w:left w:w="0" w:type="dxa"/>
          <w:bottom w:w="0" w:type="dxa"/>
          <w:right w:w="0" w:type="dxa"/>
        </w:tblCellMar>
        <w:tblLook w:val="01E0"/>
      </w:tblPr>
      <w:tblGrid>
        <w:gridCol w:w="2518"/>
        <w:gridCol w:w="2693"/>
        <w:gridCol w:w="4001"/>
        <w:gridCol w:w="166"/>
      </w:tblGrid>
      <w:tr>
        <w:trPr>
          <w:trHeight w:val="1918" w:hRule="exact"/>
        </w:trPr>
        <w:tc>
          <w:tcPr>
            <w:tcW w:w="2518" w:type="dxa"/>
            <w:shd w:val="clear" w:color="auto" w:fill="EED2D2"/>
          </w:tcPr>
          <w:p>
            <w:pPr/>
          </w:p>
        </w:tc>
        <w:tc>
          <w:tcPr>
            <w:tcW w:w="2693" w:type="dxa"/>
            <w:shd w:val="clear" w:color="auto" w:fill="EED2D2"/>
          </w:tcPr>
          <w:p>
            <w:pPr>
              <w:pStyle w:val="TableParagraph"/>
              <w:tabs>
                <w:tab w:pos="1002" w:val="left" w:leader="none"/>
                <w:tab w:pos="1465" w:val="left" w:leader="none"/>
                <w:tab w:pos="2463" w:val="left" w:leader="none"/>
              </w:tabs>
              <w:spacing w:line="360" w:lineRule="auto"/>
              <w:ind w:left="98" w:right="98"/>
              <w:rPr>
                <w:rFonts w:ascii="Arial"/>
                <w:sz w:val="22"/>
              </w:rPr>
            </w:pPr>
            <w:r>
              <w:rPr>
                <w:rFonts w:ascii="Arial"/>
                <w:sz w:val="22"/>
              </w:rPr>
              <w:t>Primas</w:t>
              <w:tab/>
              <w:t>de</w:t>
              <w:tab/>
              <w:t>seguros</w:t>
              <w:tab/>
              <w:t>y otros pagos</w:t>
            </w:r>
            <w:r>
              <w:rPr>
                <w:rFonts w:ascii="Arial"/>
                <w:spacing w:val="-4"/>
                <w:sz w:val="22"/>
              </w:rPr>
              <w:t> </w:t>
            </w:r>
            <w:r>
              <w:rPr>
                <w:rFonts w:ascii="Arial"/>
                <w:sz w:val="22"/>
              </w:rPr>
              <w:t>anticipados</w:t>
            </w:r>
          </w:p>
        </w:tc>
        <w:tc>
          <w:tcPr>
            <w:tcW w:w="4167" w:type="dxa"/>
            <w:gridSpan w:val="2"/>
            <w:shd w:val="clear" w:color="auto" w:fill="EED2D2"/>
          </w:tcPr>
          <w:p>
            <w:pPr>
              <w:pStyle w:val="TableParagraph"/>
              <w:spacing w:line="360" w:lineRule="auto"/>
              <w:ind w:left="98" w:right="96"/>
              <w:jc w:val="both"/>
              <w:rPr>
                <w:rFonts w:ascii="Arial" w:hAnsi="Arial"/>
                <w:sz w:val="22"/>
              </w:rPr>
            </w:pPr>
            <w:r>
              <w:rPr>
                <w:rFonts w:ascii="Arial" w:hAnsi="Arial"/>
                <w:sz w:val="22"/>
              </w:rPr>
              <w:t>Seguros   y    otros    contratos   pagados anticipadamente por la compañía y que le otorgan protección o derecho de uso o goce de ciertos beneficios.</w:t>
            </w:r>
          </w:p>
        </w:tc>
      </w:tr>
      <w:tr>
        <w:trPr>
          <w:trHeight w:val="1158" w:hRule="exact"/>
        </w:trPr>
        <w:tc>
          <w:tcPr>
            <w:tcW w:w="2518" w:type="dxa"/>
            <w:vMerge w:val="restart"/>
          </w:tcPr>
          <w:p>
            <w:pPr>
              <w:pStyle w:val="TableParagraph"/>
              <w:spacing w:line="251" w:lineRule="exact"/>
              <w:ind w:left="98"/>
              <w:rPr>
                <w:rFonts w:ascii="Arial"/>
                <w:sz w:val="22"/>
              </w:rPr>
            </w:pPr>
            <w:r>
              <w:rPr>
                <w:rFonts w:ascii="Arial"/>
                <w:sz w:val="22"/>
              </w:rPr>
              <w:t>No circulante</w:t>
            </w:r>
          </w:p>
        </w:tc>
        <w:tc>
          <w:tcPr>
            <w:tcW w:w="2693" w:type="dxa"/>
          </w:tcPr>
          <w:p>
            <w:pPr>
              <w:pStyle w:val="TableParagraph"/>
              <w:spacing w:line="360" w:lineRule="auto"/>
              <w:ind w:left="98"/>
              <w:rPr>
                <w:rFonts w:ascii="Arial"/>
                <w:sz w:val="22"/>
              </w:rPr>
            </w:pPr>
            <w:r>
              <w:rPr>
                <w:rFonts w:ascii="Arial"/>
                <w:sz w:val="22"/>
              </w:rPr>
              <w:t>Inmuebles, maquinaria y equipo</w:t>
            </w:r>
          </w:p>
        </w:tc>
        <w:tc>
          <w:tcPr>
            <w:tcW w:w="4001" w:type="dxa"/>
          </w:tcPr>
          <w:p>
            <w:pPr>
              <w:pStyle w:val="TableParagraph"/>
              <w:spacing w:line="360" w:lineRule="auto"/>
              <w:ind w:left="98" w:right="96"/>
              <w:jc w:val="both"/>
              <w:rPr>
                <w:rFonts w:ascii="Arial" w:hAnsi="Arial"/>
                <w:sz w:val="22"/>
              </w:rPr>
            </w:pPr>
            <w:r>
              <w:rPr>
                <w:rFonts w:ascii="Arial" w:hAnsi="Arial"/>
                <w:sz w:val="22"/>
              </w:rPr>
              <w:t>Bienes muebles e inmuebles que el ente económico adquiere con el objeto de poder realizar sus actividades.</w:t>
            </w:r>
          </w:p>
        </w:tc>
        <w:tc>
          <w:tcPr>
            <w:tcW w:w="166" w:type="dxa"/>
            <w:vMerge w:val="restart"/>
            <w:tcBorders>
              <w:right w:val="nil"/>
            </w:tcBorders>
          </w:tcPr>
          <w:p>
            <w:pPr/>
          </w:p>
        </w:tc>
      </w:tr>
      <w:tr>
        <w:trPr>
          <w:trHeight w:val="2297" w:hRule="exact"/>
        </w:trPr>
        <w:tc>
          <w:tcPr>
            <w:tcW w:w="2518" w:type="dxa"/>
            <w:vMerge/>
          </w:tcPr>
          <w:p>
            <w:pPr/>
          </w:p>
        </w:tc>
        <w:tc>
          <w:tcPr>
            <w:tcW w:w="2693" w:type="dxa"/>
            <w:shd w:val="clear" w:color="auto" w:fill="EED2D2"/>
          </w:tcPr>
          <w:p>
            <w:pPr>
              <w:pStyle w:val="TableParagraph"/>
              <w:spacing w:line="252" w:lineRule="exact"/>
              <w:ind w:left="98"/>
              <w:rPr>
                <w:rFonts w:ascii="Arial"/>
                <w:sz w:val="22"/>
              </w:rPr>
            </w:pPr>
            <w:r>
              <w:rPr>
                <w:rFonts w:ascii="Arial"/>
                <w:sz w:val="22"/>
              </w:rPr>
              <w:t>Intangibles</w:t>
            </w:r>
          </w:p>
        </w:tc>
        <w:tc>
          <w:tcPr>
            <w:tcW w:w="4001" w:type="dxa"/>
            <w:shd w:val="clear" w:color="auto" w:fill="EED2D2"/>
          </w:tcPr>
          <w:p>
            <w:pPr>
              <w:pStyle w:val="TableParagraph"/>
              <w:tabs>
                <w:tab w:pos="1975" w:val="left" w:leader="none"/>
                <w:tab w:pos="2129" w:val="left" w:leader="none"/>
                <w:tab w:pos="3043" w:val="left" w:leader="none"/>
              </w:tabs>
              <w:spacing w:line="360" w:lineRule="auto"/>
              <w:ind w:left="98" w:right="95"/>
              <w:jc w:val="both"/>
              <w:rPr>
                <w:rFonts w:ascii="Arial" w:hAnsi="Arial"/>
                <w:sz w:val="22"/>
              </w:rPr>
            </w:pPr>
            <w:r>
              <w:rPr>
                <w:rFonts w:ascii="Arial" w:hAnsi="Arial"/>
                <w:sz w:val="22"/>
              </w:rPr>
              <w:t>Bienes sin sustancia física que se utilizan para la producción  u  operación</w:t>
              <w:tab/>
              <w:tab/>
              <w:t>normal </w:t>
            </w:r>
            <w:r>
              <w:rPr>
                <w:rFonts w:ascii="Arial" w:hAnsi="Arial"/>
                <w:spacing w:val="54"/>
                <w:sz w:val="22"/>
              </w:rPr>
              <w:t> </w:t>
            </w:r>
            <w:r>
              <w:rPr>
                <w:rFonts w:ascii="Arial" w:hAnsi="Arial"/>
                <w:sz w:val="22"/>
              </w:rPr>
              <w:t>del </w:t>
            </w:r>
            <w:r>
              <w:rPr>
                <w:rFonts w:ascii="Arial" w:hAnsi="Arial"/>
                <w:spacing w:val="54"/>
                <w:sz w:val="22"/>
              </w:rPr>
              <w:t> </w:t>
            </w:r>
            <w:r>
              <w:rPr>
                <w:rFonts w:ascii="Arial" w:hAnsi="Arial"/>
                <w:sz w:val="22"/>
              </w:rPr>
              <w:t>ente</w:t>
            </w:r>
            <w:r>
              <w:rPr>
                <w:rFonts w:ascii="Arial" w:hAnsi="Arial"/>
                <w:w w:val="100"/>
                <w:sz w:val="22"/>
              </w:rPr>
              <w:t> </w:t>
            </w:r>
            <w:r>
              <w:rPr>
                <w:rFonts w:ascii="Arial" w:hAnsi="Arial"/>
                <w:sz w:val="22"/>
              </w:rPr>
              <w:t>económico,</w:t>
              <w:tab/>
              <w:t>por</w:t>
              <w:tab/>
              <w:t>ejemplo, patentes, marcas, gastos de instalación, entre</w:t>
            </w:r>
            <w:r>
              <w:rPr>
                <w:rFonts w:ascii="Arial" w:hAnsi="Arial"/>
                <w:spacing w:val="-5"/>
                <w:sz w:val="22"/>
              </w:rPr>
              <w:t> </w:t>
            </w:r>
            <w:r>
              <w:rPr>
                <w:rFonts w:ascii="Arial" w:hAnsi="Arial"/>
                <w:sz w:val="22"/>
              </w:rPr>
              <w:t>otros.</w:t>
            </w:r>
          </w:p>
        </w:tc>
        <w:tc>
          <w:tcPr>
            <w:tcW w:w="166" w:type="dxa"/>
            <w:vMerge/>
            <w:tcBorders>
              <w:bottom w:val="nil"/>
              <w:right w:val="nil"/>
            </w:tcBorders>
          </w:tcPr>
          <w:p>
            <w:pPr/>
          </w:p>
        </w:tc>
      </w:tr>
    </w:tbl>
    <w:p>
      <w:pPr>
        <w:pStyle w:val="BodyText"/>
        <w:rPr>
          <w:sz w:val="20"/>
        </w:rPr>
      </w:pPr>
    </w:p>
    <w:p>
      <w:pPr>
        <w:pStyle w:val="BodyText"/>
        <w:rPr>
          <w:sz w:val="20"/>
        </w:rPr>
      </w:pPr>
    </w:p>
    <w:p>
      <w:pPr>
        <w:pStyle w:val="BodyText"/>
        <w:spacing w:before="8"/>
        <w:rPr>
          <w:sz w:val="25"/>
        </w:rPr>
      </w:pPr>
    </w:p>
    <w:p>
      <w:pPr>
        <w:pStyle w:val="Heading2"/>
        <w:spacing w:before="70"/>
        <w:ind w:left="222"/>
      </w:pPr>
      <w:r>
        <w:rPr/>
        <w:t>Pasivos</w:t>
      </w:r>
    </w:p>
    <w:p>
      <w:pPr>
        <w:pStyle w:val="BodyText"/>
        <w:spacing w:line="360" w:lineRule="auto" w:before="137"/>
        <w:ind w:left="222" w:right="560"/>
        <w:jc w:val="both"/>
      </w:pPr>
      <w:r>
        <w:rPr/>
        <w:t>Un pasivo es una obligación presente de la entidad, virtualmente ineludible, identificada, cuantificada en términos monetarios y que representa una  disminución futura de beneficios económicos, derivada de operaciones y otros eventos ocurridos en el pasado que han afectado económicamente a dicha entidad.</w:t>
      </w:r>
    </w:p>
    <w:p>
      <w:pPr>
        <w:pStyle w:val="BodyText"/>
      </w:pPr>
    </w:p>
    <w:p>
      <w:pPr>
        <w:pStyle w:val="BodyText"/>
        <w:spacing w:line="360" w:lineRule="auto" w:before="142"/>
        <w:ind w:left="222" w:right="556"/>
        <w:jc w:val="both"/>
      </w:pPr>
      <w:r>
        <w:rPr/>
        <w:t>Es una exigencia identificada en el momento actual, de carácter legal o social, de cumplir en el futuro con un contrato, promesa o responsabilidad, por parte de la entidad.</w:t>
      </w:r>
    </w:p>
    <w:p>
      <w:pPr>
        <w:pStyle w:val="BodyText"/>
      </w:pPr>
    </w:p>
    <w:p>
      <w:pPr>
        <w:pStyle w:val="BodyText"/>
        <w:spacing w:line="360" w:lineRule="auto" w:before="142"/>
        <w:ind w:left="222" w:right="560"/>
        <w:jc w:val="both"/>
      </w:pPr>
      <w:r>
        <w:rPr/>
        <w:t>Un pasivo es virtualmente ineludible cuando existe la probabilidad, aunque no la certeza absoluta, de dar cumplimiento a la obligación. Todo pasivo debe tener un propósito definido; es decir, no debe reconocerse con fines indeterminados.</w:t>
      </w:r>
    </w:p>
    <w:p>
      <w:pPr>
        <w:spacing w:after="0" w:line="360" w:lineRule="auto"/>
        <w:jc w:val="both"/>
        <w:sectPr>
          <w:footerReference w:type="default" r:id="rId38"/>
          <w:pgSz w:w="12240" w:h="15840"/>
          <w:pgMar w:footer="779" w:header="0" w:top="1420" w:bottom="960" w:left="1480" w:right="1140"/>
          <w:pgNumType w:start="31"/>
        </w:sectPr>
      </w:pPr>
    </w:p>
    <w:p>
      <w:pPr>
        <w:pStyle w:val="BodyText"/>
        <w:spacing w:line="360" w:lineRule="auto" w:before="56"/>
        <w:ind w:left="222" w:right="124"/>
        <w:jc w:val="both"/>
      </w:pPr>
      <w:r>
        <w:rPr/>
        <w:t>Representa la probable salida de recursos de la entidad para dar cumplimiento a una obligación. La disminución de beneficios económicos ocurre al transferir activos o instrumentos financieros de capital, o proporcionar productos y servicios.</w:t>
      </w:r>
    </w:p>
    <w:p>
      <w:pPr>
        <w:pStyle w:val="BodyText"/>
      </w:pPr>
    </w:p>
    <w:p>
      <w:pPr>
        <w:pStyle w:val="BodyText"/>
        <w:spacing w:before="142"/>
        <w:ind w:left="3150" w:right="3055"/>
        <w:jc w:val="center"/>
      </w:pPr>
      <w:r>
        <w:rPr/>
        <w:t>Clasificación de los pasivos</w:t>
      </w:r>
    </w:p>
    <w:p>
      <w:pPr>
        <w:pStyle w:val="BodyText"/>
        <w:rPr>
          <w:sz w:val="12"/>
        </w:rPr>
      </w:pPr>
    </w:p>
    <w:tbl>
      <w:tblPr>
        <w:tblW w:w="0" w:type="auto"/>
        <w:jc w:val="left"/>
        <w:tblInd w:w="104" w:type="dxa"/>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Layout w:type="fixed"/>
        <w:tblCellMar>
          <w:top w:w="0" w:type="dxa"/>
          <w:left w:w="0" w:type="dxa"/>
          <w:bottom w:w="0" w:type="dxa"/>
          <w:right w:w="0" w:type="dxa"/>
        </w:tblCellMar>
        <w:tblLook w:val="01E0"/>
      </w:tblPr>
      <w:tblGrid>
        <w:gridCol w:w="2967"/>
        <w:gridCol w:w="2976"/>
        <w:gridCol w:w="2986"/>
      </w:tblGrid>
      <w:tr>
        <w:trPr>
          <w:trHeight w:val="413" w:hRule="exact"/>
        </w:trPr>
        <w:tc>
          <w:tcPr>
            <w:tcW w:w="2967" w:type="dxa"/>
            <w:tcBorders>
              <w:bottom w:val="single" w:sz="17" w:space="0" w:color="C0504D"/>
            </w:tcBorders>
          </w:tcPr>
          <w:p>
            <w:pPr>
              <w:pStyle w:val="TableParagraph"/>
              <w:spacing w:line="251" w:lineRule="exact"/>
              <w:ind w:left="98"/>
              <w:rPr>
                <w:rFonts w:ascii="Arial"/>
                <w:b/>
                <w:sz w:val="22"/>
              </w:rPr>
            </w:pPr>
            <w:r>
              <w:rPr>
                <w:rFonts w:ascii="Arial"/>
                <w:b/>
                <w:sz w:val="22"/>
              </w:rPr>
              <w:t>Tipo de pasivo</w:t>
            </w:r>
          </w:p>
        </w:tc>
        <w:tc>
          <w:tcPr>
            <w:tcW w:w="2976" w:type="dxa"/>
            <w:tcBorders>
              <w:bottom w:val="single" w:sz="17" w:space="0" w:color="C0504D"/>
            </w:tcBorders>
          </w:tcPr>
          <w:p>
            <w:pPr>
              <w:pStyle w:val="TableParagraph"/>
              <w:spacing w:line="251" w:lineRule="exact"/>
              <w:ind w:left="98"/>
              <w:rPr>
                <w:rFonts w:ascii="Arial"/>
                <w:b/>
                <w:sz w:val="22"/>
              </w:rPr>
            </w:pPr>
            <w:r>
              <w:rPr>
                <w:rFonts w:ascii="Arial"/>
                <w:b/>
                <w:sz w:val="22"/>
              </w:rPr>
              <w:t>Cuenta</w:t>
            </w:r>
          </w:p>
        </w:tc>
        <w:tc>
          <w:tcPr>
            <w:tcW w:w="2986" w:type="dxa"/>
            <w:tcBorders>
              <w:bottom w:val="single" w:sz="17" w:space="0" w:color="C0504D"/>
            </w:tcBorders>
          </w:tcPr>
          <w:p>
            <w:pPr>
              <w:pStyle w:val="TableParagraph"/>
              <w:spacing w:line="251" w:lineRule="exact"/>
              <w:ind w:left="98" w:right="97"/>
              <w:rPr>
                <w:rFonts w:ascii="Arial"/>
                <w:b/>
                <w:sz w:val="22"/>
              </w:rPr>
            </w:pPr>
            <w:r>
              <w:rPr>
                <w:rFonts w:ascii="Arial"/>
                <w:b/>
                <w:sz w:val="22"/>
              </w:rPr>
              <w:t>Conceptos que agrupa</w:t>
            </w:r>
          </w:p>
        </w:tc>
      </w:tr>
      <w:tr>
        <w:trPr>
          <w:trHeight w:val="1930" w:hRule="exact"/>
        </w:trPr>
        <w:tc>
          <w:tcPr>
            <w:tcW w:w="2967" w:type="dxa"/>
            <w:vMerge w:val="restart"/>
            <w:tcBorders>
              <w:top w:val="single" w:sz="17" w:space="0" w:color="C0504D"/>
            </w:tcBorders>
            <w:shd w:val="clear" w:color="auto" w:fill="EED2D2"/>
          </w:tcPr>
          <w:p>
            <w:pPr>
              <w:pStyle w:val="TableParagraph"/>
              <w:spacing w:line="362" w:lineRule="auto"/>
              <w:ind w:left="98"/>
              <w:rPr>
                <w:rFonts w:ascii="Arial" w:hAnsi="Arial"/>
                <w:sz w:val="22"/>
              </w:rPr>
            </w:pPr>
            <w:r>
              <w:rPr>
                <w:rFonts w:ascii="Arial" w:hAnsi="Arial"/>
                <w:sz w:val="22"/>
              </w:rPr>
              <w:t>Circulantes (menos de un año)</w:t>
            </w:r>
          </w:p>
        </w:tc>
        <w:tc>
          <w:tcPr>
            <w:tcW w:w="2976" w:type="dxa"/>
            <w:tcBorders>
              <w:top w:val="single" w:sz="17" w:space="0" w:color="C0504D"/>
            </w:tcBorders>
            <w:shd w:val="clear" w:color="auto" w:fill="EED2D2"/>
          </w:tcPr>
          <w:p>
            <w:pPr>
              <w:pStyle w:val="TableParagraph"/>
              <w:spacing w:line="251" w:lineRule="exact"/>
              <w:ind w:left="98"/>
              <w:rPr>
                <w:rFonts w:ascii="Arial"/>
                <w:sz w:val="22"/>
              </w:rPr>
            </w:pPr>
            <w:r>
              <w:rPr>
                <w:rFonts w:ascii="Arial"/>
                <w:sz w:val="22"/>
              </w:rPr>
              <w:t>Proveedores</w:t>
            </w:r>
          </w:p>
        </w:tc>
        <w:tc>
          <w:tcPr>
            <w:tcW w:w="2986" w:type="dxa"/>
            <w:tcBorders>
              <w:top w:val="single" w:sz="17" w:space="0" w:color="C0504D"/>
            </w:tcBorders>
            <w:shd w:val="clear" w:color="auto" w:fill="EED2D2"/>
          </w:tcPr>
          <w:p>
            <w:pPr>
              <w:pStyle w:val="TableParagraph"/>
              <w:tabs>
                <w:tab w:pos="1038" w:val="left" w:leader="none"/>
                <w:tab w:pos="1326" w:val="left" w:leader="none"/>
                <w:tab w:pos="1707" w:val="left" w:leader="none"/>
                <w:tab w:pos="1851" w:val="left" w:leader="none"/>
                <w:tab w:pos="2744" w:val="left" w:leader="none"/>
              </w:tabs>
              <w:spacing w:line="360" w:lineRule="auto"/>
              <w:ind w:left="98" w:right="97"/>
              <w:rPr>
                <w:rFonts w:ascii="Arial" w:hAnsi="Arial"/>
                <w:sz w:val="22"/>
              </w:rPr>
            </w:pPr>
            <w:r>
              <w:rPr>
                <w:rFonts w:ascii="Arial" w:hAnsi="Arial"/>
                <w:sz w:val="22"/>
              </w:rPr>
              <w:t>Facturación por compra de mercancía</w:t>
              <w:tab/>
              <w:t>o</w:t>
              <w:tab/>
              <w:tab/>
            </w:r>
            <w:r>
              <w:rPr>
                <w:rFonts w:ascii="Arial" w:hAnsi="Arial"/>
                <w:spacing w:val="-1"/>
                <w:sz w:val="22"/>
              </w:rPr>
              <w:t>materiales </w:t>
            </w:r>
            <w:r>
              <w:rPr>
                <w:rFonts w:ascii="Arial" w:hAnsi="Arial"/>
                <w:sz w:val="22"/>
              </w:rPr>
              <w:t>para</w:t>
              <w:tab/>
              <w:t>la</w:t>
              <w:tab/>
              <w:tab/>
              <w:t>venta</w:t>
              <w:tab/>
              <w:t>o transformación (inventarios).</w:t>
            </w:r>
          </w:p>
        </w:tc>
      </w:tr>
      <w:tr>
        <w:trPr>
          <w:trHeight w:val="1538" w:hRule="exact"/>
        </w:trPr>
        <w:tc>
          <w:tcPr>
            <w:tcW w:w="2967" w:type="dxa"/>
            <w:vMerge/>
            <w:shd w:val="clear" w:color="auto" w:fill="EED2D2"/>
          </w:tcPr>
          <w:p>
            <w:pPr/>
          </w:p>
        </w:tc>
        <w:tc>
          <w:tcPr>
            <w:tcW w:w="2976" w:type="dxa"/>
          </w:tcPr>
          <w:p>
            <w:pPr>
              <w:pStyle w:val="TableParagraph"/>
              <w:spacing w:line="251" w:lineRule="exact"/>
              <w:ind w:left="98"/>
              <w:rPr>
                <w:rFonts w:ascii="Arial"/>
                <w:sz w:val="22"/>
              </w:rPr>
            </w:pPr>
            <w:r>
              <w:rPr>
                <w:rFonts w:ascii="Arial"/>
                <w:sz w:val="22"/>
              </w:rPr>
              <w:t>Acreedores</w:t>
            </w:r>
          </w:p>
        </w:tc>
        <w:tc>
          <w:tcPr>
            <w:tcW w:w="2986" w:type="dxa"/>
          </w:tcPr>
          <w:p>
            <w:pPr>
              <w:pStyle w:val="TableParagraph"/>
              <w:spacing w:line="360" w:lineRule="auto"/>
              <w:ind w:left="98" w:right="97"/>
              <w:jc w:val="both"/>
              <w:rPr>
                <w:rFonts w:ascii="Arial" w:hAnsi="Arial"/>
                <w:sz w:val="22"/>
              </w:rPr>
            </w:pPr>
            <w:r>
              <w:rPr>
                <w:rFonts w:ascii="Arial" w:hAnsi="Arial"/>
                <w:sz w:val="22"/>
              </w:rPr>
              <w:t>Facturación por servicios contratados relacionados con la actividad primordial de la organización.</w:t>
            </w:r>
          </w:p>
        </w:tc>
      </w:tr>
      <w:tr>
        <w:trPr>
          <w:trHeight w:val="1157" w:hRule="exact"/>
        </w:trPr>
        <w:tc>
          <w:tcPr>
            <w:tcW w:w="2967" w:type="dxa"/>
            <w:vMerge/>
            <w:shd w:val="clear" w:color="auto" w:fill="EED2D2"/>
          </w:tcPr>
          <w:p>
            <w:pPr/>
          </w:p>
        </w:tc>
        <w:tc>
          <w:tcPr>
            <w:tcW w:w="2976" w:type="dxa"/>
            <w:shd w:val="clear" w:color="auto" w:fill="EED2D2"/>
          </w:tcPr>
          <w:p>
            <w:pPr>
              <w:pStyle w:val="TableParagraph"/>
              <w:spacing w:line="251" w:lineRule="exact"/>
              <w:ind w:left="98"/>
              <w:rPr>
                <w:rFonts w:ascii="Arial"/>
                <w:sz w:val="22"/>
              </w:rPr>
            </w:pPr>
            <w:r>
              <w:rPr>
                <w:rFonts w:ascii="Arial"/>
                <w:sz w:val="22"/>
              </w:rPr>
              <w:t>Documentos por pagar</w:t>
            </w:r>
          </w:p>
        </w:tc>
        <w:tc>
          <w:tcPr>
            <w:tcW w:w="2986" w:type="dxa"/>
            <w:shd w:val="clear" w:color="auto" w:fill="EED2D2"/>
          </w:tcPr>
          <w:p>
            <w:pPr>
              <w:pStyle w:val="TableParagraph"/>
              <w:spacing w:line="360" w:lineRule="auto"/>
              <w:ind w:left="98" w:right="97"/>
              <w:jc w:val="both"/>
              <w:rPr>
                <w:rFonts w:ascii="Arial" w:hAnsi="Arial"/>
                <w:sz w:val="22"/>
              </w:rPr>
            </w:pPr>
            <w:r>
              <w:rPr>
                <w:rFonts w:ascii="Arial" w:hAnsi="Arial"/>
                <w:sz w:val="22"/>
              </w:rPr>
              <w:t>Cantidades por pagar por concepto de pagarés u  otros títulos de</w:t>
            </w:r>
            <w:r>
              <w:rPr>
                <w:rFonts w:ascii="Arial" w:hAnsi="Arial"/>
                <w:spacing w:val="-9"/>
                <w:sz w:val="22"/>
              </w:rPr>
              <w:t> </w:t>
            </w:r>
            <w:r>
              <w:rPr>
                <w:rFonts w:ascii="Arial" w:hAnsi="Arial"/>
                <w:sz w:val="22"/>
              </w:rPr>
              <w:t>crédito.</w:t>
            </w:r>
          </w:p>
        </w:tc>
      </w:tr>
      <w:tr>
        <w:trPr>
          <w:trHeight w:val="780" w:hRule="exact"/>
        </w:trPr>
        <w:tc>
          <w:tcPr>
            <w:tcW w:w="2967" w:type="dxa"/>
            <w:vMerge/>
            <w:shd w:val="clear" w:color="auto" w:fill="EED2D2"/>
          </w:tcPr>
          <w:p>
            <w:pPr/>
          </w:p>
        </w:tc>
        <w:tc>
          <w:tcPr>
            <w:tcW w:w="2976" w:type="dxa"/>
          </w:tcPr>
          <w:p>
            <w:pPr>
              <w:pStyle w:val="TableParagraph"/>
              <w:ind w:left="98"/>
              <w:rPr>
                <w:rFonts w:ascii="Arial"/>
                <w:sz w:val="22"/>
              </w:rPr>
            </w:pPr>
            <w:r>
              <w:rPr>
                <w:rFonts w:ascii="Arial"/>
                <w:sz w:val="22"/>
              </w:rPr>
              <w:t>Impuestos por pagar</w:t>
            </w:r>
          </w:p>
        </w:tc>
        <w:tc>
          <w:tcPr>
            <w:tcW w:w="2986" w:type="dxa"/>
          </w:tcPr>
          <w:p>
            <w:pPr>
              <w:pStyle w:val="TableParagraph"/>
              <w:spacing w:line="360" w:lineRule="auto"/>
              <w:ind w:left="98" w:right="97"/>
              <w:rPr>
                <w:rFonts w:ascii="Arial"/>
                <w:sz w:val="22"/>
              </w:rPr>
            </w:pPr>
            <w:r>
              <w:rPr>
                <w:rFonts w:ascii="Arial"/>
                <w:sz w:val="22"/>
              </w:rPr>
              <w:t>Cantidades por pagar por concepto de impuestos</w:t>
            </w:r>
          </w:p>
        </w:tc>
      </w:tr>
      <w:tr>
        <w:trPr>
          <w:trHeight w:val="2297" w:hRule="exact"/>
        </w:trPr>
        <w:tc>
          <w:tcPr>
            <w:tcW w:w="2967" w:type="dxa"/>
            <w:vMerge/>
            <w:shd w:val="clear" w:color="auto" w:fill="EED2D2"/>
          </w:tcPr>
          <w:p>
            <w:pPr/>
          </w:p>
        </w:tc>
        <w:tc>
          <w:tcPr>
            <w:tcW w:w="2976" w:type="dxa"/>
            <w:shd w:val="clear" w:color="auto" w:fill="EED2D2"/>
          </w:tcPr>
          <w:p>
            <w:pPr>
              <w:pStyle w:val="TableParagraph"/>
              <w:spacing w:line="251" w:lineRule="exact"/>
              <w:ind w:left="98"/>
              <w:rPr>
                <w:rFonts w:ascii="Arial"/>
                <w:sz w:val="22"/>
              </w:rPr>
            </w:pPr>
            <w:r>
              <w:rPr>
                <w:rFonts w:ascii="Arial"/>
                <w:sz w:val="22"/>
              </w:rPr>
              <w:t>ISR y PTU</w:t>
            </w:r>
          </w:p>
        </w:tc>
        <w:tc>
          <w:tcPr>
            <w:tcW w:w="2986" w:type="dxa"/>
            <w:shd w:val="clear" w:color="auto" w:fill="EED2D2"/>
          </w:tcPr>
          <w:p>
            <w:pPr>
              <w:pStyle w:val="TableParagraph"/>
              <w:spacing w:line="360" w:lineRule="auto"/>
              <w:ind w:left="98" w:right="95"/>
              <w:jc w:val="both"/>
              <w:rPr>
                <w:rFonts w:ascii="Arial" w:hAnsi="Arial"/>
                <w:sz w:val="22"/>
              </w:rPr>
            </w:pPr>
            <w:r>
              <w:rPr>
                <w:rFonts w:ascii="Arial" w:hAnsi="Arial"/>
                <w:sz w:val="22"/>
              </w:rPr>
              <w:t>Cantidades por pagar por concepto de impuestos sobre la renta y participación de los trabajadores en las utilidades de la</w:t>
            </w:r>
            <w:r>
              <w:rPr>
                <w:rFonts w:ascii="Arial" w:hAnsi="Arial"/>
                <w:spacing w:val="-6"/>
                <w:sz w:val="22"/>
              </w:rPr>
              <w:t> </w:t>
            </w:r>
            <w:r>
              <w:rPr>
                <w:rFonts w:ascii="Arial" w:hAnsi="Arial"/>
                <w:sz w:val="22"/>
              </w:rPr>
              <w:t>entidad.</w:t>
            </w:r>
          </w:p>
        </w:tc>
      </w:tr>
      <w:tr>
        <w:trPr>
          <w:trHeight w:val="1160" w:hRule="exact"/>
        </w:trPr>
        <w:tc>
          <w:tcPr>
            <w:tcW w:w="2967" w:type="dxa"/>
            <w:vMerge/>
            <w:shd w:val="clear" w:color="auto" w:fill="EED2D2"/>
          </w:tcPr>
          <w:p>
            <w:pPr/>
          </w:p>
        </w:tc>
        <w:tc>
          <w:tcPr>
            <w:tcW w:w="2976" w:type="dxa"/>
          </w:tcPr>
          <w:p>
            <w:pPr>
              <w:pStyle w:val="TableParagraph"/>
              <w:spacing w:line="251" w:lineRule="exact"/>
              <w:ind w:left="98"/>
              <w:rPr>
                <w:rFonts w:ascii="Arial"/>
                <w:sz w:val="22"/>
              </w:rPr>
            </w:pPr>
            <w:r>
              <w:rPr>
                <w:rFonts w:ascii="Arial"/>
                <w:sz w:val="22"/>
              </w:rPr>
              <w:t>IVA por pagar</w:t>
            </w:r>
          </w:p>
        </w:tc>
        <w:tc>
          <w:tcPr>
            <w:tcW w:w="2986" w:type="dxa"/>
          </w:tcPr>
          <w:p>
            <w:pPr>
              <w:pStyle w:val="TableParagraph"/>
              <w:spacing w:line="360" w:lineRule="auto"/>
              <w:ind w:left="98" w:right="98"/>
              <w:jc w:val="both"/>
              <w:rPr>
                <w:rFonts w:ascii="Arial"/>
                <w:sz w:val="22"/>
              </w:rPr>
            </w:pPr>
            <w:r>
              <w:rPr>
                <w:rFonts w:ascii="Arial"/>
                <w:sz w:val="22"/>
              </w:rPr>
              <w:t>Cantidades por pagar por concepto de Impuesto al Valor Agregado.</w:t>
            </w:r>
          </w:p>
        </w:tc>
      </w:tr>
      <w:tr>
        <w:trPr>
          <w:trHeight w:val="1157" w:hRule="exact"/>
        </w:trPr>
        <w:tc>
          <w:tcPr>
            <w:tcW w:w="2967" w:type="dxa"/>
            <w:vMerge/>
            <w:shd w:val="clear" w:color="auto" w:fill="EED2D2"/>
          </w:tcPr>
          <w:p>
            <w:pPr/>
          </w:p>
        </w:tc>
        <w:tc>
          <w:tcPr>
            <w:tcW w:w="2976" w:type="dxa"/>
            <w:shd w:val="clear" w:color="auto" w:fill="EED2D2"/>
          </w:tcPr>
          <w:p>
            <w:pPr>
              <w:pStyle w:val="TableParagraph"/>
              <w:spacing w:line="251" w:lineRule="exact"/>
              <w:ind w:left="98"/>
              <w:rPr>
                <w:rFonts w:ascii="Arial"/>
                <w:sz w:val="22"/>
              </w:rPr>
            </w:pPr>
            <w:r>
              <w:rPr>
                <w:rFonts w:ascii="Arial"/>
                <w:sz w:val="22"/>
              </w:rPr>
              <w:t>Obligaciones laborales</w:t>
            </w:r>
          </w:p>
        </w:tc>
        <w:tc>
          <w:tcPr>
            <w:tcW w:w="2986" w:type="dxa"/>
            <w:shd w:val="clear" w:color="auto" w:fill="EED2D2"/>
          </w:tcPr>
          <w:p>
            <w:pPr>
              <w:pStyle w:val="TableParagraph"/>
              <w:spacing w:line="360" w:lineRule="auto"/>
              <w:ind w:left="98" w:right="96"/>
              <w:jc w:val="both"/>
              <w:rPr>
                <w:rFonts w:ascii="Arial" w:hAnsi="Arial"/>
                <w:sz w:val="22"/>
              </w:rPr>
            </w:pPr>
            <w:r>
              <w:rPr>
                <w:rFonts w:ascii="Arial" w:hAnsi="Arial"/>
                <w:sz w:val="22"/>
              </w:rPr>
              <w:t>Cantidades por pagar por concepto de prima de antigüedad.</w:t>
            </w:r>
          </w:p>
        </w:tc>
      </w:tr>
      <w:tr>
        <w:trPr>
          <w:trHeight w:val="401" w:hRule="exact"/>
        </w:trPr>
        <w:tc>
          <w:tcPr>
            <w:tcW w:w="2967" w:type="dxa"/>
          </w:tcPr>
          <w:p>
            <w:pPr>
              <w:pStyle w:val="TableParagraph"/>
              <w:ind w:left="98"/>
              <w:rPr>
                <w:rFonts w:ascii="Arial" w:hAnsi="Arial"/>
                <w:sz w:val="22"/>
              </w:rPr>
            </w:pPr>
            <w:r>
              <w:rPr>
                <w:rFonts w:ascii="Arial" w:hAnsi="Arial"/>
                <w:sz w:val="22"/>
              </w:rPr>
              <w:t>No  circulantes  (más  de un</w:t>
            </w:r>
          </w:p>
        </w:tc>
        <w:tc>
          <w:tcPr>
            <w:tcW w:w="2976" w:type="dxa"/>
          </w:tcPr>
          <w:p>
            <w:pPr>
              <w:pStyle w:val="TableParagraph"/>
              <w:ind w:left="98"/>
              <w:rPr>
                <w:rFonts w:ascii="Arial" w:hAnsi="Arial"/>
                <w:sz w:val="22"/>
              </w:rPr>
            </w:pPr>
            <w:r>
              <w:rPr>
                <w:rFonts w:ascii="Arial" w:hAnsi="Arial"/>
                <w:sz w:val="22"/>
              </w:rPr>
              <w:t>Créditos a largo plazo</w:t>
            </w:r>
          </w:p>
        </w:tc>
        <w:tc>
          <w:tcPr>
            <w:tcW w:w="2986" w:type="dxa"/>
          </w:tcPr>
          <w:p>
            <w:pPr>
              <w:pStyle w:val="TableParagraph"/>
              <w:ind w:left="98"/>
              <w:rPr>
                <w:rFonts w:ascii="Arial"/>
                <w:sz w:val="22"/>
              </w:rPr>
            </w:pPr>
            <w:r>
              <w:rPr>
                <w:rFonts w:ascii="Arial"/>
                <w:sz w:val="22"/>
              </w:rPr>
              <w:t>Cantidades  por  pagar   por</w:t>
            </w:r>
          </w:p>
        </w:tc>
      </w:tr>
    </w:tbl>
    <w:p>
      <w:pPr>
        <w:spacing w:after="0"/>
        <w:rPr>
          <w:rFonts w:ascii="Arial"/>
          <w:sz w:val="22"/>
        </w:rPr>
        <w:sectPr>
          <w:pgSz w:w="12240" w:h="15840"/>
          <w:pgMar w:header="0" w:footer="779" w:top="1360" w:bottom="960" w:left="1480" w:right="1580"/>
        </w:sectPr>
      </w:pPr>
    </w:p>
    <w:tbl>
      <w:tblPr>
        <w:tblW w:w="0" w:type="auto"/>
        <w:jc w:val="left"/>
        <w:tblInd w:w="104" w:type="dxa"/>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Layout w:type="fixed"/>
        <w:tblCellMar>
          <w:top w:w="0" w:type="dxa"/>
          <w:left w:w="0" w:type="dxa"/>
          <w:bottom w:w="0" w:type="dxa"/>
          <w:right w:w="0" w:type="dxa"/>
        </w:tblCellMar>
        <w:tblLook w:val="01E0"/>
      </w:tblPr>
      <w:tblGrid>
        <w:gridCol w:w="2967"/>
        <w:gridCol w:w="2976"/>
        <w:gridCol w:w="2986"/>
      </w:tblGrid>
      <w:tr>
        <w:trPr>
          <w:trHeight w:val="780" w:hRule="exact"/>
        </w:trPr>
        <w:tc>
          <w:tcPr>
            <w:tcW w:w="2967" w:type="dxa"/>
          </w:tcPr>
          <w:p>
            <w:pPr>
              <w:pStyle w:val="TableParagraph"/>
              <w:spacing w:line="251" w:lineRule="exact"/>
              <w:ind w:left="98"/>
              <w:rPr>
                <w:rFonts w:ascii="Arial" w:hAnsi="Arial"/>
                <w:sz w:val="22"/>
              </w:rPr>
            </w:pPr>
            <w:r>
              <w:rPr>
                <w:rFonts w:ascii="Arial" w:hAnsi="Arial"/>
                <w:sz w:val="22"/>
              </w:rPr>
              <w:t>año)</w:t>
            </w:r>
          </w:p>
        </w:tc>
        <w:tc>
          <w:tcPr>
            <w:tcW w:w="2976" w:type="dxa"/>
          </w:tcPr>
          <w:p>
            <w:pPr/>
          </w:p>
        </w:tc>
        <w:tc>
          <w:tcPr>
            <w:tcW w:w="2986" w:type="dxa"/>
          </w:tcPr>
          <w:p>
            <w:pPr>
              <w:pStyle w:val="TableParagraph"/>
              <w:spacing w:line="360" w:lineRule="auto"/>
              <w:ind w:left="98" w:right="76"/>
              <w:rPr>
                <w:rFonts w:ascii="Arial" w:hAnsi="Arial"/>
                <w:sz w:val="22"/>
              </w:rPr>
            </w:pPr>
            <w:r>
              <w:rPr>
                <w:rFonts w:ascii="Arial" w:hAnsi="Arial"/>
                <w:sz w:val="22"/>
              </w:rPr>
              <w:t>concepto de  amortización de créditos.</w:t>
            </w:r>
          </w:p>
        </w:tc>
      </w:tr>
    </w:tbl>
    <w:p>
      <w:pPr>
        <w:pStyle w:val="BodyText"/>
        <w:rPr>
          <w:sz w:val="20"/>
        </w:rPr>
      </w:pPr>
    </w:p>
    <w:p>
      <w:pPr>
        <w:pStyle w:val="BodyText"/>
        <w:rPr>
          <w:sz w:val="20"/>
        </w:rPr>
      </w:pPr>
    </w:p>
    <w:p>
      <w:pPr>
        <w:pStyle w:val="BodyText"/>
        <w:spacing w:before="7"/>
        <w:rPr>
          <w:sz w:val="25"/>
        </w:rPr>
      </w:pPr>
    </w:p>
    <w:p>
      <w:pPr>
        <w:pStyle w:val="Heading2"/>
        <w:spacing w:before="70"/>
        <w:ind w:left="222"/>
      </w:pPr>
      <w:r>
        <w:rPr/>
        <w:t>Capital contable</w:t>
      </w:r>
    </w:p>
    <w:p>
      <w:pPr>
        <w:pStyle w:val="BodyText"/>
        <w:spacing w:line="360" w:lineRule="auto" w:before="137"/>
        <w:ind w:left="222" w:right="123"/>
        <w:jc w:val="both"/>
      </w:pPr>
      <w:r>
        <w:rPr/>
        <w:t>Es el valor residual de los activos de la entidad, una vez deducidos todos sus pasivos. El capital contable o patrimonio contable representa el valor que contablemente tiene la entidad; por esta razón también se le conoce como “activos netos” de una entidad (activos menos pasivos).</w:t>
      </w:r>
    </w:p>
    <w:p>
      <w:pPr>
        <w:pStyle w:val="BodyText"/>
      </w:pPr>
    </w:p>
    <w:p>
      <w:pPr>
        <w:pStyle w:val="BodyText"/>
        <w:spacing w:before="142"/>
        <w:ind w:left="222"/>
        <w:jc w:val="both"/>
      </w:pPr>
      <w:r>
        <w:rPr/>
        <w:t>Tipos de capital contable y patrimonio contable:</w:t>
      </w:r>
    </w:p>
    <w:p>
      <w:pPr>
        <w:pStyle w:val="BodyText"/>
        <w:spacing w:line="360" w:lineRule="auto" w:before="137"/>
        <w:ind w:left="222" w:right="125"/>
        <w:jc w:val="both"/>
      </w:pPr>
      <w:r>
        <w:rPr/>
        <w:t>El capital contable de las entidades lucrativas se clasifica de acuerdo con su  origen</w:t>
      </w:r>
      <w:r>
        <w:rPr>
          <w:spacing w:val="-4"/>
        </w:rPr>
        <w:t> </w:t>
      </w:r>
      <w:r>
        <w:rPr/>
        <w:t>en:</w:t>
      </w:r>
    </w:p>
    <w:p>
      <w:pPr>
        <w:pStyle w:val="ListParagraph"/>
        <w:numPr>
          <w:ilvl w:val="2"/>
          <w:numId w:val="21"/>
        </w:numPr>
        <w:tabs>
          <w:tab w:pos="941" w:val="left" w:leader="none"/>
          <w:tab w:pos="942" w:val="left" w:leader="none"/>
          <w:tab w:pos="5178" w:val="left" w:leader="none"/>
        </w:tabs>
        <w:spacing w:line="350" w:lineRule="auto" w:before="3" w:after="0"/>
        <w:ind w:left="942" w:right="119" w:hanging="360"/>
        <w:jc w:val="left"/>
        <w:rPr>
          <w:sz w:val="24"/>
        </w:rPr>
      </w:pPr>
      <w:r>
        <w:rPr>
          <w:sz w:val="24"/>
        </w:rPr>
        <w:t>Capital contribuido,</w:t>
      </w:r>
      <w:r>
        <w:rPr>
          <w:spacing w:val="-4"/>
          <w:sz w:val="24"/>
        </w:rPr>
        <w:t> </w:t>
      </w:r>
      <w:r>
        <w:rPr>
          <w:sz w:val="24"/>
        </w:rPr>
        <w:t>conformado</w:t>
      </w:r>
      <w:r>
        <w:rPr>
          <w:spacing w:val="-2"/>
          <w:sz w:val="24"/>
        </w:rPr>
        <w:t> </w:t>
      </w:r>
      <w:r>
        <w:rPr>
          <w:sz w:val="24"/>
        </w:rPr>
        <w:t>por</w:t>
        <w:tab/>
        <w:t>las aportaciones de </w:t>
      </w:r>
      <w:r>
        <w:rPr>
          <w:spacing w:val="3"/>
          <w:sz w:val="24"/>
        </w:rPr>
        <w:t> </w:t>
      </w:r>
      <w:r>
        <w:rPr>
          <w:sz w:val="24"/>
        </w:rPr>
        <w:t>los</w:t>
      </w:r>
      <w:r>
        <w:rPr>
          <w:spacing w:val="22"/>
          <w:sz w:val="24"/>
        </w:rPr>
        <w:t> </w:t>
      </w:r>
      <w:r>
        <w:rPr>
          <w:sz w:val="24"/>
        </w:rPr>
        <w:t>propietarios </w:t>
      </w:r>
      <w:r>
        <w:rPr>
          <w:sz w:val="24"/>
        </w:rPr>
        <w:t>de la</w:t>
      </w:r>
      <w:r>
        <w:rPr>
          <w:spacing w:val="-4"/>
          <w:sz w:val="24"/>
        </w:rPr>
        <w:t> </w:t>
      </w:r>
      <w:r>
        <w:rPr>
          <w:sz w:val="24"/>
        </w:rPr>
        <w:t>entidad.</w:t>
      </w:r>
    </w:p>
    <w:p>
      <w:pPr>
        <w:pStyle w:val="ListParagraph"/>
        <w:numPr>
          <w:ilvl w:val="2"/>
          <w:numId w:val="21"/>
        </w:numPr>
        <w:tabs>
          <w:tab w:pos="941" w:val="left" w:leader="none"/>
          <w:tab w:pos="942" w:val="left" w:leader="none"/>
        </w:tabs>
        <w:spacing w:line="350" w:lineRule="auto" w:before="16" w:after="0"/>
        <w:ind w:left="942" w:right="124" w:hanging="360"/>
        <w:jc w:val="left"/>
        <w:rPr>
          <w:sz w:val="24"/>
        </w:rPr>
      </w:pPr>
      <w:r>
        <w:rPr>
          <w:sz w:val="24"/>
        </w:rPr>
        <w:t>Capital ganado, conformado por las utilidades y pérdidas integrales acumuladas.</w:t>
      </w:r>
    </w:p>
    <w:p>
      <w:pPr>
        <w:pStyle w:val="BodyText"/>
      </w:pPr>
    </w:p>
    <w:p>
      <w:pPr>
        <w:pStyle w:val="Heading2"/>
        <w:numPr>
          <w:ilvl w:val="1"/>
          <w:numId w:val="21"/>
        </w:numPr>
        <w:tabs>
          <w:tab w:pos="789" w:val="left" w:leader="none"/>
        </w:tabs>
        <w:spacing w:line="240" w:lineRule="auto" w:before="153" w:after="0"/>
        <w:ind w:left="788" w:right="0" w:hanging="566"/>
        <w:jc w:val="both"/>
      </w:pPr>
      <w:bookmarkStart w:name="_bookmark22" w:id="35"/>
      <w:bookmarkEnd w:id="35"/>
      <w:r>
        <w:rPr>
          <w:b w:val="0"/>
        </w:rPr>
      </w:r>
      <w:bookmarkStart w:name="_bookmark22" w:id="36"/>
      <w:bookmarkEnd w:id="36"/>
      <w:r>
        <w:rPr/>
        <w:t>Regi</w:t>
      </w:r>
      <w:r>
        <w:rPr/>
        <w:t>stro de operaciones por el sistema de</w:t>
      </w:r>
      <w:r>
        <w:rPr>
          <w:spacing w:val="-13"/>
        </w:rPr>
        <w:t> </w:t>
      </w:r>
      <w:r>
        <w:rPr/>
        <w:t>pólizas.</w:t>
      </w:r>
    </w:p>
    <w:p>
      <w:pPr>
        <w:pStyle w:val="BodyText"/>
        <w:spacing w:line="360" w:lineRule="auto" w:before="137"/>
        <w:ind w:left="222" w:right="124"/>
        <w:jc w:val="both"/>
      </w:pPr>
      <w:r>
        <w:rPr/>
        <w:t>Las pólizas son documentos de carácter interno, en los cuales se anotan las operaciones, detallada y ordenadamente, o sea tal como se registran las operaciones en el Diario continental.</w:t>
      </w:r>
    </w:p>
    <w:p>
      <w:pPr>
        <w:pStyle w:val="BodyText"/>
      </w:pPr>
    </w:p>
    <w:p>
      <w:pPr>
        <w:pStyle w:val="BodyText"/>
        <w:spacing w:line="360" w:lineRule="auto" w:before="142"/>
        <w:ind w:left="222" w:right="116"/>
        <w:jc w:val="both"/>
      </w:pPr>
      <w:r>
        <w:rPr/>
        <w:t>Las pólizas se hacen por duplicado o más ejemplares; al original se le anexan los documentos (facturas, notas, recibos, etc.) que comprueban las operaciones registradas. Para que el registro de las operaciones sea más rápido y claro, debe hacerse mediante el empleo de máquinas de escribir, en lugar de hacerlos en forma manuscrita; por este motivo, al procedimiento de pólizas se le considera como el precursor de los procedimientos mecanizados.</w:t>
      </w:r>
    </w:p>
    <w:p>
      <w:pPr>
        <w:spacing w:after="0" w:line="360" w:lineRule="auto"/>
        <w:jc w:val="both"/>
        <w:sectPr>
          <w:pgSz w:w="12240" w:h="15840"/>
          <w:pgMar w:header="0" w:footer="779" w:top="1420" w:bottom="960" w:left="1480" w:right="1580"/>
        </w:sectPr>
      </w:pPr>
    </w:p>
    <w:p>
      <w:pPr>
        <w:pStyle w:val="BodyText"/>
        <w:spacing w:line="360" w:lineRule="auto" w:before="56"/>
        <w:ind w:left="102" w:right="116"/>
        <w:jc w:val="both"/>
      </w:pPr>
      <w:r>
        <w:rPr/>
        <w:t>En las pólizas, se deben hacer constar las firmas de las personas que  intervinieron en su formulación, revisión y autorización, a </w:t>
      </w:r>
      <w:r>
        <w:rPr>
          <w:spacing w:val="3"/>
        </w:rPr>
        <w:t>fin </w:t>
      </w:r>
      <w:r>
        <w:rPr/>
        <w:t>de delimitar responsabilidades.</w:t>
      </w:r>
    </w:p>
    <w:p>
      <w:pPr>
        <w:pStyle w:val="BodyText"/>
      </w:pPr>
    </w:p>
    <w:p>
      <w:pPr>
        <w:pStyle w:val="BodyText"/>
        <w:spacing w:before="142"/>
        <w:ind w:left="102"/>
        <w:jc w:val="both"/>
      </w:pPr>
      <w:r>
        <w:rPr>
          <w:u w:val="single"/>
        </w:rPr>
        <w:t>Procedimiento de pólizas:</w:t>
      </w:r>
    </w:p>
    <w:p>
      <w:pPr>
        <w:pStyle w:val="ListParagraph"/>
        <w:numPr>
          <w:ilvl w:val="0"/>
          <w:numId w:val="22"/>
        </w:numPr>
        <w:tabs>
          <w:tab w:pos="810" w:val="left" w:leader="none"/>
        </w:tabs>
        <w:spacing w:line="360" w:lineRule="auto" w:before="137" w:after="0"/>
        <w:ind w:left="102" w:right="122" w:firstLine="0"/>
        <w:jc w:val="both"/>
        <w:rPr>
          <w:sz w:val="24"/>
        </w:rPr>
      </w:pPr>
      <w:r>
        <w:rPr>
          <w:sz w:val="24"/>
        </w:rPr>
        <w:t>Las personas encargadas de formular las pólizas, toman los datos directamente de los documentos para hacer los asientos respectivos; hecho lo cual, a las pó1izas originales les anexan los comprobantes, les ponen su firma, y se las pasan al contador para que este a su vez las firme, en caso de que los asientos estén correctos, y las pase al funcionario encargado de autorizarlas, mediante su firma, para que puedan ser registradas en los libros y registros auxiliares.</w:t>
      </w:r>
    </w:p>
    <w:p>
      <w:pPr>
        <w:pStyle w:val="BodyText"/>
        <w:spacing w:before="1"/>
        <w:rPr>
          <w:sz w:val="27"/>
        </w:rPr>
      </w:pPr>
    </w:p>
    <w:p>
      <w:pPr>
        <w:pStyle w:val="ListParagraph"/>
        <w:numPr>
          <w:ilvl w:val="0"/>
          <w:numId w:val="22"/>
        </w:numPr>
        <w:tabs>
          <w:tab w:pos="810" w:val="left" w:leader="none"/>
        </w:tabs>
        <w:spacing w:line="360" w:lineRule="auto" w:before="1" w:after="0"/>
        <w:ind w:left="102" w:right="119" w:firstLine="0"/>
        <w:jc w:val="both"/>
        <w:rPr>
          <w:sz w:val="24"/>
        </w:rPr>
      </w:pPr>
      <w:r>
        <w:rPr>
          <w:sz w:val="24"/>
        </w:rPr>
        <w:t>Los asientos de las pólizas, una vez que se han autorizado, se deben pasar a Diarios tabulares sin concepto, denominados registros de pólizas y además, a las subcuentas de los Mayores</w:t>
      </w:r>
      <w:r>
        <w:rPr>
          <w:spacing w:val="-17"/>
          <w:sz w:val="24"/>
        </w:rPr>
        <w:t> </w:t>
      </w:r>
      <w:r>
        <w:rPr>
          <w:sz w:val="24"/>
        </w:rPr>
        <w:t>auxiliares.</w:t>
      </w:r>
    </w:p>
    <w:p>
      <w:pPr>
        <w:pStyle w:val="BodyText"/>
        <w:spacing w:before="2"/>
        <w:rPr>
          <w:sz w:val="27"/>
        </w:rPr>
      </w:pPr>
    </w:p>
    <w:p>
      <w:pPr>
        <w:pStyle w:val="ListParagraph"/>
        <w:numPr>
          <w:ilvl w:val="0"/>
          <w:numId w:val="22"/>
        </w:numPr>
        <w:tabs>
          <w:tab w:pos="810" w:val="left" w:leader="none"/>
        </w:tabs>
        <w:spacing w:line="360" w:lineRule="auto" w:before="0" w:after="0"/>
        <w:ind w:left="102" w:right="125" w:firstLine="0"/>
        <w:jc w:val="both"/>
        <w:rPr>
          <w:sz w:val="24"/>
        </w:rPr>
      </w:pPr>
      <w:r>
        <w:rPr>
          <w:sz w:val="24"/>
        </w:rPr>
        <w:t>Los datos para hacer los asientos en los registros de pólizas y en las subcuentas, se toman de las pólizas  y de sus copias,</w:t>
      </w:r>
      <w:r>
        <w:rPr>
          <w:spacing w:val="-25"/>
          <w:sz w:val="24"/>
        </w:rPr>
        <w:t> </w:t>
      </w:r>
      <w:r>
        <w:rPr>
          <w:sz w:val="24"/>
        </w:rPr>
        <w:t>respectivamente.</w:t>
      </w:r>
    </w:p>
    <w:p>
      <w:pPr>
        <w:pStyle w:val="BodyText"/>
        <w:spacing w:before="1"/>
        <w:rPr>
          <w:sz w:val="27"/>
        </w:rPr>
      </w:pPr>
    </w:p>
    <w:p>
      <w:pPr>
        <w:pStyle w:val="ListParagraph"/>
        <w:numPr>
          <w:ilvl w:val="0"/>
          <w:numId w:val="22"/>
        </w:numPr>
        <w:tabs>
          <w:tab w:pos="810" w:val="left" w:leader="none"/>
        </w:tabs>
        <w:spacing w:line="360" w:lineRule="auto" w:before="1" w:after="0"/>
        <w:ind w:left="102" w:right="124" w:firstLine="0"/>
        <w:jc w:val="both"/>
        <w:rPr>
          <w:sz w:val="24"/>
        </w:rPr>
      </w:pPr>
      <w:r>
        <w:rPr>
          <w:sz w:val="24"/>
        </w:rPr>
        <w:t>Concluida la anotación en los Registros y en los Mayores auxiliares, las pó1izas se deben archivar por numeración progresiva, con objeto de poderlas localizar con mayor</w:t>
      </w:r>
      <w:r>
        <w:rPr>
          <w:spacing w:val="-10"/>
          <w:sz w:val="24"/>
        </w:rPr>
        <w:t> </w:t>
      </w:r>
      <w:r>
        <w:rPr>
          <w:sz w:val="24"/>
        </w:rPr>
        <w:t>facilidad.</w:t>
      </w:r>
    </w:p>
    <w:p>
      <w:pPr>
        <w:pStyle w:val="BodyText"/>
        <w:spacing w:before="1"/>
        <w:rPr>
          <w:sz w:val="27"/>
        </w:rPr>
      </w:pPr>
    </w:p>
    <w:p>
      <w:pPr>
        <w:pStyle w:val="ListParagraph"/>
        <w:numPr>
          <w:ilvl w:val="0"/>
          <w:numId w:val="22"/>
        </w:numPr>
        <w:tabs>
          <w:tab w:pos="810" w:val="left" w:leader="none"/>
        </w:tabs>
        <w:spacing w:line="360" w:lineRule="auto" w:before="1" w:after="0"/>
        <w:ind w:left="102" w:right="120" w:firstLine="0"/>
        <w:jc w:val="both"/>
        <w:rPr>
          <w:sz w:val="24"/>
        </w:rPr>
      </w:pPr>
      <w:r>
        <w:rPr>
          <w:sz w:val="24"/>
        </w:rPr>
        <w:t>Cada fin de mes, por lo regular, se suman los cargos y abonos que recibieron las cuentas en los registros de pólizas, y con los totales se forma un solo asiento de concentración que pasa al Diario</w:t>
      </w:r>
      <w:r>
        <w:rPr>
          <w:spacing w:val="-22"/>
          <w:sz w:val="24"/>
        </w:rPr>
        <w:t> </w:t>
      </w:r>
      <w:r>
        <w:rPr>
          <w:sz w:val="24"/>
        </w:rPr>
        <w:t>general.</w:t>
      </w:r>
    </w:p>
    <w:p>
      <w:pPr>
        <w:pStyle w:val="BodyText"/>
        <w:spacing w:before="1"/>
        <w:rPr>
          <w:sz w:val="27"/>
        </w:rPr>
      </w:pPr>
    </w:p>
    <w:p>
      <w:pPr>
        <w:pStyle w:val="ListParagraph"/>
        <w:numPr>
          <w:ilvl w:val="0"/>
          <w:numId w:val="22"/>
        </w:numPr>
        <w:tabs>
          <w:tab w:pos="810" w:val="left" w:leader="none"/>
        </w:tabs>
        <w:spacing w:line="360" w:lineRule="auto" w:before="1" w:after="0"/>
        <w:ind w:left="102" w:right="125" w:firstLine="0"/>
        <w:jc w:val="both"/>
        <w:rPr>
          <w:sz w:val="24"/>
        </w:rPr>
      </w:pPr>
      <w:r>
        <w:rPr>
          <w:sz w:val="24"/>
        </w:rPr>
        <w:t>Por último, los asientos de concentración que recibe el Diario general se pasan al libro Mayor, y de este se toman los datos para la formación de los estados</w:t>
      </w:r>
      <w:r>
        <w:rPr>
          <w:spacing w:val="-7"/>
          <w:sz w:val="24"/>
        </w:rPr>
        <w:t> </w:t>
      </w:r>
      <w:r>
        <w:rPr>
          <w:sz w:val="24"/>
        </w:rPr>
        <w:t>financieros.</w:t>
      </w:r>
    </w:p>
    <w:p>
      <w:pPr>
        <w:spacing w:after="0" w:line="360" w:lineRule="auto"/>
        <w:jc w:val="both"/>
        <w:rPr>
          <w:sz w:val="24"/>
        </w:rPr>
        <w:sectPr>
          <w:pgSz w:w="12240" w:h="15840"/>
          <w:pgMar w:header="0" w:footer="779" w:top="1360" w:bottom="960" w:left="1600" w:right="1580"/>
        </w:sectPr>
      </w:pPr>
    </w:p>
    <w:p>
      <w:pPr>
        <w:pStyle w:val="BodyText"/>
        <w:spacing w:before="56"/>
        <w:ind w:left="102"/>
        <w:jc w:val="both"/>
      </w:pPr>
      <w:r>
        <w:rPr>
          <w:u w:val="single"/>
        </w:rPr>
        <w:t>Tipos de Pólizas</w:t>
      </w:r>
    </w:p>
    <w:p>
      <w:pPr>
        <w:pStyle w:val="BodyText"/>
        <w:spacing w:line="360" w:lineRule="auto" w:before="135"/>
        <w:ind w:left="102" w:right="2590"/>
        <w:jc w:val="both"/>
      </w:pPr>
      <w:r>
        <w:rPr/>
        <w:drawing>
          <wp:anchor distT="0" distB="0" distL="0" distR="0" allowOverlap="1" layoutInCell="1" locked="0" behindDoc="0" simplePos="0" relativeHeight="1096">
            <wp:simplePos x="0" y="0"/>
            <wp:positionH relativeFrom="page">
              <wp:posOffset>5242559</wp:posOffset>
            </wp:positionH>
            <wp:positionV relativeFrom="paragraph">
              <wp:posOffset>242136</wp:posOffset>
            </wp:positionV>
            <wp:extent cx="1267967" cy="1443227"/>
            <wp:effectExtent l="0" t="0" r="0" b="0"/>
            <wp:wrapNone/>
            <wp:docPr id="11" name="image5.jpeg" descr=""/>
            <wp:cNvGraphicFramePr>
              <a:graphicFrameLocks noChangeAspect="1"/>
            </wp:cNvGraphicFramePr>
            <a:graphic>
              <a:graphicData uri="http://schemas.openxmlformats.org/drawingml/2006/picture">
                <pic:pic>
                  <pic:nvPicPr>
                    <pic:cNvPr id="12" name="image5.jpeg"/>
                    <pic:cNvPicPr/>
                  </pic:nvPicPr>
                  <pic:blipFill>
                    <a:blip r:embed="rId39" cstate="print"/>
                    <a:stretch>
                      <a:fillRect/>
                    </a:stretch>
                  </pic:blipFill>
                  <pic:spPr>
                    <a:xfrm>
                      <a:off x="0" y="0"/>
                      <a:ext cx="1267967" cy="1443227"/>
                    </a:xfrm>
                    <a:prstGeom prst="rect">
                      <a:avLst/>
                    </a:prstGeom>
                  </pic:spPr>
                </pic:pic>
              </a:graphicData>
            </a:graphic>
          </wp:anchor>
        </w:drawing>
      </w:r>
      <w:r>
        <w:rPr>
          <w:b/>
          <w:i/>
        </w:rPr>
        <w:t>Póliza de Diario</w:t>
      </w:r>
      <w:r>
        <w:rPr>
          <w:i/>
        </w:rPr>
        <w:t>. </w:t>
      </w:r>
      <w:r>
        <w:rPr/>
        <w:t>En este tipo de póliza se deben registrar y anexar los comprobantes de aquellas operaciones del negocio por las cuales no se tenga que hacer algún movimiento bancario en la cuenta del negocio; es decir, la póliza de diario es la que se elabora cuando la operación que se está registrando no implica una entrada de dinero al banco a través de una ficha de depósito ni una salida por la cual se deba elaborar un</w:t>
      </w:r>
      <w:r>
        <w:rPr>
          <w:spacing w:val="-13"/>
        </w:rPr>
        <w:t> </w:t>
      </w:r>
      <w:r>
        <w:rPr/>
        <w:t>cheque.</w:t>
      </w:r>
    </w:p>
    <w:p>
      <w:pPr>
        <w:pStyle w:val="BodyText"/>
        <w:rPr>
          <w:sz w:val="20"/>
        </w:rPr>
      </w:pPr>
    </w:p>
    <w:p>
      <w:pPr>
        <w:pStyle w:val="BodyText"/>
        <w:spacing w:line="360" w:lineRule="auto" w:before="188"/>
        <w:ind w:left="102" w:right="104"/>
        <w:jc w:val="both"/>
      </w:pPr>
      <w:r>
        <w:rPr/>
        <w:t>Es importante recordar, que adicionalmente a los requisitos para su correcto llenado, es necesario que esa póliza tenga siempre anexo el comprobante que está dando origen a su</w:t>
      </w:r>
      <w:r>
        <w:rPr>
          <w:spacing w:val="-10"/>
        </w:rPr>
        <w:t> </w:t>
      </w:r>
      <w:r>
        <w:rPr/>
        <w:t>elaboración.</w:t>
      </w:r>
    </w:p>
    <w:p>
      <w:pPr>
        <w:pStyle w:val="BodyText"/>
      </w:pPr>
    </w:p>
    <w:p>
      <w:pPr>
        <w:pStyle w:val="BodyText"/>
        <w:spacing w:line="360" w:lineRule="auto" w:before="142"/>
        <w:ind w:left="102" w:right="105"/>
        <w:jc w:val="both"/>
      </w:pPr>
      <w:r>
        <w:rPr/>
        <w:t>Así, por ejemplo, las operaciones que se registrarían y los comprobantes que se anexaría a una póliza de diario serían los siguientes:</w:t>
      </w:r>
    </w:p>
    <w:p>
      <w:pPr>
        <w:pStyle w:val="ListParagraph"/>
        <w:numPr>
          <w:ilvl w:val="0"/>
          <w:numId w:val="23"/>
        </w:numPr>
        <w:tabs>
          <w:tab w:pos="402" w:val="left" w:leader="none"/>
        </w:tabs>
        <w:spacing w:line="360" w:lineRule="auto" w:before="5" w:after="0"/>
        <w:ind w:left="102" w:right="105" w:firstLine="0"/>
        <w:jc w:val="both"/>
        <w:rPr>
          <w:sz w:val="24"/>
        </w:rPr>
      </w:pPr>
      <w:r>
        <w:rPr>
          <w:sz w:val="24"/>
        </w:rPr>
        <w:t>La materia prima que se recibió del proveedor y que aún no se paga, y con la cual recibimos su factura o el pedido para su revisión y pago</w:t>
      </w:r>
      <w:r>
        <w:rPr>
          <w:spacing w:val="-26"/>
          <w:sz w:val="24"/>
        </w:rPr>
        <w:t> </w:t>
      </w:r>
      <w:r>
        <w:rPr>
          <w:sz w:val="24"/>
        </w:rPr>
        <w:t>posterior.</w:t>
      </w:r>
    </w:p>
    <w:p>
      <w:pPr>
        <w:pStyle w:val="ListParagraph"/>
        <w:numPr>
          <w:ilvl w:val="0"/>
          <w:numId w:val="23"/>
        </w:numPr>
        <w:tabs>
          <w:tab w:pos="395" w:val="left" w:leader="none"/>
        </w:tabs>
        <w:spacing w:line="360" w:lineRule="auto" w:before="5" w:after="0"/>
        <w:ind w:left="102" w:right="109" w:firstLine="0"/>
        <w:jc w:val="both"/>
        <w:rPr>
          <w:sz w:val="24"/>
        </w:rPr>
      </w:pPr>
      <w:r>
        <w:rPr>
          <w:sz w:val="24"/>
        </w:rPr>
        <w:t>La entrega de mercancías a un cliente que nos pagará en un mes, junto con la factura para su revisión y cobro</w:t>
      </w:r>
      <w:r>
        <w:rPr>
          <w:spacing w:val="-10"/>
          <w:sz w:val="24"/>
        </w:rPr>
        <w:t> </w:t>
      </w:r>
      <w:r>
        <w:rPr>
          <w:sz w:val="24"/>
        </w:rPr>
        <w:t>posterior.</w:t>
      </w:r>
    </w:p>
    <w:p>
      <w:pPr>
        <w:pStyle w:val="ListParagraph"/>
        <w:numPr>
          <w:ilvl w:val="0"/>
          <w:numId w:val="23"/>
        </w:numPr>
        <w:tabs>
          <w:tab w:pos="369" w:val="left" w:leader="none"/>
        </w:tabs>
        <w:spacing w:line="360" w:lineRule="auto" w:before="5" w:after="0"/>
        <w:ind w:left="102" w:right="104" w:firstLine="0"/>
        <w:jc w:val="both"/>
        <w:rPr>
          <w:sz w:val="24"/>
        </w:rPr>
      </w:pPr>
      <w:r>
        <w:rPr>
          <w:sz w:val="24"/>
        </w:rPr>
        <w:t>El registro de cualquier operación interna del negocio que no implique la entrada o salida de dinero del banco, como el reconocimiento de la depreciación de los bienes destinados a la operación de tu</w:t>
      </w:r>
      <w:r>
        <w:rPr>
          <w:spacing w:val="-18"/>
          <w:sz w:val="24"/>
        </w:rPr>
        <w:t> </w:t>
      </w:r>
      <w:r>
        <w:rPr>
          <w:sz w:val="24"/>
        </w:rPr>
        <w:t>negocio.</w:t>
      </w:r>
    </w:p>
    <w:p>
      <w:pPr>
        <w:pStyle w:val="BodyText"/>
      </w:pPr>
    </w:p>
    <w:p>
      <w:pPr>
        <w:pStyle w:val="BodyText"/>
      </w:pPr>
    </w:p>
    <w:p>
      <w:pPr>
        <w:pStyle w:val="BodyText"/>
        <w:spacing w:before="3"/>
      </w:pPr>
    </w:p>
    <w:p>
      <w:pPr>
        <w:pStyle w:val="BodyText"/>
        <w:spacing w:line="360" w:lineRule="auto"/>
        <w:ind w:left="102" w:right="2705"/>
        <w:jc w:val="both"/>
      </w:pPr>
      <w:r>
        <w:rPr/>
        <w:drawing>
          <wp:anchor distT="0" distB="0" distL="0" distR="0" allowOverlap="1" layoutInCell="1" locked="0" behindDoc="0" simplePos="0" relativeHeight="1120">
            <wp:simplePos x="0" y="0"/>
            <wp:positionH relativeFrom="page">
              <wp:posOffset>5172455</wp:posOffset>
            </wp:positionH>
            <wp:positionV relativeFrom="paragraph">
              <wp:posOffset>-160072</wp:posOffset>
            </wp:positionV>
            <wp:extent cx="1304544" cy="1658112"/>
            <wp:effectExtent l="0" t="0" r="0" b="0"/>
            <wp:wrapNone/>
            <wp:docPr id="13" name="image6.jpeg" descr=""/>
            <wp:cNvGraphicFramePr>
              <a:graphicFrameLocks noChangeAspect="1"/>
            </wp:cNvGraphicFramePr>
            <a:graphic>
              <a:graphicData uri="http://schemas.openxmlformats.org/drawingml/2006/picture">
                <pic:pic>
                  <pic:nvPicPr>
                    <pic:cNvPr id="14" name="image6.jpeg"/>
                    <pic:cNvPicPr/>
                  </pic:nvPicPr>
                  <pic:blipFill>
                    <a:blip r:embed="rId40" cstate="print"/>
                    <a:stretch>
                      <a:fillRect/>
                    </a:stretch>
                  </pic:blipFill>
                  <pic:spPr>
                    <a:xfrm>
                      <a:off x="0" y="0"/>
                      <a:ext cx="1304544" cy="1658112"/>
                    </a:xfrm>
                    <a:prstGeom prst="rect">
                      <a:avLst/>
                    </a:prstGeom>
                  </pic:spPr>
                </pic:pic>
              </a:graphicData>
            </a:graphic>
          </wp:anchor>
        </w:drawing>
      </w:r>
      <w:r>
        <w:rPr>
          <w:b/>
        </w:rPr>
        <w:t>Póliza de Ingresos. </w:t>
      </w:r>
      <w:r>
        <w:rPr/>
        <w:t>Al contrario de la póliza de egresos, en este tipo de póliza se deben registrar y anexar los comprobantes de aquellas operaciones del negocio por las cuales se haya elaborado un depósito en la cuenta de cheques del negocio; es decir, la póliza de ingresos se elabora  cuando  la  operación  implica  una  entrada    </w:t>
      </w:r>
      <w:r>
        <w:rPr>
          <w:spacing w:val="20"/>
        </w:rPr>
        <w:t> </w:t>
      </w:r>
      <w:r>
        <w:rPr/>
        <w:t>de</w:t>
      </w:r>
    </w:p>
    <w:p>
      <w:pPr>
        <w:spacing w:after="0" w:line="360" w:lineRule="auto"/>
        <w:jc w:val="both"/>
        <w:sectPr>
          <w:pgSz w:w="12240" w:h="15840"/>
          <w:pgMar w:header="0" w:footer="779" w:top="1360" w:bottom="960" w:left="1600" w:right="1600"/>
        </w:sectPr>
      </w:pPr>
    </w:p>
    <w:p>
      <w:pPr>
        <w:pStyle w:val="BodyText"/>
        <w:spacing w:before="56"/>
        <w:ind w:left="122"/>
        <w:jc w:val="both"/>
      </w:pPr>
      <w:r>
        <w:rPr/>
        <w:t>dinero al banco a través de una ficha de depósito.</w:t>
      </w:r>
    </w:p>
    <w:p>
      <w:pPr>
        <w:pStyle w:val="BodyText"/>
      </w:pPr>
    </w:p>
    <w:p>
      <w:pPr>
        <w:pStyle w:val="BodyText"/>
      </w:pPr>
    </w:p>
    <w:p>
      <w:pPr>
        <w:pStyle w:val="BodyText"/>
        <w:spacing w:line="360" w:lineRule="auto"/>
        <w:ind w:left="122" w:right="102"/>
        <w:jc w:val="both"/>
      </w:pPr>
      <w:r>
        <w:rPr/>
        <w:t>Asimismo, es importante recordar que adicionalmente a los requisitos para su correcto llenado, es necesario que siempre tenga anexa la copia de la ficha de depósito, debidamente llenada y sellada por el banco, que está dando origen al ingreso en la chequera.</w:t>
      </w:r>
    </w:p>
    <w:p>
      <w:pPr>
        <w:pStyle w:val="BodyText"/>
      </w:pPr>
    </w:p>
    <w:p>
      <w:pPr>
        <w:pStyle w:val="BodyText"/>
        <w:spacing w:line="360" w:lineRule="auto" w:before="142"/>
        <w:ind w:left="122" w:right="107"/>
        <w:jc w:val="both"/>
      </w:pPr>
      <w:r>
        <w:rPr/>
        <w:t>Las operaciones que se registrarían y los comprobantes que se anexaría a una póliza de ingresos serían los siguientes:</w:t>
      </w:r>
    </w:p>
    <w:p>
      <w:pPr>
        <w:pStyle w:val="ListParagraph"/>
        <w:numPr>
          <w:ilvl w:val="1"/>
          <w:numId w:val="23"/>
        </w:numPr>
        <w:tabs>
          <w:tab w:pos="986" w:val="left" w:leader="none"/>
        </w:tabs>
        <w:spacing w:line="360" w:lineRule="auto" w:before="3" w:after="0"/>
        <w:ind w:left="688" w:right="109" w:firstLine="0"/>
        <w:jc w:val="left"/>
        <w:rPr>
          <w:sz w:val="24"/>
        </w:rPr>
      </w:pPr>
      <w:r>
        <w:rPr>
          <w:sz w:val="24"/>
        </w:rPr>
        <w:t>El cobro de una venta que se facturó y se depositó a través de una ficha de depósito en la cuenta de</w:t>
      </w:r>
      <w:r>
        <w:rPr>
          <w:spacing w:val="-15"/>
          <w:sz w:val="24"/>
        </w:rPr>
        <w:t> </w:t>
      </w:r>
      <w:r>
        <w:rPr>
          <w:sz w:val="24"/>
        </w:rPr>
        <w:t>cheques.</w:t>
      </w:r>
    </w:p>
    <w:p>
      <w:pPr>
        <w:pStyle w:val="ListParagraph"/>
        <w:numPr>
          <w:ilvl w:val="1"/>
          <w:numId w:val="23"/>
        </w:numPr>
        <w:tabs>
          <w:tab w:pos="991" w:val="left" w:leader="none"/>
        </w:tabs>
        <w:spacing w:line="360" w:lineRule="auto" w:before="2" w:after="0"/>
        <w:ind w:left="688" w:right="107" w:firstLine="0"/>
        <w:jc w:val="left"/>
        <w:rPr>
          <w:sz w:val="24"/>
        </w:rPr>
      </w:pPr>
      <w:r>
        <w:rPr>
          <w:sz w:val="24"/>
        </w:rPr>
        <w:t>El ingreso por un préstamo obtenido por el negocio y el cual se depositó con su ficha en la</w:t>
      </w:r>
      <w:r>
        <w:rPr>
          <w:spacing w:val="-7"/>
          <w:sz w:val="24"/>
        </w:rPr>
        <w:t> </w:t>
      </w:r>
      <w:r>
        <w:rPr>
          <w:sz w:val="24"/>
        </w:rPr>
        <w:t>chequera.</w:t>
      </w:r>
    </w:p>
    <w:p>
      <w:pPr>
        <w:pStyle w:val="ListParagraph"/>
        <w:numPr>
          <w:ilvl w:val="1"/>
          <w:numId w:val="23"/>
        </w:numPr>
        <w:tabs>
          <w:tab w:pos="981" w:val="left" w:leader="none"/>
        </w:tabs>
        <w:spacing w:line="360" w:lineRule="auto" w:before="2" w:after="0"/>
        <w:ind w:left="688" w:right="101" w:firstLine="0"/>
        <w:jc w:val="left"/>
        <w:rPr>
          <w:sz w:val="24"/>
        </w:rPr>
      </w:pPr>
      <w:r>
        <w:rPr>
          <w:sz w:val="24"/>
        </w:rPr>
        <w:t>Cuando recibimos alguna cantidad por reembolso de algún gasto, con la ficha y comprobante</w:t>
      </w:r>
      <w:r>
        <w:rPr>
          <w:spacing w:val="-11"/>
          <w:sz w:val="24"/>
        </w:rPr>
        <w:t> </w:t>
      </w:r>
      <w:r>
        <w:rPr>
          <w:sz w:val="24"/>
        </w:rPr>
        <w:t>respectivos.</w:t>
      </w:r>
    </w:p>
    <w:p>
      <w:pPr>
        <w:pStyle w:val="BodyText"/>
      </w:pPr>
    </w:p>
    <w:p>
      <w:pPr>
        <w:pStyle w:val="BodyText"/>
      </w:pPr>
    </w:p>
    <w:p>
      <w:pPr>
        <w:pStyle w:val="BodyText"/>
        <w:spacing w:before="3"/>
      </w:pPr>
    </w:p>
    <w:p>
      <w:pPr>
        <w:pStyle w:val="BodyText"/>
        <w:spacing w:line="360" w:lineRule="auto"/>
        <w:ind w:left="2140" w:right="100"/>
        <w:jc w:val="both"/>
      </w:pPr>
      <w:r>
        <w:rPr/>
        <w:drawing>
          <wp:anchor distT="0" distB="0" distL="0" distR="0" allowOverlap="1" layoutInCell="1" locked="0" behindDoc="0" simplePos="0" relativeHeight="1144">
            <wp:simplePos x="0" y="0"/>
            <wp:positionH relativeFrom="page">
              <wp:posOffset>1066800</wp:posOffset>
            </wp:positionH>
            <wp:positionV relativeFrom="paragraph">
              <wp:posOffset>-100255</wp:posOffset>
            </wp:positionV>
            <wp:extent cx="1175003" cy="1458467"/>
            <wp:effectExtent l="0" t="0" r="0" b="0"/>
            <wp:wrapNone/>
            <wp:docPr id="15" name="image7.jpeg" descr=""/>
            <wp:cNvGraphicFramePr>
              <a:graphicFrameLocks noChangeAspect="1"/>
            </wp:cNvGraphicFramePr>
            <a:graphic>
              <a:graphicData uri="http://schemas.openxmlformats.org/drawingml/2006/picture">
                <pic:pic>
                  <pic:nvPicPr>
                    <pic:cNvPr id="16" name="image7.jpeg"/>
                    <pic:cNvPicPr/>
                  </pic:nvPicPr>
                  <pic:blipFill>
                    <a:blip r:embed="rId41" cstate="print"/>
                    <a:stretch>
                      <a:fillRect/>
                    </a:stretch>
                  </pic:blipFill>
                  <pic:spPr>
                    <a:xfrm>
                      <a:off x="0" y="0"/>
                      <a:ext cx="1175003" cy="1458467"/>
                    </a:xfrm>
                    <a:prstGeom prst="rect">
                      <a:avLst/>
                    </a:prstGeom>
                  </pic:spPr>
                </pic:pic>
              </a:graphicData>
            </a:graphic>
          </wp:anchor>
        </w:drawing>
      </w:r>
      <w:r>
        <w:rPr>
          <w:b/>
        </w:rPr>
        <w:t>Póliza de Egresos. </w:t>
      </w:r>
      <w:r>
        <w:rPr/>
        <w:t>La póliza de egreso se utiliza para anotar todas las salidas ya sea dinero. En este caso se llaman asientos de</w:t>
      </w:r>
      <w:r>
        <w:rPr>
          <w:spacing w:val="-9"/>
        </w:rPr>
        <w:t> </w:t>
      </w:r>
      <w:r>
        <w:rPr/>
        <w:t>concentración.</w:t>
      </w:r>
    </w:p>
    <w:p>
      <w:pPr>
        <w:pStyle w:val="BodyText"/>
      </w:pPr>
    </w:p>
    <w:p>
      <w:pPr>
        <w:pStyle w:val="BodyText"/>
      </w:pPr>
    </w:p>
    <w:p>
      <w:pPr>
        <w:pStyle w:val="BodyText"/>
      </w:pPr>
    </w:p>
    <w:p>
      <w:pPr>
        <w:pStyle w:val="BodyText"/>
      </w:pPr>
    </w:p>
    <w:p>
      <w:pPr>
        <w:pStyle w:val="BodyText"/>
      </w:pPr>
    </w:p>
    <w:p>
      <w:pPr>
        <w:pStyle w:val="BodyText"/>
        <w:spacing w:before="2"/>
      </w:pPr>
    </w:p>
    <w:p>
      <w:pPr>
        <w:pStyle w:val="BodyText"/>
        <w:spacing w:line="360" w:lineRule="auto" w:before="1"/>
        <w:ind w:left="122" w:right="2845"/>
        <w:jc w:val="both"/>
      </w:pPr>
      <w:r>
        <w:rPr/>
        <w:drawing>
          <wp:anchor distT="0" distB="0" distL="0" distR="0" allowOverlap="1" layoutInCell="1" locked="0" behindDoc="0" simplePos="0" relativeHeight="1168">
            <wp:simplePos x="0" y="0"/>
            <wp:positionH relativeFrom="page">
              <wp:posOffset>5062728</wp:posOffset>
            </wp:positionH>
            <wp:positionV relativeFrom="paragraph">
              <wp:posOffset>22299</wp:posOffset>
            </wp:positionV>
            <wp:extent cx="1438655" cy="1847088"/>
            <wp:effectExtent l="0" t="0" r="0" b="0"/>
            <wp:wrapNone/>
            <wp:docPr id="17" name="image8.jpeg" descr=""/>
            <wp:cNvGraphicFramePr>
              <a:graphicFrameLocks noChangeAspect="1"/>
            </wp:cNvGraphicFramePr>
            <a:graphic>
              <a:graphicData uri="http://schemas.openxmlformats.org/drawingml/2006/picture">
                <pic:pic>
                  <pic:nvPicPr>
                    <pic:cNvPr id="18" name="image8.jpeg"/>
                    <pic:cNvPicPr/>
                  </pic:nvPicPr>
                  <pic:blipFill>
                    <a:blip r:embed="rId42" cstate="print"/>
                    <a:stretch>
                      <a:fillRect/>
                    </a:stretch>
                  </pic:blipFill>
                  <pic:spPr>
                    <a:xfrm>
                      <a:off x="0" y="0"/>
                      <a:ext cx="1438655" cy="1847088"/>
                    </a:xfrm>
                    <a:prstGeom prst="rect">
                      <a:avLst/>
                    </a:prstGeom>
                  </pic:spPr>
                </pic:pic>
              </a:graphicData>
            </a:graphic>
          </wp:anchor>
        </w:drawing>
      </w:r>
      <w:r>
        <w:rPr>
          <w:b/>
        </w:rPr>
        <w:t>Póliza Cheque </w:t>
      </w:r>
      <w:r>
        <w:rPr/>
        <w:t>En este tipo de póliza se deben registrar y anexar los comprobantes de aquellas operaciones del negocio en las cuales se haya elaborado un cheque como medio de pago; es decir, la póliza de egresos o cheque, como su nombre lo indica, es la que se elabora cuando la operación implica una salida de dinero del banco a través de un cheque.</w:t>
      </w:r>
    </w:p>
    <w:p>
      <w:pPr>
        <w:spacing w:after="0" w:line="360" w:lineRule="auto"/>
        <w:jc w:val="both"/>
        <w:sectPr>
          <w:pgSz w:w="12240" w:h="15840"/>
          <w:pgMar w:header="0" w:footer="779" w:top="1360" w:bottom="960" w:left="1580" w:right="1600"/>
        </w:sectPr>
      </w:pPr>
    </w:p>
    <w:p>
      <w:pPr>
        <w:pStyle w:val="BodyText"/>
        <w:spacing w:before="7"/>
        <w:rPr>
          <w:sz w:val="22"/>
        </w:rPr>
      </w:pPr>
    </w:p>
    <w:p>
      <w:pPr>
        <w:pStyle w:val="BodyText"/>
        <w:spacing w:line="360" w:lineRule="auto" w:before="69"/>
        <w:ind w:left="102" w:right="107"/>
        <w:jc w:val="both"/>
      </w:pPr>
      <w:r>
        <w:rPr/>
        <w:t>Las operaciones que se registrarían y los comprobantes que se anexarían a una póliza de egreso o cheque serían los siguientes:</w:t>
      </w:r>
    </w:p>
    <w:p>
      <w:pPr>
        <w:pStyle w:val="ListParagraph"/>
        <w:numPr>
          <w:ilvl w:val="0"/>
          <w:numId w:val="24"/>
        </w:numPr>
        <w:tabs>
          <w:tab w:pos="956" w:val="left" w:leader="none"/>
        </w:tabs>
        <w:spacing w:line="360" w:lineRule="auto" w:before="2" w:after="0"/>
        <w:ind w:left="668" w:right="99" w:firstLine="0"/>
        <w:jc w:val="both"/>
        <w:rPr>
          <w:sz w:val="24"/>
        </w:rPr>
      </w:pPr>
      <w:r>
        <w:rPr>
          <w:sz w:val="24"/>
        </w:rPr>
        <w:t>La compra de materia prima, cuando se paga al proveedor con un cheque y nos entrega una</w:t>
      </w:r>
      <w:r>
        <w:rPr>
          <w:spacing w:val="-10"/>
          <w:sz w:val="24"/>
        </w:rPr>
        <w:t> </w:t>
      </w:r>
      <w:r>
        <w:rPr>
          <w:sz w:val="24"/>
        </w:rPr>
        <w:t>factura.</w:t>
      </w:r>
    </w:p>
    <w:p>
      <w:pPr>
        <w:pStyle w:val="ListParagraph"/>
        <w:numPr>
          <w:ilvl w:val="0"/>
          <w:numId w:val="24"/>
        </w:numPr>
        <w:tabs>
          <w:tab w:pos="1019" w:val="left" w:leader="none"/>
        </w:tabs>
        <w:spacing w:line="360" w:lineRule="auto" w:before="2" w:after="0"/>
        <w:ind w:left="668" w:right="107" w:firstLine="0"/>
        <w:jc w:val="both"/>
        <w:rPr>
          <w:sz w:val="24"/>
        </w:rPr>
      </w:pPr>
      <w:r>
        <w:rPr>
          <w:sz w:val="24"/>
        </w:rPr>
        <w:t>La compra de herramienta para el negocio, por la cual hacemos un cheque y nos dan una</w:t>
      </w:r>
      <w:r>
        <w:rPr>
          <w:spacing w:val="-9"/>
          <w:sz w:val="24"/>
        </w:rPr>
        <w:t> </w:t>
      </w:r>
      <w:r>
        <w:rPr>
          <w:sz w:val="24"/>
        </w:rPr>
        <w:t>factura.</w:t>
      </w:r>
    </w:p>
    <w:p>
      <w:pPr>
        <w:pStyle w:val="ListParagraph"/>
        <w:numPr>
          <w:ilvl w:val="0"/>
          <w:numId w:val="24"/>
        </w:numPr>
        <w:tabs>
          <w:tab w:pos="983" w:val="left" w:leader="none"/>
        </w:tabs>
        <w:spacing w:line="360" w:lineRule="auto" w:before="2" w:after="0"/>
        <w:ind w:left="668" w:right="105" w:firstLine="0"/>
        <w:jc w:val="both"/>
        <w:rPr>
          <w:sz w:val="24"/>
        </w:rPr>
      </w:pPr>
      <w:r>
        <w:rPr>
          <w:sz w:val="24"/>
        </w:rPr>
        <w:t>Cuando cambiamos un cheque en el banco por efectivo para pagar el sueldo a los trabajadores, con el correspondiente recibo firmado por</w:t>
      </w:r>
      <w:r>
        <w:rPr>
          <w:spacing w:val="-25"/>
          <w:sz w:val="24"/>
        </w:rPr>
        <w:t> </w:t>
      </w:r>
      <w:r>
        <w:rPr>
          <w:sz w:val="24"/>
        </w:rPr>
        <w:t>ellos.</w:t>
      </w:r>
    </w:p>
    <w:p>
      <w:pPr>
        <w:pStyle w:val="ListParagraph"/>
        <w:numPr>
          <w:ilvl w:val="0"/>
          <w:numId w:val="24"/>
        </w:numPr>
        <w:tabs>
          <w:tab w:pos="997" w:val="left" w:leader="none"/>
        </w:tabs>
        <w:spacing w:line="360" w:lineRule="auto" w:before="3" w:after="0"/>
        <w:ind w:left="668" w:right="106" w:firstLine="0"/>
        <w:jc w:val="both"/>
        <w:rPr>
          <w:sz w:val="24"/>
        </w:rPr>
      </w:pPr>
      <w:r>
        <w:rPr>
          <w:sz w:val="24"/>
        </w:rPr>
        <w:t>Cuando pagamos con cheque los impuestos del negocio y tenemos la forma de pago de impuestos debidamente llenada, firmada y sellada por el banco.</w:t>
      </w:r>
    </w:p>
    <w:p>
      <w:pPr>
        <w:pStyle w:val="BodyText"/>
      </w:pPr>
    </w:p>
    <w:p>
      <w:pPr>
        <w:pStyle w:val="BodyText"/>
      </w:pPr>
    </w:p>
    <w:p>
      <w:pPr>
        <w:pStyle w:val="BodyText"/>
        <w:spacing w:before="5"/>
      </w:pPr>
    </w:p>
    <w:p>
      <w:pPr>
        <w:pStyle w:val="Heading2"/>
        <w:numPr>
          <w:ilvl w:val="1"/>
          <w:numId w:val="21"/>
        </w:numPr>
        <w:tabs>
          <w:tab w:pos="669" w:val="left" w:leader="none"/>
        </w:tabs>
        <w:spacing w:line="240" w:lineRule="auto" w:before="0" w:after="0"/>
        <w:ind w:left="668" w:right="0" w:hanging="566"/>
        <w:jc w:val="both"/>
      </w:pPr>
      <w:bookmarkStart w:name="_bookmark23" w:id="37"/>
      <w:bookmarkEnd w:id="37"/>
      <w:r>
        <w:rPr>
          <w:b w:val="0"/>
        </w:rPr>
      </w:r>
      <w:bookmarkStart w:name="_bookmark23" w:id="38"/>
      <w:bookmarkEnd w:id="38"/>
      <w:r>
        <w:rPr/>
        <w:t>P</w:t>
      </w:r>
      <w:r>
        <w:rPr/>
        <w:t>rocesamiento de información en paquetería</w:t>
      </w:r>
      <w:r>
        <w:rPr>
          <w:spacing w:val="-17"/>
        </w:rPr>
        <w:t> </w:t>
      </w:r>
      <w:r>
        <w:rPr/>
        <w:t>contable.</w:t>
      </w:r>
    </w:p>
    <w:p>
      <w:pPr>
        <w:pStyle w:val="BodyText"/>
        <w:rPr>
          <w:b/>
        </w:rPr>
      </w:pPr>
    </w:p>
    <w:p>
      <w:pPr>
        <w:pStyle w:val="BodyText"/>
        <w:rPr>
          <w:b/>
        </w:rPr>
      </w:pPr>
    </w:p>
    <w:p>
      <w:pPr>
        <w:pStyle w:val="BodyText"/>
        <w:spacing w:line="360" w:lineRule="auto"/>
        <w:ind w:left="102" w:right="104"/>
        <w:jc w:val="both"/>
      </w:pPr>
      <w:r>
        <w:rPr/>
        <w:t>El software contable a los programas de contabilidad o paquete contable se destinara a sistematizar simplificar las tareas de contabilidad, el software contable registra o procesa las transacciones históricas que se generan a una empresa o actividad productiva.</w:t>
      </w:r>
    </w:p>
    <w:p>
      <w:pPr>
        <w:pStyle w:val="BodyText"/>
      </w:pPr>
    </w:p>
    <w:p>
      <w:pPr>
        <w:pStyle w:val="BodyText"/>
        <w:spacing w:line="360" w:lineRule="auto" w:before="142"/>
        <w:ind w:left="102" w:right="104"/>
        <w:jc w:val="both"/>
      </w:pPr>
      <w:r>
        <w:rPr/>
        <w:t>Las funciones de compras, ventas, cuentas por cobrar, cuentas por pagar, control de inventarios, balances, producción de artículos, nominas requeridas como las pólizas contables, ingresos y egresos.</w:t>
      </w:r>
    </w:p>
    <w:p>
      <w:pPr>
        <w:pStyle w:val="BodyText"/>
      </w:pPr>
    </w:p>
    <w:p>
      <w:pPr>
        <w:pStyle w:val="BodyText"/>
        <w:spacing w:line="360" w:lineRule="auto" w:before="142"/>
        <w:ind w:left="102" w:right="98"/>
        <w:jc w:val="both"/>
      </w:pPr>
      <w:r>
        <w:rPr/>
        <w:t>En el mercado existen diversos programas contables que ofrecen al usuario múltiples beneficios según su economía interna. Siempre en todo programa contable para poder accesar la información de la contabilidad y seguir con las pantallas subsecuentes hay que identificar los datos genéricos de la empresa como</w:t>
      </w:r>
      <w:r>
        <w:rPr>
          <w:spacing w:val="-3"/>
        </w:rPr>
        <w:t> </w:t>
      </w:r>
      <w:r>
        <w:rPr/>
        <w:t>son:</w:t>
      </w:r>
    </w:p>
    <w:p>
      <w:pPr>
        <w:pStyle w:val="ListParagraph"/>
        <w:numPr>
          <w:ilvl w:val="0"/>
          <w:numId w:val="25"/>
        </w:numPr>
        <w:tabs>
          <w:tab w:pos="1158" w:val="left" w:leader="none"/>
        </w:tabs>
        <w:spacing w:line="240" w:lineRule="auto" w:before="2" w:after="0"/>
        <w:ind w:left="1157" w:right="0" w:hanging="347"/>
        <w:jc w:val="left"/>
        <w:rPr>
          <w:sz w:val="24"/>
        </w:rPr>
      </w:pPr>
      <w:r>
        <w:rPr>
          <w:sz w:val="24"/>
        </w:rPr>
        <w:t>Número de empresa que se carga en el</w:t>
      </w:r>
      <w:r>
        <w:rPr>
          <w:spacing w:val="-16"/>
          <w:sz w:val="24"/>
        </w:rPr>
        <w:t> </w:t>
      </w:r>
      <w:r>
        <w:rPr>
          <w:sz w:val="24"/>
        </w:rPr>
        <w:t>sistema</w:t>
      </w:r>
    </w:p>
    <w:p>
      <w:pPr>
        <w:spacing w:after="0" w:line="240" w:lineRule="auto"/>
        <w:jc w:val="left"/>
        <w:rPr>
          <w:sz w:val="24"/>
        </w:rPr>
        <w:sectPr>
          <w:pgSz w:w="12240" w:h="15840"/>
          <w:pgMar w:header="0" w:footer="779" w:top="1500" w:bottom="960" w:left="1600" w:right="1600"/>
        </w:sectPr>
      </w:pPr>
    </w:p>
    <w:p>
      <w:pPr>
        <w:pStyle w:val="ListParagraph"/>
        <w:numPr>
          <w:ilvl w:val="0"/>
          <w:numId w:val="25"/>
        </w:numPr>
        <w:tabs>
          <w:tab w:pos="1158" w:val="left" w:leader="none"/>
        </w:tabs>
        <w:spacing w:line="240" w:lineRule="auto" w:before="56" w:after="0"/>
        <w:ind w:left="1157" w:right="0" w:hanging="347"/>
        <w:jc w:val="left"/>
        <w:rPr>
          <w:sz w:val="24"/>
        </w:rPr>
      </w:pPr>
      <w:r>
        <w:rPr>
          <w:sz w:val="24"/>
        </w:rPr>
        <w:t>Nombre y/o razón social de la</w:t>
      </w:r>
      <w:r>
        <w:rPr>
          <w:spacing w:val="-11"/>
          <w:sz w:val="24"/>
        </w:rPr>
        <w:t> </w:t>
      </w:r>
      <w:r>
        <w:rPr>
          <w:sz w:val="24"/>
        </w:rPr>
        <w:t>empresa</w:t>
      </w:r>
    </w:p>
    <w:p>
      <w:pPr>
        <w:pStyle w:val="ListParagraph"/>
        <w:numPr>
          <w:ilvl w:val="0"/>
          <w:numId w:val="25"/>
        </w:numPr>
        <w:tabs>
          <w:tab w:pos="1144" w:val="left" w:leader="none"/>
        </w:tabs>
        <w:spacing w:line="240" w:lineRule="auto" w:before="137" w:after="0"/>
        <w:ind w:left="1143" w:right="0" w:hanging="333"/>
        <w:jc w:val="left"/>
        <w:rPr>
          <w:sz w:val="24"/>
        </w:rPr>
      </w:pPr>
      <w:r>
        <w:rPr>
          <w:sz w:val="24"/>
        </w:rPr>
        <w:t>Domicilio</w:t>
      </w:r>
      <w:r>
        <w:rPr>
          <w:spacing w:val="-1"/>
          <w:sz w:val="24"/>
        </w:rPr>
        <w:t> </w:t>
      </w:r>
      <w:r>
        <w:rPr>
          <w:sz w:val="24"/>
        </w:rPr>
        <w:t>fiscal</w:t>
      </w:r>
    </w:p>
    <w:p>
      <w:pPr>
        <w:pStyle w:val="ListParagraph"/>
        <w:numPr>
          <w:ilvl w:val="0"/>
          <w:numId w:val="25"/>
        </w:numPr>
        <w:tabs>
          <w:tab w:pos="1158" w:val="left" w:leader="none"/>
        </w:tabs>
        <w:spacing w:line="240" w:lineRule="auto" w:before="139" w:after="0"/>
        <w:ind w:left="1157" w:right="0" w:hanging="347"/>
        <w:jc w:val="left"/>
        <w:rPr>
          <w:sz w:val="24"/>
        </w:rPr>
      </w:pPr>
      <w:r>
        <w:rPr>
          <w:sz w:val="24"/>
        </w:rPr>
        <w:t>Colonia, delegación, código postal,</w:t>
      </w:r>
      <w:r>
        <w:rPr>
          <w:spacing w:val="-15"/>
          <w:sz w:val="24"/>
        </w:rPr>
        <w:t> </w:t>
      </w:r>
      <w:r>
        <w:rPr>
          <w:sz w:val="24"/>
        </w:rPr>
        <w:t>teléfono</w:t>
      </w:r>
    </w:p>
    <w:p>
      <w:pPr>
        <w:pStyle w:val="ListParagraph"/>
        <w:numPr>
          <w:ilvl w:val="0"/>
          <w:numId w:val="25"/>
        </w:numPr>
        <w:tabs>
          <w:tab w:pos="1158" w:val="left" w:leader="none"/>
        </w:tabs>
        <w:spacing w:line="240" w:lineRule="auto" w:before="137" w:after="0"/>
        <w:ind w:left="1157" w:right="0" w:hanging="347"/>
        <w:jc w:val="left"/>
        <w:rPr>
          <w:sz w:val="24"/>
        </w:rPr>
      </w:pPr>
      <w:r>
        <w:rPr>
          <w:sz w:val="24"/>
        </w:rPr>
        <w:t>Registro federal de</w:t>
      </w:r>
      <w:r>
        <w:rPr>
          <w:spacing w:val="-14"/>
          <w:sz w:val="24"/>
        </w:rPr>
        <w:t> </w:t>
      </w:r>
      <w:r>
        <w:rPr>
          <w:sz w:val="24"/>
        </w:rPr>
        <w:t>contribuyentes</w:t>
      </w:r>
    </w:p>
    <w:p>
      <w:pPr>
        <w:pStyle w:val="ListParagraph"/>
        <w:numPr>
          <w:ilvl w:val="0"/>
          <w:numId w:val="25"/>
        </w:numPr>
        <w:tabs>
          <w:tab w:pos="1158" w:val="left" w:leader="none"/>
        </w:tabs>
        <w:spacing w:line="240" w:lineRule="auto" w:before="139" w:after="0"/>
        <w:ind w:left="1157" w:right="0" w:hanging="347"/>
        <w:jc w:val="left"/>
        <w:rPr>
          <w:sz w:val="24"/>
        </w:rPr>
      </w:pPr>
      <w:r>
        <w:rPr>
          <w:sz w:val="24"/>
        </w:rPr>
        <w:t>Inicio y cierre del ejercicio a</w:t>
      </w:r>
      <w:r>
        <w:rPr>
          <w:spacing w:val="-12"/>
          <w:sz w:val="24"/>
        </w:rPr>
        <w:t> </w:t>
      </w:r>
      <w:r>
        <w:rPr>
          <w:sz w:val="24"/>
        </w:rPr>
        <w:t>trabajar</w:t>
      </w:r>
    </w:p>
    <w:p>
      <w:pPr>
        <w:pStyle w:val="ListParagraph"/>
        <w:numPr>
          <w:ilvl w:val="0"/>
          <w:numId w:val="25"/>
        </w:numPr>
        <w:tabs>
          <w:tab w:pos="1156" w:val="left" w:leader="none"/>
        </w:tabs>
        <w:spacing w:line="240" w:lineRule="auto" w:before="137" w:after="0"/>
        <w:ind w:left="1155" w:right="0" w:hanging="345"/>
        <w:jc w:val="left"/>
        <w:rPr>
          <w:sz w:val="24"/>
        </w:rPr>
      </w:pPr>
      <w:r>
        <w:rPr>
          <w:sz w:val="24"/>
        </w:rPr>
        <w:t>No. dé cuenta de</w:t>
      </w:r>
      <w:r>
        <w:rPr>
          <w:spacing w:val="-8"/>
          <w:sz w:val="24"/>
        </w:rPr>
        <w:t> </w:t>
      </w:r>
      <w:r>
        <w:rPr>
          <w:sz w:val="24"/>
        </w:rPr>
        <w:t>resultados</w:t>
      </w:r>
    </w:p>
    <w:p>
      <w:pPr>
        <w:pStyle w:val="ListParagraph"/>
        <w:numPr>
          <w:ilvl w:val="0"/>
          <w:numId w:val="25"/>
        </w:numPr>
        <w:tabs>
          <w:tab w:pos="1158" w:val="left" w:leader="none"/>
        </w:tabs>
        <w:spacing w:line="240" w:lineRule="auto" w:before="139" w:after="0"/>
        <w:ind w:left="1157" w:right="0" w:hanging="347"/>
        <w:jc w:val="left"/>
        <w:rPr>
          <w:sz w:val="24"/>
        </w:rPr>
      </w:pPr>
      <w:r>
        <w:rPr>
          <w:sz w:val="24"/>
        </w:rPr>
        <w:t>Determinación del costo de</w:t>
      </w:r>
      <w:r>
        <w:rPr>
          <w:spacing w:val="-14"/>
          <w:sz w:val="24"/>
        </w:rPr>
        <w:t> </w:t>
      </w:r>
      <w:r>
        <w:rPr>
          <w:sz w:val="24"/>
        </w:rPr>
        <w:t>ventas</w:t>
      </w:r>
    </w:p>
    <w:p>
      <w:pPr>
        <w:pStyle w:val="ListParagraph"/>
        <w:numPr>
          <w:ilvl w:val="0"/>
          <w:numId w:val="25"/>
        </w:numPr>
        <w:tabs>
          <w:tab w:pos="1143" w:val="left" w:leader="none"/>
        </w:tabs>
        <w:spacing w:line="240" w:lineRule="auto" w:before="137" w:after="0"/>
        <w:ind w:left="1142" w:right="0" w:hanging="332"/>
        <w:jc w:val="left"/>
        <w:rPr>
          <w:sz w:val="24"/>
        </w:rPr>
      </w:pPr>
      <w:r>
        <w:rPr>
          <w:sz w:val="24"/>
        </w:rPr>
        <w:t>¿Utiliza</w:t>
      </w:r>
      <w:r>
        <w:rPr>
          <w:spacing w:val="-8"/>
          <w:sz w:val="24"/>
        </w:rPr>
        <w:t> </w:t>
      </w:r>
      <w:r>
        <w:rPr>
          <w:sz w:val="24"/>
        </w:rPr>
        <w:t>departamentos?</w:t>
      </w:r>
    </w:p>
    <w:p>
      <w:pPr>
        <w:pStyle w:val="ListParagraph"/>
        <w:numPr>
          <w:ilvl w:val="0"/>
          <w:numId w:val="25"/>
        </w:numPr>
        <w:tabs>
          <w:tab w:pos="1143" w:val="left" w:leader="none"/>
        </w:tabs>
        <w:spacing w:line="240" w:lineRule="auto" w:before="139" w:after="0"/>
        <w:ind w:left="1142" w:right="0" w:hanging="332"/>
        <w:jc w:val="left"/>
        <w:rPr>
          <w:sz w:val="24"/>
        </w:rPr>
      </w:pPr>
      <w:r>
        <w:rPr>
          <w:sz w:val="24"/>
        </w:rPr>
        <w:t>¿Utiliza rubros</w:t>
      </w:r>
      <w:r>
        <w:rPr>
          <w:spacing w:val="-6"/>
          <w:sz w:val="24"/>
        </w:rPr>
        <w:t> </w:t>
      </w:r>
      <w:r>
        <w:rPr>
          <w:sz w:val="24"/>
        </w:rPr>
        <w:t>fiscales?</w:t>
      </w:r>
    </w:p>
    <w:p>
      <w:pPr>
        <w:pStyle w:val="ListParagraph"/>
        <w:numPr>
          <w:ilvl w:val="0"/>
          <w:numId w:val="25"/>
        </w:numPr>
        <w:tabs>
          <w:tab w:pos="1144" w:val="left" w:leader="none"/>
        </w:tabs>
        <w:spacing w:line="240" w:lineRule="auto" w:before="137" w:after="0"/>
        <w:ind w:left="1143" w:right="0" w:hanging="333"/>
        <w:jc w:val="left"/>
        <w:rPr>
          <w:sz w:val="24"/>
        </w:rPr>
      </w:pPr>
      <w:r>
        <w:rPr>
          <w:sz w:val="24"/>
        </w:rPr>
        <w:t>¿Utiliza</w:t>
      </w:r>
      <w:r>
        <w:rPr>
          <w:spacing w:val="-7"/>
          <w:sz w:val="24"/>
        </w:rPr>
        <w:t> </w:t>
      </w:r>
      <w:r>
        <w:rPr>
          <w:sz w:val="24"/>
        </w:rPr>
        <w:t>categorías?</w:t>
      </w:r>
    </w:p>
    <w:p>
      <w:pPr>
        <w:pStyle w:val="ListParagraph"/>
        <w:numPr>
          <w:ilvl w:val="0"/>
          <w:numId w:val="25"/>
        </w:numPr>
        <w:tabs>
          <w:tab w:pos="1143" w:val="left" w:leader="none"/>
        </w:tabs>
        <w:spacing w:line="240" w:lineRule="auto" w:before="139" w:after="0"/>
        <w:ind w:left="1142" w:right="0" w:hanging="332"/>
        <w:jc w:val="left"/>
        <w:rPr>
          <w:sz w:val="24"/>
        </w:rPr>
      </w:pPr>
      <w:r>
        <w:rPr>
          <w:sz w:val="24"/>
        </w:rPr>
        <w:t>¿Existe dígito</w:t>
      </w:r>
      <w:r>
        <w:rPr>
          <w:spacing w:val="-6"/>
          <w:sz w:val="24"/>
        </w:rPr>
        <w:t> </w:t>
      </w:r>
      <w:r>
        <w:rPr>
          <w:sz w:val="24"/>
        </w:rPr>
        <w:t>verificador?</w:t>
      </w:r>
    </w:p>
    <w:p>
      <w:pPr>
        <w:pStyle w:val="ListParagraph"/>
        <w:numPr>
          <w:ilvl w:val="0"/>
          <w:numId w:val="25"/>
        </w:numPr>
        <w:tabs>
          <w:tab w:pos="1158" w:val="left" w:leader="none"/>
        </w:tabs>
        <w:spacing w:line="240" w:lineRule="auto" w:before="137" w:after="0"/>
        <w:ind w:left="1158" w:right="0" w:hanging="348"/>
        <w:jc w:val="left"/>
        <w:rPr>
          <w:sz w:val="24"/>
        </w:rPr>
      </w:pPr>
      <w:r>
        <w:rPr>
          <w:sz w:val="24"/>
        </w:rPr>
        <w:t>¿Utiliza</w:t>
      </w:r>
      <w:r>
        <w:rPr>
          <w:spacing w:val="-7"/>
          <w:sz w:val="24"/>
        </w:rPr>
        <w:t> </w:t>
      </w:r>
      <w:r>
        <w:rPr>
          <w:sz w:val="24"/>
        </w:rPr>
        <w:t>recordatorios?</w:t>
      </w:r>
    </w:p>
    <w:p>
      <w:pPr>
        <w:pStyle w:val="BodyText"/>
      </w:pPr>
    </w:p>
    <w:p>
      <w:pPr>
        <w:pStyle w:val="BodyText"/>
      </w:pPr>
    </w:p>
    <w:p>
      <w:pPr>
        <w:pStyle w:val="BodyText"/>
        <w:ind w:left="102"/>
      </w:pPr>
      <w:r>
        <w:rPr/>
        <w:t>Algunos de los programas contables que existen son:</w:t>
      </w:r>
    </w:p>
    <w:p>
      <w:pPr>
        <w:pStyle w:val="ListParagraph"/>
        <w:numPr>
          <w:ilvl w:val="1"/>
          <w:numId w:val="25"/>
        </w:numPr>
        <w:tabs>
          <w:tab w:pos="1746" w:val="left" w:leader="none"/>
        </w:tabs>
        <w:spacing w:line="240" w:lineRule="auto" w:before="139" w:after="0"/>
        <w:ind w:left="1745" w:right="0" w:hanging="227"/>
        <w:jc w:val="left"/>
        <w:rPr>
          <w:sz w:val="24"/>
        </w:rPr>
      </w:pPr>
      <w:r>
        <w:rPr>
          <w:sz w:val="24"/>
        </w:rPr>
        <w:t>COI</w:t>
      </w:r>
    </w:p>
    <w:p>
      <w:pPr>
        <w:pStyle w:val="ListParagraph"/>
        <w:numPr>
          <w:ilvl w:val="1"/>
          <w:numId w:val="25"/>
        </w:numPr>
        <w:tabs>
          <w:tab w:pos="1746" w:val="left" w:leader="none"/>
        </w:tabs>
        <w:spacing w:line="240" w:lineRule="auto" w:before="137" w:after="0"/>
        <w:ind w:left="1745" w:right="0" w:hanging="227"/>
        <w:jc w:val="left"/>
        <w:rPr>
          <w:sz w:val="24"/>
        </w:rPr>
      </w:pPr>
      <w:r>
        <w:rPr>
          <w:sz w:val="24"/>
        </w:rPr>
        <w:t>NOI</w:t>
      </w:r>
    </w:p>
    <w:p>
      <w:pPr>
        <w:pStyle w:val="ListParagraph"/>
        <w:numPr>
          <w:ilvl w:val="1"/>
          <w:numId w:val="25"/>
        </w:numPr>
        <w:tabs>
          <w:tab w:pos="1746" w:val="left" w:leader="none"/>
        </w:tabs>
        <w:spacing w:line="240" w:lineRule="auto" w:before="139" w:after="0"/>
        <w:ind w:left="1745" w:right="0" w:hanging="227"/>
        <w:jc w:val="left"/>
        <w:rPr>
          <w:sz w:val="24"/>
        </w:rPr>
      </w:pPr>
      <w:r>
        <w:rPr>
          <w:sz w:val="24"/>
        </w:rPr>
        <w:t>SISTEMA</w:t>
      </w:r>
      <w:r>
        <w:rPr>
          <w:spacing w:val="-4"/>
          <w:sz w:val="24"/>
        </w:rPr>
        <w:t> </w:t>
      </w:r>
      <w:r>
        <w:rPr>
          <w:sz w:val="24"/>
        </w:rPr>
        <w:t>LOMAS</w:t>
      </w:r>
    </w:p>
    <w:p>
      <w:pPr>
        <w:pStyle w:val="ListParagraph"/>
        <w:numPr>
          <w:ilvl w:val="1"/>
          <w:numId w:val="25"/>
        </w:numPr>
        <w:tabs>
          <w:tab w:pos="1746" w:val="left" w:leader="none"/>
        </w:tabs>
        <w:spacing w:line="240" w:lineRule="auto" w:before="137" w:after="0"/>
        <w:ind w:left="1745" w:right="0" w:hanging="227"/>
        <w:jc w:val="left"/>
        <w:rPr>
          <w:sz w:val="24"/>
        </w:rPr>
      </w:pPr>
      <w:r>
        <w:rPr>
          <w:sz w:val="24"/>
        </w:rPr>
        <w:t>PACCIOLI</w:t>
      </w:r>
      <w:r>
        <w:rPr>
          <w:spacing w:val="-6"/>
          <w:sz w:val="24"/>
        </w:rPr>
        <w:t> </w:t>
      </w:r>
      <w:r>
        <w:rPr>
          <w:sz w:val="24"/>
        </w:rPr>
        <w:t>2000</w:t>
      </w:r>
    </w:p>
    <w:p>
      <w:pPr>
        <w:pStyle w:val="ListParagraph"/>
        <w:numPr>
          <w:ilvl w:val="1"/>
          <w:numId w:val="25"/>
        </w:numPr>
        <w:tabs>
          <w:tab w:pos="1746" w:val="left" w:leader="none"/>
        </w:tabs>
        <w:spacing w:line="240" w:lineRule="auto" w:before="139" w:after="0"/>
        <w:ind w:left="1745" w:right="0" w:hanging="227"/>
        <w:jc w:val="left"/>
        <w:rPr>
          <w:sz w:val="24"/>
        </w:rPr>
      </w:pPr>
      <w:r>
        <w:rPr>
          <w:sz w:val="24"/>
        </w:rPr>
        <w:t>CONTABILIDAD</w:t>
      </w:r>
      <w:r>
        <w:rPr>
          <w:spacing w:val="-5"/>
          <w:sz w:val="24"/>
        </w:rPr>
        <w:t> </w:t>
      </w:r>
      <w:r>
        <w:rPr>
          <w:sz w:val="24"/>
        </w:rPr>
        <w:t>2000</w:t>
      </w:r>
    </w:p>
    <w:p>
      <w:pPr>
        <w:pStyle w:val="BodyText"/>
      </w:pPr>
    </w:p>
    <w:p>
      <w:pPr>
        <w:pStyle w:val="BodyText"/>
      </w:pPr>
    </w:p>
    <w:p>
      <w:pPr>
        <w:pStyle w:val="BodyText"/>
        <w:tabs>
          <w:tab w:pos="730" w:val="left" w:leader="none"/>
        </w:tabs>
        <w:ind w:left="102"/>
      </w:pPr>
      <w:r>
        <w:rPr>
          <w:u w:val="single"/>
        </w:rPr>
        <w:t>COI</w:t>
        <w:tab/>
        <w:t>(Sistema de contabilidad</w:t>
      </w:r>
      <w:r>
        <w:rPr>
          <w:spacing w:val="-12"/>
          <w:u w:val="single"/>
        </w:rPr>
        <w:t> </w:t>
      </w:r>
      <w:r>
        <w:rPr>
          <w:u w:val="single"/>
        </w:rPr>
        <w:t>integral)</w:t>
      </w:r>
    </w:p>
    <w:p>
      <w:pPr>
        <w:pStyle w:val="BodyText"/>
        <w:rPr>
          <w:sz w:val="20"/>
        </w:rPr>
      </w:pPr>
    </w:p>
    <w:p>
      <w:pPr>
        <w:pStyle w:val="BodyText"/>
        <w:spacing w:before="11"/>
        <w:rPr>
          <w:sz w:val="21"/>
        </w:rPr>
      </w:pPr>
    </w:p>
    <w:p>
      <w:pPr>
        <w:pStyle w:val="BodyText"/>
        <w:spacing w:line="360" w:lineRule="auto" w:before="69"/>
        <w:ind w:left="102" w:right="104"/>
        <w:jc w:val="both"/>
      </w:pPr>
      <w:r>
        <w:rPr/>
        <w:t>Es un paquete de aplicación creado por la empresa APEMEX bajo su marca registrada ASPEL y dirigido a un trabajo específico como lo es la contabilidad.</w:t>
      </w:r>
    </w:p>
    <w:p>
      <w:pPr>
        <w:pStyle w:val="BodyText"/>
      </w:pPr>
    </w:p>
    <w:p>
      <w:pPr>
        <w:pStyle w:val="BodyText"/>
        <w:spacing w:line="360" w:lineRule="auto" w:before="142"/>
        <w:ind w:left="102" w:right="104"/>
        <w:jc w:val="both"/>
      </w:pPr>
      <w:r>
        <w:rPr/>
        <w:t>COI es un sistema de contabilidad integral que se emplea para capturar información, procesarla, mantenerla actualizada y hacer reportes de acuerdo a la legislación fiscal vigente y con las herramientas que facilitan la práctica contable.</w:t>
      </w:r>
    </w:p>
    <w:p>
      <w:pPr>
        <w:spacing w:after="0" w:line="360" w:lineRule="auto"/>
        <w:jc w:val="both"/>
        <w:sectPr>
          <w:pgSz w:w="12240" w:h="15840"/>
          <w:pgMar w:header="0" w:footer="779" w:top="1360" w:bottom="960" w:left="1600" w:right="1600"/>
        </w:sectPr>
      </w:pPr>
    </w:p>
    <w:p>
      <w:pPr>
        <w:pStyle w:val="BodyText"/>
        <w:spacing w:line="360" w:lineRule="auto" w:before="56"/>
        <w:ind w:left="102" w:right="127"/>
        <w:jc w:val="both"/>
      </w:pPr>
      <w:r>
        <w:rPr/>
        <w:t>COI fue diseñado tomando en cuenta las necesidades de las empresas de la mediana y pequeña industria y las características específicas para la legislación fiscal.</w:t>
      </w:r>
    </w:p>
    <w:p>
      <w:pPr>
        <w:pStyle w:val="BodyText"/>
      </w:pPr>
    </w:p>
    <w:p>
      <w:pPr>
        <w:pStyle w:val="BodyText"/>
        <w:spacing w:line="360" w:lineRule="auto" w:before="142"/>
        <w:ind w:left="102" w:right="119"/>
        <w:jc w:val="both"/>
      </w:pPr>
      <w:r>
        <w:rPr/>
        <w:t>El sistema es multiempresa ( de 0 a 99 ), calcula consolidaciones, permite manejar hasta doce distintos diarios de pólizas, controla el acceso a su contabilidad mediante cinco claves de seguridad distintas y el número de cuentas por catálogo es ilimitado, además cuenta con un editor de reportes que ayuda al usuario a diseñar sus propios documentos de una forma sencilla y con comandos en español.</w:t>
      </w:r>
    </w:p>
    <w:p>
      <w:pPr>
        <w:pStyle w:val="BodyText"/>
      </w:pPr>
    </w:p>
    <w:p>
      <w:pPr>
        <w:pStyle w:val="BodyText"/>
        <w:spacing w:line="360" w:lineRule="auto" w:before="142"/>
        <w:ind w:left="102" w:right="125"/>
        <w:jc w:val="both"/>
      </w:pPr>
      <w:r>
        <w:rPr/>
        <w:t>COI se compone de módulos o subsistemas que están relacionados entre sí por medio de menús sencillos, evitando así el uso de comandos difíciles de recordar.</w:t>
      </w:r>
    </w:p>
    <w:p>
      <w:pPr>
        <w:pStyle w:val="BodyText"/>
      </w:pPr>
    </w:p>
    <w:p>
      <w:pPr>
        <w:pStyle w:val="BodyText"/>
        <w:spacing w:line="360" w:lineRule="auto" w:before="142"/>
        <w:ind w:left="102" w:right="127"/>
        <w:jc w:val="both"/>
      </w:pPr>
      <w:r>
        <w:rPr/>
        <w:t>Es importante tener en cuenta que el sistema no contabiliza los criterios contables, los aplica el usuario, y el sistema solo archiva, o realiza y presenta información en la pantalla y reportea.</w:t>
      </w:r>
    </w:p>
    <w:p>
      <w:pPr>
        <w:pStyle w:val="BodyText"/>
      </w:pPr>
    </w:p>
    <w:p>
      <w:pPr>
        <w:pStyle w:val="BodyText"/>
        <w:spacing w:before="142"/>
        <w:ind w:left="102"/>
        <w:jc w:val="both"/>
      </w:pPr>
      <w:r>
        <w:rPr>
          <w:u w:val="single"/>
        </w:rPr>
        <w:t>Clave de acceso</w:t>
      </w:r>
    </w:p>
    <w:p>
      <w:pPr>
        <w:pStyle w:val="BodyText"/>
        <w:spacing w:line="360" w:lineRule="auto" w:before="137"/>
        <w:ind w:left="102" w:right="121"/>
        <w:jc w:val="both"/>
      </w:pPr>
      <w:r>
        <w:rPr/>
        <w:t>Es el dato que limita el acceso a las operaciones de COI. Esto es importante para evitar que cualquiera pueda efectuar cambios y hasta sabotear el sistema.</w:t>
      </w:r>
    </w:p>
    <w:p>
      <w:pPr>
        <w:pStyle w:val="BodyText"/>
      </w:pPr>
    </w:p>
    <w:p>
      <w:pPr>
        <w:pStyle w:val="BodyText"/>
        <w:spacing w:line="360" w:lineRule="auto" w:before="142"/>
        <w:ind w:left="102" w:right="115"/>
        <w:jc w:val="both"/>
      </w:pPr>
      <w:r>
        <w:rPr/>
        <w:t>Cada empresa registrada tendrá cinco claves independientes de seis caracteres cada una, las claves pueden ser configuradas para que el acceso a uno o más módulos sea el siguiente:</w:t>
      </w:r>
    </w:p>
    <w:p>
      <w:pPr>
        <w:pStyle w:val="BodyText"/>
      </w:pPr>
    </w:p>
    <w:p>
      <w:pPr>
        <w:pStyle w:val="BodyText"/>
        <w:spacing w:line="360" w:lineRule="auto" w:before="142"/>
        <w:ind w:left="102" w:right="5687"/>
      </w:pPr>
      <w:r>
        <w:rPr/>
        <w:t>0---impide el acceso al módulo 1---consultas y reportes</w:t>
      </w:r>
    </w:p>
    <w:p>
      <w:pPr>
        <w:pStyle w:val="BodyText"/>
        <w:spacing w:before="2"/>
        <w:ind w:left="102"/>
        <w:jc w:val="both"/>
      </w:pPr>
      <w:r>
        <w:rPr/>
        <w:t>2---acceso ilimitado.</w:t>
      </w:r>
    </w:p>
    <w:p>
      <w:pPr>
        <w:spacing w:after="0"/>
        <w:jc w:val="both"/>
        <w:sectPr>
          <w:pgSz w:w="12240" w:h="15840"/>
          <w:pgMar w:header="0" w:footer="779" w:top="1360" w:bottom="960" w:left="1600" w:right="1580"/>
        </w:sectPr>
      </w:pPr>
    </w:p>
    <w:p>
      <w:pPr>
        <w:pStyle w:val="BodyText"/>
        <w:spacing w:before="56"/>
        <w:ind w:left="102" w:right="120"/>
      </w:pPr>
      <w:r>
        <w:rPr>
          <w:u w:val="single"/>
        </w:rPr>
        <w:t>Catálogo de cuentas</w:t>
      </w:r>
    </w:p>
    <w:p>
      <w:pPr>
        <w:pStyle w:val="BodyText"/>
        <w:rPr>
          <w:sz w:val="20"/>
        </w:rPr>
      </w:pPr>
    </w:p>
    <w:p>
      <w:pPr>
        <w:pStyle w:val="BodyText"/>
        <w:rPr>
          <w:sz w:val="22"/>
        </w:rPr>
      </w:pPr>
    </w:p>
    <w:p>
      <w:pPr>
        <w:pStyle w:val="BodyText"/>
        <w:spacing w:line="360" w:lineRule="auto" w:before="69"/>
        <w:ind w:left="102" w:right="124"/>
        <w:jc w:val="both"/>
      </w:pPr>
      <w:r>
        <w:rPr/>
        <w:t>Al iniciar las funciones de cada empresa es indispensable que se establezca el catálogo de cuentas con el que se va a trabajar. Es por eso que debe tomarse en cuenta el número con el que se va a designar a los elementos de dicho catálogo (cuántas y cuáles).</w:t>
      </w:r>
    </w:p>
    <w:p>
      <w:pPr>
        <w:pStyle w:val="BodyText"/>
      </w:pPr>
    </w:p>
    <w:p>
      <w:pPr>
        <w:pStyle w:val="BodyText"/>
        <w:spacing w:line="360" w:lineRule="auto" w:before="142"/>
        <w:ind w:left="102" w:right="128"/>
        <w:jc w:val="both"/>
      </w:pPr>
      <w:r>
        <w:rPr/>
        <w:t>El catálogo puede contener hasta cinco niveles para una adecuada contabilización y se tienen once dígitos para ser distribuidos en los diferentes niveles.</w:t>
      </w:r>
    </w:p>
    <w:p>
      <w:pPr>
        <w:pStyle w:val="BodyText"/>
      </w:pPr>
    </w:p>
    <w:p>
      <w:pPr>
        <w:pStyle w:val="BodyText"/>
      </w:pPr>
    </w:p>
    <w:p>
      <w:pPr>
        <w:pStyle w:val="BodyText"/>
        <w:spacing w:before="3"/>
      </w:pPr>
    </w:p>
    <w:p>
      <w:pPr>
        <w:pStyle w:val="BodyText"/>
        <w:ind w:left="102"/>
        <w:jc w:val="both"/>
      </w:pPr>
      <w:r>
        <w:rPr>
          <w:u w:val="single"/>
        </w:rPr>
        <w:t>Pólizas</w:t>
      </w:r>
    </w:p>
    <w:p>
      <w:pPr>
        <w:pStyle w:val="BodyText"/>
        <w:rPr>
          <w:sz w:val="20"/>
        </w:rPr>
      </w:pPr>
    </w:p>
    <w:p>
      <w:pPr>
        <w:pStyle w:val="BodyText"/>
        <w:spacing w:before="11"/>
        <w:rPr>
          <w:sz w:val="21"/>
        </w:rPr>
      </w:pPr>
    </w:p>
    <w:p>
      <w:pPr>
        <w:pStyle w:val="BodyText"/>
        <w:spacing w:line="360" w:lineRule="auto" w:before="69"/>
        <w:ind w:left="102" w:right="115"/>
        <w:jc w:val="both"/>
      </w:pPr>
      <w:r>
        <w:rPr/>
        <w:t>A través de este módulo se realizan todas las afectaciones contables. COI nos permite trabajar hasta con doce diferentes tipos de pólizas aunque  las tradicionales son tres (diario, ingresos y egresos).</w:t>
      </w:r>
    </w:p>
    <w:p>
      <w:pPr>
        <w:pStyle w:val="BodyText"/>
      </w:pPr>
    </w:p>
    <w:p>
      <w:pPr>
        <w:pStyle w:val="BodyText"/>
        <w:spacing w:line="360" w:lineRule="auto" w:before="142"/>
        <w:ind w:left="102" w:right="126"/>
        <w:jc w:val="both"/>
      </w:pPr>
      <w:r>
        <w:rPr/>
        <w:t>Este módulo verifica que las cuentas afectadas existan en catálogo, que se  cumpla la partida doble, diferencia las cuentas acumulativas y de</w:t>
      </w:r>
      <w:r>
        <w:rPr>
          <w:spacing w:val="-29"/>
        </w:rPr>
        <w:t> </w:t>
      </w:r>
      <w:r>
        <w:rPr/>
        <w:t>detalle.</w:t>
      </w:r>
    </w:p>
    <w:p>
      <w:pPr>
        <w:spacing w:after="0" w:line="360" w:lineRule="auto"/>
        <w:jc w:val="both"/>
        <w:sectPr>
          <w:footerReference w:type="default" r:id="rId43"/>
          <w:pgSz w:w="12240" w:h="15840"/>
          <w:pgMar w:footer="779" w:header="0" w:top="1360" w:bottom="960" w:left="1600" w:right="1580"/>
        </w:sectPr>
      </w:pPr>
    </w:p>
    <w:p>
      <w:pPr>
        <w:pStyle w:val="Heading2"/>
        <w:spacing w:before="56"/>
        <w:ind w:left="2238" w:right="120"/>
        <w:jc w:val="left"/>
      </w:pPr>
      <w:bookmarkStart w:name="_bookmark24" w:id="39"/>
      <w:bookmarkEnd w:id="39"/>
      <w:r>
        <w:rPr>
          <w:b w:val="0"/>
        </w:rPr>
      </w:r>
      <w:r>
        <w:rPr/>
        <w:t>UNIDAD IV INFORMACIÓN FINANCIERA</w:t>
      </w:r>
    </w:p>
    <w:p>
      <w:pPr>
        <w:pStyle w:val="BodyText"/>
        <w:rPr>
          <w:b/>
        </w:rPr>
      </w:pPr>
    </w:p>
    <w:p>
      <w:pPr>
        <w:pStyle w:val="BodyText"/>
        <w:spacing w:before="7"/>
        <w:rPr>
          <w:b/>
        </w:rPr>
      </w:pPr>
    </w:p>
    <w:p>
      <w:pPr>
        <w:pStyle w:val="BodyText"/>
        <w:spacing w:line="276" w:lineRule="auto"/>
        <w:ind w:left="102" w:right="786"/>
      </w:pPr>
      <w:r>
        <w:rPr/>
        <w:t>El alumno formula la información financiera de la entidad útil para la toma de decisiones.</w:t>
      </w:r>
    </w:p>
    <w:p>
      <w:pPr>
        <w:pStyle w:val="BodyText"/>
      </w:pPr>
    </w:p>
    <w:p>
      <w:pPr>
        <w:pStyle w:val="ListParagraph"/>
        <w:numPr>
          <w:ilvl w:val="1"/>
          <w:numId w:val="26"/>
        </w:numPr>
        <w:tabs>
          <w:tab w:pos="1095" w:val="left" w:leader="none"/>
          <w:tab w:pos="1096" w:val="left" w:leader="none"/>
        </w:tabs>
        <w:spacing w:line="240" w:lineRule="auto" w:before="140" w:after="0"/>
        <w:ind w:left="1095" w:right="0" w:hanging="633"/>
        <w:jc w:val="left"/>
        <w:rPr>
          <w:sz w:val="24"/>
        </w:rPr>
      </w:pPr>
      <w:r>
        <w:rPr>
          <w:sz w:val="24"/>
        </w:rPr>
        <w:t>Libros</w:t>
      </w:r>
      <w:r>
        <w:rPr>
          <w:spacing w:val="-3"/>
          <w:sz w:val="24"/>
        </w:rPr>
        <w:t> </w:t>
      </w:r>
      <w:r>
        <w:rPr>
          <w:sz w:val="24"/>
        </w:rPr>
        <w:t>contables.</w:t>
      </w:r>
    </w:p>
    <w:p>
      <w:pPr>
        <w:pStyle w:val="ListParagraph"/>
        <w:numPr>
          <w:ilvl w:val="1"/>
          <w:numId w:val="26"/>
        </w:numPr>
        <w:tabs>
          <w:tab w:pos="1095" w:val="left" w:leader="none"/>
          <w:tab w:pos="1096" w:val="left" w:leader="none"/>
        </w:tabs>
        <w:spacing w:line="240" w:lineRule="auto" w:before="137" w:after="0"/>
        <w:ind w:left="1095" w:right="0" w:hanging="633"/>
        <w:jc w:val="left"/>
        <w:rPr>
          <w:sz w:val="24"/>
        </w:rPr>
      </w:pPr>
      <w:r>
        <w:rPr>
          <w:sz w:val="24"/>
        </w:rPr>
        <w:t>Estados</w:t>
      </w:r>
      <w:r>
        <w:rPr>
          <w:spacing w:val="-4"/>
          <w:sz w:val="24"/>
        </w:rPr>
        <w:t> </w:t>
      </w:r>
      <w:r>
        <w:rPr>
          <w:sz w:val="24"/>
        </w:rPr>
        <w:t>Financieros.</w:t>
      </w:r>
    </w:p>
    <w:p>
      <w:pPr>
        <w:pStyle w:val="BodyText"/>
      </w:pPr>
    </w:p>
    <w:p>
      <w:pPr>
        <w:pStyle w:val="BodyText"/>
      </w:pPr>
    </w:p>
    <w:p>
      <w:pPr>
        <w:pStyle w:val="Heading2"/>
        <w:numPr>
          <w:ilvl w:val="1"/>
          <w:numId w:val="27"/>
        </w:numPr>
        <w:tabs>
          <w:tab w:pos="669" w:val="left" w:leader="none"/>
        </w:tabs>
        <w:spacing w:line="240" w:lineRule="auto" w:before="0" w:after="0"/>
        <w:ind w:left="668" w:right="0" w:hanging="566"/>
        <w:jc w:val="both"/>
      </w:pPr>
      <w:bookmarkStart w:name="_bookmark25" w:id="40"/>
      <w:bookmarkEnd w:id="40"/>
      <w:r>
        <w:rPr>
          <w:b w:val="0"/>
        </w:rPr>
      </w:r>
      <w:bookmarkStart w:name="_bookmark25" w:id="41"/>
      <w:bookmarkEnd w:id="41"/>
      <w:r>
        <w:rPr/>
        <w:t>Libros</w:t>
      </w:r>
      <w:r>
        <w:rPr>
          <w:spacing w:val="-4"/>
        </w:rPr>
        <w:t> </w:t>
      </w:r>
      <w:r>
        <w:rPr/>
        <w:t>contables.</w:t>
      </w:r>
    </w:p>
    <w:p>
      <w:pPr>
        <w:pStyle w:val="BodyText"/>
        <w:rPr>
          <w:b/>
        </w:rPr>
      </w:pPr>
    </w:p>
    <w:p>
      <w:pPr>
        <w:pStyle w:val="BodyText"/>
        <w:rPr>
          <w:b/>
        </w:rPr>
      </w:pPr>
    </w:p>
    <w:p>
      <w:pPr>
        <w:pStyle w:val="BodyText"/>
        <w:spacing w:line="360" w:lineRule="auto"/>
        <w:ind w:left="102" w:right="115"/>
        <w:jc w:val="both"/>
      </w:pPr>
      <w:r>
        <w:rPr/>
        <w:t>Para efectuar el registro de operaciones debemos seguir un procedimiento lógico como el siguiente:</w:t>
      </w:r>
    </w:p>
    <w:p>
      <w:pPr>
        <w:pStyle w:val="BodyText"/>
      </w:pPr>
    </w:p>
    <w:p>
      <w:pPr>
        <w:pStyle w:val="BodyText"/>
        <w:spacing w:before="3"/>
      </w:pPr>
    </w:p>
    <w:p>
      <w:pPr>
        <w:pStyle w:val="ListParagraph"/>
        <w:numPr>
          <w:ilvl w:val="2"/>
          <w:numId w:val="27"/>
        </w:numPr>
        <w:tabs>
          <w:tab w:pos="821" w:val="left" w:leader="none"/>
          <w:tab w:pos="822" w:val="left" w:leader="none"/>
        </w:tabs>
        <w:spacing w:line="240" w:lineRule="auto" w:before="0" w:after="0"/>
        <w:ind w:left="822" w:right="0" w:hanging="360"/>
        <w:jc w:val="left"/>
        <w:rPr>
          <w:sz w:val="24"/>
        </w:rPr>
      </w:pPr>
      <w:r>
        <w:rPr>
          <w:sz w:val="24"/>
        </w:rPr>
        <w:t>Creación del catálogo de</w:t>
      </w:r>
      <w:r>
        <w:rPr>
          <w:spacing w:val="-11"/>
          <w:sz w:val="24"/>
        </w:rPr>
        <w:t> </w:t>
      </w:r>
      <w:r>
        <w:rPr>
          <w:sz w:val="24"/>
        </w:rPr>
        <w:t>cuentas</w:t>
      </w:r>
    </w:p>
    <w:p>
      <w:pPr>
        <w:pStyle w:val="ListParagraph"/>
        <w:numPr>
          <w:ilvl w:val="2"/>
          <w:numId w:val="27"/>
        </w:numPr>
        <w:tabs>
          <w:tab w:pos="821" w:val="left" w:leader="none"/>
          <w:tab w:pos="822" w:val="left" w:leader="none"/>
        </w:tabs>
        <w:spacing w:line="240" w:lineRule="auto" w:before="135" w:after="0"/>
        <w:ind w:left="822" w:right="0" w:hanging="360"/>
        <w:jc w:val="left"/>
        <w:rPr>
          <w:sz w:val="24"/>
        </w:rPr>
      </w:pPr>
      <w:r>
        <w:rPr>
          <w:sz w:val="24"/>
        </w:rPr>
        <w:t>Apertura de cuentas de</w:t>
      </w:r>
      <w:r>
        <w:rPr>
          <w:spacing w:val="-10"/>
          <w:sz w:val="24"/>
        </w:rPr>
        <w:t> </w:t>
      </w:r>
      <w:r>
        <w:rPr>
          <w:sz w:val="24"/>
        </w:rPr>
        <w:t>mayor</w:t>
      </w:r>
    </w:p>
    <w:p>
      <w:pPr>
        <w:pStyle w:val="ListParagraph"/>
        <w:numPr>
          <w:ilvl w:val="2"/>
          <w:numId w:val="27"/>
        </w:numPr>
        <w:tabs>
          <w:tab w:pos="821" w:val="left" w:leader="none"/>
          <w:tab w:pos="822" w:val="left" w:leader="none"/>
        </w:tabs>
        <w:spacing w:line="240" w:lineRule="auto" w:before="135" w:after="0"/>
        <w:ind w:left="822" w:right="0" w:hanging="360"/>
        <w:jc w:val="left"/>
        <w:rPr>
          <w:sz w:val="24"/>
        </w:rPr>
      </w:pPr>
      <w:r>
        <w:rPr>
          <w:sz w:val="24"/>
        </w:rPr>
        <w:t>Registro de transacciones en libro</w:t>
      </w:r>
      <w:r>
        <w:rPr>
          <w:spacing w:val="-11"/>
          <w:sz w:val="24"/>
        </w:rPr>
        <w:t> </w:t>
      </w:r>
      <w:r>
        <w:rPr>
          <w:sz w:val="24"/>
        </w:rPr>
        <w:t>diario</w:t>
      </w:r>
    </w:p>
    <w:p>
      <w:pPr>
        <w:pStyle w:val="ListParagraph"/>
        <w:numPr>
          <w:ilvl w:val="2"/>
          <w:numId w:val="27"/>
        </w:numPr>
        <w:tabs>
          <w:tab w:pos="821" w:val="left" w:leader="none"/>
          <w:tab w:pos="822" w:val="left" w:leader="none"/>
        </w:tabs>
        <w:spacing w:line="240" w:lineRule="auto" w:before="138" w:after="0"/>
        <w:ind w:left="822" w:right="0" w:hanging="360"/>
        <w:jc w:val="left"/>
        <w:rPr>
          <w:sz w:val="24"/>
        </w:rPr>
      </w:pPr>
      <w:r>
        <w:rPr>
          <w:sz w:val="24"/>
        </w:rPr>
        <w:t>Pases a cuentas de mayor a partir de los registros en</w:t>
      </w:r>
      <w:r>
        <w:rPr>
          <w:spacing w:val="-17"/>
          <w:sz w:val="24"/>
        </w:rPr>
        <w:t> </w:t>
      </w:r>
      <w:r>
        <w:rPr>
          <w:sz w:val="24"/>
        </w:rPr>
        <w:t>diario</w:t>
      </w:r>
    </w:p>
    <w:p>
      <w:pPr>
        <w:pStyle w:val="BodyText"/>
      </w:pPr>
    </w:p>
    <w:p>
      <w:pPr>
        <w:pStyle w:val="BodyText"/>
        <w:spacing w:before="7"/>
        <w:rPr>
          <w:sz w:val="23"/>
        </w:rPr>
      </w:pPr>
    </w:p>
    <w:p>
      <w:pPr>
        <w:pStyle w:val="BodyText"/>
        <w:ind w:left="102"/>
        <w:jc w:val="both"/>
      </w:pPr>
      <w:r>
        <w:rPr>
          <w:u w:val="single"/>
        </w:rPr>
        <w:t>Creación del catálogo de cuentas</w:t>
      </w:r>
    </w:p>
    <w:p>
      <w:pPr>
        <w:pStyle w:val="BodyText"/>
        <w:spacing w:line="360" w:lineRule="auto" w:before="139"/>
        <w:ind w:left="102" w:right="122"/>
        <w:jc w:val="both"/>
      </w:pPr>
      <w:r>
        <w:rPr/>
        <w:t>El catálogo es una lista de todas las cuentas que pueden necesitarse en vista de las actividades a que la empresa se dedique. Por supuesto, habrá cuentas que se usen en todas las </w:t>
      </w:r>
      <w:hyperlink r:id="rId17">
        <w:r>
          <w:rPr/>
          <w:t>empresas</w:t>
        </w:r>
      </w:hyperlink>
      <w:r>
        <w:rPr/>
        <w:t> y otras que sean características de cierto tipo de </w:t>
      </w:r>
      <w:hyperlink r:id="rId25">
        <w:r>
          <w:rPr/>
          <w:t>negocios</w:t>
        </w:r>
      </w:hyperlink>
      <w:r>
        <w:rPr/>
        <w:t>.</w:t>
      </w:r>
    </w:p>
    <w:p>
      <w:pPr>
        <w:pStyle w:val="BodyText"/>
      </w:pPr>
    </w:p>
    <w:p>
      <w:pPr>
        <w:pStyle w:val="BodyText"/>
        <w:spacing w:line="360" w:lineRule="auto" w:before="142"/>
        <w:ind w:left="102" w:right="116"/>
        <w:jc w:val="both"/>
      </w:pPr>
      <w:r>
        <w:rPr/>
        <w:t>Las cuentas que integran el catálogo, deberán agruparse de acuerdo con su naturaleza: activo, pasivo, capital, resultados, etc. Dentro de cada grupo por su objetivo o función, y si se considera necesario podrán subdividirse por departamentos.</w:t>
      </w:r>
    </w:p>
    <w:p>
      <w:pPr>
        <w:spacing w:after="0" w:line="360" w:lineRule="auto"/>
        <w:jc w:val="both"/>
        <w:sectPr>
          <w:footerReference w:type="default" r:id="rId44"/>
          <w:pgSz w:w="12240" w:h="15840"/>
          <w:pgMar w:footer="489" w:header="0" w:top="1360" w:bottom="680" w:left="1600" w:right="1580"/>
          <w:pgNumType w:start="41"/>
        </w:sectPr>
      </w:pPr>
    </w:p>
    <w:tbl>
      <w:tblPr>
        <w:tblW w:w="0" w:type="auto"/>
        <w:jc w:val="left"/>
        <w:tblInd w:w="11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921"/>
        <w:gridCol w:w="5033"/>
      </w:tblGrid>
      <w:tr>
        <w:trPr>
          <w:trHeight w:val="411" w:hRule="exact"/>
        </w:trPr>
        <w:tc>
          <w:tcPr>
            <w:tcW w:w="9954" w:type="dxa"/>
            <w:gridSpan w:val="2"/>
          </w:tcPr>
          <w:p>
            <w:pPr>
              <w:pStyle w:val="TableParagraph"/>
              <w:spacing w:line="226" w:lineRule="exact"/>
              <w:ind w:left="3710" w:right="3453"/>
              <w:jc w:val="center"/>
              <w:rPr>
                <w:rFonts w:ascii="Arial" w:hAnsi="Arial"/>
                <w:b/>
                <w:sz w:val="22"/>
              </w:rPr>
            </w:pPr>
            <w:r>
              <w:rPr>
                <w:rFonts w:ascii="Arial" w:hAnsi="Arial"/>
                <w:b/>
                <w:sz w:val="22"/>
              </w:rPr>
              <w:t>CATÁLOGO DE CUENTAS</w:t>
            </w:r>
          </w:p>
        </w:tc>
      </w:tr>
      <w:tr>
        <w:trPr>
          <w:trHeight w:val="450" w:hRule="exact"/>
        </w:trPr>
        <w:tc>
          <w:tcPr>
            <w:tcW w:w="4921" w:type="dxa"/>
          </w:tcPr>
          <w:p>
            <w:pPr>
              <w:pStyle w:val="TableParagraph"/>
              <w:spacing w:before="162"/>
              <w:ind w:left="200"/>
              <w:rPr>
                <w:rFonts w:ascii="Arial"/>
                <w:b/>
                <w:sz w:val="22"/>
              </w:rPr>
            </w:pPr>
            <w:r>
              <w:rPr>
                <w:rFonts w:ascii="Arial"/>
                <w:b/>
                <w:sz w:val="22"/>
              </w:rPr>
              <w:t>CUENTAS DE ACTIVO</w:t>
            </w:r>
          </w:p>
        </w:tc>
        <w:tc>
          <w:tcPr>
            <w:tcW w:w="5033" w:type="dxa"/>
          </w:tcPr>
          <w:p>
            <w:pPr>
              <w:pStyle w:val="TableParagraph"/>
              <w:spacing w:before="162"/>
              <w:ind w:left="1087"/>
              <w:rPr>
                <w:rFonts w:ascii="Arial"/>
                <w:b/>
                <w:sz w:val="22"/>
              </w:rPr>
            </w:pPr>
            <w:r>
              <w:rPr>
                <w:rFonts w:ascii="Arial"/>
                <w:b/>
                <w:sz w:val="22"/>
              </w:rPr>
              <w:t>CUENTAS DE PASIVO</w:t>
            </w:r>
          </w:p>
        </w:tc>
      </w:tr>
      <w:tr>
        <w:trPr>
          <w:trHeight w:val="301" w:hRule="exact"/>
        </w:trPr>
        <w:tc>
          <w:tcPr>
            <w:tcW w:w="4921" w:type="dxa"/>
          </w:tcPr>
          <w:p>
            <w:pPr>
              <w:pStyle w:val="TableParagraph"/>
              <w:spacing w:before="12"/>
              <w:ind w:left="200"/>
              <w:rPr>
                <w:rFonts w:ascii="Arial"/>
                <w:b/>
                <w:sz w:val="22"/>
              </w:rPr>
            </w:pPr>
            <w:r>
              <w:rPr>
                <w:rFonts w:ascii="Arial"/>
                <w:b/>
                <w:sz w:val="22"/>
                <w:u w:val="thick"/>
              </w:rPr>
              <w:t>Circulante</w:t>
            </w:r>
          </w:p>
        </w:tc>
        <w:tc>
          <w:tcPr>
            <w:tcW w:w="5033" w:type="dxa"/>
          </w:tcPr>
          <w:p>
            <w:pPr>
              <w:pStyle w:val="TableParagraph"/>
              <w:spacing w:before="12"/>
              <w:ind w:left="1087"/>
              <w:rPr>
                <w:rFonts w:ascii="Arial"/>
                <w:b/>
                <w:sz w:val="22"/>
              </w:rPr>
            </w:pPr>
            <w:r>
              <w:rPr>
                <w:rFonts w:ascii="Arial"/>
                <w:b/>
                <w:sz w:val="22"/>
                <w:u w:val="thick"/>
              </w:rPr>
              <w:t>A corto plazo</w:t>
            </w:r>
          </w:p>
        </w:tc>
      </w:tr>
      <w:tr>
        <w:trPr>
          <w:trHeight w:val="301" w:hRule="exact"/>
        </w:trPr>
        <w:tc>
          <w:tcPr>
            <w:tcW w:w="4921" w:type="dxa"/>
          </w:tcPr>
          <w:p>
            <w:pPr>
              <w:pStyle w:val="TableParagraph"/>
              <w:spacing w:before="13"/>
              <w:ind w:left="200"/>
              <w:rPr>
                <w:rFonts w:ascii="Arial"/>
                <w:sz w:val="22"/>
              </w:rPr>
            </w:pPr>
            <w:r>
              <w:rPr>
                <w:rFonts w:ascii="Arial"/>
                <w:sz w:val="22"/>
              </w:rPr>
              <w:t>Caja</w:t>
            </w:r>
          </w:p>
        </w:tc>
        <w:tc>
          <w:tcPr>
            <w:tcW w:w="5033" w:type="dxa"/>
          </w:tcPr>
          <w:p>
            <w:pPr>
              <w:pStyle w:val="TableParagraph"/>
              <w:spacing w:before="13"/>
              <w:ind w:left="1087"/>
              <w:rPr>
                <w:rFonts w:ascii="Arial"/>
                <w:sz w:val="22"/>
              </w:rPr>
            </w:pPr>
            <w:r>
              <w:rPr>
                <w:rFonts w:ascii="Arial"/>
                <w:sz w:val="22"/>
              </w:rPr>
              <w:t>Proveedores</w:t>
            </w:r>
          </w:p>
        </w:tc>
      </w:tr>
      <w:tr>
        <w:trPr>
          <w:trHeight w:val="300" w:hRule="exact"/>
        </w:trPr>
        <w:tc>
          <w:tcPr>
            <w:tcW w:w="4921" w:type="dxa"/>
          </w:tcPr>
          <w:p>
            <w:pPr>
              <w:pStyle w:val="TableParagraph"/>
              <w:spacing w:before="12"/>
              <w:ind w:left="200"/>
              <w:rPr>
                <w:rFonts w:ascii="Arial"/>
                <w:sz w:val="22"/>
              </w:rPr>
            </w:pPr>
            <w:r>
              <w:rPr>
                <w:rFonts w:ascii="Arial"/>
                <w:sz w:val="22"/>
              </w:rPr>
              <w:t>Bancos</w:t>
            </w:r>
          </w:p>
        </w:tc>
        <w:tc>
          <w:tcPr>
            <w:tcW w:w="5033" w:type="dxa"/>
          </w:tcPr>
          <w:p>
            <w:pPr>
              <w:pStyle w:val="TableParagraph"/>
              <w:spacing w:before="12"/>
              <w:ind w:left="1087"/>
              <w:rPr>
                <w:rFonts w:ascii="Arial"/>
                <w:sz w:val="22"/>
              </w:rPr>
            </w:pPr>
            <w:r>
              <w:rPr>
                <w:rFonts w:ascii="Arial"/>
                <w:sz w:val="22"/>
              </w:rPr>
              <w:t>Documentos por pagar</w:t>
            </w:r>
          </w:p>
        </w:tc>
      </w:tr>
      <w:tr>
        <w:trPr>
          <w:trHeight w:val="300" w:hRule="exact"/>
        </w:trPr>
        <w:tc>
          <w:tcPr>
            <w:tcW w:w="4921" w:type="dxa"/>
          </w:tcPr>
          <w:p>
            <w:pPr>
              <w:pStyle w:val="TableParagraph"/>
              <w:spacing w:before="12"/>
              <w:ind w:left="200"/>
              <w:rPr>
                <w:rFonts w:ascii="Arial"/>
                <w:sz w:val="22"/>
              </w:rPr>
            </w:pPr>
            <w:r>
              <w:rPr>
                <w:rFonts w:ascii="Arial"/>
                <w:sz w:val="22"/>
              </w:rPr>
              <w:t>Clientes</w:t>
            </w:r>
          </w:p>
        </w:tc>
        <w:tc>
          <w:tcPr>
            <w:tcW w:w="5033" w:type="dxa"/>
          </w:tcPr>
          <w:p>
            <w:pPr>
              <w:pStyle w:val="TableParagraph"/>
              <w:spacing w:before="12"/>
              <w:ind w:left="1087"/>
              <w:rPr>
                <w:rFonts w:ascii="Arial"/>
                <w:sz w:val="22"/>
              </w:rPr>
            </w:pPr>
            <w:r>
              <w:rPr>
                <w:rFonts w:ascii="Arial"/>
                <w:sz w:val="22"/>
              </w:rPr>
              <w:t>Acreedores Diversos</w:t>
            </w:r>
          </w:p>
        </w:tc>
      </w:tr>
      <w:tr>
        <w:trPr>
          <w:trHeight w:val="300" w:hRule="exact"/>
        </w:trPr>
        <w:tc>
          <w:tcPr>
            <w:tcW w:w="4921" w:type="dxa"/>
          </w:tcPr>
          <w:p>
            <w:pPr>
              <w:pStyle w:val="TableParagraph"/>
              <w:spacing w:before="12"/>
              <w:ind w:left="200"/>
              <w:rPr>
                <w:rFonts w:ascii="Arial"/>
                <w:sz w:val="22"/>
              </w:rPr>
            </w:pPr>
            <w:r>
              <w:rPr>
                <w:rFonts w:ascii="Arial"/>
                <w:sz w:val="22"/>
              </w:rPr>
              <w:t>Documentos por cobrar</w:t>
            </w:r>
          </w:p>
        </w:tc>
        <w:tc>
          <w:tcPr>
            <w:tcW w:w="5033" w:type="dxa"/>
          </w:tcPr>
          <w:p>
            <w:pPr>
              <w:pStyle w:val="TableParagraph"/>
              <w:spacing w:before="12"/>
              <w:ind w:left="1087"/>
              <w:rPr>
                <w:rFonts w:ascii="Arial"/>
                <w:sz w:val="22"/>
              </w:rPr>
            </w:pPr>
            <w:r>
              <w:rPr>
                <w:rFonts w:ascii="Arial"/>
                <w:sz w:val="22"/>
              </w:rPr>
              <w:t>Impuestos por pagar</w:t>
            </w:r>
          </w:p>
        </w:tc>
      </w:tr>
      <w:tr>
        <w:trPr>
          <w:trHeight w:val="300" w:hRule="exact"/>
        </w:trPr>
        <w:tc>
          <w:tcPr>
            <w:tcW w:w="4921" w:type="dxa"/>
          </w:tcPr>
          <w:p>
            <w:pPr>
              <w:pStyle w:val="TableParagraph"/>
              <w:spacing w:before="12"/>
              <w:ind w:left="200"/>
              <w:rPr>
                <w:rFonts w:ascii="Arial"/>
                <w:sz w:val="22"/>
              </w:rPr>
            </w:pPr>
            <w:r>
              <w:rPr>
                <w:rFonts w:ascii="Arial"/>
                <w:sz w:val="22"/>
              </w:rPr>
              <w:t>Deudores Diversos</w:t>
            </w:r>
          </w:p>
        </w:tc>
        <w:tc>
          <w:tcPr>
            <w:tcW w:w="5033" w:type="dxa"/>
          </w:tcPr>
          <w:p>
            <w:pPr>
              <w:pStyle w:val="TableParagraph"/>
              <w:spacing w:before="12"/>
              <w:ind w:left="1087"/>
              <w:rPr>
                <w:rFonts w:ascii="Arial"/>
                <w:sz w:val="22"/>
              </w:rPr>
            </w:pPr>
            <w:r>
              <w:rPr>
                <w:rFonts w:ascii="Arial"/>
                <w:sz w:val="22"/>
              </w:rPr>
              <w:t>IVA trasladado</w:t>
            </w:r>
          </w:p>
        </w:tc>
      </w:tr>
      <w:tr>
        <w:trPr>
          <w:trHeight w:val="300" w:hRule="exact"/>
        </w:trPr>
        <w:tc>
          <w:tcPr>
            <w:tcW w:w="4921" w:type="dxa"/>
          </w:tcPr>
          <w:p>
            <w:pPr>
              <w:pStyle w:val="TableParagraph"/>
              <w:spacing w:before="12"/>
              <w:ind w:left="200"/>
              <w:rPr>
                <w:rFonts w:ascii="Arial" w:hAnsi="Arial"/>
                <w:sz w:val="22"/>
              </w:rPr>
            </w:pPr>
            <w:r>
              <w:rPr>
                <w:rFonts w:ascii="Arial" w:hAnsi="Arial"/>
                <w:sz w:val="22"/>
              </w:rPr>
              <w:t>Almacén de materias primas</w:t>
            </w:r>
          </w:p>
        </w:tc>
        <w:tc>
          <w:tcPr>
            <w:tcW w:w="5033" w:type="dxa"/>
          </w:tcPr>
          <w:p>
            <w:pPr>
              <w:pStyle w:val="TableParagraph"/>
              <w:spacing w:before="12"/>
              <w:ind w:left="1087"/>
              <w:rPr>
                <w:rFonts w:ascii="Arial"/>
                <w:sz w:val="22"/>
              </w:rPr>
            </w:pPr>
            <w:r>
              <w:rPr>
                <w:rFonts w:ascii="Arial"/>
                <w:sz w:val="22"/>
              </w:rPr>
              <w:t>IVA x trasladar</w:t>
            </w:r>
          </w:p>
        </w:tc>
      </w:tr>
      <w:tr>
        <w:trPr>
          <w:trHeight w:val="299" w:hRule="exact"/>
        </w:trPr>
        <w:tc>
          <w:tcPr>
            <w:tcW w:w="4921" w:type="dxa"/>
          </w:tcPr>
          <w:p>
            <w:pPr>
              <w:pStyle w:val="TableParagraph"/>
              <w:spacing w:before="12"/>
              <w:ind w:left="200"/>
              <w:rPr>
                <w:rFonts w:ascii="Arial" w:hAnsi="Arial"/>
                <w:sz w:val="22"/>
              </w:rPr>
            </w:pPr>
            <w:r>
              <w:rPr>
                <w:rFonts w:ascii="Arial" w:hAnsi="Arial"/>
                <w:sz w:val="22"/>
              </w:rPr>
              <w:t>Producción en proceso</w:t>
            </w:r>
          </w:p>
        </w:tc>
        <w:tc>
          <w:tcPr>
            <w:tcW w:w="5033" w:type="dxa"/>
          </w:tcPr>
          <w:p>
            <w:pPr/>
          </w:p>
        </w:tc>
      </w:tr>
      <w:tr>
        <w:trPr>
          <w:trHeight w:val="302" w:hRule="exact"/>
        </w:trPr>
        <w:tc>
          <w:tcPr>
            <w:tcW w:w="4921" w:type="dxa"/>
          </w:tcPr>
          <w:p>
            <w:pPr>
              <w:pStyle w:val="TableParagraph"/>
              <w:spacing w:before="13"/>
              <w:ind w:left="200"/>
              <w:rPr>
                <w:rFonts w:ascii="Arial" w:hAnsi="Arial"/>
                <w:sz w:val="22"/>
              </w:rPr>
            </w:pPr>
            <w:r>
              <w:rPr>
                <w:rFonts w:ascii="Arial" w:hAnsi="Arial"/>
                <w:sz w:val="22"/>
              </w:rPr>
              <w:t>Almacén de productos terminados</w:t>
            </w:r>
          </w:p>
        </w:tc>
        <w:tc>
          <w:tcPr>
            <w:tcW w:w="5033" w:type="dxa"/>
          </w:tcPr>
          <w:p>
            <w:pPr>
              <w:pStyle w:val="TableParagraph"/>
              <w:spacing w:before="11"/>
              <w:ind w:left="1087"/>
              <w:rPr>
                <w:rFonts w:ascii="Arial"/>
                <w:b/>
                <w:sz w:val="22"/>
              </w:rPr>
            </w:pPr>
            <w:r>
              <w:rPr>
                <w:rFonts w:ascii="Arial"/>
                <w:b/>
                <w:sz w:val="22"/>
                <w:u w:val="thick"/>
              </w:rPr>
              <w:t>A largo plazo</w:t>
            </w:r>
          </w:p>
        </w:tc>
      </w:tr>
      <w:tr>
        <w:trPr>
          <w:trHeight w:val="300" w:hRule="exact"/>
        </w:trPr>
        <w:tc>
          <w:tcPr>
            <w:tcW w:w="4921" w:type="dxa"/>
          </w:tcPr>
          <w:p>
            <w:pPr>
              <w:pStyle w:val="TableParagraph"/>
              <w:spacing w:before="12"/>
              <w:ind w:left="200"/>
              <w:rPr>
                <w:rFonts w:ascii="Arial"/>
                <w:sz w:val="22"/>
              </w:rPr>
            </w:pPr>
            <w:r>
              <w:rPr>
                <w:rFonts w:ascii="Arial"/>
                <w:sz w:val="22"/>
              </w:rPr>
              <w:t>IVA acreditable</w:t>
            </w:r>
          </w:p>
        </w:tc>
        <w:tc>
          <w:tcPr>
            <w:tcW w:w="5033" w:type="dxa"/>
          </w:tcPr>
          <w:p>
            <w:pPr>
              <w:pStyle w:val="TableParagraph"/>
              <w:spacing w:before="12"/>
              <w:ind w:left="1087"/>
              <w:rPr>
                <w:rFonts w:ascii="Arial"/>
                <w:sz w:val="22"/>
              </w:rPr>
            </w:pPr>
            <w:r>
              <w:rPr>
                <w:rFonts w:ascii="Arial"/>
                <w:sz w:val="22"/>
              </w:rPr>
              <w:t>Acreedores Hipotecarios</w:t>
            </w:r>
          </w:p>
        </w:tc>
      </w:tr>
      <w:tr>
        <w:trPr>
          <w:trHeight w:val="449" w:hRule="exact"/>
        </w:trPr>
        <w:tc>
          <w:tcPr>
            <w:tcW w:w="4921" w:type="dxa"/>
          </w:tcPr>
          <w:p>
            <w:pPr>
              <w:pStyle w:val="TableParagraph"/>
              <w:spacing w:before="12"/>
              <w:ind w:left="200"/>
              <w:rPr>
                <w:rFonts w:ascii="Arial"/>
                <w:sz w:val="22"/>
              </w:rPr>
            </w:pPr>
            <w:r>
              <w:rPr>
                <w:rFonts w:ascii="Arial"/>
                <w:sz w:val="22"/>
              </w:rPr>
              <w:t>IVA por acreditar</w:t>
            </w:r>
          </w:p>
        </w:tc>
        <w:tc>
          <w:tcPr>
            <w:tcW w:w="5033" w:type="dxa"/>
          </w:tcPr>
          <w:p>
            <w:pPr/>
          </w:p>
        </w:tc>
      </w:tr>
      <w:tr>
        <w:trPr>
          <w:trHeight w:val="450" w:hRule="exact"/>
        </w:trPr>
        <w:tc>
          <w:tcPr>
            <w:tcW w:w="4921" w:type="dxa"/>
          </w:tcPr>
          <w:p>
            <w:pPr>
              <w:pStyle w:val="TableParagraph"/>
              <w:spacing w:before="161"/>
              <w:ind w:left="200"/>
              <w:rPr>
                <w:rFonts w:ascii="Arial"/>
                <w:b/>
                <w:sz w:val="22"/>
              </w:rPr>
            </w:pPr>
            <w:r>
              <w:rPr>
                <w:rFonts w:ascii="Arial"/>
                <w:b/>
                <w:sz w:val="22"/>
                <w:u w:val="thick"/>
              </w:rPr>
              <w:t>Fijo</w:t>
            </w:r>
          </w:p>
        </w:tc>
        <w:tc>
          <w:tcPr>
            <w:tcW w:w="5033" w:type="dxa"/>
          </w:tcPr>
          <w:p>
            <w:pPr>
              <w:pStyle w:val="TableParagraph"/>
              <w:spacing w:before="161"/>
              <w:ind w:left="1087"/>
              <w:rPr>
                <w:rFonts w:ascii="Arial"/>
                <w:b/>
                <w:sz w:val="22"/>
              </w:rPr>
            </w:pPr>
            <w:r>
              <w:rPr>
                <w:rFonts w:ascii="Arial"/>
                <w:b/>
                <w:sz w:val="22"/>
              </w:rPr>
              <w:t>CUENTAS DE CAPITAL CONTABLE</w:t>
            </w:r>
          </w:p>
        </w:tc>
      </w:tr>
      <w:tr>
        <w:trPr>
          <w:trHeight w:val="278" w:hRule="exact"/>
        </w:trPr>
        <w:tc>
          <w:tcPr>
            <w:tcW w:w="4921" w:type="dxa"/>
          </w:tcPr>
          <w:p>
            <w:pPr>
              <w:pStyle w:val="TableParagraph"/>
              <w:spacing w:before="13"/>
              <w:ind w:left="200"/>
              <w:rPr>
                <w:rFonts w:ascii="Arial"/>
                <w:sz w:val="22"/>
              </w:rPr>
            </w:pPr>
            <w:r>
              <w:rPr>
                <w:rFonts w:ascii="Arial"/>
                <w:sz w:val="22"/>
              </w:rPr>
              <w:t>Terrenos</w:t>
            </w:r>
          </w:p>
        </w:tc>
        <w:tc>
          <w:tcPr>
            <w:tcW w:w="5033" w:type="dxa"/>
          </w:tcPr>
          <w:p>
            <w:pPr>
              <w:pStyle w:val="TableParagraph"/>
              <w:spacing w:before="13"/>
              <w:ind w:left="1087"/>
              <w:rPr>
                <w:rFonts w:ascii="Arial"/>
                <w:sz w:val="22"/>
              </w:rPr>
            </w:pPr>
            <w:r>
              <w:rPr>
                <w:rFonts w:ascii="Arial"/>
                <w:sz w:val="22"/>
              </w:rPr>
              <w:t>Capital Social</w:t>
            </w:r>
          </w:p>
        </w:tc>
      </w:tr>
      <w:tr>
        <w:trPr>
          <w:trHeight w:val="529" w:hRule="exact"/>
        </w:trPr>
        <w:tc>
          <w:tcPr>
            <w:tcW w:w="4921" w:type="dxa"/>
          </w:tcPr>
          <w:p>
            <w:pPr>
              <w:pStyle w:val="TableParagraph"/>
              <w:spacing w:before="11"/>
              <w:rPr>
                <w:rFonts w:ascii="Arial"/>
                <w:sz w:val="20"/>
              </w:rPr>
            </w:pPr>
          </w:p>
          <w:p>
            <w:pPr>
              <w:pStyle w:val="TableParagraph"/>
              <w:ind w:left="200"/>
              <w:rPr>
                <w:rFonts w:ascii="Arial"/>
                <w:sz w:val="22"/>
              </w:rPr>
            </w:pPr>
            <w:r>
              <w:rPr>
                <w:rFonts w:ascii="Arial"/>
                <w:sz w:val="22"/>
              </w:rPr>
              <w:t>Edificios</w:t>
            </w:r>
          </w:p>
        </w:tc>
        <w:tc>
          <w:tcPr>
            <w:tcW w:w="5033" w:type="dxa"/>
          </w:tcPr>
          <w:p>
            <w:pPr>
              <w:pStyle w:val="TableParagraph"/>
              <w:ind w:left="1087" w:right="184"/>
              <w:rPr>
                <w:rFonts w:ascii="Arial"/>
                <w:sz w:val="22"/>
              </w:rPr>
            </w:pPr>
            <w:r>
              <w:rPr>
                <w:rFonts w:ascii="Arial"/>
                <w:sz w:val="22"/>
              </w:rPr>
              <w:t>Aportaciones para futuros aumento de capital</w:t>
            </w:r>
          </w:p>
        </w:tc>
      </w:tr>
      <w:tr>
        <w:trPr>
          <w:trHeight w:val="300" w:hRule="exact"/>
        </w:trPr>
        <w:tc>
          <w:tcPr>
            <w:tcW w:w="4921" w:type="dxa"/>
          </w:tcPr>
          <w:p>
            <w:pPr>
              <w:pStyle w:val="TableParagraph"/>
              <w:spacing w:before="12"/>
              <w:ind w:left="200"/>
              <w:rPr>
                <w:rFonts w:ascii="Arial" w:hAnsi="Arial"/>
                <w:sz w:val="22"/>
              </w:rPr>
            </w:pPr>
            <w:r>
              <w:rPr>
                <w:rFonts w:ascii="Arial" w:hAnsi="Arial"/>
                <w:sz w:val="22"/>
              </w:rPr>
              <w:t>Depreciación Acumulada de Edificios</w:t>
            </w:r>
          </w:p>
        </w:tc>
        <w:tc>
          <w:tcPr>
            <w:tcW w:w="5033" w:type="dxa"/>
          </w:tcPr>
          <w:p>
            <w:pPr>
              <w:pStyle w:val="TableParagraph"/>
              <w:spacing w:before="12"/>
              <w:ind w:left="1087"/>
              <w:rPr>
                <w:rFonts w:ascii="Arial"/>
                <w:sz w:val="22"/>
              </w:rPr>
            </w:pPr>
            <w:r>
              <w:rPr>
                <w:rFonts w:ascii="Arial"/>
                <w:sz w:val="22"/>
              </w:rPr>
              <w:t>Reserva legal</w:t>
            </w:r>
          </w:p>
        </w:tc>
      </w:tr>
      <w:tr>
        <w:trPr>
          <w:trHeight w:val="277" w:hRule="exact"/>
        </w:trPr>
        <w:tc>
          <w:tcPr>
            <w:tcW w:w="4921" w:type="dxa"/>
          </w:tcPr>
          <w:p>
            <w:pPr>
              <w:pStyle w:val="TableParagraph"/>
              <w:spacing w:before="12"/>
              <w:ind w:left="200"/>
              <w:rPr>
                <w:rFonts w:ascii="Arial"/>
                <w:sz w:val="22"/>
              </w:rPr>
            </w:pPr>
            <w:r>
              <w:rPr>
                <w:rFonts w:ascii="Arial"/>
                <w:sz w:val="22"/>
              </w:rPr>
              <w:t>Mob. y Equipo de Oficina</w:t>
            </w:r>
          </w:p>
        </w:tc>
        <w:tc>
          <w:tcPr>
            <w:tcW w:w="5033" w:type="dxa"/>
          </w:tcPr>
          <w:p>
            <w:pPr>
              <w:pStyle w:val="TableParagraph"/>
              <w:spacing w:before="12"/>
              <w:ind w:left="1087"/>
              <w:rPr>
                <w:rFonts w:ascii="Arial" w:hAnsi="Arial"/>
                <w:sz w:val="22"/>
              </w:rPr>
            </w:pPr>
            <w:r>
              <w:rPr>
                <w:rFonts w:ascii="Arial" w:hAnsi="Arial"/>
                <w:sz w:val="22"/>
              </w:rPr>
              <w:t>Reserva de reinversión</w:t>
            </w:r>
          </w:p>
        </w:tc>
      </w:tr>
      <w:tr>
        <w:trPr>
          <w:trHeight w:val="529" w:hRule="exact"/>
        </w:trPr>
        <w:tc>
          <w:tcPr>
            <w:tcW w:w="4921" w:type="dxa"/>
          </w:tcPr>
          <w:p>
            <w:pPr>
              <w:pStyle w:val="TableParagraph"/>
              <w:ind w:left="200" w:right="1228"/>
              <w:rPr>
                <w:rFonts w:ascii="Arial" w:hAnsi="Arial"/>
                <w:sz w:val="22"/>
              </w:rPr>
            </w:pPr>
            <w:r>
              <w:rPr>
                <w:rFonts w:ascii="Arial" w:hAnsi="Arial"/>
                <w:sz w:val="22"/>
              </w:rPr>
              <w:t>Depreciación Acumulada de Mob. y Eq.</w:t>
            </w:r>
          </w:p>
        </w:tc>
        <w:tc>
          <w:tcPr>
            <w:tcW w:w="5033" w:type="dxa"/>
          </w:tcPr>
          <w:p>
            <w:pPr>
              <w:pStyle w:val="TableParagraph"/>
              <w:spacing w:before="11"/>
              <w:rPr>
                <w:rFonts w:ascii="Arial"/>
                <w:sz w:val="20"/>
              </w:rPr>
            </w:pPr>
          </w:p>
          <w:p>
            <w:pPr>
              <w:pStyle w:val="TableParagraph"/>
              <w:ind w:left="1087"/>
              <w:rPr>
                <w:rFonts w:ascii="Arial" w:hAnsi="Arial"/>
                <w:sz w:val="22"/>
              </w:rPr>
            </w:pPr>
            <w:r>
              <w:rPr>
                <w:rFonts w:ascii="Arial" w:hAnsi="Arial"/>
                <w:sz w:val="22"/>
              </w:rPr>
              <w:t>Reserva de Previsión Social</w:t>
            </w:r>
          </w:p>
        </w:tc>
      </w:tr>
      <w:tr>
        <w:trPr>
          <w:trHeight w:val="276" w:hRule="exact"/>
        </w:trPr>
        <w:tc>
          <w:tcPr>
            <w:tcW w:w="4921" w:type="dxa"/>
          </w:tcPr>
          <w:p>
            <w:pPr>
              <w:pStyle w:val="TableParagraph"/>
              <w:spacing w:before="12"/>
              <w:ind w:left="200"/>
              <w:rPr>
                <w:rFonts w:ascii="Arial" w:hAnsi="Arial"/>
                <w:sz w:val="22"/>
              </w:rPr>
            </w:pPr>
            <w:r>
              <w:rPr>
                <w:rFonts w:ascii="Arial" w:hAnsi="Arial"/>
                <w:sz w:val="22"/>
              </w:rPr>
              <w:t>Equipo de Cómputo</w:t>
            </w:r>
          </w:p>
        </w:tc>
        <w:tc>
          <w:tcPr>
            <w:tcW w:w="5033" w:type="dxa"/>
          </w:tcPr>
          <w:p>
            <w:pPr>
              <w:pStyle w:val="TableParagraph"/>
              <w:spacing w:before="12"/>
              <w:ind w:left="1087"/>
              <w:rPr>
                <w:rFonts w:ascii="Arial" w:hAnsi="Arial"/>
                <w:sz w:val="22"/>
              </w:rPr>
            </w:pPr>
            <w:r>
              <w:rPr>
                <w:rFonts w:ascii="Arial" w:hAnsi="Arial"/>
                <w:sz w:val="22"/>
              </w:rPr>
              <w:t>Superávit ganado</w:t>
            </w:r>
          </w:p>
        </w:tc>
      </w:tr>
      <w:tr>
        <w:trPr>
          <w:trHeight w:val="531" w:hRule="exact"/>
        </w:trPr>
        <w:tc>
          <w:tcPr>
            <w:tcW w:w="4921" w:type="dxa"/>
          </w:tcPr>
          <w:p>
            <w:pPr>
              <w:pStyle w:val="TableParagraph"/>
              <w:spacing w:line="242" w:lineRule="auto"/>
              <w:ind w:left="200" w:right="1252"/>
              <w:rPr>
                <w:rFonts w:ascii="Arial" w:hAnsi="Arial"/>
                <w:sz w:val="22"/>
              </w:rPr>
            </w:pPr>
            <w:r>
              <w:rPr>
                <w:rFonts w:ascii="Arial" w:hAnsi="Arial"/>
                <w:sz w:val="22"/>
              </w:rPr>
              <w:t>Depreciación Acumulada de Eq. de Comp.</w:t>
            </w:r>
          </w:p>
        </w:tc>
        <w:tc>
          <w:tcPr>
            <w:tcW w:w="5033" w:type="dxa"/>
          </w:tcPr>
          <w:p>
            <w:pPr>
              <w:pStyle w:val="TableParagraph"/>
              <w:spacing w:before="1"/>
              <w:rPr>
                <w:rFonts w:ascii="Arial"/>
                <w:sz w:val="21"/>
              </w:rPr>
            </w:pPr>
          </w:p>
          <w:p>
            <w:pPr>
              <w:pStyle w:val="TableParagraph"/>
              <w:ind w:left="1087"/>
              <w:rPr>
                <w:rFonts w:ascii="Arial" w:hAnsi="Arial"/>
                <w:sz w:val="22"/>
              </w:rPr>
            </w:pPr>
            <w:r>
              <w:rPr>
                <w:rFonts w:ascii="Arial" w:hAnsi="Arial"/>
                <w:sz w:val="22"/>
              </w:rPr>
              <w:t>Superávit por revaluación</w:t>
            </w:r>
          </w:p>
        </w:tc>
      </w:tr>
      <w:tr>
        <w:trPr>
          <w:trHeight w:val="276" w:hRule="exact"/>
        </w:trPr>
        <w:tc>
          <w:tcPr>
            <w:tcW w:w="4921" w:type="dxa"/>
          </w:tcPr>
          <w:p>
            <w:pPr>
              <w:pStyle w:val="TableParagraph"/>
              <w:spacing w:before="12"/>
              <w:ind w:left="200"/>
              <w:rPr>
                <w:rFonts w:ascii="Arial"/>
                <w:sz w:val="22"/>
              </w:rPr>
            </w:pPr>
            <w:r>
              <w:rPr>
                <w:rFonts w:ascii="Arial"/>
                <w:sz w:val="22"/>
              </w:rPr>
              <w:t>Maquinaria y equipo</w:t>
            </w:r>
          </w:p>
        </w:tc>
        <w:tc>
          <w:tcPr>
            <w:tcW w:w="5033" w:type="dxa"/>
          </w:tcPr>
          <w:p>
            <w:pPr>
              <w:pStyle w:val="TableParagraph"/>
              <w:spacing w:before="12"/>
              <w:ind w:left="1087"/>
              <w:rPr>
                <w:rFonts w:ascii="Arial"/>
                <w:sz w:val="22"/>
              </w:rPr>
            </w:pPr>
            <w:r>
              <w:rPr>
                <w:rFonts w:ascii="Arial"/>
                <w:sz w:val="22"/>
              </w:rPr>
              <w:t>Utilidades acumuladas</w:t>
            </w:r>
          </w:p>
        </w:tc>
      </w:tr>
      <w:tr>
        <w:trPr>
          <w:trHeight w:val="530" w:hRule="exact"/>
        </w:trPr>
        <w:tc>
          <w:tcPr>
            <w:tcW w:w="4921" w:type="dxa"/>
          </w:tcPr>
          <w:p>
            <w:pPr>
              <w:pStyle w:val="TableParagraph"/>
              <w:spacing w:line="242" w:lineRule="auto"/>
              <w:ind w:left="200" w:right="1228"/>
              <w:rPr>
                <w:rFonts w:ascii="Arial" w:hAnsi="Arial"/>
                <w:sz w:val="22"/>
              </w:rPr>
            </w:pPr>
            <w:r>
              <w:rPr>
                <w:rFonts w:ascii="Arial" w:hAnsi="Arial"/>
                <w:sz w:val="22"/>
              </w:rPr>
              <w:t>Depreciación Acumulada de Maq. y Equipo</w:t>
            </w:r>
          </w:p>
        </w:tc>
        <w:tc>
          <w:tcPr>
            <w:tcW w:w="5033" w:type="dxa"/>
          </w:tcPr>
          <w:p>
            <w:pPr>
              <w:pStyle w:val="TableParagraph"/>
              <w:spacing w:before="1"/>
              <w:rPr>
                <w:rFonts w:ascii="Arial"/>
                <w:sz w:val="21"/>
              </w:rPr>
            </w:pPr>
          </w:p>
          <w:p>
            <w:pPr>
              <w:pStyle w:val="TableParagraph"/>
              <w:ind w:left="1087"/>
              <w:rPr>
                <w:rFonts w:ascii="Arial"/>
                <w:sz w:val="22"/>
              </w:rPr>
            </w:pPr>
            <w:r>
              <w:rPr>
                <w:rFonts w:ascii="Arial"/>
                <w:sz w:val="22"/>
              </w:rPr>
              <w:t>Resultado del ejercicio</w:t>
            </w:r>
          </w:p>
        </w:tc>
      </w:tr>
      <w:tr>
        <w:trPr>
          <w:trHeight w:val="276" w:hRule="exact"/>
        </w:trPr>
        <w:tc>
          <w:tcPr>
            <w:tcW w:w="4921" w:type="dxa"/>
          </w:tcPr>
          <w:p>
            <w:pPr>
              <w:pStyle w:val="TableParagraph"/>
              <w:spacing w:before="12"/>
              <w:ind w:left="200"/>
              <w:rPr>
                <w:rFonts w:ascii="Arial"/>
                <w:sz w:val="22"/>
              </w:rPr>
            </w:pPr>
            <w:r>
              <w:rPr>
                <w:rFonts w:ascii="Arial"/>
                <w:sz w:val="22"/>
              </w:rPr>
              <w:t>Equipo de Transporte</w:t>
            </w:r>
          </w:p>
        </w:tc>
        <w:tc>
          <w:tcPr>
            <w:tcW w:w="5033" w:type="dxa"/>
          </w:tcPr>
          <w:p>
            <w:pPr/>
          </w:p>
        </w:tc>
      </w:tr>
      <w:tr>
        <w:trPr>
          <w:trHeight w:val="529" w:hRule="exact"/>
        </w:trPr>
        <w:tc>
          <w:tcPr>
            <w:tcW w:w="4921" w:type="dxa"/>
          </w:tcPr>
          <w:p>
            <w:pPr>
              <w:pStyle w:val="TableParagraph"/>
              <w:spacing w:line="242" w:lineRule="auto"/>
              <w:ind w:left="200" w:right="1252"/>
              <w:rPr>
                <w:rFonts w:ascii="Arial" w:hAnsi="Arial"/>
                <w:sz w:val="22"/>
              </w:rPr>
            </w:pPr>
            <w:r>
              <w:rPr>
                <w:rFonts w:ascii="Arial" w:hAnsi="Arial"/>
                <w:sz w:val="22"/>
              </w:rPr>
              <w:t>Depreciación Acumulada de Eq. de Trans.</w:t>
            </w:r>
          </w:p>
        </w:tc>
        <w:tc>
          <w:tcPr>
            <w:tcW w:w="5033" w:type="dxa"/>
          </w:tcPr>
          <w:p>
            <w:pPr/>
          </w:p>
        </w:tc>
      </w:tr>
      <w:tr>
        <w:trPr>
          <w:trHeight w:val="299" w:hRule="exact"/>
        </w:trPr>
        <w:tc>
          <w:tcPr>
            <w:tcW w:w="4921" w:type="dxa"/>
          </w:tcPr>
          <w:p>
            <w:pPr/>
          </w:p>
        </w:tc>
        <w:tc>
          <w:tcPr>
            <w:tcW w:w="5033" w:type="dxa"/>
          </w:tcPr>
          <w:p>
            <w:pPr>
              <w:pStyle w:val="TableParagraph"/>
              <w:spacing w:before="11"/>
              <w:ind w:left="1087"/>
              <w:rPr>
                <w:rFonts w:ascii="Arial"/>
                <w:b/>
                <w:sz w:val="22"/>
              </w:rPr>
            </w:pPr>
            <w:r>
              <w:rPr>
                <w:rFonts w:ascii="Arial"/>
                <w:b/>
                <w:sz w:val="22"/>
              </w:rPr>
              <w:t>CUENTAS DE RESULTADOS</w:t>
            </w:r>
          </w:p>
        </w:tc>
      </w:tr>
      <w:tr>
        <w:trPr>
          <w:trHeight w:val="301" w:hRule="exact"/>
        </w:trPr>
        <w:tc>
          <w:tcPr>
            <w:tcW w:w="4921" w:type="dxa"/>
          </w:tcPr>
          <w:p>
            <w:pPr>
              <w:pStyle w:val="TableParagraph"/>
              <w:spacing w:before="12"/>
              <w:ind w:left="200"/>
              <w:rPr>
                <w:rFonts w:ascii="Arial"/>
                <w:b/>
                <w:sz w:val="22"/>
              </w:rPr>
            </w:pPr>
            <w:r>
              <w:rPr>
                <w:rFonts w:ascii="Arial"/>
                <w:b/>
                <w:sz w:val="22"/>
                <w:u w:val="thick"/>
              </w:rPr>
              <w:t>Diferido u Otros activos</w:t>
            </w:r>
          </w:p>
        </w:tc>
        <w:tc>
          <w:tcPr>
            <w:tcW w:w="5033" w:type="dxa"/>
          </w:tcPr>
          <w:p>
            <w:pPr>
              <w:pStyle w:val="TableParagraph"/>
              <w:spacing w:before="12"/>
              <w:ind w:left="1087"/>
              <w:rPr>
                <w:rFonts w:ascii="Arial"/>
                <w:b/>
                <w:sz w:val="22"/>
              </w:rPr>
            </w:pPr>
            <w:r>
              <w:rPr>
                <w:rFonts w:ascii="Arial"/>
                <w:b/>
                <w:sz w:val="22"/>
                <w:u w:val="thick"/>
              </w:rPr>
              <w:t>De ingresos</w:t>
            </w:r>
          </w:p>
        </w:tc>
      </w:tr>
      <w:tr>
        <w:trPr>
          <w:trHeight w:val="301" w:hRule="exact"/>
        </w:trPr>
        <w:tc>
          <w:tcPr>
            <w:tcW w:w="4921" w:type="dxa"/>
          </w:tcPr>
          <w:p>
            <w:pPr>
              <w:pStyle w:val="TableParagraph"/>
              <w:spacing w:before="13"/>
              <w:ind w:left="200"/>
              <w:rPr>
                <w:rFonts w:ascii="Arial" w:hAnsi="Arial"/>
                <w:sz w:val="22"/>
              </w:rPr>
            </w:pPr>
            <w:r>
              <w:rPr>
                <w:rFonts w:ascii="Arial" w:hAnsi="Arial"/>
                <w:sz w:val="22"/>
              </w:rPr>
              <w:t>Gastos de Organización</w:t>
            </w:r>
          </w:p>
        </w:tc>
        <w:tc>
          <w:tcPr>
            <w:tcW w:w="5033" w:type="dxa"/>
          </w:tcPr>
          <w:p>
            <w:pPr>
              <w:pStyle w:val="TableParagraph"/>
              <w:spacing w:before="13"/>
              <w:ind w:left="1087"/>
              <w:rPr>
                <w:rFonts w:ascii="Arial"/>
                <w:sz w:val="22"/>
              </w:rPr>
            </w:pPr>
            <w:r>
              <w:rPr>
                <w:rFonts w:ascii="Arial"/>
                <w:sz w:val="22"/>
              </w:rPr>
              <w:t>Ventas</w:t>
            </w:r>
          </w:p>
        </w:tc>
      </w:tr>
      <w:tr>
        <w:trPr>
          <w:trHeight w:val="300" w:hRule="exact"/>
        </w:trPr>
        <w:tc>
          <w:tcPr>
            <w:tcW w:w="4921" w:type="dxa"/>
          </w:tcPr>
          <w:p>
            <w:pPr>
              <w:pStyle w:val="TableParagraph"/>
              <w:spacing w:before="12"/>
              <w:ind w:left="200"/>
              <w:rPr>
                <w:rFonts w:ascii="Arial" w:hAnsi="Arial"/>
                <w:sz w:val="22"/>
              </w:rPr>
            </w:pPr>
            <w:r>
              <w:rPr>
                <w:rFonts w:ascii="Arial" w:hAnsi="Arial"/>
                <w:sz w:val="22"/>
              </w:rPr>
              <w:t>Amortización acum. de Gtos. Org.</w:t>
            </w:r>
          </w:p>
        </w:tc>
        <w:tc>
          <w:tcPr>
            <w:tcW w:w="5033" w:type="dxa"/>
          </w:tcPr>
          <w:p>
            <w:pPr>
              <w:pStyle w:val="TableParagraph"/>
              <w:spacing w:before="12"/>
              <w:ind w:left="1087"/>
              <w:rPr>
                <w:rFonts w:ascii="Arial"/>
                <w:sz w:val="22"/>
              </w:rPr>
            </w:pPr>
            <w:r>
              <w:rPr>
                <w:rFonts w:ascii="Arial"/>
                <w:sz w:val="22"/>
              </w:rPr>
              <w:t>Ingreso y aprovechamientos</w:t>
            </w:r>
          </w:p>
        </w:tc>
      </w:tr>
      <w:tr>
        <w:trPr>
          <w:trHeight w:val="300" w:hRule="exact"/>
        </w:trPr>
        <w:tc>
          <w:tcPr>
            <w:tcW w:w="4921" w:type="dxa"/>
          </w:tcPr>
          <w:p>
            <w:pPr>
              <w:pStyle w:val="TableParagraph"/>
              <w:spacing w:before="12"/>
              <w:ind w:left="200"/>
              <w:rPr>
                <w:rFonts w:ascii="Arial" w:hAnsi="Arial"/>
                <w:sz w:val="22"/>
              </w:rPr>
            </w:pPr>
            <w:r>
              <w:rPr>
                <w:rFonts w:ascii="Arial" w:hAnsi="Arial"/>
                <w:sz w:val="22"/>
              </w:rPr>
              <w:t>Gastos de Instalación</w:t>
            </w:r>
          </w:p>
        </w:tc>
        <w:tc>
          <w:tcPr>
            <w:tcW w:w="5033" w:type="dxa"/>
          </w:tcPr>
          <w:p>
            <w:pPr>
              <w:pStyle w:val="TableParagraph"/>
              <w:spacing w:before="12"/>
              <w:ind w:left="1087"/>
              <w:rPr>
                <w:rFonts w:ascii="Arial"/>
                <w:sz w:val="22"/>
              </w:rPr>
            </w:pPr>
            <w:r>
              <w:rPr>
                <w:rFonts w:ascii="Arial"/>
                <w:sz w:val="22"/>
              </w:rPr>
              <w:t>Productos financieros</w:t>
            </w:r>
          </w:p>
        </w:tc>
      </w:tr>
      <w:tr>
        <w:trPr>
          <w:trHeight w:val="300" w:hRule="exact"/>
        </w:trPr>
        <w:tc>
          <w:tcPr>
            <w:tcW w:w="4921" w:type="dxa"/>
          </w:tcPr>
          <w:p>
            <w:pPr>
              <w:pStyle w:val="TableParagraph"/>
              <w:spacing w:before="12"/>
              <w:ind w:left="200"/>
              <w:rPr>
                <w:rFonts w:ascii="Arial" w:hAnsi="Arial"/>
                <w:sz w:val="22"/>
              </w:rPr>
            </w:pPr>
            <w:r>
              <w:rPr>
                <w:rFonts w:ascii="Arial" w:hAnsi="Arial"/>
                <w:sz w:val="22"/>
              </w:rPr>
              <w:t>Amortización Acum. de Gtos. de Inst.</w:t>
            </w:r>
          </w:p>
        </w:tc>
        <w:tc>
          <w:tcPr>
            <w:tcW w:w="5033" w:type="dxa"/>
          </w:tcPr>
          <w:p>
            <w:pPr>
              <w:pStyle w:val="TableParagraph"/>
              <w:spacing w:before="12"/>
              <w:ind w:left="1087"/>
              <w:rPr>
                <w:rFonts w:ascii="Arial"/>
                <w:sz w:val="22"/>
              </w:rPr>
            </w:pPr>
            <w:r>
              <w:rPr>
                <w:rFonts w:ascii="Arial"/>
                <w:sz w:val="22"/>
              </w:rPr>
              <w:t>Descuentos sobre compras</w:t>
            </w:r>
          </w:p>
        </w:tc>
      </w:tr>
      <w:tr>
        <w:trPr>
          <w:trHeight w:val="276" w:hRule="exact"/>
        </w:trPr>
        <w:tc>
          <w:tcPr>
            <w:tcW w:w="4921" w:type="dxa"/>
          </w:tcPr>
          <w:p>
            <w:pPr>
              <w:pStyle w:val="TableParagraph"/>
              <w:spacing w:before="12"/>
              <w:ind w:left="200"/>
              <w:rPr>
                <w:rFonts w:ascii="Arial" w:hAnsi="Arial"/>
                <w:sz w:val="22"/>
              </w:rPr>
            </w:pPr>
            <w:r>
              <w:rPr>
                <w:rFonts w:ascii="Arial" w:hAnsi="Arial"/>
                <w:sz w:val="22"/>
              </w:rPr>
              <w:t>Gastos de emisión</w:t>
            </w:r>
          </w:p>
        </w:tc>
        <w:tc>
          <w:tcPr>
            <w:tcW w:w="5033" w:type="dxa"/>
          </w:tcPr>
          <w:p>
            <w:pPr/>
          </w:p>
        </w:tc>
      </w:tr>
      <w:tr>
        <w:trPr>
          <w:trHeight w:val="505" w:hRule="exact"/>
        </w:trPr>
        <w:tc>
          <w:tcPr>
            <w:tcW w:w="4921" w:type="dxa"/>
          </w:tcPr>
          <w:p>
            <w:pPr>
              <w:pStyle w:val="TableParagraph"/>
              <w:ind w:left="200" w:right="1546"/>
              <w:rPr>
                <w:rFonts w:ascii="Arial" w:hAnsi="Arial"/>
                <w:sz w:val="22"/>
              </w:rPr>
            </w:pPr>
            <w:r>
              <w:rPr>
                <w:rFonts w:ascii="Arial" w:hAnsi="Arial"/>
                <w:sz w:val="22"/>
              </w:rPr>
              <w:t>Amortización Acum. de Gtos. de emisión</w:t>
            </w:r>
          </w:p>
        </w:tc>
        <w:tc>
          <w:tcPr>
            <w:tcW w:w="5033" w:type="dxa"/>
          </w:tcPr>
          <w:p>
            <w:pPr>
              <w:pStyle w:val="TableParagraph"/>
              <w:spacing w:before="7"/>
              <w:rPr>
                <w:rFonts w:ascii="Arial"/>
                <w:sz w:val="20"/>
              </w:rPr>
            </w:pPr>
          </w:p>
          <w:p>
            <w:pPr>
              <w:pStyle w:val="TableParagraph"/>
              <w:ind w:left="1087"/>
              <w:rPr>
                <w:rFonts w:ascii="Arial"/>
                <w:b/>
                <w:sz w:val="22"/>
              </w:rPr>
            </w:pPr>
            <w:r>
              <w:rPr>
                <w:rFonts w:ascii="Arial"/>
                <w:b/>
                <w:sz w:val="22"/>
                <w:u w:val="thick"/>
              </w:rPr>
              <w:t>De egresos</w:t>
            </w:r>
          </w:p>
        </w:tc>
      </w:tr>
      <w:tr>
        <w:trPr>
          <w:trHeight w:val="529" w:hRule="exact"/>
        </w:trPr>
        <w:tc>
          <w:tcPr>
            <w:tcW w:w="4921" w:type="dxa"/>
          </w:tcPr>
          <w:p>
            <w:pPr>
              <w:pStyle w:val="TableParagraph"/>
              <w:ind w:left="200" w:right="1692"/>
              <w:rPr>
                <w:rFonts w:ascii="Arial"/>
                <w:sz w:val="22"/>
              </w:rPr>
            </w:pPr>
            <w:r>
              <w:rPr>
                <w:rFonts w:ascii="Arial"/>
                <w:sz w:val="22"/>
              </w:rPr>
              <w:t>Primas de seguro pagadas por anticipado</w:t>
            </w:r>
          </w:p>
        </w:tc>
        <w:tc>
          <w:tcPr>
            <w:tcW w:w="5033" w:type="dxa"/>
          </w:tcPr>
          <w:p>
            <w:pPr>
              <w:pStyle w:val="TableParagraph"/>
              <w:spacing w:before="11"/>
              <w:rPr>
                <w:rFonts w:ascii="Arial"/>
                <w:sz w:val="20"/>
              </w:rPr>
            </w:pPr>
          </w:p>
          <w:p>
            <w:pPr>
              <w:pStyle w:val="TableParagraph"/>
              <w:ind w:left="1087"/>
              <w:rPr>
                <w:rFonts w:ascii="Arial"/>
                <w:sz w:val="22"/>
              </w:rPr>
            </w:pPr>
            <w:r>
              <w:rPr>
                <w:rFonts w:ascii="Arial"/>
                <w:sz w:val="22"/>
              </w:rPr>
              <w:t>Compras</w:t>
            </w:r>
          </w:p>
        </w:tc>
      </w:tr>
      <w:tr>
        <w:trPr>
          <w:trHeight w:val="300" w:hRule="exact"/>
        </w:trPr>
        <w:tc>
          <w:tcPr>
            <w:tcW w:w="4921" w:type="dxa"/>
          </w:tcPr>
          <w:p>
            <w:pPr>
              <w:pStyle w:val="TableParagraph"/>
              <w:spacing w:before="12"/>
              <w:ind w:left="200"/>
              <w:rPr>
                <w:rFonts w:ascii="Arial"/>
                <w:sz w:val="22"/>
              </w:rPr>
            </w:pPr>
            <w:r>
              <w:rPr>
                <w:rFonts w:ascii="Arial"/>
                <w:sz w:val="22"/>
              </w:rPr>
              <w:t>Publicidad y propaganda</w:t>
            </w:r>
          </w:p>
        </w:tc>
        <w:tc>
          <w:tcPr>
            <w:tcW w:w="5033" w:type="dxa"/>
          </w:tcPr>
          <w:p>
            <w:pPr>
              <w:pStyle w:val="TableParagraph"/>
              <w:spacing w:before="12"/>
              <w:ind w:left="1087"/>
              <w:rPr>
                <w:rFonts w:ascii="Arial"/>
                <w:sz w:val="22"/>
              </w:rPr>
            </w:pPr>
            <w:r>
              <w:rPr>
                <w:rFonts w:ascii="Arial"/>
                <w:sz w:val="22"/>
              </w:rPr>
              <w:t>Costo de ventas</w:t>
            </w:r>
          </w:p>
        </w:tc>
      </w:tr>
      <w:tr>
        <w:trPr>
          <w:trHeight w:val="260" w:hRule="exact"/>
        </w:trPr>
        <w:tc>
          <w:tcPr>
            <w:tcW w:w="4921" w:type="dxa"/>
          </w:tcPr>
          <w:p>
            <w:pPr>
              <w:pStyle w:val="TableParagraph"/>
              <w:spacing w:before="12"/>
              <w:ind w:left="200"/>
              <w:rPr>
                <w:rFonts w:ascii="Arial"/>
                <w:sz w:val="22"/>
              </w:rPr>
            </w:pPr>
            <w:r>
              <w:rPr>
                <w:rFonts w:ascii="Arial"/>
                <w:sz w:val="22"/>
              </w:rPr>
              <w:t>Intereses pagados x anticipado</w:t>
            </w:r>
          </w:p>
        </w:tc>
        <w:tc>
          <w:tcPr>
            <w:tcW w:w="5033" w:type="dxa"/>
          </w:tcPr>
          <w:p>
            <w:pPr>
              <w:pStyle w:val="TableParagraph"/>
              <w:spacing w:before="12"/>
              <w:ind w:left="1087"/>
              <w:rPr>
                <w:rFonts w:ascii="Arial"/>
                <w:sz w:val="22"/>
              </w:rPr>
            </w:pPr>
            <w:r>
              <w:rPr>
                <w:rFonts w:ascii="Arial"/>
                <w:sz w:val="22"/>
              </w:rPr>
              <w:t>Gastos de Venta</w:t>
            </w:r>
          </w:p>
        </w:tc>
      </w:tr>
    </w:tbl>
    <w:p>
      <w:pPr>
        <w:spacing w:after="0"/>
        <w:rPr>
          <w:rFonts w:ascii="Arial"/>
          <w:sz w:val="22"/>
        </w:rPr>
        <w:sectPr>
          <w:pgSz w:w="12240" w:h="15840"/>
          <w:pgMar w:header="0" w:footer="489" w:top="1480" w:bottom="680" w:left="1460" w:right="600"/>
        </w:sectPr>
      </w:pPr>
    </w:p>
    <w:p>
      <w:pPr>
        <w:pStyle w:val="BodyText"/>
        <w:spacing w:before="56"/>
        <w:ind w:left="102"/>
        <w:jc w:val="both"/>
      </w:pPr>
      <w:r>
        <w:rPr>
          <w:u w:val="single"/>
        </w:rPr>
        <w:t>Apertura de cuentas de mayor</w:t>
      </w:r>
    </w:p>
    <w:p>
      <w:pPr>
        <w:pStyle w:val="BodyText"/>
        <w:spacing w:line="360" w:lineRule="auto" w:before="137"/>
        <w:ind w:left="102" w:right="116"/>
        <w:jc w:val="both"/>
      </w:pPr>
      <w:r>
        <w:rPr/>
        <w:t>Esto se refiere a que se deben abrir en el libro mayor, en una hoja de Excel o en un paquete contable, las cuentas que de acuerdo con el catálogo registraran los movimientos originados por las transacciones que efectúe la entidad. Para ello se utilizan los esquemas de mayor de “T” si se utiliza un sistema</w:t>
      </w:r>
      <w:r>
        <w:rPr>
          <w:spacing w:val="-22"/>
        </w:rPr>
        <w:t> </w:t>
      </w:r>
      <w:r>
        <w:rPr/>
        <w:t>manual.</w:t>
      </w:r>
    </w:p>
    <w:p>
      <w:pPr>
        <w:pStyle w:val="BodyText"/>
      </w:pPr>
    </w:p>
    <w:p>
      <w:pPr>
        <w:pStyle w:val="BodyText"/>
        <w:spacing w:line="360" w:lineRule="auto" w:before="142"/>
        <w:ind w:left="102" w:right="116"/>
        <w:jc w:val="both"/>
      </w:pPr>
      <w:r>
        <w:rPr/>
        <w:t>En las cuentas de mayor se efectúan los registros de todas las operaciones, analizando cada una y determinando los conceptos por los que se carga y se abona cada cuenta.</w:t>
      </w:r>
    </w:p>
    <w:p>
      <w:pPr>
        <w:pStyle w:val="BodyText"/>
      </w:pPr>
    </w:p>
    <w:p>
      <w:pPr>
        <w:pStyle w:val="BodyText"/>
        <w:spacing w:before="142"/>
        <w:ind w:left="102"/>
        <w:jc w:val="both"/>
      </w:pPr>
      <w:r>
        <w:rPr>
          <w:u w:val="single"/>
        </w:rPr>
        <w:t>Registro de transacciones en libro diario</w:t>
      </w:r>
    </w:p>
    <w:p>
      <w:pPr>
        <w:pStyle w:val="BodyText"/>
        <w:spacing w:line="360" w:lineRule="auto" w:before="137"/>
        <w:ind w:left="102" w:right="116"/>
        <w:jc w:val="both"/>
      </w:pPr>
      <w:r>
        <w:rPr/>
        <w:t>Consiste en hacer un registro cronológico de todas y cada una de las operaciones realizadas por la entidad, anotando la fecha de la transacción, con quién se lleva a cabo, el concepto por registrar, los cargos y abonos correspondientes para su reconocimiento en nuestro sistema contable y una breve redacción que describa el objeto de la transacción. En el registro manual se utiliza un libro diario, sin embargo, los paquetes contables realizan el concentrado de forma automática.</w:t>
      </w:r>
    </w:p>
    <w:p>
      <w:pPr>
        <w:pStyle w:val="BodyText"/>
      </w:pPr>
    </w:p>
    <w:p>
      <w:pPr>
        <w:pStyle w:val="BodyText"/>
        <w:spacing w:line="360" w:lineRule="auto" w:before="142"/>
        <w:ind w:left="102" w:right="116"/>
        <w:jc w:val="both"/>
      </w:pPr>
      <w:r>
        <w:rPr/>
        <w:t>En el registro del libro diario los movimientos contables se pueden clasificar en dos tipos: simples y compuestos. Los asientos simples son aquellos en los que sólo tenemos un cargo y un abono, mientras que en el compuesto pueden intervenir una o más cuentas de cargo y una o más cuentas de abono.</w:t>
      </w:r>
    </w:p>
    <w:p>
      <w:pPr>
        <w:pStyle w:val="BodyText"/>
      </w:pPr>
    </w:p>
    <w:p>
      <w:pPr>
        <w:pStyle w:val="BodyText"/>
        <w:spacing w:before="142"/>
        <w:ind w:left="102"/>
        <w:jc w:val="both"/>
      </w:pPr>
      <w:r>
        <w:rPr>
          <w:u w:val="single"/>
        </w:rPr>
        <w:t>Pases a libro mayor a partir de los registros en diario</w:t>
      </w:r>
    </w:p>
    <w:p>
      <w:pPr>
        <w:pStyle w:val="BodyText"/>
        <w:spacing w:line="360" w:lineRule="auto" w:before="137"/>
        <w:ind w:left="102" w:right="115"/>
        <w:jc w:val="both"/>
      </w:pPr>
      <w:r>
        <w:rPr/>
        <w:t>El libro mayor es el registro donde se concentran los movimientos que tuvieron las cuentas de activo, pasivo, capital contable y resultados durante el periodo correspondiente. En el libro mayor se utiliza un folio individual para cada cuenta que se haya abierto en el catálogo de cuentas.</w:t>
      </w:r>
    </w:p>
    <w:p>
      <w:pPr>
        <w:pStyle w:val="BodyText"/>
      </w:pPr>
    </w:p>
    <w:p>
      <w:pPr>
        <w:pStyle w:val="BodyText"/>
        <w:spacing w:line="360" w:lineRule="auto" w:before="142"/>
        <w:ind w:left="102" w:right="116"/>
        <w:jc w:val="both"/>
      </w:pPr>
      <w:r>
        <w:rPr/>
        <w:t>A grandes rasgos, el libro mayor permite seguir la huella de las transacciones de  la entidad de una forma mucho más transparente e   </w:t>
      </w:r>
      <w:r>
        <w:rPr>
          <w:spacing w:val="37"/>
        </w:rPr>
        <w:t> </w:t>
      </w:r>
      <w:r>
        <w:rPr/>
        <w:t>individualizada, acumular los</w:t>
      </w:r>
    </w:p>
    <w:p>
      <w:pPr>
        <w:spacing w:after="0" w:line="360" w:lineRule="auto"/>
        <w:jc w:val="both"/>
        <w:sectPr>
          <w:pgSz w:w="12240" w:h="15840"/>
          <w:pgMar w:header="0" w:footer="489" w:top="1360" w:bottom="680" w:left="1600" w:right="1580"/>
        </w:sectPr>
      </w:pPr>
    </w:p>
    <w:p>
      <w:pPr>
        <w:pStyle w:val="BodyText"/>
        <w:spacing w:line="360" w:lineRule="auto" w:before="56"/>
        <w:ind w:left="102" w:right="119"/>
        <w:jc w:val="both"/>
      </w:pPr>
      <w:r>
        <w:rPr/>
        <w:t>movimientos de cada periodo con el único objetivo de obtener los saldos correspondientes que presentaremos en los estados financieros correspondientes al mismo.</w:t>
      </w:r>
    </w:p>
    <w:p>
      <w:pPr>
        <w:pStyle w:val="BodyText"/>
      </w:pPr>
    </w:p>
    <w:p>
      <w:pPr>
        <w:pStyle w:val="BodyText"/>
        <w:spacing w:line="360" w:lineRule="auto" w:before="142"/>
        <w:ind w:left="102" w:right="115"/>
        <w:jc w:val="both"/>
      </w:pPr>
      <w:r>
        <w:rPr/>
        <w:t>Dentro del mayor y como un apoyo en el control de las cuentas, se debe considerar la necesidad de abrir cuentas complementarias o subcuentas que permitan tener mejor control de una cuenta colectiva. Un claro ejemplo de ello es una compañía que tiene 50 clientes; en el libro mayor sólo registra los  movimientos generales de la cuenta colectiva, pero seguramente abrirá una  cuenta con el nombre de cada cliente con el objeto de llevar un control mucho más estrecho y</w:t>
      </w:r>
      <w:r>
        <w:rPr>
          <w:spacing w:val="-7"/>
        </w:rPr>
        <w:t> </w:t>
      </w:r>
      <w:r>
        <w:rPr/>
        <w:t>seguro.</w:t>
      </w:r>
    </w:p>
    <w:p>
      <w:pPr>
        <w:pStyle w:val="BodyText"/>
      </w:pPr>
    </w:p>
    <w:p>
      <w:pPr>
        <w:pStyle w:val="BodyText"/>
        <w:spacing w:line="360" w:lineRule="auto" w:before="142"/>
        <w:ind w:left="102" w:right="115"/>
        <w:jc w:val="both"/>
      </w:pPr>
      <w:r>
        <w:rPr/>
        <w:t>Cuando llevamos subcuentas de una cuenta colectiva, los asientos del libro diario se traspasan a los mayores auxiliares o subcuentas; en éstos se obtiene un movimiento que acumule los movimientos del periodo para esa subcuenta y al final ésta se traspasa a la cuenta de mayor colectiva, la cual sólo muestra los saldos de los movimientos que han sido registrados en las subcuentas.</w:t>
      </w:r>
    </w:p>
    <w:p>
      <w:pPr>
        <w:pStyle w:val="BodyText"/>
      </w:pPr>
    </w:p>
    <w:p>
      <w:pPr>
        <w:pStyle w:val="BodyText"/>
        <w:spacing w:line="360" w:lineRule="auto" w:before="142"/>
        <w:ind w:left="102" w:right="124"/>
        <w:jc w:val="both"/>
      </w:pPr>
      <w:r>
        <w:rPr/>
        <w:t>Como resumen, visualicemos gráficamente las ventajas y desventajas que presentan el libro diario y el libro mayor.</w:t>
      </w:r>
    </w:p>
    <w:p>
      <w:pPr>
        <w:pStyle w:val="BodyText"/>
        <w:rPr>
          <w:sz w:val="20"/>
        </w:rPr>
      </w:pPr>
    </w:p>
    <w:p>
      <w:pPr>
        <w:pStyle w:val="BodyText"/>
        <w:spacing w:before="3"/>
        <w:rPr>
          <w:sz w:val="16"/>
        </w:rPr>
      </w:pPr>
      <w:r>
        <w:rPr/>
        <w:pict>
          <v:group style="position:absolute;margin-left:94.5pt;margin-top:11.314868pt;width:431.1pt;height:217pt;mso-position-horizontal-relative:page;mso-position-vertical-relative:paragraph;z-index:1336;mso-wrap-distance-left:0;mso-wrap-distance-right:0" coordorigin="1890,226" coordsize="8622,4340">
            <v:rect style="position:absolute;left:1915;top:251;width:8572;height:4290" filled="false" stroked="true" strokeweight="2.5pt" strokecolor="#9bba58"/>
            <v:rect style="position:absolute;left:7194;top:895;width:2961;height:1100" filled="false" stroked="true" strokeweight=".749101pt" strokecolor="#000000"/>
            <v:shape style="position:absolute;left:4685;top:1242;width:743;height:120" coordorigin="4685,1242" coordsize="743,120" path="m5308,1242l5308,1362,5408,1312,5334,1312,5338,1308,5338,1297,5334,1292,5408,1292,5308,1242xm5308,1292l4689,1292,4685,1297,4685,1308,4689,1312,5308,1312,5308,1292xm5408,1292l5334,1292,5338,1297,5338,1308,5334,1312,5408,1312,5428,1302,5408,1292xe" filled="true" fillcolor="#000000" stroked="false">
              <v:path arrowok="t"/>
              <v:fill type="solid"/>
            </v:shape>
            <v:shape style="position:absolute;left:6519;top:1242;width:743;height:120" coordorigin="6519,1242" coordsize="743,120" path="m7142,1242l7142,1362,7242,1312,7167,1312,7172,1308,7172,1297,7167,1292,7242,1292,7142,1242xm7142,1292l6523,1292,6519,1297,6519,1308,6523,1312,7142,1312,7142,1292xm7242,1292l7167,1292,7172,1297,7172,1308,7167,1312,7242,1312,7262,1302,7242,1292xe" filled="true" fillcolor="#000000" stroked="false">
              <v:path arrowok="t"/>
              <v:fill type="solid"/>
            </v:shape>
            <v:shape style="position:absolute;left:6451;top:3291;width:743;height:120" coordorigin="6451,3291" coordsize="743,120" path="m7074,3361l7074,3411,7174,3361,7099,3361,7074,3361xm7074,3341l7074,3361,7099,3361,7104,3357,7104,3346,7099,3341,7074,3341xm7074,3291l7074,3341,7094,3341,7099,3341,7104,3346,7104,3357,7099,3361,7174,3361,7194,3352,7074,3291xm6455,3341l6451,3345,6451,3356,6455,3361,7074,3361,7074,3341,6455,3341xe" filled="true" fillcolor="#000000" stroked="false">
              <v:path arrowok="t"/>
              <v:fill type="solid"/>
            </v:shape>
            <v:shape style="position:absolute;left:4685;top:3291;width:743;height:120" coordorigin="4685,3291" coordsize="743,120" path="m5308,3291l5308,3410,5408,3361,5334,3361,5338,3356,5338,3345,5334,3341,5408,3341,5308,3291xm5308,3341l4689,3341,4685,3345,4685,3356,4689,3361,5308,3361,5308,3341xm5408,3341l5334,3341,5338,3345,5338,3356,5334,3361,5408,3361,5428,3351,5408,3341xe" filled="true" fillcolor="#000000" stroked="false">
              <v:path arrowok="t"/>
              <v:fill type="solid"/>
            </v:shape>
            <v:shape style="position:absolute;left:1890;top:226;width:8622;height:4340" type="#_x0000_t202" filled="false" stroked="false">
              <v:textbox inset="0,0,0,0">
                <w:txbxContent>
                  <w:p>
                    <w:pPr>
                      <w:spacing w:line="240" w:lineRule="auto" w:before="0"/>
                      <w:rPr>
                        <w:sz w:val="20"/>
                      </w:rPr>
                    </w:pPr>
                  </w:p>
                  <w:p>
                    <w:pPr>
                      <w:spacing w:line="240" w:lineRule="auto" w:before="0"/>
                      <w:rPr>
                        <w:sz w:val="20"/>
                      </w:rPr>
                    </w:pPr>
                  </w:p>
                  <w:p>
                    <w:pPr>
                      <w:spacing w:line="240" w:lineRule="auto" w:before="8"/>
                      <w:rPr>
                        <w:sz w:val="24"/>
                      </w:rPr>
                    </w:pPr>
                  </w:p>
                  <w:p>
                    <w:pPr>
                      <w:spacing w:before="0"/>
                      <w:ind w:left="5457" w:right="0" w:firstLine="0"/>
                      <w:jc w:val="left"/>
                      <w:rPr>
                        <w:sz w:val="20"/>
                      </w:rPr>
                    </w:pPr>
                    <w:r>
                      <w:rPr>
                        <w:b/>
                        <w:sz w:val="20"/>
                      </w:rPr>
                      <w:t>Desventajas </w:t>
                    </w:r>
                    <w:r>
                      <w:rPr>
                        <w:sz w:val="20"/>
                      </w:rPr>
                      <w:t>No muestra el movimiento y los</w:t>
                    </w:r>
                  </w:p>
                  <w:p>
                    <w:pPr>
                      <w:spacing w:before="0"/>
                      <w:ind w:left="5457" w:right="916" w:firstLine="0"/>
                      <w:jc w:val="left"/>
                      <w:rPr>
                        <w:sz w:val="20"/>
                      </w:rPr>
                    </w:pPr>
                    <w:r>
                      <w:rPr>
                        <w:sz w:val="20"/>
                      </w:rPr>
                      <w:t>saldos de cada una de las cuentas</w:t>
                    </w:r>
                  </w:p>
                </w:txbxContent>
              </v:textbox>
              <w10:wrap type="none"/>
            </v:shape>
            <v:shape style="position:absolute;left:2250;top:663;width:2446;height:1427" type="#_x0000_t202" filled="false" stroked="true" strokeweight=".749213pt" strokecolor="#000000">
              <v:textbox inset="0,0,0,0">
                <w:txbxContent>
                  <w:p>
                    <w:pPr>
                      <w:spacing w:line="240" w:lineRule="auto" w:before="66"/>
                      <w:ind w:left="145" w:right="209" w:firstLine="0"/>
                      <w:jc w:val="left"/>
                      <w:rPr>
                        <w:sz w:val="24"/>
                      </w:rPr>
                    </w:pPr>
                    <w:r>
                      <w:rPr>
                        <w:b/>
                        <w:sz w:val="20"/>
                      </w:rPr>
                      <w:t>Ventajas </w:t>
                    </w:r>
                    <w:r>
                      <w:rPr>
                        <w:sz w:val="20"/>
                      </w:rPr>
                      <w:t>Muestra las operaciones en forma ordenada y con toda clase de detalles</w:t>
                    </w:r>
                    <w:r>
                      <w:rPr>
                        <w:sz w:val="24"/>
                      </w:rPr>
                      <w:t>.</w:t>
                    </w:r>
                  </w:p>
                </w:txbxContent>
              </v:textbox>
              <w10:wrap type="none"/>
            </v:shape>
            <v:shape style="position:absolute;left:5428;top:895;width:1101;height:801" type="#_x0000_t202" filled="false" stroked="true" strokeweight=".749291pt" strokecolor="#000000">
              <v:textbox inset="0,0,0,0">
                <w:txbxContent>
                  <w:p>
                    <w:pPr>
                      <w:spacing w:before="68"/>
                      <w:ind w:left="164" w:right="270" w:firstLine="40"/>
                      <w:jc w:val="left"/>
                      <w:rPr>
                        <w:b/>
                        <w:sz w:val="24"/>
                      </w:rPr>
                    </w:pPr>
                    <w:r>
                      <w:rPr>
                        <w:b/>
                        <w:sz w:val="24"/>
                      </w:rPr>
                      <w:t>Libro </w:t>
                    </w:r>
                    <w:r>
                      <w:rPr>
                        <w:b/>
                        <w:w w:val="95"/>
                        <w:sz w:val="24"/>
                      </w:rPr>
                      <w:t>Diario</w:t>
                    </w:r>
                  </w:p>
                </w:txbxContent>
              </v:textbox>
              <w10:wrap type="none"/>
            </v:shape>
            <v:shape style="position:absolute;left:2250;top:2699;width:2446;height:1480" type="#_x0000_t202" filled="false" stroked="true" strokeweight=".749225pt" strokecolor="#000000">
              <v:textbox inset="0,0,0,0">
                <w:txbxContent>
                  <w:p>
                    <w:pPr>
                      <w:spacing w:before="69"/>
                      <w:ind w:left="145" w:right="209" w:firstLine="0"/>
                      <w:jc w:val="left"/>
                      <w:rPr>
                        <w:b/>
                        <w:sz w:val="20"/>
                      </w:rPr>
                    </w:pPr>
                    <w:r>
                      <w:rPr>
                        <w:b/>
                        <w:sz w:val="20"/>
                      </w:rPr>
                      <w:t>Ventajas</w:t>
                    </w:r>
                  </w:p>
                  <w:p>
                    <w:pPr>
                      <w:spacing w:before="0"/>
                      <w:ind w:left="145" w:right="209" w:firstLine="0"/>
                      <w:jc w:val="left"/>
                      <w:rPr>
                        <w:sz w:val="20"/>
                      </w:rPr>
                    </w:pPr>
                    <w:r>
                      <w:rPr>
                        <w:sz w:val="20"/>
                      </w:rPr>
                      <w:t>Muestra el movimiento y los saldos de cada una de las cuentas</w:t>
                    </w:r>
                  </w:p>
                </w:txbxContent>
              </v:textbox>
              <w10:wrap type="none"/>
            </v:shape>
            <v:shape style="position:absolute;left:7194;top:2699;width:2962;height:1480" type="#_x0000_t202" filled="false" stroked="true" strokeweight=".749167pt" strokecolor="#000000">
              <v:textbox inset="0,0,0,0">
                <w:txbxContent>
                  <w:p>
                    <w:pPr>
                      <w:spacing w:before="69"/>
                      <w:ind w:left="146" w:right="56" w:firstLine="0"/>
                      <w:jc w:val="left"/>
                      <w:rPr>
                        <w:sz w:val="20"/>
                      </w:rPr>
                    </w:pPr>
                    <w:r>
                      <w:rPr>
                        <w:b/>
                        <w:sz w:val="20"/>
                      </w:rPr>
                      <w:t>Desventajas </w:t>
                    </w:r>
                    <w:r>
                      <w:rPr>
                        <w:sz w:val="20"/>
                      </w:rPr>
                      <w:t>No muestra las operaciones en forma ordenada y con toda</w:t>
                    </w:r>
                  </w:p>
                  <w:p>
                    <w:pPr>
                      <w:spacing w:before="0"/>
                      <w:ind w:left="146" w:right="56" w:firstLine="0"/>
                      <w:jc w:val="left"/>
                      <w:rPr>
                        <w:sz w:val="20"/>
                      </w:rPr>
                    </w:pPr>
                    <w:r>
                      <w:rPr>
                        <w:sz w:val="20"/>
                      </w:rPr>
                      <w:t>clase  de detalles.</w:t>
                    </w:r>
                  </w:p>
                </w:txbxContent>
              </v:textbox>
              <w10:wrap type="none"/>
            </v:shape>
            <v:shape style="position:absolute;left:5428;top:2944;width:1033;height:827" type="#_x0000_t202" filled="false" stroked="true" strokeweight=".749329pt" strokecolor="#000000">
              <v:textbox inset="0,0,0,0">
                <w:txbxContent>
                  <w:p>
                    <w:pPr>
                      <w:spacing w:before="70"/>
                      <w:ind w:left="145" w:right="196" w:firstLine="60"/>
                      <w:jc w:val="left"/>
                      <w:rPr>
                        <w:b/>
                        <w:sz w:val="24"/>
                      </w:rPr>
                    </w:pPr>
                    <w:r>
                      <w:rPr>
                        <w:b/>
                        <w:sz w:val="24"/>
                      </w:rPr>
                      <w:t>Libro </w:t>
                    </w:r>
                    <w:r>
                      <w:rPr>
                        <w:b/>
                        <w:w w:val="95"/>
                        <w:sz w:val="24"/>
                      </w:rPr>
                      <w:t>Mayor</w:t>
                    </w:r>
                  </w:p>
                </w:txbxContent>
              </v:textbox>
              <w10:wrap type="none"/>
            </v:shape>
            <w10:wrap type="topAndBottom"/>
          </v:group>
        </w:pict>
      </w:r>
    </w:p>
    <w:p>
      <w:pPr>
        <w:spacing w:after="0"/>
        <w:rPr>
          <w:sz w:val="16"/>
        </w:rPr>
        <w:sectPr>
          <w:pgSz w:w="12240" w:h="15840"/>
          <w:pgMar w:header="0" w:footer="489" w:top="1360" w:bottom="960" w:left="1600" w:right="1580"/>
        </w:sectPr>
      </w:pPr>
    </w:p>
    <w:p>
      <w:pPr>
        <w:pStyle w:val="BodyText"/>
        <w:spacing w:line="360" w:lineRule="auto" w:before="56"/>
        <w:ind w:left="102" w:right="116"/>
        <w:jc w:val="both"/>
      </w:pPr>
      <w:r>
        <w:rPr/>
        <w:t>Como se puede observar lo que representa una ventaja para el libro diario es una desventaja para el libro mayor y viceversa; es por ello que ambos libros trabajan en conjunto y se complementan, otorgándole al registro contable su característica de seguridad y su capacidad para controlar adecuadamente las operaciones de la entidad.</w:t>
      </w:r>
    </w:p>
    <w:p>
      <w:pPr>
        <w:pStyle w:val="BodyText"/>
      </w:pPr>
    </w:p>
    <w:p>
      <w:pPr>
        <w:pStyle w:val="Heading2"/>
        <w:numPr>
          <w:ilvl w:val="1"/>
          <w:numId w:val="27"/>
        </w:numPr>
        <w:tabs>
          <w:tab w:pos="669" w:val="left" w:leader="none"/>
        </w:tabs>
        <w:spacing w:line="240" w:lineRule="auto" w:before="142" w:after="0"/>
        <w:ind w:left="668" w:right="0" w:hanging="566"/>
        <w:jc w:val="both"/>
      </w:pPr>
      <w:bookmarkStart w:name="_bookmark26" w:id="42"/>
      <w:bookmarkEnd w:id="42"/>
      <w:r>
        <w:rPr>
          <w:b w:val="0"/>
        </w:rPr>
      </w:r>
      <w:bookmarkStart w:name="_bookmark26" w:id="43"/>
      <w:bookmarkEnd w:id="43"/>
      <w:r>
        <w:rPr/>
        <w:t>E</w:t>
      </w:r>
      <w:r>
        <w:rPr/>
        <w:t>stados</w:t>
      </w:r>
      <w:r>
        <w:rPr>
          <w:spacing w:val="-4"/>
        </w:rPr>
        <w:t> </w:t>
      </w:r>
      <w:r>
        <w:rPr/>
        <w:t>Financieros.</w:t>
      </w:r>
    </w:p>
    <w:p>
      <w:pPr>
        <w:pStyle w:val="BodyText"/>
        <w:rPr>
          <w:b/>
        </w:rPr>
      </w:pPr>
    </w:p>
    <w:p>
      <w:pPr>
        <w:pStyle w:val="BodyText"/>
        <w:rPr>
          <w:b/>
        </w:rPr>
      </w:pPr>
    </w:p>
    <w:p>
      <w:pPr>
        <w:pStyle w:val="BodyText"/>
        <w:spacing w:line="360" w:lineRule="auto"/>
        <w:ind w:left="102" w:right="119"/>
        <w:jc w:val="both"/>
      </w:pPr>
      <w:r>
        <w:rPr/>
        <w:t>Los Estados financieros presentan a pesos constantes los recursos generados o utilidades en la operación, los principales cambios ocurridos en la estructura financiera de la entidad y su reflejo final en el efectivo e inversiones temporales a través de un periodo determinado. La expresión "pesos constantes", representa pesos del poder adquisitivo a la fecha del balance general (último ejercicio reportado tratándose de estados financieros comparativos).</w:t>
      </w:r>
    </w:p>
    <w:p>
      <w:pPr>
        <w:pStyle w:val="BodyText"/>
        <w:rPr>
          <w:sz w:val="19"/>
        </w:rPr>
      </w:pPr>
      <w:r>
        <w:rPr/>
        <w:pict>
          <v:group style="position:absolute;margin-left:107.75pt;margin-top:12.883893pt;width:413.75pt;height:321.5pt;mso-position-horizontal-relative:page;mso-position-vertical-relative:paragraph;z-index:1480;mso-wrap-distance-left:0;mso-wrap-distance-right:0" coordorigin="2155,258" coordsize="8275,6430">
            <v:shape style="position:absolute;left:2155;top:258;width:8275;height:6430" type="#_x0000_t75" stroked="false">
              <v:imagedata r:id="rId45" o:title=""/>
            </v:shape>
            <v:shape style="position:absolute;left:2746;top:842;width:1587;height:1561" type="#_x0000_t202" filled="false" stroked="false">
              <v:textbox inset="0,0,0,0">
                <w:txbxContent>
                  <w:p>
                    <w:pPr>
                      <w:spacing w:line="204" w:lineRule="exact" w:before="0"/>
                      <w:ind w:left="1" w:right="0" w:firstLine="0"/>
                      <w:jc w:val="center"/>
                      <w:rPr>
                        <w:sz w:val="20"/>
                      </w:rPr>
                    </w:pPr>
                    <w:r>
                      <w:rPr>
                        <w:sz w:val="20"/>
                      </w:rPr>
                      <w:t>La situación</w:t>
                    </w:r>
                  </w:p>
                  <w:p>
                    <w:pPr>
                      <w:spacing w:line="276" w:lineRule="auto" w:before="34"/>
                      <w:ind w:left="0" w:right="0" w:hanging="4"/>
                      <w:jc w:val="center"/>
                      <w:rPr>
                        <w:sz w:val="20"/>
                      </w:rPr>
                    </w:pPr>
                    <w:r>
                      <w:rPr>
                        <w:sz w:val="20"/>
                      </w:rPr>
                      <w:t>financiera (recursos económicos y</w:t>
                    </w:r>
                    <w:r>
                      <w:rPr>
                        <w:spacing w:val="-6"/>
                        <w:sz w:val="20"/>
                      </w:rPr>
                      <w:t> </w:t>
                    </w:r>
                    <w:r>
                      <w:rPr>
                        <w:sz w:val="20"/>
                      </w:rPr>
                      <w:t>sus</w:t>
                    </w:r>
                    <w:r>
                      <w:rPr>
                        <w:w w:val="99"/>
                        <w:sz w:val="20"/>
                      </w:rPr>
                      <w:t> </w:t>
                    </w:r>
                    <w:r>
                      <w:rPr>
                        <w:sz w:val="20"/>
                      </w:rPr>
                      <w:t>fuentes</w:t>
                    </w:r>
                    <w:r>
                      <w:rPr>
                        <w:spacing w:val="-4"/>
                        <w:sz w:val="20"/>
                      </w:rPr>
                      <w:t> </w:t>
                    </w:r>
                    <w:r>
                      <w:rPr>
                        <w:sz w:val="20"/>
                      </w:rPr>
                      <w:t>de</w:t>
                    </w:r>
                  </w:p>
                  <w:p>
                    <w:pPr>
                      <w:spacing w:line="265" w:lineRule="exact" w:before="0"/>
                      <w:ind w:left="0" w:right="0" w:firstLine="0"/>
                      <w:jc w:val="center"/>
                      <w:rPr>
                        <w:rFonts w:ascii="Calibri"/>
                        <w:sz w:val="22"/>
                      </w:rPr>
                    </w:pPr>
                    <w:r>
                      <w:rPr>
                        <w:sz w:val="20"/>
                      </w:rPr>
                      <w:t>financiamiento</w:t>
                    </w:r>
                    <w:r>
                      <w:rPr>
                        <w:rFonts w:ascii="Calibri"/>
                        <w:sz w:val="22"/>
                      </w:rPr>
                      <w:t>)</w:t>
                    </w:r>
                  </w:p>
                </w:txbxContent>
              </v:textbox>
              <w10:wrap type="none"/>
            </v:shape>
            <v:shape style="position:absolute;left:8514;top:1118;width:1065;height:459" type="#_x0000_t202" filled="false" stroked="false">
              <v:textbox inset="0,0,0,0">
                <w:txbxContent>
                  <w:p>
                    <w:pPr>
                      <w:spacing w:line="204" w:lineRule="exact" w:before="0"/>
                      <w:ind w:left="98" w:right="-18" w:hanging="99"/>
                      <w:jc w:val="left"/>
                      <w:rPr>
                        <w:sz w:val="20"/>
                      </w:rPr>
                    </w:pPr>
                    <w:r>
                      <w:rPr>
                        <w:sz w:val="20"/>
                      </w:rPr>
                      <w:t>La</w:t>
                    </w:r>
                    <w:r>
                      <w:rPr>
                        <w:spacing w:val="-4"/>
                        <w:sz w:val="20"/>
                      </w:rPr>
                      <w:t> </w:t>
                    </w:r>
                    <w:r>
                      <w:rPr>
                        <w:sz w:val="20"/>
                      </w:rPr>
                      <w:t>actividad</w:t>
                    </w:r>
                  </w:p>
                  <w:p>
                    <w:pPr>
                      <w:spacing w:line="225" w:lineRule="exact" w:before="29"/>
                      <w:ind w:left="98" w:right="-18" w:firstLine="0"/>
                      <w:jc w:val="left"/>
                      <w:rPr>
                        <w:sz w:val="20"/>
                      </w:rPr>
                    </w:pPr>
                    <w:r>
                      <w:rPr>
                        <w:sz w:val="20"/>
                      </w:rPr>
                      <w:t>Operativa</w:t>
                    </w:r>
                  </w:p>
                </w:txbxContent>
              </v:textbox>
              <w10:wrap type="none"/>
            </v:shape>
            <v:shape style="position:absolute;left:5423;top:3156;width:1808;height:200" type="#_x0000_t202" filled="false" stroked="false">
              <v:textbox inset="0,0,0,0">
                <w:txbxContent>
                  <w:p>
                    <w:pPr>
                      <w:spacing w:line="199" w:lineRule="exact" w:before="0"/>
                      <w:ind w:left="0" w:right="-17" w:firstLine="0"/>
                      <w:jc w:val="left"/>
                      <w:rPr>
                        <w:sz w:val="20"/>
                      </w:rPr>
                    </w:pPr>
                    <w:r>
                      <w:rPr>
                        <w:sz w:val="20"/>
                      </w:rPr>
                      <w:t>Estados</w:t>
                    </w:r>
                    <w:r>
                      <w:rPr>
                        <w:spacing w:val="-8"/>
                        <w:sz w:val="20"/>
                      </w:rPr>
                      <w:t> </w:t>
                    </w:r>
                    <w:r>
                      <w:rPr>
                        <w:sz w:val="20"/>
                      </w:rPr>
                      <w:t>Financieros</w:t>
                    </w:r>
                  </w:p>
                </w:txbxContent>
              </v:textbox>
              <w10:wrap type="none"/>
            </v:shape>
            <v:shape style="position:absolute;left:2837;top:4224;width:1587;height:1254" type="#_x0000_t202" filled="false" stroked="false">
              <v:textbox inset="0,0,0,0">
                <w:txbxContent>
                  <w:p>
                    <w:pPr>
                      <w:spacing w:line="204" w:lineRule="exact" w:before="0"/>
                      <w:ind w:left="0" w:right="0" w:firstLine="0"/>
                      <w:jc w:val="center"/>
                      <w:rPr>
                        <w:sz w:val="20"/>
                      </w:rPr>
                    </w:pPr>
                    <w:r>
                      <w:rPr>
                        <w:sz w:val="20"/>
                      </w:rPr>
                      <w:t>Los flujos de</w:t>
                    </w:r>
                  </w:p>
                  <w:p>
                    <w:pPr>
                      <w:spacing w:line="276" w:lineRule="auto" w:before="34"/>
                      <w:ind w:left="0" w:right="0" w:firstLine="0"/>
                      <w:jc w:val="center"/>
                      <w:rPr>
                        <w:sz w:val="20"/>
                      </w:rPr>
                    </w:pPr>
                    <w:r>
                      <w:rPr>
                        <w:sz w:val="20"/>
                      </w:rPr>
                      <w:t>efectivo o, en su caso,</w:t>
                    </w:r>
                    <w:r>
                      <w:rPr>
                        <w:spacing w:val="-4"/>
                        <w:sz w:val="20"/>
                      </w:rPr>
                      <w:t> </w:t>
                    </w:r>
                    <w:r>
                      <w:rPr>
                        <w:sz w:val="20"/>
                      </w:rPr>
                      <w:t>los</w:t>
                    </w:r>
                    <w:r>
                      <w:rPr>
                        <w:spacing w:val="-3"/>
                        <w:sz w:val="20"/>
                      </w:rPr>
                      <w:t> </w:t>
                    </w:r>
                    <w:r>
                      <w:rPr>
                        <w:sz w:val="20"/>
                      </w:rPr>
                      <w:t>cambios</w:t>
                    </w:r>
                    <w:r>
                      <w:rPr>
                        <w:w w:val="99"/>
                        <w:sz w:val="20"/>
                      </w:rPr>
                      <w:t> </w:t>
                    </w:r>
                    <w:r>
                      <w:rPr>
                        <w:sz w:val="20"/>
                      </w:rPr>
                      <w:t>en la</w:t>
                    </w:r>
                    <w:r>
                      <w:rPr>
                        <w:spacing w:val="-5"/>
                        <w:sz w:val="20"/>
                      </w:rPr>
                      <w:t> </w:t>
                    </w:r>
                    <w:r>
                      <w:rPr>
                        <w:sz w:val="20"/>
                      </w:rPr>
                      <w:t>situación</w:t>
                    </w:r>
                  </w:p>
                  <w:p>
                    <w:pPr>
                      <w:spacing w:line="223" w:lineRule="exact" w:before="0"/>
                      <w:ind w:left="95" w:right="96" w:firstLine="0"/>
                      <w:jc w:val="center"/>
                      <w:rPr>
                        <w:sz w:val="20"/>
                      </w:rPr>
                    </w:pPr>
                    <w:r>
                      <w:rPr>
                        <w:sz w:val="20"/>
                      </w:rPr>
                      <w:t>financiera</w:t>
                    </w:r>
                  </w:p>
                </w:txbxContent>
              </v:textbox>
              <w10:wrap type="none"/>
            </v:shape>
            <v:shape style="position:absolute;left:8056;top:4486;width:1802;height:1253" type="#_x0000_t202" filled="false" stroked="false">
              <v:textbox inset="0,0,0,0">
                <w:txbxContent>
                  <w:p>
                    <w:pPr>
                      <w:spacing w:line="204" w:lineRule="exact" w:before="0"/>
                      <w:ind w:left="7" w:right="8" w:firstLine="0"/>
                      <w:jc w:val="center"/>
                      <w:rPr>
                        <w:sz w:val="20"/>
                      </w:rPr>
                    </w:pPr>
                    <w:r>
                      <w:rPr>
                        <w:sz w:val="20"/>
                      </w:rPr>
                      <w:t>La revelación sobre</w:t>
                    </w:r>
                  </w:p>
                  <w:p>
                    <w:pPr>
                      <w:spacing w:line="276" w:lineRule="auto" w:before="34"/>
                      <w:ind w:left="0" w:right="0" w:hanging="2"/>
                      <w:jc w:val="center"/>
                      <w:rPr>
                        <w:sz w:val="20"/>
                      </w:rPr>
                    </w:pPr>
                    <w:r>
                      <w:rPr>
                        <w:sz w:val="20"/>
                      </w:rPr>
                      <w:t>las políticas contables, entorno y viabilidad como</w:t>
                    </w:r>
                  </w:p>
                  <w:p>
                    <w:pPr>
                      <w:spacing w:line="221" w:lineRule="exact" w:before="0"/>
                      <w:ind w:left="7" w:right="7" w:firstLine="0"/>
                      <w:jc w:val="center"/>
                      <w:rPr>
                        <w:sz w:val="20"/>
                      </w:rPr>
                    </w:pPr>
                    <w:r>
                      <w:rPr>
                        <w:sz w:val="20"/>
                      </w:rPr>
                      <w:t>negocio en marcha</w:t>
                    </w:r>
                  </w:p>
                </w:txbxContent>
              </v:textbox>
              <w10:wrap type="none"/>
            </v:shape>
            <w10:wrap type="topAndBottom"/>
          </v:group>
        </w:pict>
      </w:r>
    </w:p>
    <w:p>
      <w:pPr>
        <w:spacing w:after="0"/>
        <w:rPr>
          <w:sz w:val="19"/>
        </w:rPr>
        <w:sectPr>
          <w:pgSz w:w="12240" w:h="15840"/>
          <w:pgMar w:header="0" w:footer="489" w:top="1360" w:bottom="960" w:left="1600" w:right="1580"/>
        </w:sectPr>
      </w:pPr>
    </w:p>
    <w:p>
      <w:pPr>
        <w:pStyle w:val="BodyText"/>
        <w:spacing w:line="360" w:lineRule="auto" w:before="56"/>
        <w:ind w:left="102" w:right="115"/>
        <w:jc w:val="both"/>
      </w:pPr>
      <w:r>
        <w:rPr/>
        <w:t>La información financiera debe reunir determinadas características cualitativas con la finalidad de ser útil para la toma de decisiones de los usuarios generales de los estados financieros y sus notas.</w:t>
      </w:r>
    </w:p>
    <w:p>
      <w:pPr>
        <w:pStyle w:val="BodyText"/>
      </w:pPr>
    </w:p>
    <w:p>
      <w:pPr>
        <w:pStyle w:val="BodyText"/>
        <w:spacing w:before="3"/>
        <w:rPr>
          <w:sz w:val="21"/>
        </w:rPr>
      </w:pPr>
    </w:p>
    <w:p>
      <w:pPr>
        <w:pStyle w:val="BodyText"/>
        <w:ind w:left="102"/>
        <w:jc w:val="both"/>
      </w:pPr>
      <w:r>
        <w:rPr>
          <w:u w:val="single"/>
        </w:rPr>
        <w:t>Características</w:t>
      </w:r>
    </w:p>
    <w:p>
      <w:pPr>
        <w:pStyle w:val="BodyText"/>
        <w:spacing w:before="9"/>
        <w:rPr>
          <w:sz w:val="14"/>
        </w:rPr>
      </w:pPr>
    </w:p>
    <w:p>
      <w:pPr>
        <w:pStyle w:val="ListParagraph"/>
        <w:numPr>
          <w:ilvl w:val="0"/>
          <w:numId w:val="28"/>
        </w:numPr>
        <w:tabs>
          <w:tab w:pos="822" w:val="left" w:leader="none"/>
        </w:tabs>
        <w:spacing w:line="240" w:lineRule="auto" w:before="70" w:after="0"/>
        <w:ind w:left="822" w:right="0" w:hanging="360"/>
        <w:jc w:val="left"/>
        <w:rPr>
          <w:sz w:val="24"/>
        </w:rPr>
      </w:pPr>
      <w:r>
        <w:rPr>
          <w:sz w:val="24"/>
        </w:rPr>
        <w:t>Son a una fecha</w:t>
      </w:r>
      <w:r>
        <w:rPr>
          <w:spacing w:val="-11"/>
          <w:sz w:val="24"/>
        </w:rPr>
        <w:t> </w:t>
      </w:r>
      <w:r>
        <w:rPr>
          <w:sz w:val="24"/>
        </w:rPr>
        <w:t>determinada</w:t>
      </w:r>
    </w:p>
    <w:p>
      <w:pPr>
        <w:pStyle w:val="ListParagraph"/>
        <w:numPr>
          <w:ilvl w:val="0"/>
          <w:numId w:val="28"/>
        </w:numPr>
        <w:tabs>
          <w:tab w:pos="822" w:val="left" w:leader="none"/>
        </w:tabs>
        <w:spacing w:line="240" w:lineRule="auto" w:before="139" w:after="0"/>
        <w:ind w:left="822" w:right="0" w:hanging="360"/>
        <w:jc w:val="left"/>
        <w:rPr>
          <w:sz w:val="24"/>
        </w:rPr>
      </w:pPr>
      <w:r>
        <w:rPr>
          <w:sz w:val="24"/>
        </w:rPr>
        <w:t>Reflejan la situación financiera actual de la</w:t>
      </w:r>
      <w:r>
        <w:rPr>
          <w:spacing w:val="-17"/>
          <w:sz w:val="24"/>
        </w:rPr>
        <w:t> </w:t>
      </w:r>
      <w:r>
        <w:rPr>
          <w:sz w:val="24"/>
        </w:rPr>
        <w:t>empresa</w:t>
      </w:r>
    </w:p>
    <w:p>
      <w:pPr>
        <w:pStyle w:val="ListParagraph"/>
        <w:numPr>
          <w:ilvl w:val="0"/>
          <w:numId w:val="28"/>
        </w:numPr>
        <w:tabs>
          <w:tab w:pos="822" w:val="left" w:leader="none"/>
        </w:tabs>
        <w:spacing w:line="240" w:lineRule="auto" w:before="137" w:after="0"/>
        <w:ind w:left="822" w:right="0" w:hanging="360"/>
        <w:jc w:val="left"/>
        <w:rPr>
          <w:sz w:val="24"/>
        </w:rPr>
      </w:pPr>
      <w:r>
        <w:rPr>
          <w:sz w:val="24"/>
        </w:rPr>
        <w:t>Ayuda  a la empresa a la mejor toma de</w:t>
      </w:r>
      <w:r>
        <w:rPr>
          <w:spacing w:val="-14"/>
          <w:sz w:val="24"/>
        </w:rPr>
        <w:t> </w:t>
      </w:r>
      <w:r>
        <w:rPr>
          <w:sz w:val="24"/>
        </w:rPr>
        <w:t>decisiones</w:t>
      </w:r>
    </w:p>
    <w:p>
      <w:pPr>
        <w:pStyle w:val="ListParagraph"/>
        <w:numPr>
          <w:ilvl w:val="0"/>
          <w:numId w:val="28"/>
        </w:numPr>
        <w:tabs>
          <w:tab w:pos="822" w:val="left" w:leader="none"/>
        </w:tabs>
        <w:spacing w:line="240" w:lineRule="auto" w:before="140" w:after="0"/>
        <w:ind w:left="822" w:right="0" w:hanging="360"/>
        <w:jc w:val="left"/>
        <w:rPr>
          <w:sz w:val="24"/>
        </w:rPr>
      </w:pPr>
      <w:r>
        <w:rPr>
          <w:sz w:val="24"/>
        </w:rPr>
        <w:t>Reportan información veraz y</w:t>
      </w:r>
      <w:r>
        <w:rPr>
          <w:spacing w:val="-12"/>
          <w:sz w:val="24"/>
        </w:rPr>
        <w:t> </w:t>
      </w:r>
      <w:r>
        <w:rPr>
          <w:sz w:val="24"/>
        </w:rPr>
        <w:t>oportuna</w:t>
      </w:r>
    </w:p>
    <w:p>
      <w:pPr>
        <w:pStyle w:val="BodyText"/>
      </w:pPr>
    </w:p>
    <w:p>
      <w:pPr>
        <w:pStyle w:val="BodyText"/>
      </w:pPr>
    </w:p>
    <w:p>
      <w:pPr>
        <w:pStyle w:val="BodyText"/>
      </w:pPr>
    </w:p>
    <w:p>
      <w:pPr>
        <w:pStyle w:val="BodyText"/>
        <w:spacing w:before="144"/>
        <w:ind w:left="102" w:right="120"/>
      </w:pPr>
      <w:r>
        <w:rPr>
          <w:u w:val="single"/>
        </w:rPr>
        <w:t>Objetivos de los estados financieros</w:t>
      </w:r>
    </w:p>
    <w:p>
      <w:pPr>
        <w:pStyle w:val="BodyText"/>
        <w:spacing w:before="3"/>
        <w:rPr>
          <w:sz w:val="25"/>
        </w:rPr>
      </w:pPr>
    </w:p>
    <w:p>
      <w:pPr>
        <w:pStyle w:val="BodyText"/>
        <w:spacing w:line="360" w:lineRule="auto" w:before="69"/>
        <w:ind w:left="102" w:right="119"/>
        <w:jc w:val="both"/>
      </w:pPr>
      <w:r>
        <w:rPr/>
        <w:t>El objetivo de los estados financieros es suministrar información acerca de la situación financiera, desempeño y cambios en la situación financiera de una empresa que sea útil a una amplia gama de usuarios con el objeto de tomar decisiones económicas. Los estados financieros deben ser comprensibles, relevantes, fiables y comparables. Además, los estados financieros pueden ser utilizados por los usuarios para fines distintos:</w:t>
      </w:r>
    </w:p>
    <w:p>
      <w:pPr>
        <w:pStyle w:val="BodyText"/>
      </w:pPr>
    </w:p>
    <w:p>
      <w:pPr>
        <w:pStyle w:val="ListParagraph"/>
        <w:numPr>
          <w:ilvl w:val="2"/>
          <w:numId w:val="27"/>
        </w:numPr>
        <w:tabs>
          <w:tab w:pos="822" w:val="left" w:leader="none"/>
        </w:tabs>
        <w:spacing w:line="357" w:lineRule="auto" w:before="142" w:after="0"/>
        <w:ind w:left="822" w:right="122" w:hanging="360"/>
        <w:jc w:val="both"/>
        <w:rPr>
          <w:sz w:val="24"/>
        </w:rPr>
      </w:pPr>
      <w:r>
        <w:rPr>
          <w:sz w:val="24"/>
        </w:rPr>
        <w:t>Los propietarios y gerentes requieren de los estados financieros para tomar decisiones del negocio importantes que afectan a la continuidad de sus operaciones. El análisis financiero se realiza a continuación sobre estos estados para proporcionar una mayor comprensión de los datos. Estas declaraciones también se utilizan como parte del informe anual para los accionistas.</w:t>
      </w:r>
    </w:p>
    <w:p>
      <w:pPr>
        <w:pStyle w:val="ListParagraph"/>
        <w:numPr>
          <w:ilvl w:val="2"/>
          <w:numId w:val="27"/>
        </w:numPr>
        <w:tabs>
          <w:tab w:pos="822" w:val="left" w:leader="none"/>
        </w:tabs>
        <w:spacing w:line="355" w:lineRule="auto" w:before="8" w:after="0"/>
        <w:ind w:left="822" w:right="118" w:hanging="360"/>
        <w:jc w:val="both"/>
        <w:rPr>
          <w:sz w:val="24"/>
        </w:rPr>
      </w:pPr>
      <w:r>
        <w:rPr>
          <w:sz w:val="24"/>
        </w:rPr>
        <w:t>Los empleados también necesitan estos informes en la toma de acuerdos en la negociación colectiva, en la discusión de su remuneración, los ascensos y</w:t>
      </w:r>
      <w:r>
        <w:rPr>
          <w:spacing w:val="-6"/>
          <w:sz w:val="24"/>
        </w:rPr>
        <w:t> </w:t>
      </w:r>
      <w:r>
        <w:rPr>
          <w:sz w:val="24"/>
        </w:rPr>
        <w:t>clasificaciones.</w:t>
      </w:r>
    </w:p>
    <w:p>
      <w:pPr>
        <w:pStyle w:val="ListParagraph"/>
        <w:numPr>
          <w:ilvl w:val="2"/>
          <w:numId w:val="27"/>
        </w:numPr>
        <w:tabs>
          <w:tab w:pos="822" w:val="left" w:leader="none"/>
        </w:tabs>
        <w:spacing w:line="350" w:lineRule="auto" w:before="11" w:after="0"/>
        <w:ind w:left="822" w:right="118" w:hanging="360"/>
        <w:jc w:val="both"/>
        <w:rPr>
          <w:sz w:val="24"/>
        </w:rPr>
      </w:pPr>
      <w:r>
        <w:rPr>
          <w:sz w:val="24"/>
        </w:rPr>
        <w:t>Los inversionistas potenciales hacen uso de los estados financieros para evaluar la viabilidad de invertir en un negocio. Los análisis financieros son</w:t>
      </w:r>
      <w:r>
        <w:rPr>
          <w:spacing w:val="24"/>
          <w:sz w:val="24"/>
        </w:rPr>
        <w:t> </w:t>
      </w:r>
      <w:r>
        <w:rPr>
          <w:sz w:val="24"/>
        </w:rPr>
        <w:t>a</w:t>
      </w:r>
    </w:p>
    <w:p>
      <w:pPr>
        <w:spacing w:after="0" w:line="350" w:lineRule="auto"/>
        <w:jc w:val="both"/>
        <w:rPr>
          <w:sz w:val="24"/>
        </w:rPr>
        <w:sectPr>
          <w:pgSz w:w="12240" w:h="15840"/>
          <w:pgMar w:header="0" w:footer="489" w:top="1360" w:bottom="960" w:left="1600" w:right="1580"/>
        </w:sectPr>
      </w:pPr>
    </w:p>
    <w:p>
      <w:pPr>
        <w:pStyle w:val="BodyText"/>
        <w:spacing w:line="360" w:lineRule="auto" w:before="56"/>
        <w:ind w:left="821" w:right="844"/>
        <w:jc w:val="both"/>
      </w:pPr>
      <w:r>
        <w:rPr/>
        <w:pict>
          <v:group style="position:absolute;margin-left:338.75pt;margin-top:551.349976pt;width:9.3pt;height:57.6pt;mso-position-horizontal-relative:page;mso-position-vertical-relative:page;z-index:1648" coordorigin="6775,11027" coordsize="186,1152">
            <v:shape style="position:absolute;left:6795;top:11078;width:146;height:1080" coordorigin="6795,11078" coordsize="146,1080" path="m6941,11078l6913,11079,6889,11082,6874,11086,6868,11091,6868,11606,6862,11611,6847,11615,6823,11617,6795,11618,6823,11619,6847,11622,6862,11626,6868,11631,6868,12146,6874,12151,6889,12155,6913,12157,6941,12158e" filled="false" stroked="true" strokeweight="2pt" strokecolor="#000000">
              <v:path arrowok="t"/>
            </v:shape>
            <v:shape style="position:absolute;left:6795;top:11047;width:146;height:1080" coordorigin="6795,11047" coordsize="146,1080" path="m6941,11047l6913,11048,6889,11051,6874,11054,6868,11059,6868,11575,6862,11580,6847,11583,6823,11586,6795,11587,6823,11588,6847,11591,6862,11594,6868,11599,6868,12115,6874,12120,6889,12123,6913,12126,6941,12127e" filled="false" stroked="true" strokeweight="2pt" strokecolor="#000000">
              <v:path arrowok="t"/>
            </v:shape>
            <w10:wrap type="none"/>
          </v:group>
        </w:pict>
      </w:r>
      <w:r>
        <w:rPr/>
        <w:pict>
          <v:group style="position:absolute;margin-left:338pt;margin-top:627.099976pt;width:10.050pt;height:76.350pt;mso-position-horizontal-relative:page;mso-position-vertical-relative:page;z-index:1672" coordorigin="6760,12542" coordsize="201,1527">
            <v:shape style="position:absolute;left:6780;top:12593;width:161;height:1456" coordorigin="6780,12593" coordsize="161,1456" path="m6941,12593l6910,12594,6884,12597,6867,12602,6860,12607,6860,13308,6854,13313,6837,13317,6811,13320,6780,13321,6811,13322,6837,13325,6854,13329,6860,13334,6860,14035,6867,14040,6884,14045,6910,14047,6941,14048e" filled="false" stroked="true" strokeweight="2pt" strokecolor="#000000">
              <v:path arrowok="t"/>
            </v:shape>
            <v:shape style="position:absolute;left:6780;top:12562;width:161;height:1455" coordorigin="6780,12562" coordsize="161,1455" path="m6941,12562l6910,12563,6884,12566,6867,12570,6860,12575,6860,13276,6854,13281,6837,13286,6811,13288,6780,13289,6811,13290,6837,13293,6854,13298,6860,13303,6860,14004,6867,14009,6884,14013,6910,14016,6941,14017e" filled="false" stroked="true" strokeweight="2pt" strokecolor="#000000">
              <v:path arrowok="t"/>
            </v:shape>
            <w10:wrap type="none"/>
          </v:group>
        </w:pict>
      </w:r>
      <w:r>
        <w:rPr/>
        <w:pict>
          <v:shape style="position:absolute;margin-left:351.75pt;margin-top:557.599976pt;width:211.5pt;height:46.5pt;mso-position-horizontal-relative:page;mso-position-vertical-relative:page;z-index:1744" type="#_x0000_t202" filled="false" stroked="true" strokeweight="2pt" strokecolor="#9bba58">
            <v:textbox inset="0,0,0,0">
              <w:txbxContent>
                <w:p>
                  <w:pPr>
                    <w:spacing w:line="276" w:lineRule="auto" w:before="80"/>
                    <w:ind w:left="146" w:right="0" w:firstLine="0"/>
                    <w:jc w:val="left"/>
                    <w:rPr>
                      <w:sz w:val="20"/>
                    </w:rPr>
                  </w:pPr>
                  <w:r>
                    <w:rPr>
                      <w:sz w:val="20"/>
                    </w:rPr>
                    <w:t>Muestra los cambios en la inversión de los accionistas o dueños durante el periodo.</w:t>
                  </w:r>
                </w:p>
              </w:txbxContent>
            </v:textbox>
            <w10:wrap type="none"/>
          </v:shape>
        </w:pict>
      </w:r>
      <w:r>
        <w:rPr/>
        <w:pict>
          <v:shape style="position:absolute;margin-left:207pt;margin-top:559.849976pt;width:123.75pt;height:39.75pt;mso-position-horizontal-relative:page;mso-position-vertical-relative:page;z-index:1768" type="#_x0000_t202" filled="false" stroked="true" strokeweight="2pt" strokecolor="#4aacc5">
            <v:textbox inset="0,0,0,0">
              <w:txbxContent>
                <w:p>
                  <w:pPr>
                    <w:spacing w:line="276" w:lineRule="auto" w:before="73"/>
                    <w:ind w:left="233" w:right="53" w:hanging="15"/>
                    <w:jc w:val="left"/>
                    <w:rPr>
                      <w:sz w:val="20"/>
                    </w:rPr>
                  </w:pPr>
                  <w:r>
                    <w:rPr>
                      <w:sz w:val="20"/>
                    </w:rPr>
                    <w:t>Estado de Variaciones en el Capital Contable</w:t>
                  </w:r>
                </w:p>
              </w:txbxContent>
            </v:textbox>
            <w10:wrap type="none"/>
          </v:shape>
        </w:pict>
      </w:r>
      <w:r>
        <w:rPr/>
        <w:pict>
          <v:shape style="position:absolute;margin-left:207pt;margin-top:628.099976pt;width:123.75pt;height:72.75pt;mso-position-horizontal-relative:page;mso-position-vertical-relative:page;z-index:1792" type="#_x0000_t202" filled="false" stroked="true" strokeweight="2pt" strokecolor="#4aacc5">
            <v:textbox inset="0,0,0,0">
              <w:txbxContent>
                <w:p>
                  <w:pPr>
                    <w:spacing w:line="276" w:lineRule="auto" w:before="79"/>
                    <w:ind w:left="300" w:right="302" w:firstLine="3"/>
                    <w:jc w:val="center"/>
                    <w:rPr>
                      <w:sz w:val="20"/>
                    </w:rPr>
                  </w:pPr>
                  <w:r>
                    <w:rPr>
                      <w:sz w:val="20"/>
                    </w:rPr>
                    <w:t>Estado de Flujo de Efectivo o Estado de Cambios en la Situación Financiera</w:t>
                  </w:r>
                </w:p>
              </w:txbxContent>
            </v:textbox>
            <w10:wrap type="none"/>
          </v:shape>
        </w:pict>
      </w:r>
      <w:r>
        <w:rPr/>
        <w:pict>
          <v:shape style="position:absolute;margin-left:351.75pt;margin-top:628.099976pt;width:207.75pt;height:76.5pt;mso-position-horizontal-relative:page;mso-position-vertical-relative:page;z-index:1816" type="#_x0000_t202" filled="false" stroked="true" strokeweight="2pt" strokecolor="#9bba58">
            <v:textbox inset="0,0,0,0">
              <w:txbxContent>
                <w:p>
                  <w:pPr>
                    <w:spacing w:line="276" w:lineRule="auto" w:before="72"/>
                    <w:ind w:left="146" w:right="141" w:firstLine="0"/>
                    <w:jc w:val="both"/>
                    <w:rPr>
                      <w:sz w:val="20"/>
                    </w:rPr>
                  </w:pPr>
                  <w:r>
                    <w:rPr>
                      <w:sz w:val="20"/>
                    </w:rPr>
                    <w:t>Muestra información acerca de los  cambios en los recursos y las fuentes de financiamiento de la entidad en el periodo, clasificados por actividades de operación, de inversión y de</w:t>
                  </w:r>
                  <w:r>
                    <w:rPr>
                      <w:spacing w:val="-6"/>
                      <w:sz w:val="20"/>
                    </w:rPr>
                    <w:t> </w:t>
                  </w:r>
                  <w:r>
                    <w:rPr>
                      <w:sz w:val="20"/>
                    </w:rPr>
                    <w:t>financiamiento.</w:t>
                  </w:r>
                </w:p>
              </w:txbxContent>
            </v:textbox>
            <w10:wrap type="none"/>
          </v:shape>
        </w:pict>
      </w:r>
      <w:r>
        <w:rPr/>
        <w:t>menudo utilizados por los inversores y son preparadas por profesionales (analistas financieros), dándoles así la base para tomar decisiones de inversión.</w:t>
      </w:r>
    </w:p>
    <w:p>
      <w:pPr>
        <w:pStyle w:val="ListParagraph"/>
        <w:numPr>
          <w:ilvl w:val="2"/>
          <w:numId w:val="27"/>
        </w:numPr>
        <w:tabs>
          <w:tab w:pos="822" w:val="left" w:leader="none"/>
        </w:tabs>
        <w:spacing w:line="355" w:lineRule="auto" w:before="3" w:after="0"/>
        <w:ind w:left="822" w:right="845" w:hanging="360"/>
        <w:jc w:val="both"/>
        <w:rPr>
          <w:sz w:val="24"/>
        </w:rPr>
      </w:pPr>
      <w:r>
        <w:rPr>
          <w:sz w:val="24"/>
        </w:rPr>
        <w:t>Las instituciones financieras (bancos y otras compañías de préstamo) los utilizan para decidir si se le concede o no a una empresa un determinado préstamo para financiar la expansión y otros gastos</w:t>
      </w:r>
      <w:r>
        <w:rPr>
          <w:spacing w:val="-21"/>
          <w:sz w:val="24"/>
        </w:rPr>
        <w:t> </w:t>
      </w:r>
      <w:r>
        <w:rPr>
          <w:sz w:val="24"/>
        </w:rPr>
        <w:t>importantes.</w:t>
      </w:r>
    </w:p>
    <w:p>
      <w:pPr>
        <w:pStyle w:val="ListParagraph"/>
        <w:numPr>
          <w:ilvl w:val="2"/>
          <w:numId w:val="27"/>
        </w:numPr>
        <w:tabs>
          <w:tab w:pos="822" w:val="left" w:leader="none"/>
        </w:tabs>
        <w:spacing w:line="357" w:lineRule="auto" w:before="8" w:after="0"/>
        <w:ind w:left="822" w:right="835" w:hanging="360"/>
        <w:jc w:val="both"/>
        <w:rPr>
          <w:sz w:val="24"/>
        </w:rPr>
      </w:pPr>
      <w:r>
        <w:rPr>
          <w:sz w:val="24"/>
        </w:rPr>
        <w:t>Las entidades públicas (autoridades fiscales) necesitan los estados financieros para determinar la idoneidad y la exactitud de </w:t>
      </w:r>
      <w:r>
        <w:rPr>
          <w:spacing w:val="2"/>
          <w:sz w:val="24"/>
        </w:rPr>
        <w:t>los </w:t>
      </w:r>
      <w:r>
        <w:rPr>
          <w:sz w:val="24"/>
        </w:rPr>
        <w:t>impuestos y otros derechos declarados y pagados por una empresa. Son la base para el cálculo del impuesto sobre</w:t>
      </w:r>
      <w:r>
        <w:rPr>
          <w:spacing w:val="-12"/>
          <w:sz w:val="24"/>
        </w:rPr>
        <w:t> </w:t>
      </w:r>
      <w:r>
        <w:rPr>
          <w:sz w:val="24"/>
        </w:rPr>
        <w:t>beneficios.</w:t>
      </w:r>
    </w:p>
    <w:p>
      <w:pPr>
        <w:pStyle w:val="ListParagraph"/>
        <w:numPr>
          <w:ilvl w:val="2"/>
          <w:numId w:val="27"/>
        </w:numPr>
        <w:tabs>
          <w:tab w:pos="822" w:val="left" w:leader="none"/>
        </w:tabs>
        <w:spacing w:line="350" w:lineRule="auto" w:before="6" w:after="0"/>
        <w:ind w:left="822" w:right="846" w:hanging="360"/>
        <w:jc w:val="both"/>
        <w:rPr>
          <w:sz w:val="24"/>
        </w:rPr>
      </w:pPr>
      <w:r>
        <w:rPr>
          <w:sz w:val="24"/>
        </w:rPr>
        <w:t>Los proveedores que le venden a crédito a una empresa requieren de los estados financieros para evaluar la solvencia de la</w:t>
      </w:r>
      <w:r>
        <w:rPr>
          <w:spacing w:val="-12"/>
          <w:sz w:val="24"/>
        </w:rPr>
        <w:t> </w:t>
      </w:r>
      <w:r>
        <w:rPr>
          <w:sz w:val="24"/>
        </w:rPr>
        <w:t>empresa.</w:t>
      </w:r>
    </w:p>
    <w:p>
      <w:pPr>
        <w:pStyle w:val="ListParagraph"/>
        <w:numPr>
          <w:ilvl w:val="2"/>
          <w:numId w:val="27"/>
        </w:numPr>
        <w:tabs>
          <w:tab w:pos="822" w:val="left" w:leader="none"/>
        </w:tabs>
        <w:spacing w:line="350" w:lineRule="auto" w:before="16" w:after="0"/>
        <w:ind w:left="822" w:right="845" w:hanging="360"/>
        <w:jc w:val="both"/>
        <w:rPr>
          <w:sz w:val="24"/>
        </w:rPr>
      </w:pPr>
      <w:r>
        <w:rPr>
          <w:sz w:val="24"/>
        </w:rPr>
        <w:t>Los medios de comunicación y el público en general también están interesados en los estados financieros para una variedad de</w:t>
      </w:r>
      <w:r>
        <w:rPr>
          <w:spacing w:val="-31"/>
          <w:sz w:val="24"/>
        </w:rPr>
        <w:t> </w:t>
      </w:r>
      <w:r>
        <w:rPr>
          <w:sz w:val="24"/>
        </w:rPr>
        <w:t>razones.</w:t>
      </w:r>
    </w:p>
    <w:p>
      <w:pPr>
        <w:pStyle w:val="BodyText"/>
      </w:pPr>
    </w:p>
    <w:p>
      <w:pPr>
        <w:pStyle w:val="BodyText"/>
        <w:spacing w:before="152"/>
        <w:ind w:left="102"/>
      </w:pPr>
      <w:r>
        <w:rPr/>
        <w:pict>
          <v:group style="position:absolute;margin-left:337.25pt;margin-top:100.895859pt;width:9.3pt;height:57.6pt;mso-position-horizontal-relative:page;mso-position-vertical-relative:paragraph;z-index:1624" coordorigin="6745,2018" coordsize="186,1152">
            <v:shape style="position:absolute;left:6765;top:2069;width:146;height:1080" coordorigin="6765,2069" coordsize="146,1080" path="m6911,2069l6883,2070,6859,2073,6844,2077,6838,2082,6838,2597,6832,2602,6817,2606,6793,2608,6765,2609,6793,2610,6817,2613,6832,2617,6838,2622,6838,3137,6844,3142,6859,3146,6883,3148,6911,3149e" filled="false" stroked="true" strokeweight="2pt" strokecolor="#000000">
              <v:path arrowok="t"/>
            </v:shape>
            <v:shape style="position:absolute;left:6765;top:2038;width:146;height:1080" coordorigin="6765,2038" coordsize="146,1080" path="m6911,2038l6883,2039,6859,2041,6844,2045,6838,2050,6838,2566,6832,2570,6817,2574,6793,2577,6765,2578,6793,2579,6817,2581,6832,2585,6838,2590,6838,3106,6844,3110,6859,3114,6883,3117,6911,3118e" filled="false" stroked="true" strokeweight="2pt" strokecolor="#000000">
              <v:path arrowok="t"/>
            </v:shape>
            <w10:wrap type="none"/>
          </v:group>
        </w:pict>
      </w:r>
      <w:r>
        <w:rPr/>
        <w:pict>
          <v:shape style="position:absolute;margin-left:351.75pt;margin-top:108.645859pt;width:207.75pt;height:43.5pt;mso-position-horizontal-relative:page;mso-position-vertical-relative:paragraph;z-index:1696" type="#_x0000_t202" filled="false" stroked="true" strokeweight="2pt" strokecolor="#9bba58">
            <v:textbox inset="0,0,0,0">
              <w:txbxContent>
                <w:p>
                  <w:pPr>
                    <w:spacing w:line="276" w:lineRule="auto" w:before="73"/>
                    <w:ind w:left="146" w:right="144" w:firstLine="0"/>
                    <w:jc w:val="left"/>
                    <w:rPr>
                      <w:sz w:val="20"/>
                    </w:rPr>
                  </w:pPr>
                  <w:r>
                    <w:rPr>
                      <w:sz w:val="20"/>
                    </w:rPr>
                    <w:t>Muestra información relativa al  resultado de sus operaciones en un periodo.</w:t>
                  </w:r>
                </w:p>
              </w:txbxContent>
            </v:textbox>
            <w10:wrap type="none"/>
          </v:shape>
        </w:pict>
      </w:r>
      <w:r>
        <w:rPr/>
        <w:pict>
          <v:shape style="position:absolute;margin-left:207pt;margin-top:113.145859pt;width:123.75pt;height:29.25pt;mso-position-horizontal-relative:page;mso-position-vertical-relative:paragraph;z-index:1720" type="#_x0000_t202" filled="false" stroked="true" strokeweight="2pt" strokecolor="#4aacc5">
            <v:textbox inset="0,0,0,0">
              <w:txbxContent>
                <w:p>
                  <w:pPr>
                    <w:spacing w:before="72"/>
                    <w:ind w:left="240" w:right="53" w:firstLine="0"/>
                    <w:jc w:val="left"/>
                    <w:rPr>
                      <w:sz w:val="20"/>
                    </w:rPr>
                  </w:pPr>
                  <w:r>
                    <w:rPr>
                      <w:sz w:val="20"/>
                    </w:rPr>
                    <w:t>Estado de Resultados</w:t>
                  </w:r>
                </w:p>
              </w:txbxContent>
            </v:textbox>
            <w10:wrap type="none"/>
          </v:shape>
        </w:pict>
      </w:r>
      <w:r>
        <w:rPr>
          <w:u w:val="single"/>
        </w:rPr>
        <w:t>Clasificación de los estados financieros</w:t>
      </w:r>
    </w:p>
    <w:p>
      <w:pPr>
        <w:pStyle w:val="BodyText"/>
        <w:rPr>
          <w:sz w:val="20"/>
        </w:rPr>
      </w:pPr>
      <w:r>
        <w:rPr/>
        <w:pict>
          <v:shape style="position:absolute;margin-left:88.5pt;margin-top:123.997032pt;width:92.25pt;height:37.5pt;mso-position-horizontal-relative:page;mso-position-vertical-relative:paragraph;z-index:1504;mso-wrap-distance-left:0;mso-wrap-distance-right:0" type="#_x0000_t202" filled="false" stroked="true" strokeweight="2pt" strokecolor="#c0504d">
            <v:textbox inset="0,0,0,0">
              <w:txbxContent>
                <w:p>
                  <w:pPr>
                    <w:spacing w:line="276" w:lineRule="auto" w:before="72"/>
                    <w:ind w:left="418" w:right="0" w:firstLine="124"/>
                    <w:jc w:val="left"/>
                    <w:rPr>
                      <w:sz w:val="20"/>
                    </w:rPr>
                  </w:pPr>
                  <w:r>
                    <w:rPr>
                      <w:sz w:val="20"/>
                    </w:rPr>
                    <w:t>Estados financieros</w:t>
                  </w:r>
                </w:p>
              </w:txbxContent>
            </v:textbox>
            <w10:wrap type="topAndBottom"/>
          </v:shape>
        </w:pict>
      </w:r>
      <w:r>
        <w:rPr/>
        <w:pict>
          <v:group style="position:absolute;margin-left:188.75pt;margin-top:13.497034pt;width:13.25pt;height:315.6pt;mso-position-horizontal-relative:page;mso-position-vertical-relative:paragraph;z-index:1528;mso-wrap-distance-left:0;mso-wrap-distance-right:0" coordorigin="3775,270" coordsize="265,6312">
            <v:shape style="position:absolute;left:3795;top:321;width:225;height:6241" coordorigin="3795,321" coordsize="225,6241" path="m4020,321l3976,323,3940,327,3916,333,3908,340,3908,3423,3899,3430,3875,3436,3839,3440,3795,3441,3839,3443,3875,3447,3899,3453,3908,3460,3908,6543,3916,6550,3940,6556,3976,6560,4020,6561e" filled="false" stroked="true" strokeweight="2pt" strokecolor="#000000">
              <v:path arrowok="t"/>
            </v:shape>
            <v:shape style="position:absolute;left:3795;top:290;width:225;height:6240" coordorigin="3795,290" coordsize="225,6240" path="m4020,290l3976,291,3940,295,3916,301,3908,309,3908,3391,3899,3398,3875,3404,3839,3408,3795,3410,3839,3411,3875,3415,3899,3421,3908,3429,3908,6511,3916,6518,3940,6524,3976,6528,4020,6530e" filled="false" stroked="true" strokeweight="2pt" strokecolor="#000000">
              <v:path arrowok="t"/>
            </v:shape>
            <w10:wrap type="topAndBottom"/>
          </v:group>
        </w:pict>
      </w:r>
      <w:r>
        <w:rPr/>
        <w:pict>
          <v:shape style="position:absolute;margin-left:207pt;margin-top:20.497034pt;width:123.75pt;height:48pt;mso-position-horizontal-relative:page;mso-position-vertical-relative:paragraph;z-index:1552;mso-wrap-distance-left:0;mso-wrap-distance-right:0" type="#_x0000_t202" filled="false" stroked="true" strokeweight="2pt" strokecolor="#4aacc5">
            <v:textbox inset="0,0,0,0">
              <w:txbxContent>
                <w:p>
                  <w:pPr>
                    <w:spacing w:line="276" w:lineRule="auto" w:before="73"/>
                    <w:ind w:left="245" w:right="244" w:firstLine="2"/>
                    <w:jc w:val="center"/>
                    <w:rPr>
                      <w:sz w:val="20"/>
                    </w:rPr>
                  </w:pPr>
                  <w:r>
                    <w:rPr>
                      <w:sz w:val="20"/>
                    </w:rPr>
                    <w:t>Balance General, Estado de Situación o Posición Financiera</w:t>
                  </w:r>
                </w:p>
              </w:txbxContent>
            </v:textbox>
            <w10:wrap type="topAndBottom"/>
          </v:shape>
        </w:pict>
      </w:r>
      <w:r>
        <w:rPr/>
        <w:pict>
          <v:group style="position:absolute;margin-left:337.25pt;margin-top:13.497034pt;width:9.3pt;height:57.6pt;mso-position-horizontal-relative:page;mso-position-vertical-relative:paragraph;z-index:1576;mso-wrap-distance-left:0;mso-wrap-distance-right:0" coordorigin="6745,270" coordsize="186,1152">
            <v:shape style="position:absolute;left:6765;top:321;width:146;height:1080" coordorigin="6765,321" coordsize="146,1080" path="m6911,321l6883,322,6859,325,6844,329,6838,334,6838,849,6832,854,6817,858,6793,860,6765,861,6793,862,6817,865,6832,869,6838,874,6838,1389,6844,1394,6859,1398,6883,1400,6911,1401e" filled="false" stroked="true" strokeweight="2pt" strokecolor="#000000">
              <v:path arrowok="t"/>
            </v:shape>
            <v:shape style="position:absolute;left:6765;top:290;width:146;height:1080" coordorigin="6765,290" coordsize="146,1080" path="m6911,290l6883,291,6859,293,6844,297,6838,302,6838,818,6832,823,6817,826,6793,829,6765,830,6793,831,6817,833,6832,837,6838,842,6838,1358,6844,1363,6859,1366,6883,1369,6911,1370e" filled="false" stroked="true" strokeweight="2pt" strokecolor="#000000">
              <v:path arrowok="t"/>
            </v:shape>
            <w10:wrap type="topAndBottom"/>
          </v:group>
        </w:pict>
      </w:r>
      <w:r>
        <w:rPr/>
        <w:pict>
          <v:shape style="position:absolute;margin-left:351.75pt;margin-top:20.497034pt;width:207.75pt;height:48pt;mso-position-horizontal-relative:page;mso-position-vertical-relative:paragraph;z-index:1600;mso-wrap-distance-left:0;mso-wrap-distance-right:0" type="#_x0000_t202" filled="false" stroked="true" strokeweight="2pt" strokecolor="#9bba58">
            <v:textbox inset="0,0,0,0">
              <w:txbxContent>
                <w:p>
                  <w:pPr>
                    <w:spacing w:line="276" w:lineRule="auto" w:before="73"/>
                    <w:ind w:left="146" w:right="144" w:firstLine="0"/>
                    <w:jc w:val="both"/>
                    <w:rPr>
                      <w:sz w:val="20"/>
                    </w:rPr>
                  </w:pPr>
                  <w:r>
                    <w:rPr>
                      <w:sz w:val="20"/>
                    </w:rPr>
                    <w:t>Muestra información relativa a un punto en el tiempo sobre los recursos y obligaciones financieros de la entidad.</w:t>
                  </w:r>
                </w:p>
              </w:txbxContent>
            </v:textbox>
            <w10:wrap type="topAndBottom"/>
          </v:shape>
        </w:pict>
      </w:r>
    </w:p>
    <w:p>
      <w:pPr>
        <w:spacing w:after="0"/>
        <w:rPr>
          <w:sz w:val="20"/>
        </w:rPr>
        <w:sectPr>
          <w:pgSz w:w="12240" w:h="15840"/>
          <w:pgMar w:header="0" w:footer="489" w:top="1360" w:bottom="960" w:left="1600" w:right="860"/>
        </w:sectPr>
      </w:pPr>
    </w:p>
    <w:p>
      <w:pPr>
        <w:pStyle w:val="Heading2"/>
        <w:spacing w:before="56"/>
      </w:pPr>
      <w:r>
        <w:rPr/>
        <w:t>Estado de Situación Financiera</w:t>
      </w:r>
    </w:p>
    <w:p>
      <w:pPr>
        <w:pStyle w:val="BodyText"/>
        <w:spacing w:before="10"/>
        <w:rPr>
          <w:b/>
          <w:sz w:val="20"/>
        </w:rPr>
      </w:pPr>
    </w:p>
    <w:p>
      <w:pPr>
        <w:pStyle w:val="BodyText"/>
        <w:spacing w:line="360" w:lineRule="auto"/>
        <w:ind w:left="102" w:right="118"/>
        <w:jc w:val="both"/>
      </w:pPr>
      <w:r>
        <w:rPr/>
        <w:t>El Estado de Situación Financiera muestra, en unidades monetarias, la situación financiera de una empresa o entidad económica en una fecha determinada. Tiene el propósito de mostrar la naturaleza de los recursos económicos de la empresa, así como los derechos de los acreedores y de la participación de los dueños o accionistas.</w:t>
      </w:r>
    </w:p>
    <w:p>
      <w:pPr>
        <w:pStyle w:val="BodyText"/>
      </w:pPr>
    </w:p>
    <w:p>
      <w:pPr>
        <w:pStyle w:val="BodyText"/>
        <w:spacing w:line="360" w:lineRule="auto" w:before="142"/>
        <w:ind w:left="102" w:right="116"/>
        <w:jc w:val="both"/>
      </w:pPr>
      <w:r>
        <w:rPr/>
        <w:t>El estado de situación financiera comprende información clasificada y agrupada en tres categorías o grupos principales: activo, pasivo y capital. A este estado  también se le denomina como Balance general o Estado de posición</w:t>
      </w:r>
      <w:r>
        <w:rPr>
          <w:spacing w:val="-19"/>
        </w:rPr>
        <w:t> </w:t>
      </w:r>
      <w:r>
        <w:rPr/>
        <w:t>financiera.</w:t>
      </w:r>
    </w:p>
    <w:p>
      <w:pPr>
        <w:pStyle w:val="BodyText"/>
      </w:pPr>
    </w:p>
    <w:p>
      <w:pPr>
        <w:pStyle w:val="BodyText"/>
        <w:spacing w:line="360" w:lineRule="auto" w:before="142"/>
        <w:ind w:left="102" w:right="125"/>
        <w:jc w:val="both"/>
      </w:pPr>
      <w:r>
        <w:rPr/>
        <w:t>El estado de situación financiera como cualquier otro estado financiero contiene los siguientes</w:t>
      </w:r>
      <w:r>
        <w:rPr>
          <w:spacing w:val="-5"/>
        </w:rPr>
        <w:t> </w:t>
      </w:r>
      <w:r>
        <w:rPr/>
        <w:t>datos:</w:t>
      </w:r>
    </w:p>
    <w:p>
      <w:pPr>
        <w:pStyle w:val="BodyText"/>
      </w:pPr>
    </w:p>
    <w:p>
      <w:pPr>
        <w:pStyle w:val="ListParagraph"/>
        <w:numPr>
          <w:ilvl w:val="0"/>
          <w:numId w:val="29"/>
        </w:numPr>
        <w:tabs>
          <w:tab w:pos="517" w:val="left" w:leader="none"/>
        </w:tabs>
        <w:spacing w:line="240" w:lineRule="auto" w:before="142" w:after="0"/>
        <w:ind w:left="516" w:right="0" w:hanging="414"/>
        <w:jc w:val="both"/>
        <w:rPr>
          <w:sz w:val="24"/>
        </w:rPr>
      </w:pPr>
      <w:r>
        <w:rPr>
          <w:sz w:val="24"/>
        </w:rPr>
        <w:t>Encabezado</w:t>
      </w:r>
    </w:p>
    <w:p>
      <w:pPr>
        <w:pStyle w:val="ListParagraph"/>
        <w:numPr>
          <w:ilvl w:val="1"/>
          <w:numId w:val="29"/>
        </w:numPr>
        <w:tabs>
          <w:tab w:pos="954" w:val="left" w:leader="none"/>
        </w:tabs>
        <w:spacing w:line="240" w:lineRule="auto" w:before="137" w:after="0"/>
        <w:ind w:left="954" w:right="0" w:hanging="286"/>
        <w:jc w:val="left"/>
        <w:rPr>
          <w:sz w:val="24"/>
        </w:rPr>
      </w:pPr>
      <w:r>
        <w:rPr>
          <w:sz w:val="24"/>
        </w:rPr>
        <w:t>Nombre de la</w:t>
      </w:r>
      <w:r>
        <w:rPr>
          <w:spacing w:val="-8"/>
          <w:sz w:val="24"/>
        </w:rPr>
        <w:t> </w:t>
      </w:r>
      <w:r>
        <w:rPr>
          <w:sz w:val="24"/>
        </w:rPr>
        <w:t>empresa</w:t>
      </w:r>
    </w:p>
    <w:p>
      <w:pPr>
        <w:pStyle w:val="ListParagraph"/>
        <w:numPr>
          <w:ilvl w:val="1"/>
          <w:numId w:val="29"/>
        </w:numPr>
        <w:tabs>
          <w:tab w:pos="954" w:val="left" w:leader="none"/>
        </w:tabs>
        <w:spacing w:line="240" w:lineRule="auto" w:before="135" w:after="0"/>
        <w:ind w:left="954" w:right="0" w:hanging="286"/>
        <w:jc w:val="left"/>
        <w:rPr>
          <w:sz w:val="24"/>
        </w:rPr>
      </w:pPr>
      <w:r>
        <w:rPr>
          <w:sz w:val="24"/>
        </w:rPr>
        <w:t>Indicación del tipo de documento de que se</w:t>
      </w:r>
      <w:r>
        <w:rPr>
          <w:spacing w:val="-17"/>
          <w:sz w:val="24"/>
        </w:rPr>
        <w:t> </w:t>
      </w:r>
      <w:r>
        <w:rPr>
          <w:sz w:val="24"/>
        </w:rPr>
        <w:t>trate.</w:t>
      </w:r>
    </w:p>
    <w:p>
      <w:pPr>
        <w:pStyle w:val="ListParagraph"/>
        <w:numPr>
          <w:ilvl w:val="1"/>
          <w:numId w:val="29"/>
        </w:numPr>
        <w:tabs>
          <w:tab w:pos="954" w:val="left" w:leader="none"/>
        </w:tabs>
        <w:spacing w:line="240" w:lineRule="auto" w:before="138" w:after="0"/>
        <w:ind w:left="954" w:right="0" w:hanging="286"/>
        <w:jc w:val="left"/>
        <w:rPr>
          <w:sz w:val="24"/>
        </w:rPr>
      </w:pPr>
      <w:r>
        <w:rPr>
          <w:sz w:val="24"/>
        </w:rPr>
        <w:t>La fecha de su formulación o periodo al que se refiere la</w:t>
      </w:r>
      <w:r>
        <w:rPr>
          <w:spacing w:val="-23"/>
          <w:sz w:val="24"/>
        </w:rPr>
        <w:t> </w:t>
      </w:r>
      <w:r>
        <w:rPr>
          <w:sz w:val="24"/>
        </w:rPr>
        <w:t>información</w:t>
      </w:r>
    </w:p>
    <w:p>
      <w:pPr>
        <w:pStyle w:val="ListParagraph"/>
        <w:numPr>
          <w:ilvl w:val="0"/>
          <w:numId w:val="29"/>
        </w:numPr>
        <w:tabs>
          <w:tab w:pos="584" w:val="left" w:leader="none"/>
        </w:tabs>
        <w:spacing w:line="240" w:lineRule="auto" w:before="135" w:after="0"/>
        <w:ind w:left="583" w:right="0" w:hanging="414"/>
        <w:jc w:val="both"/>
        <w:rPr>
          <w:sz w:val="24"/>
        </w:rPr>
      </w:pPr>
      <w:r>
        <w:rPr>
          <w:sz w:val="24"/>
        </w:rPr>
        <w:t>Cuerpo o contenido</w:t>
      </w:r>
      <w:r>
        <w:rPr>
          <w:spacing w:val="-10"/>
          <w:sz w:val="24"/>
        </w:rPr>
        <w:t> </w:t>
      </w:r>
      <w:r>
        <w:rPr>
          <w:sz w:val="24"/>
        </w:rPr>
        <w:t>principal</w:t>
      </w:r>
    </w:p>
    <w:p>
      <w:pPr>
        <w:pStyle w:val="BodyText"/>
        <w:spacing w:before="137"/>
        <w:ind w:left="668" w:right="120"/>
      </w:pPr>
      <w:r>
        <w:rPr/>
        <w:t>Nombre e importe de las cuentas que integran el:</w:t>
      </w:r>
    </w:p>
    <w:p>
      <w:pPr>
        <w:pStyle w:val="ListParagraph"/>
        <w:numPr>
          <w:ilvl w:val="1"/>
          <w:numId w:val="29"/>
        </w:numPr>
        <w:tabs>
          <w:tab w:pos="954" w:val="left" w:leader="none"/>
        </w:tabs>
        <w:spacing w:line="240" w:lineRule="auto" w:before="140" w:after="0"/>
        <w:ind w:left="954" w:right="0" w:hanging="286"/>
        <w:jc w:val="left"/>
        <w:rPr>
          <w:sz w:val="24"/>
        </w:rPr>
      </w:pPr>
      <w:r>
        <w:rPr>
          <w:sz w:val="24"/>
        </w:rPr>
        <w:t>Activo (bienes, propiedades, valores,</w:t>
      </w:r>
      <w:r>
        <w:rPr>
          <w:spacing w:val="-13"/>
          <w:sz w:val="24"/>
        </w:rPr>
        <w:t> </w:t>
      </w:r>
      <w:r>
        <w:rPr>
          <w:sz w:val="24"/>
        </w:rPr>
        <w:t>etc.)</w:t>
      </w:r>
    </w:p>
    <w:p>
      <w:pPr>
        <w:pStyle w:val="ListParagraph"/>
        <w:numPr>
          <w:ilvl w:val="1"/>
          <w:numId w:val="29"/>
        </w:numPr>
        <w:tabs>
          <w:tab w:pos="954" w:val="left" w:leader="none"/>
        </w:tabs>
        <w:spacing w:line="240" w:lineRule="auto" w:before="135" w:after="0"/>
        <w:ind w:left="954" w:right="0" w:hanging="286"/>
        <w:jc w:val="left"/>
        <w:rPr>
          <w:sz w:val="24"/>
        </w:rPr>
      </w:pPr>
      <w:r>
        <w:rPr>
          <w:sz w:val="24"/>
        </w:rPr>
        <w:t>Pasivo (deudas, compromisos, obligaciones,</w:t>
      </w:r>
      <w:r>
        <w:rPr>
          <w:spacing w:val="-15"/>
          <w:sz w:val="24"/>
        </w:rPr>
        <w:t> </w:t>
      </w:r>
      <w:r>
        <w:rPr>
          <w:sz w:val="24"/>
        </w:rPr>
        <w:t>etc.</w:t>
      </w:r>
    </w:p>
    <w:p>
      <w:pPr>
        <w:pStyle w:val="ListParagraph"/>
        <w:numPr>
          <w:ilvl w:val="1"/>
          <w:numId w:val="29"/>
        </w:numPr>
        <w:tabs>
          <w:tab w:pos="954" w:val="left" w:leader="none"/>
        </w:tabs>
        <w:spacing w:line="240" w:lineRule="auto" w:before="135" w:after="0"/>
        <w:ind w:left="954" w:right="0" w:hanging="286"/>
        <w:jc w:val="left"/>
        <w:rPr>
          <w:sz w:val="24"/>
        </w:rPr>
      </w:pPr>
      <w:r>
        <w:rPr>
          <w:sz w:val="24"/>
        </w:rPr>
        <w:t>Capital Contable (patrimonio de los</w:t>
      </w:r>
      <w:r>
        <w:rPr>
          <w:spacing w:val="-17"/>
          <w:sz w:val="24"/>
        </w:rPr>
        <w:t> </w:t>
      </w:r>
      <w:r>
        <w:rPr>
          <w:sz w:val="24"/>
        </w:rPr>
        <w:t>propietarios)</w:t>
      </w:r>
    </w:p>
    <w:p>
      <w:pPr>
        <w:pStyle w:val="BodyText"/>
      </w:pPr>
    </w:p>
    <w:p>
      <w:pPr>
        <w:pStyle w:val="BodyText"/>
        <w:spacing w:before="10"/>
        <w:rPr>
          <w:sz w:val="23"/>
        </w:rPr>
      </w:pPr>
    </w:p>
    <w:p>
      <w:pPr>
        <w:pStyle w:val="ListParagraph"/>
        <w:numPr>
          <w:ilvl w:val="0"/>
          <w:numId w:val="29"/>
        </w:numPr>
        <w:tabs>
          <w:tab w:pos="450" w:val="left" w:leader="none"/>
        </w:tabs>
        <w:spacing w:line="240" w:lineRule="auto" w:before="0" w:after="0"/>
        <w:ind w:left="449" w:right="0" w:hanging="347"/>
        <w:jc w:val="both"/>
        <w:rPr>
          <w:sz w:val="24"/>
        </w:rPr>
      </w:pPr>
      <w:r>
        <w:rPr>
          <w:sz w:val="24"/>
        </w:rPr>
        <w:t>Pie</w:t>
      </w:r>
    </w:p>
    <w:p>
      <w:pPr>
        <w:pStyle w:val="ListParagraph"/>
        <w:numPr>
          <w:ilvl w:val="1"/>
          <w:numId w:val="29"/>
        </w:numPr>
        <w:tabs>
          <w:tab w:pos="954" w:val="left" w:leader="none"/>
        </w:tabs>
        <w:spacing w:line="240" w:lineRule="auto" w:before="137" w:after="0"/>
        <w:ind w:left="954" w:right="0" w:hanging="286"/>
        <w:jc w:val="left"/>
        <w:rPr>
          <w:sz w:val="24"/>
        </w:rPr>
      </w:pPr>
      <w:r>
        <w:rPr>
          <w:sz w:val="24"/>
        </w:rPr>
        <w:t>Notas a los estados</w:t>
      </w:r>
      <w:r>
        <w:rPr>
          <w:spacing w:val="-7"/>
          <w:sz w:val="24"/>
        </w:rPr>
        <w:t> </w:t>
      </w:r>
      <w:r>
        <w:rPr>
          <w:sz w:val="24"/>
        </w:rPr>
        <w:t>financieros</w:t>
      </w:r>
    </w:p>
    <w:p>
      <w:pPr>
        <w:pStyle w:val="ListParagraph"/>
        <w:numPr>
          <w:ilvl w:val="1"/>
          <w:numId w:val="29"/>
        </w:numPr>
        <w:tabs>
          <w:tab w:pos="954" w:val="left" w:leader="none"/>
        </w:tabs>
        <w:spacing w:line="240" w:lineRule="auto" w:before="138" w:after="0"/>
        <w:ind w:left="954" w:right="0" w:hanging="286"/>
        <w:jc w:val="left"/>
        <w:rPr>
          <w:sz w:val="24"/>
        </w:rPr>
      </w:pPr>
      <w:r>
        <w:rPr>
          <w:sz w:val="24"/>
        </w:rPr>
        <w:t>Rubro y cifras de las cuentas de</w:t>
      </w:r>
      <w:r>
        <w:rPr>
          <w:spacing w:val="-12"/>
          <w:sz w:val="24"/>
        </w:rPr>
        <w:t> </w:t>
      </w:r>
      <w:r>
        <w:rPr>
          <w:sz w:val="24"/>
        </w:rPr>
        <w:t>orden</w:t>
      </w:r>
    </w:p>
    <w:p>
      <w:pPr>
        <w:pStyle w:val="ListParagraph"/>
        <w:numPr>
          <w:ilvl w:val="1"/>
          <w:numId w:val="29"/>
        </w:numPr>
        <w:tabs>
          <w:tab w:pos="954" w:val="left" w:leader="none"/>
        </w:tabs>
        <w:spacing w:line="240" w:lineRule="auto" w:before="135" w:after="0"/>
        <w:ind w:left="954" w:right="0" w:hanging="286"/>
        <w:jc w:val="left"/>
        <w:rPr>
          <w:sz w:val="24"/>
        </w:rPr>
      </w:pPr>
      <w:r>
        <w:rPr>
          <w:sz w:val="24"/>
        </w:rPr>
        <w:t>Nombre y firma de los responsables</w:t>
      </w:r>
      <w:r>
        <w:rPr>
          <w:spacing w:val="-15"/>
          <w:sz w:val="24"/>
        </w:rPr>
        <w:t> </w:t>
      </w:r>
      <w:r>
        <w:rPr>
          <w:sz w:val="24"/>
        </w:rPr>
        <w:t>que:</w:t>
      </w:r>
    </w:p>
    <w:p>
      <w:pPr>
        <w:pStyle w:val="ListParagraph"/>
        <w:numPr>
          <w:ilvl w:val="0"/>
          <w:numId w:val="30"/>
        </w:numPr>
        <w:tabs>
          <w:tab w:pos="1182" w:val="left" w:leader="none"/>
        </w:tabs>
        <w:spacing w:line="240" w:lineRule="auto" w:before="135" w:after="0"/>
        <w:ind w:left="1182" w:right="0" w:hanging="360"/>
        <w:jc w:val="left"/>
        <w:rPr>
          <w:sz w:val="24"/>
        </w:rPr>
      </w:pPr>
      <w:r>
        <w:rPr>
          <w:sz w:val="24"/>
        </w:rPr>
        <w:t>Formulan el</w:t>
      </w:r>
      <w:r>
        <w:rPr>
          <w:spacing w:val="-6"/>
          <w:sz w:val="24"/>
        </w:rPr>
        <w:t> </w:t>
      </w:r>
      <w:r>
        <w:rPr>
          <w:sz w:val="24"/>
        </w:rPr>
        <w:t>estado</w:t>
      </w:r>
    </w:p>
    <w:p>
      <w:pPr>
        <w:pStyle w:val="ListParagraph"/>
        <w:numPr>
          <w:ilvl w:val="0"/>
          <w:numId w:val="30"/>
        </w:numPr>
        <w:tabs>
          <w:tab w:pos="1182" w:val="left" w:leader="none"/>
        </w:tabs>
        <w:spacing w:line="240" w:lineRule="auto" w:before="139" w:after="0"/>
        <w:ind w:left="1182" w:right="0" w:hanging="360"/>
        <w:jc w:val="left"/>
        <w:rPr>
          <w:sz w:val="24"/>
        </w:rPr>
      </w:pPr>
      <w:r>
        <w:rPr>
          <w:sz w:val="24"/>
        </w:rPr>
        <w:t>Revisan dicho estado para cerciorarse de su corrección</w:t>
      </w:r>
      <w:r>
        <w:rPr>
          <w:spacing w:val="-14"/>
          <w:sz w:val="24"/>
        </w:rPr>
        <w:t> </w:t>
      </w:r>
      <w:r>
        <w:rPr>
          <w:sz w:val="24"/>
        </w:rPr>
        <w:t>y</w:t>
      </w:r>
    </w:p>
    <w:p>
      <w:pPr>
        <w:pStyle w:val="ListParagraph"/>
        <w:numPr>
          <w:ilvl w:val="0"/>
          <w:numId w:val="30"/>
        </w:numPr>
        <w:tabs>
          <w:tab w:pos="1182" w:val="left" w:leader="none"/>
        </w:tabs>
        <w:spacing w:line="240" w:lineRule="auto" w:before="137" w:after="0"/>
        <w:ind w:left="1182" w:right="0" w:hanging="360"/>
        <w:jc w:val="left"/>
        <w:rPr>
          <w:sz w:val="24"/>
        </w:rPr>
      </w:pPr>
      <w:r>
        <w:rPr>
          <w:sz w:val="24"/>
        </w:rPr>
        <w:t>Autorización del funcionario que aprueba las</w:t>
      </w:r>
      <w:r>
        <w:rPr>
          <w:spacing w:val="-24"/>
          <w:sz w:val="24"/>
        </w:rPr>
        <w:t> </w:t>
      </w:r>
      <w:r>
        <w:rPr>
          <w:sz w:val="24"/>
        </w:rPr>
        <w:t>transacciones.</w:t>
      </w:r>
    </w:p>
    <w:p>
      <w:pPr>
        <w:spacing w:after="0" w:line="240" w:lineRule="auto"/>
        <w:jc w:val="left"/>
        <w:rPr>
          <w:sz w:val="24"/>
        </w:rPr>
        <w:sectPr>
          <w:pgSz w:w="12240" w:h="15840"/>
          <w:pgMar w:header="0" w:footer="489" w:top="1360" w:bottom="960" w:left="1600" w:right="1580"/>
        </w:sectPr>
      </w:pPr>
    </w:p>
    <w:p>
      <w:pPr>
        <w:pStyle w:val="BodyText"/>
        <w:spacing w:before="56"/>
        <w:ind w:left="356"/>
      </w:pPr>
      <w:r>
        <w:rPr/>
        <w:t>Las formas de presentación del estado de situación financiera son:</w:t>
      </w:r>
    </w:p>
    <w:p>
      <w:pPr>
        <w:pStyle w:val="BodyText"/>
      </w:pPr>
    </w:p>
    <w:p>
      <w:pPr>
        <w:pStyle w:val="BodyText"/>
      </w:pPr>
    </w:p>
    <w:p>
      <w:pPr>
        <w:pStyle w:val="ListParagraph"/>
        <w:numPr>
          <w:ilvl w:val="0"/>
          <w:numId w:val="31"/>
        </w:numPr>
        <w:tabs>
          <w:tab w:pos="942" w:val="left" w:leader="none"/>
        </w:tabs>
        <w:spacing w:line="360" w:lineRule="auto" w:before="0" w:after="0"/>
        <w:ind w:left="942" w:right="189" w:hanging="360"/>
        <w:jc w:val="left"/>
        <w:rPr>
          <w:sz w:val="24"/>
        </w:rPr>
      </w:pPr>
      <w:r>
        <w:rPr>
          <w:sz w:val="24"/>
        </w:rPr>
        <w:t>En forma de cuenta. Es la presentación más usual. Se muestra el activo al lado izquierdo, el pasivo y el capital al lado</w:t>
      </w:r>
      <w:r>
        <w:rPr>
          <w:spacing w:val="-19"/>
          <w:sz w:val="24"/>
        </w:rPr>
        <w:t> </w:t>
      </w:r>
      <w:r>
        <w:rPr>
          <w:sz w:val="24"/>
        </w:rPr>
        <w:t>derecho.</w:t>
      </w:r>
    </w:p>
    <w:p>
      <w:pPr>
        <w:pStyle w:val="BodyText"/>
        <w:rPr>
          <w:sz w:val="20"/>
        </w:rPr>
      </w:pPr>
    </w:p>
    <w:p>
      <w:pPr>
        <w:pStyle w:val="BodyText"/>
        <w:spacing w:before="5" w:after="1"/>
        <w:rPr>
          <w:sz w:val="16"/>
        </w:rPr>
      </w:pPr>
    </w:p>
    <w:tbl>
      <w:tblPr>
        <w:tblW w:w="0" w:type="auto"/>
        <w:jc w:val="left"/>
        <w:tblInd w:w="104" w:type="dxa"/>
        <w:tblBorders>
          <w:top w:val="single" w:sz="8" w:space="0" w:color="9BBA58"/>
          <w:left w:val="single" w:sz="8" w:space="0" w:color="9BBA58"/>
          <w:bottom w:val="single" w:sz="8" w:space="0" w:color="9BBA58"/>
          <w:right w:val="single" w:sz="8" w:space="0" w:color="9BBA58"/>
          <w:insideH w:val="single" w:sz="8" w:space="0" w:color="9BBA58"/>
          <w:insideV w:val="single" w:sz="8" w:space="0" w:color="9BBA58"/>
        </w:tblBorders>
        <w:tblLayout w:type="fixed"/>
        <w:tblCellMar>
          <w:top w:w="0" w:type="dxa"/>
          <w:left w:w="0" w:type="dxa"/>
          <w:bottom w:w="0" w:type="dxa"/>
          <w:right w:w="0" w:type="dxa"/>
        </w:tblCellMar>
        <w:tblLook w:val="01E0"/>
      </w:tblPr>
      <w:tblGrid>
        <w:gridCol w:w="1884"/>
        <w:gridCol w:w="1225"/>
        <w:gridCol w:w="1222"/>
        <w:gridCol w:w="2223"/>
        <w:gridCol w:w="1222"/>
        <w:gridCol w:w="1222"/>
      </w:tblGrid>
      <w:tr>
        <w:trPr>
          <w:trHeight w:val="349" w:hRule="exact"/>
        </w:trPr>
        <w:tc>
          <w:tcPr>
            <w:tcW w:w="8997" w:type="dxa"/>
            <w:gridSpan w:val="6"/>
            <w:tcBorders>
              <w:bottom w:val="single" w:sz="17" w:space="0" w:color="9BBA58"/>
            </w:tcBorders>
          </w:tcPr>
          <w:p>
            <w:pPr>
              <w:pStyle w:val="TableParagraph"/>
              <w:spacing w:line="227" w:lineRule="exact"/>
              <w:ind w:left="3679" w:right="3679"/>
              <w:jc w:val="center"/>
              <w:rPr>
                <w:rFonts w:ascii="Arial"/>
                <w:b/>
                <w:sz w:val="20"/>
              </w:rPr>
            </w:pPr>
            <w:r>
              <w:rPr>
                <w:rFonts w:ascii="Arial"/>
                <w:b/>
                <w:sz w:val="20"/>
              </w:rPr>
              <w:t>La entidad X S.A</w:t>
            </w:r>
          </w:p>
        </w:tc>
      </w:tr>
      <w:tr>
        <w:trPr>
          <w:trHeight w:val="347" w:hRule="exact"/>
        </w:trPr>
        <w:tc>
          <w:tcPr>
            <w:tcW w:w="8997" w:type="dxa"/>
            <w:gridSpan w:val="6"/>
            <w:tcBorders>
              <w:top w:val="single" w:sz="17" w:space="0" w:color="9BBA58"/>
            </w:tcBorders>
            <w:shd w:val="clear" w:color="auto" w:fill="E6EDD4"/>
          </w:tcPr>
          <w:p>
            <w:pPr>
              <w:pStyle w:val="TableParagraph"/>
              <w:spacing w:line="226" w:lineRule="exact"/>
              <w:ind w:left="2681"/>
              <w:rPr>
                <w:rFonts w:ascii="Arial"/>
                <w:b/>
                <w:sz w:val="20"/>
              </w:rPr>
            </w:pPr>
            <w:r>
              <w:rPr>
                <w:rFonts w:ascii="Arial"/>
                <w:b/>
                <w:sz w:val="20"/>
              </w:rPr>
              <w:t>Balance general al xx de xxxx de xxxx</w:t>
            </w:r>
          </w:p>
        </w:tc>
      </w:tr>
      <w:tr>
        <w:trPr>
          <w:trHeight w:val="335" w:hRule="exact"/>
        </w:trPr>
        <w:tc>
          <w:tcPr>
            <w:tcW w:w="3109" w:type="dxa"/>
            <w:gridSpan w:val="2"/>
          </w:tcPr>
          <w:p>
            <w:pPr>
              <w:pStyle w:val="TableParagraph"/>
              <w:spacing w:line="225" w:lineRule="exact"/>
              <w:ind w:left="98"/>
              <w:rPr>
                <w:rFonts w:ascii="Arial"/>
                <w:b/>
                <w:sz w:val="20"/>
              </w:rPr>
            </w:pPr>
            <w:r>
              <w:rPr>
                <w:rFonts w:ascii="Arial"/>
                <w:b/>
                <w:sz w:val="20"/>
              </w:rPr>
              <w:t>Activo Circulante</w:t>
            </w:r>
          </w:p>
        </w:tc>
        <w:tc>
          <w:tcPr>
            <w:tcW w:w="1222" w:type="dxa"/>
          </w:tcPr>
          <w:p>
            <w:pPr/>
          </w:p>
        </w:tc>
        <w:tc>
          <w:tcPr>
            <w:tcW w:w="3445" w:type="dxa"/>
            <w:gridSpan w:val="2"/>
          </w:tcPr>
          <w:p>
            <w:pPr>
              <w:pStyle w:val="TableParagraph"/>
              <w:spacing w:line="225" w:lineRule="exact"/>
              <w:ind w:left="98"/>
              <w:rPr>
                <w:rFonts w:ascii="Arial"/>
                <w:b/>
                <w:sz w:val="20"/>
              </w:rPr>
            </w:pPr>
            <w:r>
              <w:rPr>
                <w:rFonts w:ascii="Arial"/>
                <w:b/>
                <w:sz w:val="20"/>
              </w:rPr>
              <w:t>Pasivo circulante</w:t>
            </w:r>
          </w:p>
        </w:tc>
        <w:tc>
          <w:tcPr>
            <w:tcW w:w="1222" w:type="dxa"/>
          </w:tcPr>
          <w:p>
            <w:pPr/>
          </w:p>
        </w:tc>
      </w:tr>
      <w:tr>
        <w:trPr>
          <w:trHeight w:val="335" w:hRule="exact"/>
        </w:trPr>
        <w:tc>
          <w:tcPr>
            <w:tcW w:w="1884" w:type="dxa"/>
            <w:shd w:val="clear" w:color="auto" w:fill="E6EDD4"/>
          </w:tcPr>
          <w:p>
            <w:pPr>
              <w:pStyle w:val="TableParagraph"/>
              <w:spacing w:line="226" w:lineRule="exact"/>
              <w:ind w:left="98" w:right="130"/>
              <w:rPr>
                <w:rFonts w:ascii="Arial"/>
                <w:b/>
                <w:sz w:val="20"/>
              </w:rPr>
            </w:pPr>
            <w:r>
              <w:rPr>
                <w:rFonts w:ascii="Arial"/>
                <w:b/>
                <w:sz w:val="20"/>
              </w:rPr>
              <w:t>Bancos</w:t>
            </w:r>
          </w:p>
        </w:tc>
        <w:tc>
          <w:tcPr>
            <w:tcW w:w="1225" w:type="dxa"/>
            <w:shd w:val="clear" w:color="auto" w:fill="E6EDD4"/>
          </w:tcPr>
          <w:p>
            <w:pPr>
              <w:pStyle w:val="TableParagraph"/>
              <w:tabs>
                <w:tab w:pos="331" w:val="left" w:leader="none"/>
              </w:tabs>
              <w:spacing w:line="228" w:lineRule="exact"/>
              <w:ind w:right="98"/>
              <w:jc w:val="right"/>
              <w:rPr>
                <w:rFonts w:ascii="Arial"/>
                <w:sz w:val="20"/>
              </w:rPr>
            </w:pPr>
            <w:r>
              <w:rPr>
                <w:rFonts w:ascii="Arial"/>
                <w:sz w:val="20"/>
              </w:rPr>
              <w:t>$</w:t>
              <w:tab/>
            </w:r>
            <w:r>
              <w:rPr>
                <w:rFonts w:ascii="Arial"/>
                <w:w w:val="95"/>
                <w:sz w:val="20"/>
              </w:rPr>
              <w:t>200.00</w:t>
            </w:r>
          </w:p>
        </w:tc>
        <w:tc>
          <w:tcPr>
            <w:tcW w:w="1222" w:type="dxa"/>
            <w:shd w:val="clear" w:color="auto" w:fill="E6EDD4"/>
          </w:tcPr>
          <w:p>
            <w:pPr/>
          </w:p>
        </w:tc>
        <w:tc>
          <w:tcPr>
            <w:tcW w:w="2223" w:type="dxa"/>
            <w:shd w:val="clear" w:color="auto" w:fill="E6EDD4"/>
          </w:tcPr>
          <w:p>
            <w:pPr>
              <w:pStyle w:val="TableParagraph"/>
              <w:spacing w:line="228" w:lineRule="exact"/>
              <w:ind w:left="98"/>
              <w:rPr>
                <w:rFonts w:ascii="Arial"/>
                <w:sz w:val="20"/>
              </w:rPr>
            </w:pPr>
            <w:r>
              <w:rPr>
                <w:rFonts w:ascii="Arial"/>
                <w:sz w:val="20"/>
              </w:rPr>
              <w:t>Proveedores</w:t>
            </w:r>
          </w:p>
        </w:tc>
        <w:tc>
          <w:tcPr>
            <w:tcW w:w="1222" w:type="dxa"/>
            <w:shd w:val="clear" w:color="auto" w:fill="E6EDD4"/>
          </w:tcPr>
          <w:p>
            <w:pPr>
              <w:pStyle w:val="TableParagraph"/>
              <w:tabs>
                <w:tab w:pos="331" w:val="left" w:leader="none"/>
              </w:tabs>
              <w:spacing w:line="228" w:lineRule="exact"/>
              <w:ind w:right="99"/>
              <w:jc w:val="right"/>
              <w:rPr>
                <w:rFonts w:ascii="Arial"/>
                <w:sz w:val="20"/>
              </w:rPr>
            </w:pPr>
            <w:r>
              <w:rPr>
                <w:rFonts w:ascii="Arial"/>
                <w:sz w:val="20"/>
              </w:rPr>
              <w:t>$</w:t>
              <w:tab/>
            </w:r>
            <w:r>
              <w:rPr>
                <w:rFonts w:ascii="Arial"/>
                <w:w w:val="95"/>
                <w:sz w:val="20"/>
              </w:rPr>
              <w:t>100.00</w:t>
            </w:r>
          </w:p>
        </w:tc>
        <w:tc>
          <w:tcPr>
            <w:tcW w:w="1222" w:type="dxa"/>
            <w:shd w:val="clear" w:color="auto" w:fill="E6EDD4"/>
          </w:tcPr>
          <w:p>
            <w:pPr/>
          </w:p>
        </w:tc>
      </w:tr>
      <w:tr>
        <w:trPr>
          <w:trHeight w:val="481" w:hRule="exact"/>
        </w:trPr>
        <w:tc>
          <w:tcPr>
            <w:tcW w:w="1884" w:type="dxa"/>
          </w:tcPr>
          <w:p>
            <w:pPr>
              <w:pStyle w:val="TableParagraph"/>
              <w:spacing w:line="225" w:lineRule="exact"/>
              <w:ind w:left="98" w:right="130"/>
              <w:rPr>
                <w:rFonts w:ascii="Arial"/>
                <w:b/>
                <w:sz w:val="20"/>
              </w:rPr>
            </w:pPr>
            <w:r>
              <w:rPr>
                <w:rFonts w:ascii="Arial"/>
                <w:b/>
                <w:sz w:val="20"/>
              </w:rPr>
              <w:t>Clientes</w:t>
            </w:r>
          </w:p>
        </w:tc>
        <w:tc>
          <w:tcPr>
            <w:tcW w:w="1225" w:type="dxa"/>
          </w:tcPr>
          <w:p>
            <w:pPr>
              <w:pStyle w:val="TableParagraph"/>
              <w:spacing w:before="9"/>
              <w:rPr>
                <w:rFonts w:ascii="Arial"/>
                <w:sz w:val="19"/>
              </w:rPr>
            </w:pPr>
          </w:p>
          <w:p>
            <w:pPr>
              <w:pStyle w:val="TableParagraph"/>
              <w:ind w:right="98"/>
              <w:jc w:val="right"/>
              <w:rPr>
                <w:rFonts w:ascii="Arial"/>
                <w:sz w:val="20"/>
              </w:rPr>
            </w:pPr>
            <w:r>
              <w:rPr>
                <w:rFonts w:ascii="Arial"/>
                <w:w w:val="95"/>
                <w:sz w:val="20"/>
              </w:rPr>
              <w:t>100.00</w:t>
            </w:r>
          </w:p>
        </w:tc>
        <w:tc>
          <w:tcPr>
            <w:tcW w:w="1222" w:type="dxa"/>
          </w:tcPr>
          <w:p>
            <w:pPr/>
          </w:p>
        </w:tc>
        <w:tc>
          <w:tcPr>
            <w:tcW w:w="2223" w:type="dxa"/>
          </w:tcPr>
          <w:p>
            <w:pPr>
              <w:pStyle w:val="TableParagraph"/>
              <w:spacing w:line="228" w:lineRule="exact"/>
              <w:ind w:left="98"/>
              <w:rPr>
                <w:rFonts w:ascii="Arial"/>
                <w:sz w:val="20"/>
              </w:rPr>
            </w:pPr>
            <w:r>
              <w:rPr>
                <w:rFonts w:ascii="Arial"/>
                <w:sz w:val="20"/>
              </w:rPr>
              <w:t>Acreedores</w:t>
            </w:r>
          </w:p>
        </w:tc>
        <w:tc>
          <w:tcPr>
            <w:tcW w:w="1222" w:type="dxa"/>
          </w:tcPr>
          <w:p>
            <w:pPr>
              <w:pStyle w:val="TableParagraph"/>
              <w:spacing w:before="9"/>
              <w:rPr>
                <w:rFonts w:ascii="Arial"/>
                <w:sz w:val="19"/>
              </w:rPr>
            </w:pPr>
          </w:p>
          <w:p>
            <w:pPr>
              <w:pStyle w:val="TableParagraph"/>
              <w:ind w:right="99"/>
              <w:jc w:val="right"/>
              <w:rPr>
                <w:rFonts w:ascii="Arial"/>
                <w:sz w:val="20"/>
              </w:rPr>
            </w:pPr>
            <w:r>
              <w:rPr>
                <w:rFonts w:ascii="Arial"/>
                <w:w w:val="95"/>
                <w:sz w:val="20"/>
              </w:rPr>
              <w:t>200.00</w:t>
            </w:r>
          </w:p>
        </w:tc>
        <w:tc>
          <w:tcPr>
            <w:tcW w:w="1222" w:type="dxa"/>
          </w:tcPr>
          <w:p>
            <w:pPr>
              <w:pStyle w:val="TableParagraph"/>
              <w:tabs>
                <w:tab w:pos="331" w:val="left" w:leader="none"/>
              </w:tabs>
              <w:spacing w:line="228" w:lineRule="exact"/>
              <w:ind w:right="98"/>
              <w:jc w:val="right"/>
              <w:rPr>
                <w:rFonts w:ascii="Arial"/>
                <w:sz w:val="20"/>
              </w:rPr>
            </w:pPr>
            <w:r>
              <w:rPr>
                <w:rFonts w:ascii="Arial"/>
                <w:sz w:val="20"/>
              </w:rPr>
              <w:t>$</w:t>
              <w:tab/>
            </w:r>
            <w:r>
              <w:rPr>
                <w:rFonts w:ascii="Arial"/>
                <w:w w:val="95"/>
                <w:sz w:val="20"/>
              </w:rPr>
              <w:t>300.00</w:t>
            </w:r>
          </w:p>
        </w:tc>
      </w:tr>
      <w:tr>
        <w:trPr>
          <w:trHeight w:val="480" w:hRule="exact"/>
        </w:trPr>
        <w:tc>
          <w:tcPr>
            <w:tcW w:w="1884" w:type="dxa"/>
            <w:shd w:val="clear" w:color="auto" w:fill="E6EDD4"/>
          </w:tcPr>
          <w:p>
            <w:pPr>
              <w:pStyle w:val="TableParagraph"/>
              <w:spacing w:line="225" w:lineRule="exact"/>
              <w:ind w:left="98" w:right="130"/>
              <w:rPr>
                <w:rFonts w:ascii="Arial" w:hAnsi="Arial"/>
                <w:b/>
                <w:sz w:val="20"/>
              </w:rPr>
            </w:pPr>
            <w:r>
              <w:rPr>
                <w:rFonts w:ascii="Arial" w:hAnsi="Arial"/>
                <w:b/>
                <w:sz w:val="20"/>
              </w:rPr>
              <w:t>Almacén</w:t>
            </w:r>
          </w:p>
        </w:tc>
        <w:tc>
          <w:tcPr>
            <w:tcW w:w="1225" w:type="dxa"/>
            <w:shd w:val="clear" w:color="auto" w:fill="E6EDD4"/>
          </w:tcPr>
          <w:p>
            <w:pPr>
              <w:pStyle w:val="TableParagraph"/>
              <w:spacing w:before="9"/>
              <w:rPr>
                <w:rFonts w:ascii="Arial"/>
                <w:sz w:val="19"/>
              </w:rPr>
            </w:pPr>
          </w:p>
          <w:p>
            <w:pPr>
              <w:pStyle w:val="TableParagraph"/>
              <w:ind w:right="98"/>
              <w:jc w:val="right"/>
              <w:rPr>
                <w:rFonts w:ascii="Arial"/>
                <w:sz w:val="20"/>
              </w:rPr>
            </w:pPr>
            <w:r>
              <w:rPr>
                <w:rFonts w:ascii="Arial"/>
                <w:w w:val="95"/>
                <w:sz w:val="20"/>
              </w:rPr>
              <w:t>400.00</w:t>
            </w:r>
          </w:p>
        </w:tc>
        <w:tc>
          <w:tcPr>
            <w:tcW w:w="1222" w:type="dxa"/>
            <w:shd w:val="clear" w:color="auto" w:fill="E6EDD4"/>
          </w:tcPr>
          <w:p>
            <w:pPr>
              <w:pStyle w:val="TableParagraph"/>
              <w:tabs>
                <w:tab w:pos="331" w:val="left" w:leader="none"/>
              </w:tabs>
              <w:spacing w:line="227" w:lineRule="exact"/>
              <w:ind w:right="98"/>
              <w:jc w:val="right"/>
              <w:rPr>
                <w:rFonts w:ascii="Arial"/>
                <w:sz w:val="20"/>
              </w:rPr>
            </w:pPr>
            <w:r>
              <w:rPr>
                <w:rFonts w:ascii="Arial"/>
                <w:sz w:val="20"/>
              </w:rPr>
              <w:t>$</w:t>
              <w:tab/>
            </w:r>
            <w:r>
              <w:rPr>
                <w:rFonts w:ascii="Arial"/>
                <w:w w:val="95"/>
                <w:sz w:val="20"/>
              </w:rPr>
              <w:t>700.00</w:t>
            </w:r>
          </w:p>
        </w:tc>
        <w:tc>
          <w:tcPr>
            <w:tcW w:w="2223" w:type="dxa"/>
            <w:shd w:val="clear" w:color="auto" w:fill="E6EDD4"/>
          </w:tcPr>
          <w:p>
            <w:pPr>
              <w:pStyle w:val="TableParagraph"/>
              <w:spacing w:line="225" w:lineRule="exact"/>
              <w:ind w:left="98"/>
              <w:rPr>
                <w:rFonts w:ascii="Arial"/>
                <w:b/>
                <w:sz w:val="20"/>
              </w:rPr>
            </w:pPr>
            <w:r>
              <w:rPr>
                <w:rFonts w:ascii="Arial"/>
                <w:b/>
                <w:sz w:val="20"/>
              </w:rPr>
              <w:t>No circulante</w:t>
            </w:r>
          </w:p>
        </w:tc>
        <w:tc>
          <w:tcPr>
            <w:tcW w:w="1222" w:type="dxa"/>
            <w:shd w:val="clear" w:color="auto" w:fill="E6EDD4"/>
          </w:tcPr>
          <w:p>
            <w:pPr/>
          </w:p>
        </w:tc>
        <w:tc>
          <w:tcPr>
            <w:tcW w:w="1222" w:type="dxa"/>
            <w:shd w:val="clear" w:color="auto" w:fill="E6EDD4"/>
          </w:tcPr>
          <w:p>
            <w:pPr/>
          </w:p>
        </w:tc>
      </w:tr>
      <w:tr>
        <w:trPr>
          <w:trHeight w:val="480" w:hRule="exact"/>
        </w:trPr>
        <w:tc>
          <w:tcPr>
            <w:tcW w:w="1884" w:type="dxa"/>
          </w:tcPr>
          <w:p>
            <w:pPr>
              <w:pStyle w:val="TableParagraph"/>
              <w:spacing w:line="225" w:lineRule="exact"/>
              <w:ind w:left="98" w:right="130"/>
              <w:rPr>
                <w:rFonts w:ascii="Arial"/>
                <w:b/>
                <w:sz w:val="20"/>
              </w:rPr>
            </w:pPr>
            <w:r>
              <w:rPr>
                <w:rFonts w:ascii="Arial"/>
                <w:b/>
                <w:sz w:val="20"/>
              </w:rPr>
              <w:t>No circulante</w:t>
            </w:r>
          </w:p>
        </w:tc>
        <w:tc>
          <w:tcPr>
            <w:tcW w:w="1225" w:type="dxa"/>
          </w:tcPr>
          <w:p>
            <w:pPr/>
          </w:p>
        </w:tc>
        <w:tc>
          <w:tcPr>
            <w:tcW w:w="1222" w:type="dxa"/>
          </w:tcPr>
          <w:p>
            <w:pPr/>
          </w:p>
        </w:tc>
        <w:tc>
          <w:tcPr>
            <w:tcW w:w="2223" w:type="dxa"/>
          </w:tcPr>
          <w:p>
            <w:pPr>
              <w:pStyle w:val="TableParagraph"/>
              <w:spacing w:line="227" w:lineRule="exact"/>
              <w:ind w:left="98"/>
              <w:rPr>
                <w:rFonts w:ascii="Arial"/>
                <w:sz w:val="20"/>
              </w:rPr>
            </w:pPr>
            <w:r>
              <w:rPr>
                <w:rFonts w:ascii="Arial"/>
                <w:sz w:val="20"/>
              </w:rPr>
              <w:t>Hipotecas</w:t>
            </w:r>
          </w:p>
        </w:tc>
        <w:tc>
          <w:tcPr>
            <w:tcW w:w="1222" w:type="dxa"/>
          </w:tcPr>
          <w:p>
            <w:pPr/>
          </w:p>
        </w:tc>
        <w:tc>
          <w:tcPr>
            <w:tcW w:w="1222" w:type="dxa"/>
          </w:tcPr>
          <w:p>
            <w:pPr>
              <w:pStyle w:val="TableParagraph"/>
              <w:spacing w:before="9"/>
              <w:rPr>
                <w:rFonts w:ascii="Arial"/>
                <w:sz w:val="19"/>
              </w:rPr>
            </w:pPr>
          </w:p>
          <w:p>
            <w:pPr>
              <w:pStyle w:val="TableParagraph"/>
              <w:ind w:right="98"/>
              <w:jc w:val="right"/>
              <w:rPr>
                <w:rFonts w:ascii="Arial"/>
                <w:sz w:val="20"/>
              </w:rPr>
            </w:pPr>
            <w:r>
              <w:rPr>
                <w:rFonts w:ascii="Arial"/>
                <w:w w:val="95"/>
                <w:sz w:val="20"/>
              </w:rPr>
              <w:t>100.00</w:t>
            </w:r>
          </w:p>
        </w:tc>
      </w:tr>
      <w:tr>
        <w:trPr>
          <w:trHeight w:val="480" w:hRule="exact"/>
        </w:trPr>
        <w:tc>
          <w:tcPr>
            <w:tcW w:w="1884" w:type="dxa"/>
            <w:shd w:val="clear" w:color="auto" w:fill="E6EDD4"/>
          </w:tcPr>
          <w:p>
            <w:pPr>
              <w:pStyle w:val="TableParagraph"/>
              <w:spacing w:line="225" w:lineRule="exact"/>
              <w:ind w:left="98" w:right="130"/>
              <w:rPr>
                <w:rFonts w:ascii="Arial"/>
                <w:b/>
                <w:sz w:val="20"/>
              </w:rPr>
            </w:pPr>
            <w:r>
              <w:rPr>
                <w:rFonts w:ascii="Arial"/>
                <w:b/>
                <w:sz w:val="20"/>
              </w:rPr>
              <w:t>Edificio</w:t>
            </w:r>
          </w:p>
        </w:tc>
        <w:tc>
          <w:tcPr>
            <w:tcW w:w="1225" w:type="dxa"/>
            <w:shd w:val="clear" w:color="auto" w:fill="E6EDD4"/>
          </w:tcPr>
          <w:p>
            <w:pPr>
              <w:pStyle w:val="TableParagraph"/>
              <w:tabs>
                <w:tab w:pos="331" w:val="left" w:leader="none"/>
              </w:tabs>
              <w:spacing w:line="227" w:lineRule="exact"/>
              <w:ind w:right="98"/>
              <w:jc w:val="right"/>
              <w:rPr>
                <w:rFonts w:ascii="Arial"/>
                <w:sz w:val="20"/>
              </w:rPr>
            </w:pPr>
            <w:r>
              <w:rPr>
                <w:rFonts w:ascii="Arial"/>
                <w:sz w:val="20"/>
              </w:rPr>
              <w:t>$</w:t>
              <w:tab/>
            </w:r>
            <w:r>
              <w:rPr>
                <w:rFonts w:ascii="Arial"/>
                <w:w w:val="95"/>
                <w:sz w:val="20"/>
              </w:rPr>
              <w:t>600.00</w:t>
            </w:r>
          </w:p>
        </w:tc>
        <w:tc>
          <w:tcPr>
            <w:tcW w:w="1222" w:type="dxa"/>
            <w:shd w:val="clear" w:color="auto" w:fill="E6EDD4"/>
          </w:tcPr>
          <w:p>
            <w:pPr/>
          </w:p>
        </w:tc>
        <w:tc>
          <w:tcPr>
            <w:tcW w:w="2223" w:type="dxa"/>
            <w:shd w:val="clear" w:color="auto" w:fill="E6EDD4"/>
          </w:tcPr>
          <w:p>
            <w:pPr>
              <w:pStyle w:val="TableParagraph"/>
              <w:spacing w:line="227" w:lineRule="exact"/>
              <w:ind w:left="98"/>
              <w:rPr>
                <w:rFonts w:ascii="Arial"/>
                <w:sz w:val="20"/>
              </w:rPr>
            </w:pPr>
            <w:r>
              <w:rPr>
                <w:rFonts w:ascii="Arial"/>
                <w:sz w:val="20"/>
              </w:rPr>
              <w:t>Suma pasivo</w:t>
            </w:r>
          </w:p>
        </w:tc>
        <w:tc>
          <w:tcPr>
            <w:tcW w:w="1222" w:type="dxa"/>
            <w:shd w:val="clear" w:color="auto" w:fill="E6EDD4"/>
          </w:tcPr>
          <w:p>
            <w:pPr/>
          </w:p>
        </w:tc>
        <w:tc>
          <w:tcPr>
            <w:tcW w:w="1222" w:type="dxa"/>
            <w:shd w:val="clear" w:color="auto" w:fill="E6EDD4"/>
          </w:tcPr>
          <w:p>
            <w:pPr>
              <w:pStyle w:val="TableParagraph"/>
              <w:spacing w:before="9"/>
              <w:rPr>
                <w:rFonts w:ascii="Arial"/>
                <w:sz w:val="19"/>
              </w:rPr>
            </w:pPr>
          </w:p>
          <w:p>
            <w:pPr>
              <w:pStyle w:val="TableParagraph"/>
              <w:ind w:right="98"/>
              <w:jc w:val="right"/>
              <w:rPr>
                <w:rFonts w:ascii="Arial"/>
                <w:sz w:val="20"/>
              </w:rPr>
            </w:pPr>
            <w:r>
              <w:rPr>
                <w:rFonts w:ascii="Arial"/>
                <w:w w:val="95"/>
                <w:sz w:val="20"/>
              </w:rPr>
              <w:t>400.00</w:t>
            </w:r>
          </w:p>
        </w:tc>
      </w:tr>
      <w:tr>
        <w:trPr>
          <w:trHeight w:val="336" w:hRule="exact"/>
        </w:trPr>
        <w:tc>
          <w:tcPr>
            <w:tcW w:w="1884" w:type="dxa"/>
          </w:tcPr>
          <w:p>
            <w:pPr>
              <w:pStyle w:val="TableParagraph"/>
              <w:spacing w:line="225" w:lineRule="exact"/>
              <w:ind w:left="98" w:right="130"/>
              <w:rPr>
                <w:rFonts w:ascii="Arial"/>
                <w:b/>
                <w:sz w:val="20"/>
              </w:rPr>
            </w:pPr>
            <w:r>
              <w:rPr>
                <w:rFonts w:ascii="Arial"/>
                <w:b/>
                <w:sz w:val="20"/>
              </w:rPr>
              <w:t>Mobiliario</w:t>
            </w:r>
          </w:p>
        </w:tc>
        <w:tc>
          <w:tcPr>
            <w:tcW w:w="1225" w:type="dxa"/>
          </w:tcPr>
          <w:p>
            <w:pPr>
              <w:pStyle w:val="TableParagraph"/>
              <w:spacing w:line="227" w:lineRule="exact"/>
              <w:ind w:right="98"/>
              <w:jc w:val="right"/>
              <w:rPr>
                <w:rFonts w:ascii="Arial"/>
                <w:sz w:val="20"/>
              </w:rPr>
            </w:pPr>
            <w:r>
              <w:rPr>
                <w:rFonts w:ascii="Arial"/>
                <w:w w:val="95"/>
                <w:sz w:val="20"/>
              </w:rPr>
              <w:t>50.00</w:t>
            </w:r>
          </w:p>
        </w:tc>
        <w:tc>
          <w:tcPr>
            <w:tcW w:w="1222" w:type="dxa"/>
          </w:tcPr>
          <w:p>
            <w:pPr/>
          </w:p>
        </w:tc>
        <w:tc>
          <w:tcPr>
            <w:tcW w:w="2223" w:type="dxa"/>
          </w:tcPr>
          <w:p>
            <w:pPr>
              <w:pStyle w:val="TableParagraph"/>
              <w:spacing w:line="225" w:lineRule="exact"/>
              <w:ind w:left="98"/>
              <w:rPr>
                <w:rFonts w:ascii="Arial"/>
                <w:b/>
                <w:sz w:val="20"/>
              </w:rPr>
            </w:pPr>
            <w:r>
              <w:rPr>
                <w:rFonts w:ascii="Arial"/>
                <w:b/>
                <w:sz w:val="20"/>
              </w:rPr>
              <w:t>Capital contable</w:t>
            </w:r>
          </w:p>
        </w:tc>
        <w:tc>
          <w:tcPr>
            <w:tcW w:w="1222" w:type="dxa"/>
          </w:tcPr>
          <w:p>
            <w:pPr/>
          </w:p>
        </w:tc>
        <w:tc>
          <w:tcPr>
            <w:tcW w:w="1222" w:type="dxa"/>
          </w:tcPr>
          <w:p>
            <w:pPr/>
          </w:p>
        </w:tc>
      </w:tr>
      <w:tr>
        <w:trPr>
          <w:trHeight w:val="480" w:hRule="exact"/>
        </w:trPr>
        <w:tc>
          <w:tcPr>
            <w:tcW w:w="1884" w:type="dxa"/>
            <w:shd w:val="clear" w:color="auto" w:fill="E6EDD4"/>
          </w:tcPr>
          <w:p>
            <w:pPr>
              <w:pStyle w:val="TableParagraph"/>
              <w:ind w:left="98" w:right="130"/>
              <w:rPr>
                <w:rFonts w:ascii="Arial"/>
                <w:b/>
                <w:sz w:val="20"/>
              </w:rPr>
            </w:pPr>
            <w:r>
              <w:rPr>
                <w:rFonts w:ascii="Arial"/>
                <w:b/>
                <w:sz w:val="20"/>
              </w:rPr>
              <w:t>Pagos </w:t>
            </w:r>
            <w:r>
              <w:rPr>
                <w:rFonts w:ascii="Arial"/>
                <w:b/>
                <w:w w:val="95"/>
                <w:sz w:val="20"/>
              </w:rPr>
              <w:t>anticipados</w:t>
            </w:r>
          </w:p>
        </w:tc>
        <w:tc>
          <w:tcPr>
            <w:tcW w:w="1225" w:type="dxa"/>
            <w:shd w:val="clear" w:color="auto" w:fill="E6EDD4"/>
          </w:tcPr>
          <w:p>
            <w:pPr>
              <w:pStyle w:val="TableParagraph"/>
              <w:spacing w:line="227" w:lineRule="exact"/>
              <w:ind w:right="98"/>
              <w:jc w:val="right"/>
              <w:rPr>
                <w:rFonts w:ascii="Arial"/>
                <w:sz w:val="20"/>
              </w:rPr>
            </w:pPr>
            <w:r>
              <w:rPr>
                <w:rFonts w:ascii="Arial"/>
                <w:w w:val="95"/>
                <w:sz w:val="20"/>
              </w:rPr>
              <w:t>50.00</w:t>
            </w:r>
          </w:p>
        </w:tc>
        <w:tc>
          <w:tcPr>
            <w:tcW w:w="1222" w:type="dxa"/>
            <w:shd w:val="clear" w:color="auto" w:fill="E6EDD4"/>
          </w:tcPr>
          <w:p>
            <w:pPr>
              <w:pStyle w:val="TableParagraph"/>
              <w:spacing w:before="9"/>
              <w:rPr>
                <w:rFonts w:ascii="Arial"/>
                <w:sz w:val="19"/>
              </w:rPr>
            </w:pPr>
          </w:p>
          <w:p>
            <w:pPr>
              <w:pStyle w:val="TableParagraph"/>
              <w:ind w:right="98"/>
              <w:jc w:val="right"/>
              <w:rPr>
                <w:rFonts w:ascii="Arial"/>
                <w:sz w:val="20"/>
              </w:rPr>
            </w:pPr>
            <w:r>
              <w:rPr>
                <w:rFonts w:ascii="Arial"/>
                <w:w w:val="95"/>
                <w:sz w:val="20"/>
              </w:rPr>
              <w:t>700.00</w:t>
            </w:r>
          </w:p>
        </w:tc>
        <w:tc>
          <w:tcPr>
            <w:tcW w:w="2223" w:type="dxa"/>
            <w:shd w:val="clear" w:color="auto" w:fill="E6EDD4"/>
          </w:tcPr>
          <w:p>
            <w:pPr>
              <w:pStyle w:val="TableParagraph"/>
              <w:spacing w:line="227" w:lineRule="exact"/>
              <w:ind w:left="98"/>
              <w:rPr>
                <w:rFonts w:ascii="Arial"/>
                <w:sz w:val="20"/>
              </w:rPr>
            </w:pPr>
            <w:r>
              <w:rPr>
                <w:rFonts w:ascii="Arial"/>
                <w:sz w:val="20"/>
              </w:rPr>
              <w:t>Capital social</w:t>
            </w:r>
          </w:p>
        </w:tc>
        <w:tc>
          <w:tcPr>
            <w:tcW w:w="1222" w:type="dxa"/>
            <w:shd w:val="clear" w:color="auto" w:fill="E6EDD4"/>
          </w:tcPr>
          <w:p>
            <w:pPr/>
          </w:p>
        </w:tc>
        <w:tc>
          <w:tcPr>
            <w:tcW w:w="1222" w:type="dxa"/>
            <w:shd w:val="clear" w:color="auto" w:fill="E6EDD4"/>
          </w:tcPr>
          <w:p>
            <w:pPr>
              <w:pStyle w:val="TableParagraph"/>
              <w:spacing w:before="9"/>
              <w:rPr>
                <w:rFonts w:ascii="Arial"/>
                <w:sz w:val="19"/>
              </w:rPr>
            </w:pPr>
          </w:p>
          <w:p>
            <w:pPr>
              <w:pStyle w:val="TableParagraph"/>
              <w:ind w:right="100"/>
              <w:jc w:val="right"/>
              <w:rPr>
                <w:rFonts w:ascii="Arial"/>
                <w:sz w:val="20"/>
              </w:rPr>
            </w:pPr>
            <w:r>
              <w:rPr>
                <w:rFonts w:ascii="Arial"/>
                <w:sz w:val="20"/>
              </w:rPr>
              <w:t>1,000.00</w:t>
            </w:r>
          </w:p>
        </w:tc>
      </w:tr>
      <w:tr>
        <w:trPr>
          <w:trHeight w:val="334" w:hRule="exact"/>
        </w:trPr>
        <w:tc>
          <w:tcPr>
            <w:tcW w:w="1884" w:type="dxa"/>
          </w:tcPr>
          <w:p>
            <w:pPr>
              <w:pStyle w:val="TableParagraph"/>
              <w:spacing w:line="225" w:lineRule="exact"/>
              <w:ind w:left="98"/>
              <w:rPr>
                <w:rFonts w:ascii="Arial"/>
                <w:b/>
                <w:sz w:val="20"/>
              </w:rPr>
            </w:pPr>
            <w:r>
              <w:rPr>
                <w:rFonts w:ascii="Arial"/>
                <w:b/>
                <w:sz w:val="20"/>
              </w:rPr>
              <w:t>Suma de efectivo</w:t>
            </w:r>
          </w:p>
        </w:tc>
        <w:tc>
          <w:tcPr>
            <w:tcW w:w="1225" w:type="dxa"/>
          </w:tcPr>
          <w:p>
            <w:pPr/>
          </w:p>
        </w:tc>
        <w:tc>
          <w:tcPr>
            <w:tcW w:w="1222" w:type="dxa"/>
          </w:tcPr>
          <w:p>
            <w:pPr>
              <w:pStyle w:val="TableParagraph"/>
              <w:spacing w:line="227" w:lineRule="exact"/>
              <w:ind w:right="98"/>
              <w:jc w:val="right"/>
              <w:rPr>
                <w:rFonts w:ascii="Arial"/>
                <w:sz w:val="20"/>
              </w:rPr>
            </w:pPr>
            <w:r>
              <w:rPr>
                <w:rFonts w:ascii="Arial"/>
                <w:sz w:val="20"/>
              </w:rPr>
              <w:t>$ 1,400.00</w:t>
            </w:r>
          </w:p>
        </w:tc>
        <w:tc>
          <w:tcPr>
            <w:tcW w:w="2223" w:type="dxa"/>
          </w:tcPr>
          <w:p>
            <w:pPr>
              <w:pStyle w:val="TableParagraph"/>
              <w:spacing w:line="227" w:lineRule="exact"/>
              <w:ind w:left="98"/>
              <w:rPr>
                <w:rFonts w:ascii="Arial"/>
                <w:sz w:val="20"/>
              </w:rPr>
            </w:pPr>
            <w:r>
              <w:rPr>
                <w:rFonts w:ascii="Arial"/>
                <w:sz w:val="20"/>
              </w:rPr>
              <w:t>Suma pasivo y capital</w:t>
            </w:r>
          </w:p>
        </w:tc>
        <w:tc>
          <w:tcPr>
            <w:tcW w:w="1222" w:type="dxa"/>
          </w:tcPr>
          <w:p>
            <w:pPr/>
          </w:p>
        </w:tc>
        <w:tc>
          <w:tcPr>
            <w:tcW w:w="1222" w:type="dxa"/>
          </w:tcPr>
          <w:p>
            <w:pPr>
              <w:pStyle w:val="TableParagraph"/>
              <w:spacing w:line="227" w:lineRule="exact"/>
              <w:ind w:right="98"/>
              <w:jc w:val="right"/>
              <w:rPr>
                <w:rFonts w:ascii="Arial"/>
                <w:sz w:val="20"/>
              </w:rPr>
            </w:pPr>
            <w:r>
              <w:rPr>
                <w:rFonts w:ascii="Arial"/>
                <w:sz w:val="20"/>
              </w:rPr>
              <w:t>$ 1,400.00</w:t>
            </w:r>
          </w:p>
        </w:tc>
      </w:tr>
    </w:tbl>
    <w:p>
      <w:pPr>
        <w:pStyle w:val="BodyText"/>
        <w:rPr>
          <w:sz w:val="20"/>
        </w:rPr>
      </w:pPr>
    </w:p>
    <w:p>
      <w:pPr>
        <w:pStyle w:val="BodyText"/>
        <w:rPr>
          <w:sz w:val="20"/>
        </w:rPr>
      </w:pPr>
    </w:p>
    <w:p>
      <w:pPr>
        <w:pStyle w:val="BodyText"/>
        <w:spacing w:before="9"/>
        <w:rPr>
          <w:sz w:val="25"/>
        </w:rPr>
      </w:pPr>
    </w:p>
    <w:p>
      <w:pPr>
        <w:pStyle w:val="ListParagraph"/>
        <w:numPr>
          <w:ilvl w:val="0"/>
          <w:numId w:val="31"/>
        </w:numPr>
        <w:tabs>
          <w:tab w:pos="942" w:val="left" w:leader="none"/>
        </w:tabs>
        <w:spacing w:line="360" w:lineRule="auto" w:before="70" w:after="0"/>
        <w:ind w:left="942" w:right="183" w:hanging="360"/>
        <w:jc w:val="both"/>
        <w:rPr>
          <w:sz w:val="24"/>
        </w:rPr>
      </w:pPr>
      <w:r>
        <w:rPr>
          <w:sz w:val="24"/>
        </w:rPr>
        <w:t>En forma de reporte. Es una presentación vertical que muestra en primer lugar el activo, posteriormente el pasivo y por último el capital. Esta presentación obedece a la fórmula: activo menos pasivo igual a capital. Se emplea generalmente cuando son pocos los conceptos que integran el estado.  Se presenta en forma</w:t>
      </w:r>
      <w:r>
        <w:rPr>
          <w:spacing w:val="-17"/>
          <w:sz w:val="24"/>
        </w:rPr>
        <w:t> </w:t>
      </w:r>
      <w:r>
        <w:rPr>
          <w:sz w:val="24"/>
        </w:rPr>
        <w:t>vertical.</w:t>
      </w:r>
    </w:p>
    <w:p>
      <w:pPr>
        <w:pStyle w:val="BodyText"/>
        <w:rPr>
          <w:sz w:val="20"/>
        </w:rPr>
      </w:pPr>
    </w:p>
    <w:p>
      <w:pPr>
        <w:pStyle w:val="BodyText"/>
        <w:spacing w:before="5" w:after="1"/>
        <w:rPr>
          <w:sz w:val="16"/>
        </w:rPr>
      </w:pPr>
    </w:p>
    <w:tbl>
      <w:tblPr>
        <w:tblW w:w="0" w:type="auto"/>
        <w:jc w:val="left"/>
        <w:tblInd w:w="1177" w:type="dxa"/>
        <w:tblBorders>
          <w:top w:val="single" w:sz="8" w:space="0" w:color="9BBA58"/>
          <w:left w:val="single" w:sz="8" w:space="0" w:color="9BBA58"/>
          <w:bottom w:val="single" w:sz="8" w:space="0" w:color="9BBA58"/>
          <w:right w:val="single" w:sz="8" w:space="0" w:color="9BBA58"/>
          <w:insideH w:val="single" w:sz="8" w:space="0" w:color="9BBA58"/>
          <w:insideV w:val="single" w:sz="8" w:space="0" w:color="9BBA58"/>
        </w:tblBorders>
        <w:tblLayout w:type="fixed"/>
        <w:tblCellMar>
          <w:top w:w="0" w:type="dxa"/>
          <w:left w:w="0" w:type="dxa"/>
          <w:bottom w:w="0" w:type="dxa"/>
          <w:right w:w="0" w:type="dxa"/>
        </w:tblCellMar>
        <w:tblLook w:val="01E0"/>
      </w:tblPr>
      <w:tblGrid>
        <w:gridCol w:w="3152"/>
        <w:gridCol w:w="1892"/>
        <w:gridCol w:w="1865"/>
      </w:tblGrid>
      <w:tr>
        <w:trPr>
          <w:trHeight w:val="407" w:hRule="exact"/>
        </w:trPr>
        <w:tc>
          <w:tcPr>
            <w:tcW w:w="6909" w:type="dxa"/>
            <w:gridSpan w:val="3"/>
            <w:tcBorders>
              <w:bottom w:val="single" w:sz="18" w:space="0" w:color="9BBA58"/>
            </w:tcBorders>
          </w:tcPr>
          <w:p>
            <w:pPr>
              <w:pStyle w:val="TableParagraph"/>
              <w:spacing w:line="268" w:lineRule="exact"/>
              <w:ind w:left="2688" w:right="2689"/>
              <w:jc w:val="center"/>
              <w:rPr>
                <w:b/>
                <w:sz w:val="22"/>
              </w:rPr>
            </w:pPr>
            <w:r>
              <w:rPr>
                <w:b/>
                <w:sz w:val="22"/>
              </w:rPr>
              <w:t>La entidad X S.A</w:t>
            </w:r>
          </w:p>
        </w:tc>
      </w:tr>
      <w:tr>
        <w:trPr>
          <w:trHeight w:val="405" w:hRule="exact"/>
        </w:trPr>
        <w:tc>
          <w:tcPr>
            <w:tcW w:w="6909" w:type="dxa"/>
            <w:gridSpan w:val="3"/>
            <w:tcBorders>
              <w:top w:val="single" w:sz="17" w:space="0" w:color="9BBA58"/>
            </w:tcBorders>
            <w:shd w:val="clear" w:color="auto" w:fill="E6EDD4"/>
          </w:tcPr>
          <w:p>
            <w:pPr>
              <w:pStyle w:val="TableParagraph"/>
              <w:spacing w:line="267" w:lineRule="exact"/>
              <w:ind w:left="1752"/>
              <w:rPr>
                <w:b/>
                <w:sz w:val="22"/>
              </w:rPr>
            </w:pPr>
            <w:r>
              <w:rPr>
                <w:b/>
                <w:sz w:val="22"/>
              </w:rPr>
              <w:t>Balance general al xx de xxxx de xxxx</w:t>
            </w:r>
          </w:p>
        </w:tc>
      </w:tr>
      <w:tr>
        <w:trPr>
          <w:trHeight w:val="394" w:hRule="exact"/>
        </w:trPr>
        <w:tc>
          <w:tcPr>
            <w:tcW w:w="3152" w:type="dxa"/>
          </w:tcPr>
          <w:p>
            <w:pPr>
              <w:pStyle w:val="TableParagraph"/>
              <w:spacing w:line="268" w:lineRule="exact"/>
              <w:ind w:left="95"/>
              <w:rPr>
                <w:b/>
                <w:sz w:val="22"/>
              </w:rPr>
            </w:pPr>
            <w:r>
              <w:rPr>
                <w:b/>
                <w:sz w:val="22"/>
              </w:rPr>
              <w:t>Activo circulante</w:t>
            </w:r>
          </w:p>
        </w:tc>
        <w:tc>
          <w:tcPr>
            <w:tcW w:w="1892" w:type="dxa"/>
          </w:tcPr>
          <w:p>
            <w:pPr/>
          </w:p>
        </w:tc>
        <w:tc>
          <w:tcPr>
            <w:tcW w:w="1865" w:type="dxa"/>
          </w:tcPr>
          <w:p>
            <w:pPr/>
          </w:p>
        </w:tc>
      </w:tr>
      <w:tr>
        <w:trPr>
          <w:trHeight w:val="394" w:hRule="exact"/>
        </w:trPr>
        <w:tc>
          <w:tcPr>
            <w:tcW w:w="3152" w:type="dxa"/>
            <w:shd w:val="clear" w:color="auto" w:fill="E6EDD4"/>
          </w:tcPr>
          <w:p>
            <w:pPr>
              <w:pStyle w:val="TableParagraph"/>
              <w:spacing w:line="265" w:lineRule="exact"/>
              <w:ind w:left="95"/>
              <w:rPr>
                <w:sz w:val="22"/>
              </w:rPr>
            </w:pPr>
            <w:r>
              <w:rPr>
                <w:sz w:val="22"/>
              </w:rPr>
              <w:t>Bancos</w:t>
            </w:r>
          </w:p>
        </w:tc>
        <w:tc>
          <w:tcPr>
            <w:tcW w:w="1892" w:type="dxa"/>
            <w:shd w:val="clear" w:color="auto" w:fill="E6EDD4"/>
          </w:tcPr>
          <w:p>
            <w:pPr>
              <w:pStyle w:val="TableParagraph"/>
              <w:tabs>
                <w:tab w:pos="359" w:val="left" w:leader="none"/>
              </w:tabs>
              <w:spacing w:line="265" w:lineRule="exact"/>
              <w:ind w:right="100"/>
              <w:jc w:val="right"/>
              <w:rPr>
                <w:sz w:val="22"/>
              </w:rPr>
            </w:pPr>
            <w:r>
              <w:rPr>
                <w:sz w:val="22"/>
              </w:rPr>
              <w:t>$</w:t>
              <w:tab/>
            </w:r>
            <w:r>
              <w:rPr>
                <w:spacing w:val="-1"/>
                <w:sz w:val="22"/>
              </w:rPr>
              <w:t>200.00</w:t>
            </w:r>
          </w:p>
        </w:tc>
        <w:tc>
          <w:tcPr>
            <w:tcW w:w="1865" w:type="dxa"/>
            <w:shd w:val="clear" w:color="auto" w:fill="E6EDD4"/>
          </w:tcPr>
          <w:p>
            <w:pPr/>
          </w:p>
        </w:tc>
      </w:tr>
      <w:tr>
        <w:trPr>
          <w:trHeight w:val="392" w:hRule="exact"/>
        </w:trPr>
        <w:tc>
          <w:tcPr>
            <w:tcW w:w="3152" w:type="dxa"/>
          </w:tcPr>
          <w:p>
            <w:pPr>
              <w:pStyle w:val="TableParagraph"/>
              <w:spacing w:line="265" w:lineRule="exact"/>
              <w:ind w:left="95"/>
              <w:rPr>
                <w:sz w:val="22"/>
              </w:rPr>
            </w:pPr>
            <w:r>
              <w:rPr>
                <w:sz w:val="22"/>
              </w:rPr>
              <w:t>Clientes</w:t>
            </w:r>
          </w:p>
        </w:tc>
        <w:tc>
          <w:tcPr>
            <w:tcW w:w="1892" w:type="dxa"/>
          </w:tcPr>
          <w:p>
            <w:pPr>
              <w:pStyle w:val="TableParagraph"/>
              <w:spacing w:line="265" w:lineRule="exact"/>
              <w:ind w:right="100"/>
              <w:jc w:val="right"/>
              <w:rPr>
                <w:sz w:val="22"/>
              </w:rPr>
            </w:pPr>
            <w:r>
              <w:rPr>
                <w:sz w:val="22"/>
              </w:rPr>
              <w:t>100.00</w:t>
            </w:r>
          </w:p>
        </w:tc>
        <w:tc>
          <w:tcPr>
            <w:tcW w:w="1865" w:type="dxa"/>
          </w:tcPr>
          <w:p>
            <w:pPr/>
          </w:p>
        </w:tc>
      </w:tr>
      <w:tr>
        <w:trPr>
          <w:trHeight w:val="392" w:hRule="exact"/>
        </w:trPr>
        <w:tc>
          <w:tcPr>
            <w:tcW w:w="3152" w:type="dxa"/>
            <w:shd w:val="clear" w:color="auto" w:fill="E6EDD4"/>
          </w:tcPr>
          <w:p>
            <w:pPr>
              <w:pStyle w:val="TableParagraph"/>
              <w:spacing w:line="267" w:lineRule="exact"/>
              <w:ind w:left="95"/>
              <w:rPr>
                <w:sz w:val="22"/>
              </w:rPr>
            </w:pPr>
            <w:r>
              <w:rPr>
                <w:sz w:val="22"/>
              </w:rPr>
              <w:t>Almacén</w:t>
            </w:r>
          </w:p>
        </w:tc>
        <w:tc>
          <w:tcPr>
            <w:tcW w:w="1892" w:type="dxa"/>
            <w:shd w:val="clear" w:color="auto" w:fill="E6EDD4"/>
          </w:tcPr>
          <w:p>
            <w:pPr>
              <w:pStyle w:val="TableParagraph"/>
              <w:spacing w:line="267" w:lineRule="exact"/>
              <w:ind w:right="100"/>
              <w:jc w:val="right"/>
              <w:rPr>
                <w:sz w:val="22"/>
              </w:rPr>
            </w:pPr>
            <w:r>
              <w:rPr>
                <w:sz w:val="22"/>
              </w:rPr>
              <w:t>400.00</w:t>
            </w:r>
          </w:p>
        </w:tc>
        <w:tc>
          <w:tcPr>
            <w:tcW w:w="1865" w:type="dxa"/>
            <w:shd w:val="clear" w:color="auto" w:fill="E6EDD4"/>
          </w:tcPr>
          <w:p>
            <w:pPr>
              <w:pStyle w:val="TableParagraph"/>
              <w:tabs>
                <w:tab w:pos="1132" w:val="left" w:leader="none"/>
              </w:tabs>
              <w:spacing w:line="267" w:lineRule="exact"/>
              <w:ind w:left="772"/>
              <w:rPr>
                <w:sz w:val="22"/>
              </w:rPr>
            </w:pPr>
            <w:r>
              <w:rPr>
                <w:sz w:val="22"/>
              </w:rPr>
              <w:t>$</w:t>
              <w:tab/>
              <w:t>700.00</w:t>
            </w:r>
          </w:p>
        </w:tc>
      </w:tr>
      <w:tr>
        <w:trPr>
          <w:trHeight w:val="394" w:hRule="exact"/>
        </w:trPr>
        <w:tc>
          <w:tcPr>
            <w:tcW w:w="3152" w:type="dxa"/>
          </w:tcPr>
          <w:p>
            <w:pPr>
              <w:pStyle w:val="TableParagraph"/>
              <w:spacing w:line="268" w:lineRule="exact"/>
              <w:ind w:left="95"/>
              <w:rPr>
                <w:b/>
                <w:sz w:val="22"/>
              </w:rPr>
            </w:pPr>
            <w:r>
              <w:rPr>
                <w:b/>
                <w:sz w:val="22"/>
              </w:rPr>
              <w:t>No Circulante</w:t>
            </w:r>
          </w:p>
        </w:tc>
        <w:tc>
          <w:tcPr>
            <w:tcW w:w="1892" w:type="dxa"/>
          </w:tcPr>
          <w:p>
            <w:pPr/>
          </w:p>
        </w:tc>
        <w:tc>
          <w:tcPr>
            <w:tcW w:w="1865" w:type="dxa"/>
          </w:tcPr>
          <w:p>
            <w:pPr/>
          </w:p>
        </w:tc>
      </w:tr>
    </w:tbl>
    <w:p>
      <w:pPr>
        <w:spacing w:after="0"/>
        <w:sectPr>
          <w:pgSz w:w="12240" w:h="15840"/>
          <w:pgMar w:header="0" w:footer="489" w:top="1360" w:bottom="960" w:left="1480" w:right="1520"/>
        </w:sectPr>
      </w:pPr>
    </w:p>
    <w:tbl>
      <w:tblPr>
        <w:tblW w:w="0" w:type="auto"/>
        <w:jc w:val="left"/>
        <w:tblInd w:w="1057" w:type="dxa"/>
        <w:tblBorders>
          <w:top w:val="single" w:sz="8" w:space="0" w:color="9BBA58"/>
          <w:left w:val="single" w:sz="8" w:space="0" w:color="9BBA58"/>
          <w:bottom w:val="single" w:sz="8" w:space="0" w:color="9BBA58"/>
          <w:right w:val="single" w:sz="8" w:space="0" w:color="9BBA58"/>
          <w:insideH w:val="single" w:sz="8" w:space="0" w:color="9BBA58"/>
          <w:insideV w:val="single" w:sz="8" w:space="0" w:color="9BBA58"/>
        </w:tblBorders>
        <w:tblLayout w:type="fixed"/>
        <w:tblCellMar>
          <w:top w:w="0" w:type="dxa"/>
          <w:left w:w="0" w:type="dxa"/>
          <w:bottom w:w="0" w:type="dxa"/>
          <w:right w:w="0" w:type="dxa"/>
        </w:tblCellMar>
        <w:tblLook w:val="01E0"/>
      </w:tblPr>
      <w:tblGrid>
        <w:gridCol w:w="3152"/>
        <w:gridCol w:w="1892"/>
        <w:gridCol w:w="1865"/>
      </w:tblGrid>
      <w:tr>
        <w:trPr>
          <w:trHeight w:val="394" w:hRule="exact"/>
        </w:trPr>
        <w:tc>
          <w:tcPr>
            <w:tcW w:w="3152" w:type="dxa"/>
            <w:shd w:val="clear" w:color="auto" w:fill="E6EDD4"/>
          </w:tcPr>
          <w:p>
            <w:pPr>
              <w:pStyle w:val="TableParagraph"/>
              <w:spacing w:line="265" w:lineRule="exact"/>
              <w:ind w:left="95"/>
              <w:rPr>
                <w:sz w:val="22"/>
              </w:rPr>
            </w:pPr>
            <w:r>
              <w:rPr>
                <w:sz w:val="22"/>
              </w:rPr>
              <w:t>Edificio</w:t>
            </w:r>
          </w:p>
        </w:tc>
        <w:tc>
          <w:tcPr>
            <w:tcW w:w="1892" w:type="dxa"/>
            <w:shd w:val="clear" w:color="auto" w:fill="E6EDD4"/>
          </w:tcPr>
          <w:p>
            <w:pPr>
              <w:pStyle w:val="TableParagraph"/>
              <w:tabs>
                <w:tab w:pos="359" w:val="left" w:leader="none"/>
              </w:tabs>
              <w:spacing w:line="265" w:lineRule="exact"/>
              <w:ind w:right="100"/>
              <w:jc w:val="right"/>
              <w:rPr>
                <w:sz w:val="22"/>
              </w:rPr>
            </w:pPr>
            <w:r>
              <w:rPr>
                <w:sz w:val="22"/>
              </w:rPr>
              <w:t>$</w:t>
              <w:tab/>
            </w:r>
            <w:r>
              <w:rPr>
                <w:spacing w:val="-1"/>
                <w:sz w:val="22"/>
              </w:rPr>
              <w:t>600.00</w:t>
            </w:r>
          </w:p>
        </w:tc>
        <w:tc>
          <w:tcPr>
            <w:tcW w:w="1865" w:type="dxa"/>
            <w:shd w:val="clear" w:color="auto" w:fill="E6EDD4"/>
          </w:tcPr>
          <w:p>
            <w:pPr/>
          </w:p>
        </w:tc>
      </w:tr>
      <w:tr>
        <w:trPr>
          <w:trHeight w:val="392" w:hRule="exact"/>
        </w:trPr>
        <w:tc>
          <w:tcPr>
            <w:tcW w:w="3152" w:type="dxa"/>
          </w:tcPr>
          <w:p>
            <w:pPr>
              <w:pStyle w:val="TableParagraph"/>
              <w:spacing w:line="265" w:lineRule="exact"/>
              <w:ind w:left="95"/>
              <w:rPr>
                <w:sz w:val="22"/>
              </w:rPr>
            </w:pPr>
            <w:r>
              <w:rPr>
                <w:sz w:val="22"/>
              </w:rPr>
              <w:t>Mobiliario</w:t>
            </w:r>
          </w:p>
        </w:tc>
        <w:tc>
          <w:tcPr>
            <w:tcW w:w="1892" w:type="dxa"/>
          </w:tcPr>
          <w:p>
            <w:pPr>
              <w:pStyle w:val="TableParagraph"/>
              <w:spacing w:line="265" w:lineRule="exact"/>
              <w:ind w:right="99"/>
              <w:jc w:val="right"/>
              <w:rPr>
                <w:sz w:val="22"/>
              </w:rPr>
            </w:pPr>
            <w:r>
              <w:rPr>
                <w:sz w:val="22"/>
              </w:rPr>
              <w:t>50.00</w:t>
            </w:r>
          </w:p>
        </w:tc>
        <w:tc>
          <w:tcPr>
            <w:tcW w:w="1865" w:type="dxa"/>
          </w:tcPr>
          <w:p>
            <w:pPr/>
          </w:p>
        </w:tc>
      </w:tr>
      <w:tr>
        <w:trPr>
          <w:trHeight w:val="392" w:hRule="exact"/>
        </w:trPr>
        <w:tc>
          <w:tcPr>
            <w:tcW w:w="3152" w:type="dxa"/>
            <w:shd w:val="clear" w:color="auto" w:fill="E6EDD4"/>
          </w:tcPr>
          <w:p>
            <w:pPr>
              <w:pStyle w:val="TableParagraph"/>
              <w:spacing w:line="267" w:lineRule="exact"/>
              <w:ind w:left="95"/>
              <w:rPr>
                <w:sz w:val="22"/>
              </w:rPr>
            </w:pPr>
            <w:r>
              <w:rPr>
                <w:sz w:val="22"/>
              </w:rPr>
              <w:t>Pagos anticipados</w:t>
            </w:r>
          </w:p>
        </w:tc>
        <w:tc>
          <w:tcPr>
            <w:tcW w:w="1892" w:type="dxa"/>
            <w:shd w:val="clear" w:color="auto" w:fill="E6EDD4"/>
          </w:tcPr>
          <w:p>
            <w:pPr>
              <w:pStyle w:val="TableParagraph"/>
              <w:spacing w:line="267" w:lineRule="exact"/>
              <w:ind w:right="99"/>
              <w:jc w:val="right"/>
              <w:rPr>
                <w:sz w:val="22"/>
              </w:rPr>
            </w:pPr>
            <w:r>
              <w:rPr>
                <w:sz w:val="22"/>
              </w:rPr>
              <w:t>50.00</w:t>
            </w:r>
          </w:p>
        </w:tc>
        <w:tc>
          <w:tcPr>
            <w:tcW w:w="1865" w:type="dxa"/>
            <w:shd w:val="clear" w:color="auto" w:fill="E6EDD4"/>
          </w:tcPr>
          <w:p>
            <w:pPr>
              <w:pStyle w:val="TableParagraph"/>
              <w:spacing w:line="267" w:lineRule="exact"/>
              <w:ind w:right="98"/>
              <w:jc w:val="right"/>
              <w:rPr>
                <w:sz w:val="22"/>
              </w:rPr>
            </w:pPr>
            <w:r>
              <w:rPr>
                <w:sz w:val="22"/>
              </w:rPr>
              <w:t>700.00</w:t>
            </w:r>
          </w:p>
        </w:tc>
      </w:tr>
      <w:tr>
        <w:trPr>
          <w:trHeight w:val="412" w:hRule="exact"/>
        </w:trPr>
        <w:tc>
          <w:tcPr>
            <w:tcW w:w="3152" w:type="dxa"/>
          </w:tcPr>
          <w:p>
            <w:pPr>
              <w:pStyle w:val="TableParagraph"/>
              <w:spacing w:line="265" w:lineRule="exact"/>
              <w:ind w:left="95"/>
              <w:rPr>
                <w:b/>
                <w:sz w:val="22"/>
              </w:rPr>
            </w:pPr>
            <w:r>
              <w:rPr>
                <w:b/>
                <w:sz w:val="22"/>
              </w:rPr>
              <w:t>Suma el activo</w:t>
            </w:r>
          </w:p>
        </w:tc>
        <w:tc>
          <w:tcPr>
            <w:tcW w:w="1892" w:type="dxa"/>
          </w:tcPr>
          <w:p>
            <w:pPr/>
          </w:p>
        </w:tc>
        <w:tc>
          <w:tcPr>
            <w:tcW w:w="1865" w:type="dxa"/>
          </w:tcPr>
          <w:p>
            <w:pPr>
              <w:pStyle w:val="TableParagraph"/>
              <w:spacing w:line="265" w:lineRule="exact"/>
              <w:ind w:right="96"/>
              <w:jc w:val="right"/>
              <w:rPr>
                <w:sz w:val="22"/>
              </w:rPr>
            </w:pPr>
            <w:r>
              <w:rPr>
                <w:sz w:val="22"/>
              </w:rPr>
              <w:t>$ 1,400.00</w:t>
            </w:r>
          </w:p>
        </w:tc>
      </w:tr>
      <w:tr>
        <w:trPr>
          <w:trHeight w:val="412" w:hRule="exact"/>
        </w:trPr>
        <w:tc>
          <w:tcPr>
            <w:tcW w:w="3152" w:type="dxa"/>
            <w:shd w:val="clear" w:color="auto" w:fill="E6EDD4"/>
          </w:tcPr>
          <w:p>
            <w:pPr>
              <w:pStyle w:val="TableParagraph"/>
              <w:spacing w:line="267" w:lineRule="exact"/>
              <w:ind w:left="95"/>
              <w:rPr>
                <w:b/>
                <w:sz w:val="22"/>
              </w:rPr>
            </w:pPr>
            <w:r>
              <w:rPr>
                <w:b/>
                <w:sz w:val="22"/>
              </w:rPr>
              <w:t>Pasivo circulante</w:t>
            </w:r>
          </w:p>
        </w:tc>
        <w:tc>
          <w:tcPr>
            <w:tcW w:w="1892" w:type="dxa"/>
            <w:shd w:val="clear" w:color="auto" w:fill="E6EDD4"/>
          </w:tcPr>
          <w:p>
            <w:pPr/>
          </w:p>
        </w:tc>
        <w:tc>
          <w:tcPr>
            <w:tcW w:w="1865" w:type="dxa"/>
            <w:shd w:val="clear" w:color="auto" w:fill="E6EDD4"/>
          </w:tcPr>
          <w:p>
            <w:pPr/>
          </w:p>
        </w:tc>
      </w:tr>
      <w:tr>
        <w:trPr>
          <w:trHeight w:val="392" w:hRule="exact"/>
        </w:trPr>
        <w:tc>
          <w:tcPr>
            <w:tcW w:w="3152" w:type="dxa"/>
          </w:tcPr>
          <w:p>
            <w:pPr>
              <w:pStyle w:val="TableParagraph"/>
              <w:spacing w:line="265" w:lineRule="exact"/>
              <w:ind w:left="95"/>
              <w:rPr>
                <w:sz w:val="22"/>
              </w:rPr>
            </w:pPr>
            <w:r>
              <w:rPr>
                <w:sz w:val="22"/>
              </w:rPr>
              <w:t>Proveedores</w:t>
            </w:r>
          </w:p>
        </w:tc>
        <w:tc>
          <w:tcPr>
            <w:tcW w:w="1892" w:type="dxa"/>
          </w:tcPr>
          <w:p>
            <w:pPr>
              <w:pStyle w:val="TableParagraph"/>
              <w:tabs>
                <w:tab w:pos="359" w:val="left" w:leader="none"/>
              </w:tabs>
              <w:spacing w:line="265" w:lineRule="exact"/>
              <w:ind w:right="100"/>
              <w:jc w:val="right"/>
              <w:rPr>
                <w:sz w:val="22"/>
              </w:rPr>
            </w:pPr>
            <w:r>
              <w:rPr>
                <w:sz w:val="22"/>
              </w:rPr>
              <w:t>$</w:t>
              <w:tab/>
            </w:r>
            <w:r>
              <w:rPr>
                <w:spacing w:val="-1"/>
                <w:sz w:val="22"/>
              </w:rPr>
              <w:t>100.00</w:t>
            </w:r>
          </w:p>
        </w:tc>
        <w:tc>
          <w:tcPr>
            <w:tcW w:w="1865" w:type="dxa"/>
          </w:tcPr>
          <w:p>
            <w:pPr/>
          </w:p>
        </w:tc>
      </w:tr>
      <w:tr>
        <w:trPr>
          <w:trHeight w:val="392" w:hRule="exact"/>
        </w:trPr>
        <w:tc>
          <w:tcPr>
            <w:tcW w:w="3152" w:type="dxa"/>
            <w:shd w:val="clear" w:color="auto" w:fill="E6EDD4"/>
          </w:tcPr>
          <w:p>
            <w:pPr>
              <w:pStyle w:val="TableParagraph"/>
              <w:spacing w:line="267" w:lineRule="exact"/>
              <w:ind w:left="95"/>
              <w:rPr>
                <w:sz w:val="22"/>
              </w:rPr>
            </w:pPr>
            <w:r>
              <w:rPr>
                <w:sz w:val="22"/>
              </w:rPr>
              <w:t>Acreedores</w:t>
            </w:r>
          </w:p>
        </w:tc>
        <w:tc>
          <w:tcPr>
            <w:tcW w:w="1892" w:type="dxa"/>
            <w:shd w:val="clear" w:color="auto" w:fill="E6EDD4"/>
          </w:tcPr>
          <w:p>
            <w:pPr>
              <w:pStyle w:val="TableParagraph"/>
              <w:spacing w:line="267" w:lineRule="exact"/>
              <w:ind w:right="100"/>
              <w:jc w:val="right"/>
              <w:rPr>
                <w:sz w:val="22"/>
              </w:rPr>
            </w:pPr>
            <w:r>
              <w:rPr>
                <w:sz w:val="22"/>
              </w:rPr>
              <w:t>200.00</w:t>
            </w:r>
          </w:p>
        </w:tc>
        <w:tc>
          <w:tcPr>
            <w:tcW w:w="1865" w:type="dxa"/>
            <w:shd w:val="clear" w:color="auto" w:fill="E6EDD4"/>
          </w:tcPr>
          <w:p>
            <w:pPr>
              <w:pStyle w:val="TableParagraph"/>
              <w:tabs>
                <w:tab w:pos="359" w:val="left" w:leader="none"/>
              </w:tabs>
              <w:spacing w:line="267" w:lineRule="exact"/>
              <w:ind w:right="98"/>
              <w:jc w:val="right"/>
              <w:rPr>
                <w:sz w:val="22"/>
              </w:rPr>
            </w:pPr>
            <w:r>
              <w:rPr>
                <w:sz w:val="22"/>
              </w:rPr>
              <w:t>$</w:t>
              <w:tab/>
            </w:r>
            <w:r>
              <w:rPr>
                <w:spacing w:val="-1"/>
                <w:sz w:val="22"/>
              </w:rPr>
              <w:t>300.00</w:t>
            </w:r>
          </w:p>
        </w:tc>
      </w:tr>
      <w:tr>
        <w:trPr>
          <w:trHeight w:val="394" w:hRule="exact"/>
        </w:trPr>
        <w:tc>
          <w:tcPr>
            <w:tcW w:w="3152" w:type="dxa"/>
          </w:tcPr>
          <w:p>
            <w:pPr>
              <w:pStyle w:val="TableParagraph"/>
              <w:spacing w:line="265" w:lineRule="exact"/>
              <w:ind w:left="95"/>
              <w:rPr>
                <w:b/>
                <w:sz w:val="22"/>
              </w:rPr>
            </w:pPr>
            <w:r>
              <w:rPr>
                <w:b/>
                <w:sz w:val="22"/>
              </w:rPr>
              <w:t>No circulante</w:t>
            </w:r>
          </w:p>
        </w:tc>
        <w:tc>
          <w:tcPr>
            <w:tcW w:w="1892" w:type="dxa"/>
          </w:tcPr>
          <w:p>
            <w:pPr/>
          </w:p>
        </w:tc>
        <w:tc>
          <w:tcPr>
            <w:tcW w:w="1865" w:type="dxa"/>
          </w:tcPr>
          <w:p>
            <w:pPr/>
          </w:p>
        </w:tc>
      </w:tr>
      <w:tr>
        <w:trPr>
          <w:trHeight w:val="394" w:hRule="exact"/>
        </w:trPr>
        <w:tc>
          <w:tcPr>
            <w:tcW w:w="3152" w:type="dxa"/>
            <w:shd w:val="clear" w:color="auto" w:fill="E6EDD4"/>
          </w:tcPr>
          <w:p>
            <w:pPr>
              <w:pStyle w:val="TableParagraph"/>
              <w:spacing w:line="265" w:lineRule="exact"/>
              <w:ind w:left="95"/>
              <w:rPr>
                <w:sz w:val="22"/>
              </w:rPr>
            </w:pPr>
            <w:r>
              <w:rPr>
                <w:sz w:val="22"/>
              </w:rPr>
              <w:t>Hipotecas</w:t>
            </w:r>
          </w:p>
        </w:tc>
        <w:tc>
          <w:tcPr>
            <w:tcW w:w="1892" w:type="dxa"/>
            <w:shd w:val="clear" w:color="auto" w:fill="E6EDD4"/>
          </w:tcPr>
          <w:p>
            <w:pPr/>
          </w:p>
        </w:tc>
        <w:tc>
          <w:tcPr>
            <w:tcW w:w="1865" w:type="dxa"/>
            <w:shd w:val="clear" w:color="auto" w:fill="E6EDD4"/>
          </w:tcPr>
          <w:p>
            <w:pPr>
              <w:pStyle w:val="TableParagraph"/>
              <w:spacing w:line="265" w:lineRule="exact"/>
              <w:ind w:right="98"/>
              <w:jc w:val="right"/>
              <w:rPr>
                <w:sz w:val="22"/>
              </w:rPr>
            </w:pPr>
            <w:r>
              <w:rPr>
                <w:sz w:val="22"/>
              </w:rPr>
              <w:t>100.00</w:t>
            </w:r>
          </w:p>
        </w:tc>
      </w:tr>
      <w:tr>
        <w:trPr>
          <w:trHeight w:val="393" w:hRule="exact"/>
        </w:trPr>
        <w:tc>
          <w:tcPr>
            <w:tcW w:w="3152" w:type="dxa"/>
          </w:tcPr>
          <w:p>
            <w:pPr>
              <w:pStyle w:val="TableParagraph"/>
              <w:spacing w:line="266" w:lineRule="exact"/>
              <w:ind w:left="95"/>
              <w:rPr>
                <w:sz w:val="22"/>
              </w:rPr>
            </w:pPr>
            <w:r>
              <w:rPr>
                <w:sz w:val="22"/>
              </w:rPr>
              <w:t>Suma el pasivo</w:t>
            </w:r>
          </w:p>
        </w:tc>
        <w:tc>
          <w:tcPr>
            <w:tcW w:w="1892" w:type="dxa"/>
          </w:tcPr>
          <w:p>
            <w:pPr/>
          </w:p>
        </w:tc>
        <w:tc>
          <w:tcPr>
            <w:tcW w:w="1865" w:type="dxa"/>
          </w:tcPr>
          <w:p>
            <w:pPr>
              <w:pStyle w:val="TableParagraph"/>
              <w:tabs>
                <w:tab w:pos="359" w:val="left" w:leader="none"/>
              </w:tabs>
              <w:spacing w:line="266" w:lineRule="exact"/>
              <w:ind w:right="98"/>
              <w:jc w:val="right"/>
              <w:rPr>
                <w:sz w:val="22"/>
              </w:rPr>
            </w:pPr>
            <w:r>
              <w:rPr>
                <w:sz w:val="22"/>
              </w:rPr>
              <w:t>$</w:t>
              <w:tab/>
            </w:r>
            <w:r>
              <w:rPr>
                <w:spacing w:val="-1"/>
                <w:sz w:val="22"/>
              </w:rPr>
              <w:t>400.00</w:t>
            </w:r>
          </w:p>
        </w:tc>
      </w:tr>
      <w:tr>
        <w:trPr>
          <w:trHeight w:val="392" w:hRule="exact"/>
        </w:trPr>
        <w:tc>
          <w:tcPr>
            <w:tcW w:w="3152" w:type="dxa"/>
            <w:shd w:val="clear" w:color="auto" w:fill="E6EDD4"/>
          </w:tcPr>
          <w:p>
            <w:pPr>
              <w:pStyle w:val="TableParagraph"/>
              <w:spacing w:line="267" w:lineRule="exact"/>
              <w:ind w:left="95"/>
              <w:rPr>
                <w:b/>
                <w:sz w:val="22"/>
              </w:rPr>
            </w:pPr>
            <w:r>
              <w:rPr>
                <w:b/>
                <w:sz w:val="22"/>
              </w:rPr>
              <w:t>Capital contable</w:t>
            </w:r>
          </w:p>
        </w:tc>
        <w:tc>
          <w:tcPr>
            <w:tcW w:w="1892" w:type="dxa"/>
            <w:shd w:val="clear" w:color="auto" w:fill="E6EDD4"/>
          </w:tcPr>
          <w:p>
            <w:pPr/>
          </w:p>
        </w:tc>
        <w:tc>
          <w:tcPr>
            <w:tcW w:w="1865" w:type="dxa"/>
            <w:shd w:val="clear" w:color="auto" w:fill="E6EDD4"/>
          </w:tcPr>
          <w:p>
            <w:pPr/>
          </w:p>
        </w:tc>
      </w:tr>
      <w:tr>
        <w:trPr>
          <w:trHeight w:val="394" w:hRule="exact"/>
        </w:trPr>
        <w:tc>
          <w:tcPr>
            <w:tcW w:w="3152" w:type="dxa"/>
          </w:tcPr>
          <w:p>
            <w:pPr>
              <w:pStyle w:val="TableParagraph"/>
              <w:spacing w:line="265" w:lineRule="exact"/>
              <w:ind w:left="95"/>
              <w:rPr>
                <w:sz w:val="22"/>
              </w:rPr>
            </w:pPr>
            <w:r>
              <w:rPr>
                <w:sz w:val="22"/>
              </w:rPr>
              <w:t>Capital social</w:t>
            </w:r>
          </w:p>
        </w:tc>
        <w:tc>
          <w:tcPr>
            <w:tcW w:w="1892" w:type="dxa"/>
          </w:tcPr>
          <w:p>
            <w:pPr/>
          </w:p>
        </w:tc>
        <w:tc>
          <w:tcPr>
            <w:tcW w:w="1865" w:type="dxa"/>
          </w:tcPr>
          <w:p>
            <w:pPr>
              <w:pStyle w:val="TableParagraph"/>
              <w:spacing w:line="265" w:lineRule="exact"/>
              <w:ind w:right="96"/>
              <w:jc w:val="right"/>
              <w:rPr>
                <w:sz w:val="22"/>
              </w:rPr>
            </w:pPr>
            <w:r>
              <w:rPr>
                <w:sz w:val="22"/>
              </w:rPr>
              <w:t>1,000.00</w:t>
            </w:r>
          </w:p>
        </w:tc>
      </w:tr>
      <w:tr>
        <w:trPr>
          <w:trHeight w:val="394" w:hRule="exact"/>
        </w:trPr>
        <w:tc>
          <w:tcPr>
            <w:tcW w:w="3152" w:type="dxa"/>
            <w:shd w:val="clear" w:color="auto" w:fill="E6EDD4"/>
          </w:tcPr>
          <w:p>
            <w:pPr>
              <w:pStyle w:val="TableParagraph"/>
              <w:spacing w:line="265" w:lineRule="exact"/>
              <w:ind w:left="95"/>
              <w:rPr>
                <w:b/>
                <w:sz w:val="22"/>
              </w:rPr>
            </w:pPr>
            <w:r>
              <w:rPr>
                <w:b/>
                <w:sz w:val="22"/>
              </w:rPr>
              <w:t>Suma el capital</w:t>
            </w:r>
          </w:p>
        </w:tc>
        <w:tc>
          <w:tcPr>
            <w:tcW w:w="1892" w:type="dxa"/>
            <w:shd w:val="clear" w:color="auto" w:fill="E6EDD4"/>
          </w:tcPr>
          <w:p>
            <w:pPr/>
          </w:p>
        </w:tc>
        <w:tc>
          <w:tcPr>
            <w:tcW w:w="1865" w:type="dxa"/>
            <w:shd w:val="clear" w:color="auto" w:fill="E6EDD4"/>
          </w:tcPr>
          <w:p>
            <w:pPr>
              <w:pStyle w:val="TableParagraph"/>
              <w:spacing w:line="265" w:lineRule="exact"/>
              <w:ind w:right="96"/>
              <w:jc w:val="right"/>
              <w:rPr>
                <w:sz w:val="22"/>
              </w:rPr>
            </w:pPr>
            <w:r>
              <w:rPr>
                <w:sz w:val="22"/>
              </w:rPr>
              <w:t>$ 1,400.00</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9"/>
        </w:rPr>
      </w:pPr>
    </w:p>
    <w:p>
      <w:pPr>
        <w:pStyle w:val="Heading2"/>
      </w:pPr>
      <w:r>
        <w:rPr/>
        <w:t>Estado de Resultados</w:t>
      </w:r>
    </w:p>
    <w:p>
      <w:pPr>
        <w:pStyle w:val="BodyText"/>
        <w:spacing w:before="1"/>
        <w:rPr>
          <w:b/>
          <w:sz w:val="21"/>
        </w:rPr>
      </w:pPr>
    </w:p>
    <w:p>
      <w:pPr>
        <w:pStyle w:val="BodyText"/>
        <w:spacing w:line="360" w:lineRule="auto"/>
        <w:ind w:left="102" w:right="114"/>
        <w:jc w:val="both"/>
      </w:pPr>
      <w:r>
        <w:rPr/>
        <w:t>El Estado de Resultados también conocido como Estado de Pérdidas y Ganancias para entidades lucrativas o, en su caso; Estado de Actividades para entidades con propósitos no lucrativos es el documento que muestra, ordenada y sistemáticamente, los ingresos y egresos de la entidad durante un lapso determinado. Al final de tal documento aparece la utilidad o pérdida alcanzada en el periodo citado.</w:t>
      </w:r>
    </w:p>
    <w:p>
      <w:pPr>
        <w:pStyle w:val="BodyText"/>
        <w:spacing w:before="204"/>
        <w:ind w:left="102"/>
        <w:jc w:val="both"/>
      </w:pPr>
      <w:r>
        <w:rPr/>
        <w:t>Elementos que lo integran:</w:t>
      </w:r>
    </w:p>
    <w:p>
      <w:pPr>
        <w:pStyle w:val="BodyText"/>
        <w:spacing w:before="3"/>
        <w:rPr>
          <w:sz w:val="29"/>
        </w:rPr>
      </w:pPr>
    </w:p>
    <w:p>
      <w:pPr>
        <w:spacing w:before="0"/>
        <w:ind w:left="102" w:right="0" w:firstLine="0"/>
        <w:jc w:val="both"/>
        <w:rPr>
          <w:i/>
          <w:sz w:val="24"/>
        </w:rPr>
      </w:pPr>
      <w:r>
        <w:rPr>
          <w:i/>
          <w:sz w:val="24"/>
        </w:rPr>
        <w:t>Ingresos</w:t>
      </w:r>
    </w:p>
    <w:p>
      <w:pPr>
        <w:pStyle w:val="BodyText"/>
        <w:spacing w:before="4"/>
        <w:rPr>
          <w:i/>
          <w:sz w:val="29"/>
        </w:rPr>
      </w:pPr>
    </w:p>
    <w:p>
      <w:pPr>
        <w:pStyle w:val="BodyText"/>
        <w:spacing w:line="360" w:lineRule="auto" w:before="1"/>
        <w:ind w:left="102" w:right="118"/>
        <w:jc w:val="both"/>
      </w:pPr>
      <w:r>
        <w:rPr/>
        <w:t>Su definición es: representan cualquier operación practicada por la entidad que incrementa el capital contable. En otras palabras, son las actividades necesarias para alcanzar el objetivo de la entidad, que generan productos y dan como resultado utilidades.</w:t>
      </w:r>
    </w:p>
    <w:p>
      <w:pPr>
        <w:spacing w:after="0" w:line="360" w:lineRule="auto"/>
        <w:jc w:val="both"/>
        <w:sectPr>
          <w:footerReference w:type="default" r:id="rId46"/>
          <w:pgSz w:w="12240" w:h="15840"/>
          <w:pgMar w:footer="779" w:header="0" w:top="1420" w:bottom="960" w:left="1600" w:right="1580"/>
        </w:sectPr>
      </w:pPr>
    </w:p>
    <w:p>
      <w:pPr>
        <w:spacing w:before="54"/>
        <w:ind w:left="222" w:right="0" w:firstLine="0"/>
        <w:jc w:val="both"/>
        <w:rPr>
          <w:i/>
          <w:sz w:val="24"/>
        </w:rPr>
      </w:pPr>
      <w:r>
        <w:rPr>
          <w:i/>
          <w:sz w:val="24"/>
        </w:rPr>
        <w:t>Costos y gastos</w:t>
      </w:r>
    </w:p>
    <w:p>
      <w:pPr>
        <w:pStyle w:val="BodyText"/>
        <w:spacing w:line="360" w:lineRule="auto" w:before="139"/>
        <w:ind w:left="222" w:right="501"/>
        <w:jc w:val="both"/>
      </w:pPr>
      <w:r>
        <w:rPr/>
        <w:t>Los costos y gastos representan el decremento de los activos o el incremento de los pasivos de una entidad, durante un periodo contable, con la intención de generar ingresos y con un impacto desfavorable en la utilidad o pérdida neta y, consecuentemente, en su capital ganado o en su patrimonio contable respectivamente.</w:t>
      </w:r>
    </w:p>
    <w:p>
      <w:pPr>
        <w:pStyle w:val="BodyText"/>
      </w:pPr>
    </w:p>
    <w:p>
      <w:pPr>
        <w:spacing w:before="139"/>
        <w:ind w:left="222" w:right="0" w:firstLine="0"/>
        <w:jc w:val="both"/>
        <w:rPr>
          <w:i/>
          <w:sz w:val="24"/>
        </w:rPr>
      </w:pPr>
      <w:r>
        <w:rPr>
          <w:i/>
          <w:sz w:val="24"/>
        </w:rPr>
        <w:t>Utilidad o pérdida neta</w:t>
      </w:r>
    </w:p>
    <w:p>
      <w:pPr>
        <w:pStyle w:val="BodyText"/>
        <w:spacing w:line="360" w:lineRule="auto" w:before="141"/>
        <w:ind w:left="222" w:right="495"/>
        <w:jc w:val="both"/>
      </w:pPr>
      <w:r>
        <w:rPr/>
        <w:t>La utilidad neta es el valor residual de los ingresos de una entidad lucrativa después de haber disminuido sus costos y gastos relativos, presentados en el estado de resultados, siempre que estos últimos sean menores a dichos ingresos durante un periodo contable. En caso contrario, es decir, cuando los gastos sean superiores a los ingresos, la resultante es una pérdida neta.</w:t>
      </w:r>
    </w:p>
    <w:p>
      <w:pPr>
        <w:pStyle w:val="BodyText"/>
      </w:pPr>
    </w:p>
    <w:p>
      <w:pPr>
        <w:pStyle w:val="BodyText"/>
        <w:spacing w:before="142"/>
        <w:ind w:left="222"/>
        <w:jc w:val="both"/>
      </w:pPr>
      <w:r>
        <w:rPr/>
        <w:t>Hay dos formas de presentación de este Estado:</w:t>
      </w:r>
    </w:p>
    <w:p>
      <w:pPr>
        <w:pStyle w:val="BodyText"/>
        <w:spacing w:before="10"/>
        <w:rPr>
          <w:sz w:val="20"/>
        </w:rPr>
      </w:pPr>
    </w:p>
    <w:p>
      <w:pPr>
        <w:pStyle w:val="ListParagraph"/>
        <w:numPr>
          <w:ilvl w:val="0"/>
          <w:numId w:val="32"/>
        </w:numPr>
        <w:tabs>
          <w:tab w:pos="941" w:val="left" w:leader="none"/>
          <w:tab w:pos="942" w:val="left" w:leader="none"/>
        </w:tabs>
        <w:spacing w:line="240" w:lineRule="auto" w:before="0" w:after="0"/>
        <w:ind w:left="942" w:right="0" w:hanging="360"/>
        <w:jc w:val="left"/>
        <w:rPr>
          <w:sz w:val="24"/>
        </w:rPr>
      </w:pPr>
      <w:r>
        <w:rPr>
          <w:sz w:val="24"/>
        </w:rPr>
        <w:t>Presentación</w:t>
      </w:r>
      <w:r>
        <w:rPr>
          <w:spacing w:val="-9"/>
          <w:sz w:val="24"/>
        </w:rPr>
        <w:t> </w:t>
      </w:r>
      <w:r>
        <w:rPr>
          <w:sz w:val="24"/>
        </w:rPr>
        <w:t>analítica</w:t>
      </w:r>
    </w:p>
    <w:p>
      <w:pPr>
        <w:pStyle w:val="BodyText"/>
        <w:spacing w:line="360" w:lineRule="auto" w:before="135"/>
        <w:ind w:left="222" w:right="505"/>
        <w:jc w:val="both"/>
      </w:pPr>
      <w:r>
        <w:rPr/>
        <w:t>En esta presentación, para obtener la utilidad o pérdida, son considerados a detalle todos los elementos u operaciones que intervinieron en un periodo determinado.</w:t>
      </w:r>
    </w:p>
    <w:p>
      <w:pPr>
        <w:pStyle w:val="BodyText"/>
        <w:spacing w:before="10"/>
        <w:rPr>
          <w:sz w:val="17"/>
        </w:rPr>
      </w:pPr>
    </w:p>
    <w:tbl>
      <w:tblPr>
        <w:tblW w:w="0" w:type="auto"/>
        <w:jc w:val="left"/>
        <w:tblInd w:w="104" w:type="dxa"/>
        <w:tblBorders>
          <w:top w:val="single" w:sz="8" w:space="0" w:color="9BBA58"/>
          <w:left w:val="single" w:sz="8" w:space="0" w:color="9BBA58"/>
          <w:bottom w:val="single" w:sz="8" w:space="0" w:color="9BBA58"/>
          <w:right w:val="single" w:sz="8" w:space="0" w:color="9BBA58"/>
          <w:insideH w:val="single" w:sz="8" w:space="0" w:color="9BBA58"/>
          <w:insideV w:val="single" w:sz="8" w:space="0" w:color="9BBA58"/>
        </w:tblBorders>
        <w:tblLayout w:type="fixed"/>
        <w:tblCellMar>
          <w:top w:w="0" w:type="dxa"/>
          <w:left w:w="0" w:type="dxa"/>
          <w:bottom w:w="0" w:type="dxa"/>
          <w:right w:w="0" w:type="dxa"/>
        </w:tblCellMar>
        <w:tblLook w:val="01E0"/>
      </w:tblPr>
      <w:tblGrid>
        <w:gridCol w:w="4232"/>
        <w:gridCol w:w="1522"/>
        <w:gridCol w:w="1522"/>
        <w:gridCol w:w="2048"/>
      </w:tblGrid>
      <w:tr>
        <w:trPr>
          <w:trHeight w:val="570" w:hRule="exact"/>
        </w:trPr>
        <w:tc>
          <w:tcPr>
            <w:tcW w:w="9323" w:type="dxa"/>
            <w:gridSpan w:val="4"/>
            <w:tcBorders>
              <w:bottom w:val="single" w:sz="17" w:space="0" w:color="9BBA58"/>
            </w:tcBorders>
          </w:tcPr>
          <w:p>
            <w:pPr>
              <w:pStyle w:val="TableParagraph"/>
              <w:spacing w:line="237" w:lineRule="auto" w:before="1"/>
              <w:ind w:left="4409" w:right="292" w:hanging="4103"/>
              <w:rPr>
                <w:b/>
                <w:sz w:val="22"/>
              </w:rPr>
            </w:pPr>
            <w:r>
              <w:rPr>
                <w:b/>
                <w:sz w:val="22"/>
              </w:rPr>
              <w:t>Estado de resultados por el periodo comprendido de XX de mes de XXXX al XX del mes XXXX de XXXX</w:t>
            </w:r>
          </w:p>
        </w:tc>
      </w:tr>
      <w:tr>
        <w:trPr>
          <w:trHeight w:val="332" w:hRule="exact"/>
        </w:trPr>
        <w:tc>
          <w:tcPr>
            <w:tcW w:w="4232" w:type="dxa"/>
            <w:tcBorders>
              <w:top w:val="single" w:sz="17" w:space="0" w:color="9BBA58"/>
            </w:tcBorders>
            <w:shd w:val="clear" w:color="auto" w:fill="E6EDD4"/>
          </w:tcPr>
          <w:p>
            <w:pPr>
              <w:pStyle w:val="TableParagraph"/>
              <w:spacing w:line="267" w:lineRule="exact"/>
              <w:ind w:left="98"/>
              <w:rPr>
                <w:b/>
                <w:sz w:val="22"/>
              </w:rPr>
            </w:pPr>
            <w:r>
              <w:rPr>
                <w:b/>
                <w:sz w:val="22"/>
              </w:rPr>
              <w:t>Ventas</w:t>
            </w:r>
          </w:p>
        </w:tc>
        <w:tc>
          <w:tcPr>
            <w:tcW w:w="1522" w:type="dxa"/>
            <w:tcBorders>
              <w:top w:val="single" w:sz="17" w:space="0" w:color="9BBA58"/>
            </w:tcBorders>
            <w:shd w:val="clear" w:color="auto" w:fill="E6EDD4"/>
          </w:tcPr>
          <w:p>
            <w:pPr/>
          </w:p>
        </w:tc>
        <w:tc>
          <w:tcPr>
            <w:tcW w:w="1522" w:type="dxa"/>
            <w:tcBorders>
              <w:top w:val="single" w:sz="17" w:space="0" w:color="9BBA58"/>
            </w:tcBorders>
            <w:shd w:val="clear" w:color="auto" w:fill="E6EDD4"/>
          </w:tcPr>
          <w:p>
            <w:pPr/>
          </w:p>
        </w:tc>
        <w:tc>
          <w:tcPr>
            <w:tcW w:w="2048" w:type="dxa"/>
            <w:tcBorders>
              <w:top w:val="single" w:sz="17" w:space="0" w:color="9BBA58"/>
            </w:tcBorders>
            <w:shd w:val="clear" w:color="auto" w:fill="E6EDD4"/>
          </w:tcPr>
          <w:p>
            <w:pPr>
              <w:pStyle w:val="TableParagraph"/>
              <w:tabs>
                <w:tab w:pos="359" w:val="left" w:leader="none"/>
              </w:tabs>
              <w:spacing w:line="267" w:lineRule="exact"/>
              <w:ind w:right="348"/>
              <w:jc w:val="right"/>
              <w:rPr>
                <w:sz w:val="22"/>
              </w:rPr>
            </w:pPr>
            <w:r>
              <w:rPr>
                <w:sz w:val="22"/>
              </w:rPr>
              <w:t>$</w:t>
              <w:tab/>
            </w:r>
            <w:r>
              <w:rPr>
                <w:spacing w:val="-1"/>
                <w:sz w:val="22"/>
              </w:rPr>
              <w:t>2,000,000.00</w:t>
            </w:r>
          </w:p>
        </w:tc>
      </w:tr>
      <w:tr>
        <w:trPr>
          <w:trHeight w:val="320" w:hRule="exact"/>
        </w:trPr>
        <w:tc>
          <w:tcPr>
            <w:tcW w:w="4232" w:type="dxa"/>
          </w:tcPr>
          <w:p>
            <w:pPr>
              <w:pStyle w:val="TableParagraph"/>
              <w:spacing w:line="265" w:lineRule="exact"/>
              <w:ind w:left="98"/>
              <w:rPr>
                <w:sz w:val="22"/>
              </w:rPr>
            </w:pPr>
            <w:r>
              <w:rPr>
                <w:sz w:val="22"/>
              </w:rPr>
              <w:t>Devoluciones sobre venta</w:t>
            </w:r>
          </w:p>
        </w:tc>
        <w:tc>
          <w:tcPr>
            <w:tcW w:w="1522" w:type="dxa"/>
          </w:tcPr>
          <w:p>
            <w:pPr/>
          </w:p>
        </w:tc>
        <w:tc>
          <w:tcPr>
            <w:tcW w:w="1522" w:type="dxa"/>
          </w:tcPr>
          <w:p>
            <w:pPr/>
          </w:p>
        </w:tc>
        <w:tc>
          <w:tcPr>
            <w:tcW w:w="2048" w:type="dxa"/>
          </w:tcPr>
          <w:p>
            <w:pPr>
              <w:pStyle w:val="TableParagraph"/>
              <w:spacing w:line="265" w:lineRule="exact"/>
              <w:ind w:right="340"/>
              <w:jc w:val="right"/>
              <w:rPr>
                <w:sz w:val="22"/>
              </w:rPr>
            </w:pPr>
            <w:r>
              <w:rPr>
                <w:sz w:val="22"/>
              </w:rPr>
              <w:t>75,000.00</w:t>
            </w:r>
          </w:p>
        </w:tc>
      </w:tr>
      <w:tr>
        <w:trPr>
          <w:trHeight w:val="320" w:hRule="exact"/>
        </w:trPr>
        <w:tc>
          <w:tcPr>
            <w:tcW w:w="4232" w:type="dxa"/>
            <w:shd w:val="clear" w:color="auto" w:fill="E6EDD4"/>
          </w:tcPr>
          <w:p>
            <w:pPr>
              <w:pStyle w:val="TableParagraph"/>
              <w:spacing w:line="267" w:lineRule="exact"/>
              <w:ind w:left="98"/>
              <w:rPr>
                <w:sz w:val="22"/>
              </w:rPr>
            </w:pPr>
            <w:r>
              <w:rPr>
                <w:sz w:val="22"/>
              </w:rPr>
              <w:t>Descuentos y rebajas sobre venta</w:t>
            </w:r>
          </w:p>
        </w:tc>
        <w:tc>
          <w:tcPr>
            <w:tcW w:w="1522" w:type="dxa"/>
            <w:shd w:val="clear" w:color="auto" w:fill="E6EDD4"/>
          </w:tcPr>
          <w:p>
            <w:pPr/>
          </w:p>
        </w:tc>
        <w:tc>
          <w:tcPr>
            <w:tcW w:w="1522" w:type="dxa"/>
            <w:shd w:val="clear" w:color="auto" w:fill="E6EDD4"/>
          </w:tcPr>
          <w:p>
            <w:pPr/>
          </w:p>
        </w:tc>
        <w:tc>
          <w:tcPr>
            <w:tcW w:w="2048" w:type="dxa"/>
            <w:shd w:val="clear" w:color="auto" w:fill="E6EDD4"/>
          </w:tcPr>
          <w:p>
            <w:pPr>
              <w:pStyle w:val="TableParagraph"/>
              <w:spacing w:line="267" w:lineRule="exact"/>
              <w:ind w:right="340"/>
              <w:jc w:val="right"/>
              <w:rPr>
                <w:sz w:val="22"/>
              </w:rPr>
            </w:pPr>
            <w:r>
              <w:rPr>
                <w:sz w:val="22"/>
              </w:rPr>
              <w:t>25,000.00</w:t>
            </w:r>
          </w:p>
        </w:tc>
      </w:tr>
      <w:tr>
        <w:trPr>
          <w:trHeight w:val="319" w:hRule="exact"/>
        </w:trPr>
        <w:tc>
          <w:tcPr>
            <w:tcW w:w="4232" w:type="dxa"/>
          </w:tcPr>
          <w:p>
            <w:pPr>
              <w:pStyle w:val="TableParagraph"/>
              <w:spacing w:line="265" w:lineRule="exact"/>
              <w:ind w:left="98"/>
              <w:rPr>
                <w:sz w:val="22"/>
              </w:rPr>
            </w:pPr>
            <w:r>
              <w:rPr>
                <w:sz w:val="22"/>
              </w:rPr>
              <w:t>Ventas netas</w:t>
            </w:r>
          </w:p>
        </w:tc>
        <w:tc>
          <w:tcPr>
            <w:tcW w:w="1522" w:type="dxa"/>
          </w:tcPr>
          <w:p>
            <w:pPr/>
          </w:p>
        </w:tc>
        <w:tc>
          <w:tcPr>
            <w:tcW w:w="1522" w:type="dxa"/>
          </w:tcPr>
          <w:p>
            <w:pPr/>
          </w:p>
        </w:tc>
        <w:tc>
          <w:tcPr>
            <w:tcW w:w="2048" w:type="dxa"/>
          </w:tcPr>
          <w:p>
            <w:pPr>
              <w:pStyle w:val="TableParagraph"/>
              <w:tabs>
                <w:tab w:pos="410" w:val="left" w:leader="none"/>
              </w:tabs>
              <w:spacing w:line="265" w:lineRule="exact"/>
              <w:ind w:right="297"/>
              <w:jc w:val="right"/>
              <w:rPr>
                <w:sz w:val="22"/>
              </w:rPr>
            </w:pPr>
            <w:r>
              <w:rPr>
                <w:sz w:val="22"/>
              </w:rPr>
              <w:t>$</w:t>
              <w:tab/>
            </w:r>
            <w:r>
              <w:rPr>
                <w:spacing w:val="-1"/>
                <w:sz w:val="22"/>
              </w:rPr>
              <w:t>1,900,000.00</w:t>
            </w:r>
          </w:p>
        </w:tc>
      </w:tr>
      <w:tr>
        <w:trPr>
          <w:trHeight w:val="320" w:hRule="exact"/>
        </w:trPr>
        <w:tc>
          <w:tcPr>
            <w:tcW w:w="4232" w:type="dxa"/>
            <w:shd w:val="clear" w:color="auto" w:fill="E6EDD4"/>
          </w:tcPr>
          <w:p>
            <w:pPr>
              <w:pStyle w:val="TableParagraph"/>
              <w:spacing w:line="265" w:lineRule="exact"/>
              <w:ind w:left="98"/>
              <w:rPr>
                <w:sz w:val="22"/>
              </w:rPr>
            </w:pPr>
            <w:r>
              <w:rPr>
                <w:sz w:val="22"/>
              </w:rPr>
              <w:t>Costo de ventas</w:t>
            </w:r>
          </w:p>
        </w:tc>
        <w:tc>
          <w:tcPr>
            <w:tcW w:w="1522" w:type="dxa"/>
            <w:shd w:val="clear" w:color="auto" w:fill="E6EDD4"/>
          </w:tcPr>
          <w:p>
            <w:pPr/>
          </w:p>
        </w:tc>
        <w:tc>
          <w:tcPr>
            <w:tcW w:w="1522" w:type="dxa"/>
            <w:shd w:val="clear" w:color="auto" w:fill="E6EDD4"/>
          </w:tcPr>
          <w:p>
            <w:pPr/>
          </w:p>
        </w:tc>
        <w:tc>
          <w:tcPr>
            <w:tcW w:w="2048" w:type="dxa"/>
            <w:shd w:val="clear" w:color="auto" w:fill="E6EDD4"/>
          </w:tcPr>
          <w:p>
            <w:pPr>
              <w:pStyle w:val="TableParagraph"/>
              <w:spacing w:line="265" w:lineRule="exact"/>
              <w:ind w:right="278"/>
              <w:jc w:val="right"/>
              <w:rPr>
                <w:sz w:val="22"/>
              </w:rPr>
            </w:pPr>
            <w:r>
              <w:rPr>
                <w:sz w:val="22"/>
              </w:rPr>
              <w:t>860,000.00</w:t>
            </w:r>
          </w:p>
        </w:tc>
      </w:tr>
      <w:tr>
        <w:trPr>
          <w:trHeight w:val="322" w:hRule="exact"/>
        </w:trPr>
        <w:tc>
          <w:tcPr>
            <w:tcW w:w="4232" w:type="dxa"/>
          </w:tcPr>
          <w:p>
            <w:pPr>
              <w:pStyle w:val="TableParagraph"/>
              <w:spacing w:line="268" w:lineRule="exact"/>
              <w:ind w:left="98"/>
              <w:rPr>
                <w:sz w:val="22"/>
              </w:rPr>
            </w:pPr>
            <w:r>
              <w:rPr>
                <w:sz w:val="22"/>
              </w:rPr>
              <w:t>Inventario inicial</w:t>
            </w:r>
          </w:p>
        </w:tc>
        <w:tc>
          <w:tcPr>
            <w:tcW w:w="1522" w:type="dxa"/>
          </w:tcPr>
          <w:p>
            <w:pPr/>
          </w:p>
        </w:tc>
        <w:tc>
          <w:tcPr>
            <w:tcW w:w="1522" w:type="dxa"/>
          </w:tcPr>
          <w:p>
            <w:pPr>
              <w:pStyle w:val="TableParagraph"/>
              <w:spacing w:line="268" w:lineRule="exact"/>
              <w:ind w:right="139"/>
              <w:jc w:val="right"/>
              <w:rPr>
                <w:sz w:val="22"/>
              </w:rPr>
            </w:pPr>
            <w:r>
              <w:rPr>
                <w:sz w:val="22"/>
              </w:rPr>
              <w:t>$ 170,000.00</w:t>
            </w:r>
          </w:p>
        </w:tc>
        <w:tc>
          <w:tcPr>
            <w:tcW w:w="2048" w:type="dxa"/>
          </w:tcPr>
          <w:p>
            <w:pPr/>
          </w:p>
        </w:tc>
      </w:tr>
      <w:tr>
        <w:trPr>
          <w:trHeight w:val="319" w:hRule="exact"/>
        </w:trPr>
        <w:tc>
          <w:tcPr>
            <w:tcW w:w="4232" w:type="dxa"/>
            <w:shd w:val="clear" w:color="auto" w:fill="E6EDD4"/>
          </w:tcPr>
          <w:p>
            <w:pPr>
              <w:pStyle w:val="TableParagraph"/>
              <w:spacing w:line="265" w:lineRule="exact"/>
              <w:ind w:left="98"/>
              <w:rPr>
                <w:sz w:val="22"/>
              </w:rPr>
            </w:pPr>
            <w:r>
              <w:rPr>
                <w:sz w:val="22"/>
              </w:rPr>
              <w:t>Compras netas</w:t>
            </w:r>
          </w:p>
        </w:tc>
        <w:tc>
          <w:tcPr>
            <w:tcW w:w="1522" w:type="dxa"/>
            <w:shd w:val="clear" w:color="auto" w:fill="E6EDD4"/>
          </w:tcPr>
          <w:p>
            <w:pPr/>
          </w:p>
        </w:tc>
        <w:tc>
          <w:tcPr>
            <w:tcW w:w="1522" w:type="dxa"/>
            <w:shd w:val="clear" w:color="auto" w:fill="E6EDD4"/>
          </w:tcPr>
          <w:p>
            <w:pPr/>
          </w:p>
        </w:tc>
        <w:tc>
          <w:tcPr>
            <w:tcW w:w="2048" w:type="dxa"/>
            <w:shd w:val="clear" w:color="auto" w:fill="E6EDD4"/>
          </w:tcPr>
          <w:p>
            <w:pPr/>
          </w:p>
        </w:tc>
      </w:tr>
      <w:tr>
        <w:trPr>
          <w:trHeight w:val="320" w:hRule="exact"/>
        </w:trPr>
        <w:tc>
          <w:tcPr>
            <w:tcW w:w="4232" w:type="dxa"/>
          </w:tcPr>
          <w:p>
            <w:pPr>
              <w:pStyle w:val="TableParagraph"/>
              <w:spacing w:line="265" w:lineRule="exact"/>
              <w:ind w:left="758"/>
              <w:rPr>
                <w:sz w:val="22"/>
              </w:rPr>
            </w:pPr>
            <w:r>
              <w:rPr>
                <w:sz w:val="22"/>
              </w:rPr>
              <w:t>Compras</w:t>
            </w:r>
          </w:p>
        </w:tc>
        <w:tc>
          <w:tcPr>
            <w:tcW w:w="1522" w:type="dxa"/>
          </w:tcPr>
          <w:p>
            <w:pPr/>
          </w:p>
        </w:tc>
        <w:tc>
          <w:tcPr>
            <w:tcW w:w="1522" w:type="dxa"/>
          </w:tcPr>
          <w:p>
            <w:pPr/>
          </w:p>
        </w:tc>
        <w:tc>
          <w:tcPr>
            <w:tcW w:w="2048" w:type="dxa"/>
          </w:tcPr>
          <w:p>
            <w:pPr/>
          </w:p>
        </w:tc>
      </w:tr>
      <w:tr>
        <w:trPr>
          <w:trHeight w:val="320" w:hRule="exact"/>
        </w:trPr>
        <w:tc>
          <w:tcPr>
            <w:tcW w:w="4232" w:type="dxa"/>
            <w:shd w:val="clear" w:color="auto" w:fill="E6EDD4"/>
          </w:tcPr>
          <w:p>
            <w:pPr>
              <w:pStyle w:val="TableParagraph"/>
              <w:spacing w:line="267" w:lineRule="exact"/>
              <w:ind w:left="758"/>
              <w:rPr>
                <w:sz w:val="22"/>
              </w:rPr>
            </w:pPr>
            <w:r>
              <w:rPr>
                <w:sz w:val="22"/>
              </w:rPr>
              <w:t>Gastos sobre compra</w:t>
            </w:r>
          </w:p>
        </w:tc>
        <w:tc>
          <w:tcPr>
            <w:tcW w:w="1522" w:type="dxa"/>
            <w:shd w:val="clear" w:color="auto" w:fill="E6EDD4"/>
          </w:tcPr>
          <w:p>
            <w:pPr/>
          </w:p>
        </w:tc>
        <w:tc>
          <w:tcPr>
            <w:tcW w:w="1522" w:type="dxa"/>
            <w:shd w:val="clear" w:color="auto" w:fill="E6EDD4"/>
          </w:tcPr>
          <w:p>
            <w:pPr/>
          </w:p>
        </w:tc>
        <w:tc>
          <w:tcPr>
            <w:tcW w:w="2048" w:type="dxa"/>
            <w:shd w:val="clear" w:color="auto" w:fill="E6EDD4"/>
          </w:tcPr>
          <w:p>
            <w:pPr/>
          </w:p>
        </w:tc>
      </w:tr>
      <w:tr>
        <w:trPr>
          <w:trHeight w:val="319" w:hRule="exact"/>
        </w:trPr>
        <w:tc>
          <w:tcPr>
            <w:tcW w:w="4232" w:type="dxa"/>
          </w:tcPr>
          <w:p>
            <w:pPr>
              <w:pStyle w:val="TableParagraph"/>
              <w:spacing w:line="265" w:lineRule="exact"/>
              <w:ind w:left="1197"/>
              <w:rPr>
                <w:sz w:val="22"/>
              </w:rPr>
            </w:pPr>
            <w:r>
              <w:rPr>
                <w:sz w:val="22"/>
              </w:rPr>
              <w:t>Compras totales</w:t>
            </w:r>
          </w:p>
        </w:tc>
        <w:tc>
          <w:tcPr>
            <w:tcW w:w="1522" w:type="dxa"/>
          </w:tcPr>
          <w:p>
            <w:pPr>
              <w:pStyle w:val="TableParagraph"/>
              <w:spacing w:line="265" w:lineRule="exact"/>
              <w:ind w:right="139"/>
              <w:jc w:val="right"/>
              <w:rPr>
                <w:sz w:val="22"/>
              </w:rPr>
            </w:pPr>
            <w:r>
              <w:rPr>
                <w:sz w:val="22"/>
              </w:rPr>
              <w:t>$ 900,000.00</w:t>
            </w:r>
          </w:p>
        </w:tc>
        <w:tc>
          <w:tcPr>
            <w:tcW w:w="1522" w:type="dxa"/>
          </w:tcPr>
          <w:p>
            <w:pPr/>
          </w:p>
        </w:tc>
        <w:tc>
          <w:tcPr>
            <w:tcW w:w="2048" w:type="dxa"/>
          </w:tcPr>
          <w:p>
            <w:pPr/>
          </w:p>
        </w:tc>
      </w:tr>
      <w:tr>
        <w:trPr>
          <w:trHeight w:val="319" w:hRule="exact"/>
        </w:trPr>
        <w:tc>
          <w:tcPr>
            <w:tcW w:w="4232" w:type="dxa"/>
            <w:shd w:val="clear" w:color="auto" w:fill="E6EDD4"/>
          </w:tcPr>
          <w:p>
            <w:pPr>
              <w:pStyle w:val="TableParagraph"/>
              <w:spacing w:line="265" w:lineRule="exact"/>
              <w:ind w:left="758"/>
              <w:rPr>
                <w:sz w:val="22"/>
              </w:rPr>
            </w:pPr>
            <w:r>
              <w:rPr>
                <w:sz w:val="22"/>
              </w:rPr>
              <w:t>Devoluciones sobre compra</w:t>
            </w:r>
          </w:p>
        </w:tc>
        <w:tc>
          <w:tcPr>
            <w:tcW w:w="1522" w:type="dxa"/>
            <w:shd w:val="clear" w:color="auto" w:fill="E6EDD4"/>
          </w:tcPr>
          <w:p>
            <w:pPr>
              <w:pStyle w:val="TableParagraph"/>
              <w:spacing w:line="265" w:lineRule="exact"/>
              <w:ind w:right="163"/>
              <w:jc w:val="right"/>
              <w:rPr>
                <w:sz w:val="22"/>
              </w:rPr>
            </w:pPr>
            <w:r>
              <w:rPr>
                <w:sz w:val="22"/>
              </w:rPr>
              <w:t>60,000.00</w:t>
            </w:r>
          </w:p>
        </w:tc>
        <w:tc>
          <w:tcPr>
            <w:tcW w:w="1522" w:type="dxa"/>
            <w:shd w:val="clear" w:color="auto" w:fill="E6EDD4"/>
          </w:tcPr>
          <w:p>
            <w:pPr/>
          </w:p>
        </w:tc>
        <w:tc>
          <w:tcPr>
            <w:tcW w:w="2048" w:type="dxa"/>
            <w:shd w:val="clear" w:color="auto" w:fill="E6EDD4"/>
          </w:tcPr>
          <w:p>
            <w:pPr/>
          </w:p>
        </w:tc>
      </w:tr>
      <w:tr>
        <w:trPr>
          <w:trHeight w:val="322" w:hRule="exact"/>
        </w:trPr>
        <w:tc>
          <w:tcPr>
            <w:tcW w:w="4232" w:type="dxa"/>
          </w:tcPr>
          <w:p>
            <w:pPr>
              <w:pStyle w:val="TableParagraph"/>
              <w:spacing w:line="268" w:lineRule="exact"/>
              <w:ind w:left="758"/>
              <w:rPr>
                <w:sz w:val="22"/>
              </w:rPr>
            </w:pPr>
            <w:r>
              <w:rPr>
                <w:sz w:val="22"/>
              </w:rPr>
              <w:t>Descuentos y rebajas sobre compra</w:t>
            </w:r>
          </w:p>
        </w:tc>
        <w:tc>
          <w:tcPr>
            <w:tcW w:w="1522" w:type="dxa"/>
          </w:tcPr>
          <w:p>
            <w:pPr>
              <w:pStyle w:val="TableParagraph"/>
              <w:spacing w:line="268" w:lineRule="exact"/>
              <w:ind w:right="163"/>
              <w:jc w:val="right"/>
              <w:rPr>
                <w:sz w:val="22"/>
              </w:rPr>
            </w:pPr>
            <w:r>
              <w:rPr>
                <w:sz w:val="22"/>
              </w:rPr>
              <w:t>40,000.00</w:t>
            </w:r>
          </w:p>
        </w:tc>
        <w:tc>
          <w:tcPr>
            <w:tcW w:w="1522" w:type="dxa"/>
          </w:tcPr>
          <w:p>
            <w:pPr>
              <w:pStyle w:val="TableParagraph"/>
              <w:spacing w:line="268" w:lineRule="exact"/>
              <w:ind w:right="150"/>
              <w:jc w:val="right"/>
              <w:rPr>
                <w:sz w:val="22"/>
              </w:rPr>
            </w:pPr>
            <w:r>
              <w:rPr>
                <w:sz w:val="22"/>
              </w:rPr>
              <w:t>800,000.00</w:t>
            </w:r>
          </w:p>
        </w:tc>
        <w:tc>
          <w:tcPr>
            <w:tcW w:w="2048" w:type="dxa"/>
          </w:tcPr>
          <w:p>
            <w:pPr/>
          </w:p>
        </w:tc>
      </w:tr>
      <w:tr>
        <w:trPr>
          <w:trHeight w:val="319" w:hRule="exact"/>
        </w:trPr>
        <w:tc>
          <w:tcPr>
            <w:tcW w:w="4232" w:type="dxa"/>
            <w:shd w:val="clear" w:color="auto" w:fill="E6EDD4"/>
          </w:tcPr>
          <w:p>
            <w:pPr>
              <w:pStyle w:val="TableParagraph"/>
              <w:spacing w:line="265" w:lineRule="exact"/>
              <w:ind w:left="98"/>
              <w:rPr>
                <w:sz w:val="22"/>
              </w:rPr>
            </w:pPr>
            <w:r>
              <w:rPr>
                <w:sz w:val="22"/>
              </w:rPr>
              <w:t>Inventario final</w:t>
            </w:r>
          </w:p>
        </w:tc>
        <w:tc>
          <w:tcPr>
            <w:tcW w:w="1522" w:type="dxa"/>
            <w:shd w:val="clear" w:color="auto" w:fill="E6EDD4"/>
          </w:tcPr>
          <w:p>
            <w:pPr/>
          </w:p>
        </w:tc>
        <w:tc>
          <w:tcPr>
            <w:tcW w:w="1522" w:type="dxa"/>
            <w:shd w:val="clear" w:color="auto" w:fill="E6EDD4"/>
          </w:tcPr>
          <w:p>
            <w:pPr>
              <w:pStyle w:val="TableParagraph"/>
              <w:spacing w:line="265" w:lineRule="exact"/>
              <w:ind w:right="139"/>
              <w:jc w:val="right"/>
              <w:rPr>
                <w:sz w:val="22"/>
              </w:rPr>
            </w:pPr>
            <w:r>
              <w:rPr>
                <w:sz w:val="22"/>
              </w:rPr>
              <w:t>$ 110,000.00</w:t>
            </w:r>
          </w:p>
        </w:tc>
        <w:tc>
          <w:tcPr>
            <w:tcW w:w="2048" w:type="dxa"/>
            <w:shd w:val="clear" w:color="auto" w:fill="E6EDD4"/>
          </w:tcPr>
          <w:p>
            <w:pPr/>
          </w:p>
        </w:tc>
      </w:tr>
    </w:tbl>
    <w:p>
      <w:pPr>
        <w:spacing w:after="0"/>
        <w:sectPr>
          <w:footerReference w:type="default" r:id="rId47"/>
          <w:pgSz w:w="12240" w:h="15840"/>
          <w:pgMar w:footer="779" w:header="0" w:top="1360" w:bottom="960" w:left="1480" w:right="1200"/>
          <w:pgNumType w:start="51"/>
        </w:sectPr>
      </w:pPr>
    </w:p>
    <w:tbl>
      <w:tblPr>
        <w:tblW w:w="0" w:type="auto"/>
        <w:jc w:val="left"/>
        <w:tblInd w:w="104" w:type="dxa"/>
        <w:tblBorders>
          <w:top w:val="single" w:sz="8" w:space="0" w:color="9BBA58"/>
          <w:left w:val="single" w:sz="8" w:space="0" w:color="9BBA58"/>
          <w:bottom w:val="single" w:sz="8" w:space="0" w:color="9BBA58"/>
          <w:right w:val="single" w:sz="8" w:space="0" w:color="9BBA58"/>
          <w:insideH w:val="single" w:sz="8" w:space="0" w:color="9BBA58"/>
          <w:insideV w:val="single" w:sz="8" w:space="0" w:color="9BBA58"/>
        </w:tblBorders>
        <w:tblLayout w:type="fixed"/>
        <w:tblCellMar>
          <w:top w:w="0" w:type="dxa"/>
          <w:left w:w="0" w:type="dxa"/>
          <w:bottom w:w="0" w:type="dxa"/>
          <w:right w:w="0" w:type="dxa"/>
        </w:tblCellMar>
        <w:tblLook w:val="01E0"/>
      </w:tblPr>
      <w:tblGrid>
        <w:gridCol w:w="4232"/>
        <w:gridCol w:w="1522"/>
        <w:gridCol w:w="1522"/>
        <w:gridCol w:w="2048"/>
      </w:tblGrid>
      <w:tr>
        <w:trPr>
          <w:trHeight w:val="320" w:hRule="exact"/>
        </w:trPr>
        <w:tc>
          <w:tcPr>
            <w:tcW w:w="4232" w:type="dxa"/>
          </w:tcPr>
          <w:p>
            <w:pPr>
              <w:pStyle w:val="TableParagraph"/>
              <w:spacing w:line="265" w:lineRule="exact"/>
              <w:ind w:left="98"/>
              <w:rPr>
                <w:sz w:val="22"/>
              </w:rPr>
            </w:pPr>
            <w:r>
              <w:rPr>
                <w:sz w:val="22"/>
              </w:rPr>
              <w:t>Utilidad bruta</w:t>
            </w:r>
          </w:p>
        </w:tc>
        <w:tc>
          <w:tcPr>
            <w:tcW w:w="1522" w:type="dxa"/>
          </w:tcPr>
          <w:p>
            <w:pPr/>
          </w:p>
        </w:tc>
        <w:tc>
          <w:tcPr>
            <w:tcW w:w="1522" w:type="dxa"/>
          </w:tcPr>
          <w:p>
            <w:pPr/>
          </w:p>
        </w:tc>
        <w:tc>
          <w:tcPr>
            <w:tcW w:w="2048" w:type="dxa"/>
          </w:tcPr>
          <w:p>
            <w:pPr>
              <w:pStyle w:val="TableParagraph"/>
              <w:tabs>
                <w:tab w:pos="508" w:val="left" w:leader="none"/>
              </w:tabs>
              <w:spacing w:line="265" w:lineRule="exact"/>
              <w:ind w:right="199"/>
              <w:jc w:val="right"/>
              <w:rPr>
                <w:sz w:val="22"/>
              </w:rPr>
            </w:pPr>
            <w:r>
              <w:rPr>
                <w:sz w:val="22"/>
              </w:rPr>
              <w:t>$</w:t>
              <w:tab/>
            </w:r>
            <w:r>
              <w:rPr>
                <w:spacing w:val="-1"/>
                <w:sz w:val="22"/>
              </w:rPr>
              <w:t>1,040,000.00</w:t>
            </w:r>
          </w:p>
        </w:tc>
      </w:tr>
      <w:tr>
        <w:trPr>
          <w:trHeight w:val="319" w:hRule="exact"/>
        </w:trPr>
        <w:tc>
          <w:tcPr>
            <w:tcW w:w="4232" w:type="dxa"/>
            <w:shd w:val="clear" w:color="auto" w:fill="E6EDD4"/>
          </w:tcPr>
          <w:p>
            <w:pPr>
              <w:pStyle w:val="TableParagraph"/>
              <w:spacing w:line="265" w:lineRule="exact"/>
              <w:ind w:left="98"/>
              <w:rPr>
                <w:sz w:val="22"/>
              </w:rPr>
            </w:pPr>
            <w:r>
              <w:rPr>
                <w:sz w:val="22"/>
              </w:rPr>
              <w:t>Gastos de operación</w:t>
            </w:r>
          </w:p>
        </w:tc>
        <w:tc>
          <w:tcPr>
            <w:tcW w:w="1522" w:type="dxa"/>
            <w:shd w:val="clear" w:color="auto" w:fill="E6EDD4"/>
          </w:tcPr>
          <w:p>
            <w:pPr/>
          </w:p>
        </w:tc>
        <w:tc>
          <w:tcPr>
            <w:tcW w:w="1522" w:type="dxa"/>
            <w:shd w:val="clear" w:color="auto" w:fill="E6EDD4"/>
          </w:tcPr>
          <w:p>
            <w:pPr/>
          </w:p>
        </w:tc>
        <w:tc>
          <w:tcPr>
            <w:tcW w:w="2048" w:type="dxa"/>
            <w:shd w:val="clear" w:color="auto" w:fill="E6EDD4"/>
          </w:tcPr>
          <w:p>
            <w:pPr/>
          </w:p>
        </w:tc>
      </w:tr>
      <w:tr>
        <w:trPr>
          <w:trHeight w:val="322" w:hRule="exact"/>
        </w:trPr>
        <w:tc>
          <w:tcPr>
            <w:tcW w:w="4232" w:type="dxa"/>
          </w:tcPr>
          <w:p>
            <w:pPr>
              <w:pStyle w:val="TableParagraph"/>
              <w:spacing w:line="268" w:lineRule="exact"/>
              <w:ind w:left="758"/>
              <w:rPr>
                <w:sz w:val="22"/>
              </w:rPr>
            </w:pPr>
            <w:r>
              <w:rPr>
                <w:sz w:val="22"/>
              </w:rPr>
              <w:t>Gastos de administración</w:t>
            </w:r>
          </w:p>
        </w:tc>
        <w:tc>
          <w:tcPr>
            <w:tcW w:w="1522" w:type="dxa"/>
          </w:tcPr>
          <w:p>
            <w:pPr/>
          </w:p>
        </w:tc>
        <w:tc>
          <w:tcPr>
            <w:tcW w:w="1522" w:type="dxa"/>
          </w:tcPr>
          <w:p>
            <w:pPr>
              <w:pStyle w:val="TableParagraph"/>
              <w:spacing w:line="268" w:lineRule="exact"/>
              <w:ind w:right="139"/>
              <w:jc w:val="right"/>
              <w:rPr>
                <w:sz w:val="22"/>
              </w:rPr>
            </w:pPr>
            <w:r>
              <w:rPr>
                <w:sz w:val="22"/>
              </w:rPr>
              <w:t>$ 300,000.00</w:t>
            </w:r>
          </w:p>
        </w:tc>
        <w:tc>
          <w:tcPr>
            <w:tcW w:w="2048" w:type="dxa"/>
          </w:tcPr>
          <w:p>
            <w:pPr/>
          </w:p>
        </w:tc>
      </w:tr>
      <w:tr>
        <w:trPr>
          <w:trHeight w:val="319" w:hRule="exact"/>
        </w:trPr>
        <w:tc>
          <w:tcPr>
            <w:tcW w:w="4232" w:type="dxa"/>
            <w:shd w:val="clear" w:color="auto" w:fill="E6EDD4"/>
          </w:tcPr>
          <w:p>
            <w:pPr>
              <w:pStyle w:val="TableParagraph"/>
              <w:spacing w:line="265" w:lineRule="exact"/>
              <w:ind w:left="758"/>
              <w:rPr>
                <w:sz w:val="22"/>
              </w:rPr>
            </w:pPr>
            <w:r>
              <w:rPr>
                <w:sz w:val="22"/>
              </w:rPr>
              <w:t>Gastos de venta</w:t>
            </w:r>
          </w:p>
        </w:tc>
        <w:tc>
          <w:tcPr>
            <w:tcW w:w="1522" w:type="dxa"/>
            <w:shd w:val="clear" w:color="auto" w:fill="E6EDD4"/>
          </w:tcPr>
          <w:p>
            <w:pPr/>
          </w:p>
        </w:tc>
        <w:tc>
          <w:tcPr>
            <w:tcW w:w="1522" w:type="dxa"/>
            <w:shd w:val="clear" w:color="auto" w:fill="E6EDD4"/>
          </w:tcPr>
          <w:p>
            <w:pPr>
              <w:pStyle w:val="TableParagraph"/>
              <w:spacing w:line="265" w:lineRule="exact"/>
              <w:ind w:right="150"/>
              <w:jc w:val="right"/>
              <w:rPr>
                <w:sz w:val="22"/>
              </w:rPr>
            </w:pPr>
            <w:r>
              <w:rPr>
                <w:sz w:val="22"/>
              </w:rPr>
              <w:t>240,000.00</w:t>
            </w:r>
          </w:p>
        </w:tc>
        <w:tc>
          <w:tcPr>
            <w:tcW w:w="2048" w:type="dxa"/>
            <w:shd w:val="clear" w:color="auto" w:fill="E6EDD4"/>
          </w:tcPr>
          <w:p>
            <w:pPr>
              <w:pStyle w:val="TableParagraph"/>
              <w:spacing w:line="265" w:lineRule="exact"/>
              <w:ind w:right="177"/>
              <w:jc w:val="right"/>
              <w:rPr>
                <w:sz w:val="22"/>
              </w:rPr>
            </w:pPr>
            <w:r>
              <w:rPr>
                <w:sz w:val="22"/>
              </w:rPr>
              <w:t>540,000.00</w:t>
            </w:r>
          </w:p>
        </w:tc>
      </w:tr>
      <w:tr>
        <w:trPr>
          <w:trHeight w:val="320" w:hRule="exact"/>
        </w:trPr>
        <w:tc>
          <w:tcPr>
            <w:tcW w:w="4232" w:type="dxa"/>
          </w:tcPr>
          <w:p>
            <w:pPr>
              <w:pStyle w:val="TableParagraph"/>
              <w:spacing w:line="265" w:lineRule="exact"/>
              <w:ind w:left="98"/>
              <w:rPr>
                <w:sz w:val="22"/>
              </w:rPr>
            </w:pPr>
            <w:r>
              <w:rPr>
                <w:sz w:val="22"/>
              </w:rPr>
              <w:t>Utilidad en operación</w:t>
            </w:r>
          </w:p>
        </w:tc>
        <w:tc>
          <w:tcPr>
            <w:tcW w:w="1522" w:type="dxa"/>
          </w:tcPr>
          <w:p>
            <w:pPr/>
          </w:p>
        </w:tc>
        <w:tc>
          <w:tcPr>
            <w:tcW w:w="1522" w:type="dxa"/>
          </w:tcPr>
          <w:p>
            <w:pPr/>
          </w:p>
        </w:tc>
        <w:tc>
          <w:tcPr>
            <w:tcW w:w="2048" w:type="dxa"/>
          </w:tcPr>
          <w:p>
            <w:pPr>
              <w:pStyle w:val="TableParagraph"/>
              <w:tabs>
                <w:tab w:pos="707" w:val="left" w:leader="none"/>
              </w:tabs>
              <w:spacing w:line="265" w:lineRule="exact"/>
              <w:ind w:right="166"/>
              <w:jc w:val="right"/>
              <w:rPr>
                <w:sz w:val="22"/>
              </w:rPr>
            </w:pPr>
            <w:r>
              <w:rPr>
                <w:sz w:val="22"/>
              </w:rPr>
              <w:t>$</w:t>
              <w:tab/>
            </w:r>
            <w:r>
              <w:rPr>
                <w:spacing w:val="-1"/>
                <w:sz w:val="22"/>
              </w:rPr>
              <w:t>500,000.00</w:t>
            </w:r>
          </w:p>
        </w:tc>
      </w:tr>
      <w:tr>
        <w:trPr>
          <w:trHeight w:val="320" w:hRule="exact"/>
        </w:trPr>
        <w:tc>
          <w:tcPr>
            <w:tcW w:w="4232" w:type="dxa"/>
            <w:shd w:val="clear" w:color="auto" w:fill="E6EDD4"/>
          </w:tcPr>
          <w:p>
            <w:pPr>
              <w:pStyle w:val="TableParagraph"/>
              <w:spacing w:line="267" w:lineRule="exact"/>
              <w:ind w:left="98"/>
              <w:rPr>
                <w:sz w:val="22"/>
              </w:rPr>
            </w:pPr>
            <w:r>
              <w:rPr>
                <w:sz w:val="22"/>
              </w:rPr>
              <w:t>Costo integral de financiamiento</w:t>
            </w:r>
          </w:p>
        </w:tc>
        <w:tc>
          <w:tcPr>
            <w:tcW w:w="1522" w:type="dxa"/>
            <w:shd w:val="clear" w:color="auto" w:fill="E6EDD4"/>
          </w:tcPr>
          <w:p>
            <w:pPr/>
          </w:p>
        </w:tc>
        <w:tc>
          <w:tcPr>
            <w:tcW w:w="1522" w:type="dxa"/>
            <w:shd w:val="clear" w:color="auto" w:fill="E6EDD4"/>
          </w:tcPr>
          <w:p>
            <w:pPr/>
          </w:p>
        </w:tc>
        <w:tc>
          <w:tcPr>
            <w:tcW w:w="2048" w:type="dxa"/>
            <w:shd w:val="clear" w:color="auto" w:fill="E6EDD4"/>
          </w:tcPr>
          <w:p>
            <w:pPr/>
          </w:p>
        </w:tc>
      </w:tr>
      <w:tr>
        <w:trPr>
          <w:trHeight w:val="319" w:hRule="exact"/>
        </w:trPr>
        <w:tc>
          <w:tcPr>
            <w:tcW w:w="4232" w:type="dxa"/>
          </w:tcPr>
          <w:p>
            <w:pPr>
              <w:pStyle w:val="TableParagraph"/>
              <w:spacing w:line="265" w:lineRule="exact"/>
              <w:ind w:left="758"/>
              <w:rPr>
                <w:sz w:val="22"/>
              </w:rPr>
            </w:pPr>
            <w:r>
              <w:rPr>
                <w:sz w:val="22"/>
              </w:rPr>
              <w:t>Gastos financieros</w:t>
            </w:r>
          </w:p>
        </w:tc>
        <w:tc>
          <w:tcPr>
            <w:tcW w:w="1522" w:type="dxa"/>
          </w:tcPr>
          <w:p>
            <w:pPr/>
          </w:p>
        </w:tc>
        <w:tc>
          <w:tcPr>
            <w:tcW w:w="1522" w:type="dxa"/>
          </w:tcPr>
          <w:p>
            <w:pPr>
              <w:pStyle w:val="TableParagraph"/>
              <w:spacing w:line="265" w:lineRule="exact"/>
              <w:ind w:right="150"/>
              <w:jc w:val="right"/>
              <w:rPr>
                <w:sz w:val="22"/>
              </w:rPr>
            </w:pPr>
            <w:r>
              <w:rPr>
                <w:sz w:val="22"/>
              </w:rPr>
              <w:t>$   35,000.00</w:t>
            </w:r>
          </w:p>
        </w:tc>
        <w:tc>
          <w:tcPr>
            <w:tcW w:w="2048" w:type="dxa"/>
          </w:tcPr>
          <w:p>
            <w:pPr/>
          </w:p>
        </w:tc>
      </w:tr>
      <w:tr>
        <w:trPr>
          <w:trHeight w:val="319" w:hRule="exact"/>
        </w:trPr>
        <w:tc>
          <w:tcPr>
            <w:tcW w:w="4232" w:type="dxa"/>
            <w:shd w:val="clear" w:color="auto" w:fill="E6EDD4"/>
          </w:tcPr>
          <w:p>
            <w:pPr>
              <w:pStyle w:val="TableParagraph"/>
              <w:spacing w:line="265" w:lineRule="exact"/>
              <w:ind w:left="758"/>
              <w:rPr>
                <w:sz w:val="22"/>
              </w:rPr>
            </w:pPr>
            <w:r>
              <w:rPr>
                <w:sz w:val="22"/>
              </w:rPr>
              <w:t>Productos financieros</w:t>
            </w:r>
          </w:p>
        </w:tc>
        <w:tc>
          <w:tcPr>
            <w:tcW w:w="1522" w:type="dxa"/>
            <w:shd w:val="clear" w:color="auto" w:fill="E6EDD4"/>
          </w:tcPr>
          <w:p>
            <w:pPr/>
          </w:p>
        </w:tc>
        <w:tc>
          <w:tcPr>
            <w:tcW w:w="1522" w:type="dxa"/>
            <w:shd w:val="clear" w:color="auto" w:fill="E6EDD4"/>
          </w:tcPr>
          <w:p>
            <w:pPr>
              <w:pStyle w:val="TableParagraph"/>
              <w:spacing w:line="265" w:lineRule="exact"/>
              <w:ind w:right="162"/>
              <w:jc w:val="right"/>
              <w:rPr>
                <w:sz w:val="22"/>
              </w:rPr>
            </w:pPr>
            <w:r>
              <w:rPr>
                <w:sz w:val="22"/>
              </w:rPr>
              <w:t>55,000.00</w:t>
            </w:r>
          </w:p>
        </w:tc>
        <w:tc>
          <w:tcPr>
            <w:tcW w:w="2048" w:type="dxa"/>
            <w:shd w:val="clear" w:color="auto" w:fill="E6EDD4"/>
          </w:tcPr>
          <w:p>
            <w:pPr>
              <w:pStyle w:val="TableParagraph"/>
              <w:spacing w:line="265" w:lineRule="exact"/>
              <w:ind w:right="141"/>
              <w:jc w:val="right"/>
              <w:rPr>
                <w:sz w:val="22"/>
              </w:rPr>
            </w:pPr>
            <w:r>
              <w:rPr>
                <w:sz w:val="22"/>
              </w:rPr>
              <w:t>20,000.00</w:t>
            </w:r>
          </w:p>
        </w:tc>
      </w:tr>
      <w:tr>
        <w:trPr>
          <w:trHeight w:val="322" w:hRule="exact"/>
        </w:trPr>
        <w:tc>
          <w:tcPr>
            <w:tcW w:w="4232" w:type="dxa"/>
          </w:tcPr>
          <w:p>
            <w:pPr>
              <w:pStyle w:val="TableParagraph"/>
              <w:spacing w:line="268" w:lineRule="exact"/>
              <w:ind w:left="98"/>
              <w:rPr>
                <w:sz w:val="22"/>
              </w:rPr>
            </w:pPr>
            <w:r>
              <w:rPr>
                <w:sz w:val="22"/>
              </w:rPr>
              <w:t>Utilidad después de financiamiento</w:t>
            </w:r>
          </w:p>
        </w:tc>
        <w:tc>
          <w:tcPr>
            <w:tcW w:w="1522" w:type="dxa"/>
          </w:tcPr>
          <w:p>
            <w:pPr/>
          </w:p>
        </w:tc>
        <w:tc>
          <w:tcPr>
            <w:tcW w:w="1522" w:type="dxa"/>
          </w:tcPr>
          <w:p>
            <w:pPr/>
          </w:p>
        </w:tc>
        <w:tc>
          <w:tcPr>
            <w:tcW w:w="2048" w:type="dxa"/>
          </w:tcPr>
          <w:p>
            <w:pPr>
              <w:pStyle w:val="TableParagraph"/>
              <w:tabs>
                <w:tab w:pos="758" w:val="left" w:leader="none"/>
              </w:tabs>
              <w:spacing w:line="268" w:lineRule="exact"/>
              <w:ind w:right="117"/>
              <w:jc w:val="right"/>
              <w:rPr>
                <w:sz w:val="22"/>
              </w:rPr>
            </w:pPr>
            <w:r>
              <w:rPr>
                <w:sz w:val="22"/>
              </w:rPr>
              <w:t>$</w:t>
              <w:tab/>
            </w:r>
            <w:r>
              <w:rPr>
                <w:spacing w:val="-1"/>
                <w:sz w:val="22"/>
              </w:rPr>
              <w:t>520,000.00</w:t>
            </w:r>
          </w:p>
        </w:tc>
      </w:tr>
      <w:tr>
        <w:trPr>
          <w:trHeight w:val="319" w:hRule="exact"/>
        </w:trPr>
        <w:tc>
          <w:tcPr>
            <w:tcW w:w="4232" w:type="dxa"/>
            <w:shd w:val="clear" w:color="auto" w:fill="E6EDD4"/>
          </w:tcPr>
          <w:p>
            <w:pPr>
              <w:pStyle w:val="TableParagraph"/>
              <w:spacing w:line="265" w:lineRule="exact"/>
              <w:ind w:left="98"/>
              <w:rPr>
                <w:sz w:val="22"/>
              </w:rPr>
            </w:pPr>
            <w:r>
              <w:rPr>
                <w:sz w:val="22"/>
              </w:rPr>
              <w:t>Otros gastos</w:t>
            </w:r>
          </w:p>
        </w:tc>
        <w:tc>
          <w:tcPr>
            <w:tcW w:w="1522" w:type="dxa"/>
            <w:shd w:val="clear" w:color="auto" w:fill="E6EDD4"/>
          </w:tcPr>
          <w:p>
            <w:pPr/>
          </w:p>
        </w:tc>
        <w:tc>
          <w:tcPr>
            <w:tcW w:w="1522" w:type="dxa"/>
            <w:shd w:val="clear" w:color="auto" w:fill="E6EDD4"/>
          </w:tcPr>
          <w:p>
            <w:pPr>
              <w:pStyle w:val="TableParagraph"/>
              <w:spacing w:line="265" w:lineRule="exact"/>
              <w:ind w:right="150"/>
              <w:jc w:val="right"/>
              <w:rPr>
                <w:sz w:val="22"/>
              </w:rPr>
            </w:pPr>
            <w:r>
              <w:rPr>
                <w:sz w:val="22"/>
              </w:rPr>
              <w:t>$   22,000.00</w:t>
            </w:r>
          </w:p>
        </w:tc>
        <w:tc>
          <w:tcPr>
            <w:tcW w:w="2048" w:type="dxa"/>
            <w:shd w:val="clear" w:color="auto" w:fill="E6EDD4"/>
          </w:tcPr>
          <w:p>
            <w:pPr/>
          </w:p>
        </w:tc>
      </w:tr>
      <w:tr>
        <w:trPr>
          <w:trHeight w:val="320" w:hRule="exact"/>
        </w:trPr>
        <w:tc>
          <w:tcPr>
            <w:tcW w:w="4232" w:type="dxa"/>
          </w:tcPr>
          <w:p>
            <w:pPr>
              <w:pStyle w:val="TableParagraph"/>
              <w:spacing w:line="265" w:lineRule="exact"/>
              <w:ind w:left="98"/>
              <w:rPr>
                <w:sz w:val="22"/>
              </w:rPr>
            </w:pPr>
            <w:r>
              <w:rPr>
                <w:sz w:val="22"/>
              </w:rPr>
              <w:t>Otros productos</w:t>
            </w:r>
          </w:p>
        </w:tc>
        <w:tc>
          <w:tcPr>
            <w:tcW w:w="1522" w:type="dxa"/>
          </w:tcPr>
          <w:p>
            <w:pPr/>
          </w:p>
        </w:tc>
        <w:tc>
          <w:tcPr>
            <w:tcW w:w="1522" w:type="dxa"/>
          </w:tcPr>
          <w:p>
            <w:pPr>
              <w:pStyle w:val="TableParagraph"/>
              <w:spacing w:line="265" w:lineRule="exact"/>
              <w:ind w:right="162"/>
              <w:jc w:val="right"/>
              <w:rPr>
                <w:sz w:val="22"/>
              </w:rPr>
            </w:pPr>
            <w:r>
              <w:rPr>
                <w:sz w:val="22"/>
              </w:rPr>
              <w:t>12,000.00</w:t>
            </w:r>
          </w:p>
        </w:tc>
        <w:tc>
          <w:tcPr>
            <w:tcW w:w="2048" w:type="dxa"/>
          </w:tcPr>
          <w:p>
            <w:pPr>
              <w:pStyle w:val="TableParagraph"/>
              <w:spacing w:line="265" w:lineRule="exact"/>
              <w:ind w:right="141"/>
              <w:jc w:val="right"/>
              <w:rPr>
                <w:sz w:val="22"/>
              </w:rPr>
            </w:pPr>
            <w:r>
              <w:rPr>
                <w:sz w:val="22"/>
              </w:rPr>
              <w:t>10,000.00</w:t>
            </w:r>
          </w:p>
        </w:tc>
      </w:tr>
      <w:tr>
        <w:trPr>
          <w:trHeight w:val="321" w:hRule="exact"/>
        </w:trPr>
        <w:tc>
          <w:tcPr>
            <w:tcW w:w="4232" w:type="dxa"/>
            <w:shd w:val="clear" w:color="auto" w:fill="E6EDD4"/>
          </w:tcPr>
          <w:p>
            <w:pPr>
              <w:pStyle w:val="TableParagraph"/>
              <w:spacing w:line="267" w:lineRule="exact"/>
              <w:ind w:left="98"/>
              <w:rPr>
                <w:sz w:val="22"/>
              </w:rPr>
            </w:pPr>
            <w:r>
              <w:rPr>
                <w:sz w:val="22"/>
              </w:rPr>
              <w:t>Utilidad neta antes de impuestos</w:t>
            </w:r>
          </w:p>
        </w:tc>
        <w:tc>
          <w:tcPr>
            <w:tcW w:w="1522" w:type="dxa"/>
            <w:shd w:val="clear" w:color="auto" w:fill="E6EDD4"/>
          </w:tcPr>
          <w:p>
            <w:pPr/>
          </w:p>
        </w:tc>
        <w:tc>
          <w:tcPr>
            <w:tcW w:w="1522" w:type="dxa"/>
            <w:shd w:val="clear" w:color="auto" w:fill="E6EDD4"/>
          </w:tcPr>
          <w:p>
            <w:pPr/>
          </w:p>
        </w:tc>
        <w:tc>
          <w:tcPr>
            <w:tcW w:w="2048" w:type="dxa"/>
            <w:shd w:val="clear" w:color="auto" w:fill="E6EDD4"/>
          </w:tcPr>
          <w:p>
            <w:pPr>
              <w:pStyle w:val="TableParagraph"/>
              <w:tabs>
                <w:tab w:pos="757" w:val="left" w:leader="none"/>
              </w:tabs>
              <w:spacing w:line="267" w:lineRule="exact"/>
              <w:ind w:right="118"/>
              <w:jc w:val="right"/>
              <w:rPr>
                <w:sz w:val="22"/>
              </w:rPr>
            </w:pPr>
            <w:r>
              <w:rPr>
                <w:sz w:val="22"/>
              </w:rPr>
              <w:t>$</w:t>
              <w:tab/>
            </w:r>
            <w:r>
              <w:rPr>
                <w:spacing w:val="-1"/>
                <w:sz w:val="22"/>
              </w:rPr>
              <w:t>510,000.00</w:t>
            </w:r>
          </w:p>
        </w:tc>
      </w:tr>
    </w:tbl>
    <w:p>
      <w:pPr>
        <w:pStyle w:val="BodyText"/>
        <w:rPr>
          <w:sz w:val="20"/>
        </w:rPr>
      </w:pPr>
    </w:p>
    <w:p>
      <w:pPr>
        <w:pStyle w:val="BodyText"/>
        <w:rPr>
          <w:sz w:val="20"/>
        </w:rPr>
      </w:pPr>
    </w:p>
    <w:p>
      <w:pPr>
        <w:pStyle w:val="BodyText"/>
        <w:spacing w:before="6"/>
        <w:rPr>
          <w:sz w:val="27"/>
        </w:rPr>
      </w:pPr>
    </w:p>
    <w:p>
      <w:pPr>
        <w:pStyle w:val="ListParagraph"/>
        <w:numPr>
          <w:ilvl w:val="0"/>
          <w:numId w:val="32"/>
        </w:numPr>
        <w:tabs>
          <w:tab w:pos="941" w:val="left" w:leader="none"/>
          <w:tab w:pos="942" w:val="left" w:leader="none"/>
        </w:tabs>
        <w:spacing w:line="240" w:lineRule="auto" w:before="56" w:after="0"/>
        <w:ind w:left="942" w:right="0" w:hanging="360"/>
        <w:jc w:val="left"/>
        <w:rPr>
          <w:sz w:val="24"/>
        </w:rPr>
      </w:pPr>
      <w:r>
        <w:rPr>
          <w:sz w:val="24"/>
        </w:rPr>
        <w:t>Presentación</w:t>
      </w:r>
      <w:r>
        <w:rPr>
          <w:spacing w:val="-10"/>
          <w:sz w:val="24"/>
        </w:rPr>
        <w:t> </w:t>
      </w:r>
      <w:r>
        <w:rPr>
          <w:sz w:val="24"/>
        </w:rPr>
        <w:t>Condensada</w:t>
      </w:r>
    </w:p>
    <w:p>
      <w:pPr>
        <w:pStyle w:val="BodyText"/>
        <w:spacing w:line="276" w:lineRule="auto" w:before="135"/>
        <w:ind w:left="222" w:right="504"/>
        <w:jc w:val="both"/>
      </w:pPr>
      <w:r>
        <w:rPr/>
        <w:t>Esta presentación se hace con base en el método condensado. Muestra, de manera breve, las operaciones principales que originaron utilidades o pérdidas generadas durante un lapso determinado.</w:t>
      </w:r>
    </w:p>
    <w:p>
      <w:pPr>
        <w:pStyle w:val="BodyText"/>
        <w:rPr>
          <w:sz w:val="20"/>
        </w:rPr>
      </w:pPr>
    </w:p>
    <w:p>
      <w:pPr>
        <w:pStyle w:val="BodyText"/>
        <w:spacing w:before="1"/>
        <w:rPr>
          <w:sz w:val="25"/>
        </w:rPr>
      </w:pPr>
    </w:p>
    <w:tbl>
      <w:tblPr>
        <w:tblW w:w="0" w:type="auto"/>
        <w:jc w:val="left"/>
        <w:tblInd w:w="750" w:type="dxa"/>
        <w:tblBorders>
          <w:top w:val="single" w:sz="8" w:space="0" w:color="9BBA58"/>
          <w:left w:val="single" w:sz="8" w:space="0" w:color="9BBA58"/>
          <w:bottom w:val="single" w:sz="8" w:space="0" w:color="9BBA58"/>
          <w:right w:val="single" w:sz="8" w:space="0" w:color="9BBA58"/>
          <w:insideH w:val="single" w:sz="8" w:space="0" w:color="9BBA58"/>
          <w:insideV w:val="single" w:sz="8" w:space="0" w:color="9BBA58"/>
        </w:tblBorders>
        <w:tblLayout w:type="fixed"/>
        <w:tblCellMar>
          <w:top w:w="0" w:type="dxa"/>
          <w:left w:w="0" w:type="dxa"/>
          <w:bottom w:w="0" w:type="dxa"/>
          <w:right w:w="0" w:type="dxa"/>
        </w:tblCellMar>
        <w:tblLook w:val="01E0"/>
      </w:tblPr>
      <w:tblGrid>
        <w:gridCol w:w="3898"/>
        <w:gridCol w:w="1880"/>
        <w:gridCol w:w="1985"/>
      </w:tblGrid>
      <w:tr>
        <w:trPr>
          <w:trHeight w:val="572" w:hRule="exact"/>
        </w:trPr>
        <w:tc>
          <w:tcPr>
            <w:tcW w:w="7763" w:type="dxa"/>
            <w:gridSpan w:val="3"/>
            <w:tcBorders>
              <w:bottom w:val="single" w:sz="17" w:space="0" w:color="9BBA58"/>
            </w:tcBorders>
          </w:tcPr>
          <w:p>
            <w:pPr>
              <w:pStyle w:val="TableParagraph"/>
              <w:ind w:left="3010" w:right="130" w:hanging="2862"/>
              <w:rPr>
                <w:b/>
                <w:sz w:val="22"/>
              </w:rPr>
            </w:pPr>
            <w:r>
              <w:rPr>
                <w:b/>
                <w:sz w:val="22"/>
              </w:rPr>
              <w:t>Estado de resultados por el periodo comprendido de XX de mes de XXXX al XX del mes XXXX de XXXX</w:t>
            </w:r>
          </w:p>
        </w:tc>
      </w:tr>
      <w:tr>
        <w:trPr>
          <w:trHeight w:val="331" w:hRule="exact"/>
        </w:trPr>
        <w:tc>
          <w:tcPr>
            <w:tcW w:w="3898" w:type="dxa"/>
            <w:tcBorders>
              <w:top w:val="single" w:sz="17" w:space="0" w:color="9BBA58"/>
            </w:tcBorders>
            <w:shd w:val="clear" w:color="auto" w:fill="E6EDD4"/>
          </w:tcPr>
          <w:p>
            <w:pPr>
              <w:pStyle w:val="TableParagraph"/>
              <w:spacing w:line="265" w:lineRule="exact"/>
              <w:ind w:left="98"/>
              <w:rPr>
                <w:sz w:val="22"/>
              </w:rPr>
            </w:pPr>
            <w:r>
              <w:rPr>
                <w:sz w:val="22"/>
              </w:rPr>
              <w:t>Ventas</w:t>
            </w:r>
          </w:p>
        </w:tc>
        <w:tc>
          <w:tcPr>
            <w:tcW w:w="1880" w:type="dxa"/>
            <w:tcBorders>
              <w:top w:val="single" w:sz="17" w:space="0" w:color="9BBA58"/>
            </w:tcBorders>
            <w:shd w:val="clear" w:color="auto" w:fill="E6EDD4"/>
          </w:tcPr>
          <w:p>
            <w:pPr/>
          </w:p>
        </w:tc>
        <w:tc>
          <w:tcPr>
            <w:tcW w:w="1985" w:type="dxa"/>
            <w:tcBorders>
              <w:top w:val="single" w:sz="17" w:space="0" w:color="9BBA58"/>
            </w:tcBorders>
            <w:shd w:val="clear" w:color="auto" w:fill="E6EDD4"/>
          </w:tcPr>
          <w:p>
            <w:pPr>
              <w:pStyle w:val="TableParagraph"/>
              <w:tabs>
                <w:tab w:pos="410" w:val="left" w:leader="none"/>
              </w:tabs>
              <w:spacing w:line="265" w:lineRule="exact"/>
              <w:ind w:right="236"/>
              <w:jc w:val="right"/>
              <w:rPr>
                <w:sz w:val="22"/>
              </w:rPr>
            </w:pPr>
            <w:r>
              <w:rPr>
                <w:sz w:val="22"/>
              </w:rPr>
              <w:t>$</w:t>
              <w:tab/>
            </w:r>
            <w:r>
              <w:rPr>
                <w:spacing w:val="-1"/>
                <w:sz w:val="22"/>
              </w:rPr>
              <w:t>1,900,000.00</w:t>
            </w:r>
          </w:p>
        </w:tc>
      </w:tr>
      <w:tr>
        <w:trPr>
          <w:trHeight w:val="322" w:hRule="exact"/>
        </w:trPr>
        <w:tc>
          <w:tcPr>
            <w:tcW w:w="3898" w:type="dxa"/>
          </w:tcPr>
          <w:p>
            <w:pPr>
              <w:pStyle w:val="TableParagraph"/>
              <w:spacing w:line="268" w:lineRule="exact"/>
              <w:ind w:left="98"/>
              <w:rPr>
                <w:sz w:val="22"/>
              </w:rPr>
            </w:pPr>
            <w:r>
              <w:rPr>
                <w:sz w:val="22"/>
              </w:rPr>
              <w:t>Costo de ventas</w:t>
            </w:r>
          </w:p>
        </w:tc>
        <w:tc>
          <w:tcPr>
            <w:tcW w:w="1880" w:type="dxa"/>
          </w:tcPr>
          <w:p>
            <w:pPr/>
          </w:p>
        </w:tc>
        <w:tc>
          <w:tcPr>
            <w:tcW w:w="1985" w:type="dxa"/>
          </w:tcPr>
          <w:p>
            <w:pPr>
              <w:pStyle w:val="TableParagraph"/>
              <w:spacing w:line="268" w:lineRule="exact"/>
              <w:ind w:right="216"/>
              <w:jc w:val="right"/>
              <w:rPr>
                <w:sz w:val="22"/>
              </w:rPr>
            </w:pPr>
            <w:r>
              <w:rPr>
                <w:sz w:val="22"/>
              </w:rPr>
              <w:t>860,000.00</w:t>
            </w:r>
          </w:p>
        </w:tc>
      </w:tr>
      <w:tr>
        <w:trPr>
          <w:trHeight w:val="319" w:hRule="exact"/>
        </w:trPr>
        <w:tc>
          <w:tcPr>
            <w:tcW w:w="3898" w:type="dxa"/>
            <w:shd w:val="clear" w:color="auto" w:fill="E6EDD4"/>
          </w:tcPr>
          <w:p>
            <w:pPr>
              <w:pStyle w:val="TableParagraph"/>
              <w:spacing w:line="265" w:lineRule="exact"/>
              <w:ind w:left="98"/>
              <w:rPr>
                <w:sz w:val="22"/>
              </w:rPr>
            </w:pPr>
            <w:r>
              <w:rPr>
                <w:sz w:val="22"/>
              </w:rPr>
              <w:t>Utilidad bruta</w:t>
            </w:r>
          </w:p>
        </w:tc>
        <w:tc>
          <w:tcPr>
            <w:tcW w:w="1880" w:type="dxa"/>
            <w:shd w:val="clear" w:color="auto" w:fill="E6EDD4"/>
          </w:tcPr>
          <w:p>
            <w:pPr/>
          </w:p>
        </w:tc>
        <w:tc>
          <w:tcPr>
            <w:tcW w:w="1985" w:type="dxa"/>
            <w:shd w:val="clear" w:color="auto" w:fill="E6EDD4"/>
          </w:tcPr>
          <w:p>
            <w:pPr>
              <w:pStyle w:val="TableParagraph"/>
              <w:tabs>
                <w:tab w:pos="410" w:val="left" w:leader="none"/>
              </w:tabs>
              <w:spacing w:line="265" w:lineRule="exact"/>
              <w:ind w:right="236"/>
              <w:jc w:val="right"/>
              <w:rPr>
                <w:sz w:val="22"/>
              </w:rPr>
            </w:pPr>
            <w:r>
              <w:rPr>
                <w:sz w:val="22"/>
              </w:rPr>
              <w:t>$</w:t>
              <w:tab/>
            </w:r>
            <w:r>
              <w:rPr>
                <w:spacing w:val="-1"/>
                <w:sz w:val="22"/>
              </w:rPr>
              <w:t>1,040,000.00</w:t>
            </w:r>
          </w:p>
        </w:tc>
      </w:tr>
      <w:tr>
        <w:trPr>
          <w:trHeight w:val="320" w:hRule="exact"/>
        </w:trPr>
        <w:tc>
          <w:tcPr>
            <w:tcW w:w="3898" w:type="dxa"/>
          </w:tcPr>
          <w:p>
            <w:pPr>
              <w:pStyle w:val="TableParagraph"/>
              <w:spacing w:line="265" w:lineRule="exact"/>
              <w:ind w:left="98"/>
              <w:rPr>
                <w:sz w:val="22"/>
              </w:rPr>
            </w:pPr>
            <w:r>
              <w:rPr>
                <w:sz w:val="22"/>
              </w:rPr>
              <w:t>Gastos de operación</w:t>
            </w:r>
          </w:p>
        </w:tc>
        <w:tc>
          <w:tcPr>
            <w:tcW w:w="1880" w:type="dxa"/>
          </w:tcPr>
          <w:p>
            <w:pPr/>
          </w:p>
        </w:tc>
        <w:tc>
          <w:tcPr>
            <w:tcW w:w="1985" w:type="dxa"/>
          </w:tcPr>
          <w:p>
            <w:pPr/>
          </w:p>
        </w:tc>
      </w:tr>
      <w:tr>
        <w:trPr>
          <w:trHeight w:val="320" w:hRule="exact"/>
        </w:trPr>
        <w:tc>
          <w:tcPr>
            <w:tcW w:w="3898" w:type="dxa"/>
            <w:shd w:val="clear" w:color="auto" w:fill="E6EDD4"/>
          </w:tcPr>
          <w:p>
            <w:pPr>
              <w:pStyle w:val="TableParagraph"/>
              <w:spacing w:line="267" w:lineRule="exact"/>
              <w:ind w:left="98"/>
              <w:rPr>
                <w:sz w:val="22"/>
              </w:rPr>
            </w:pPr>
            <w:r>
              <w:rPr>
                <w:sz w:val="22"/>
              </w:rPr>
              <w:t>Gastos de administración</w:t>
            </w:r>
          </w:p>
        </w:tc>
        <w:tc>
          <w:tcPr>
            <w:tcW w:w="1880" w:type="dxa"/>
            <w:shd w:val="clear" w:color="auto" w:fill="E6EDD4"/>
          </w:tcPr>
          <w:p>
            <w:pPr>
              <w:pStyle w:val="TableParagraph"/>
              <w:tabs>
                <w:tab w:pos="460" w:val="left" w:leader="none"/>
              </w:tabs>
              <w:spacing w:line="267" w:lineRule="exact"/>
              <w:ind w:right="247"/>
              <w:jc w:val="right"/>
              <w:rPr>
                <w:sz w:val="22"/>
              </w:rPr>
            </w:pPr>
            <w:r>
              <w:rPr>
                <w:sz w:val="22"/>
              </w:rPr>
              <w:t>$</w:t>
              <w:tab/>
            </w:r>
            <w:r>
              <w:rPr>
                <w:spacing w:val="-1"/>
                <w:sz w:val="22"/>
              </w:rPr>
              <w:t>300,000.00</w:t>
            </w:r>
          </w:p>
        </w:tc>
        <w:tc>
          <w:tcPr>
            <w:tcW w:w="1985" w:type="dxa"/>
            <w:shd w:val="clear" w:color="auto" w:fill="E6EDD4"/>
          </w:tcPr>
          <w:p>
            <w:pPr/>
          </w:p>
        </w:tc>
      </w:tr>
      <w:tr>
        <w:trPr>
          <w:trHeight w:val="319" w:hRule="exact"/>
        </w:trPr>
        <w:tc>
          <w:tcPr>
            <w:tcW w:w="3898" w:type="dxa"/>
          </w:tcPr>
          <w:p>
            <w:pPr>
              <w:pStyle w:val="TableParagraph"/>
              <w:spacing w:line="265" w:lineRule="exact"/>
              <w:ind w:left="98"/>
              <w:rPr>
                <w:sz w:val="22"/>
              </w:rPr>
            </w:pPr>
            <w:r>
              <w:rPr>
                <w:sz w:val="22"/>
              </w:rPr>
              <w:t>Gastos de venta</w:t>
            </w:r>
          </w:p>
        </w:tc>
        <w:tc>
          <w:tcPr>
            <w:tcW w:w="1880" w:type="dxa"/>
          </w:tcPr>
          <w:p>
            <w:pPr>
              <w:pStyle w:val="TableParagraph"/>
              <w:spacing w:line="265" w:lineRule="exact"/>
              <w:ind w:right="258"/>
              <w:jc w:val="right"/>
              <w:rPr>
                <w:sz w:val="22"/>
              </w:rPr>
            </w:pPr>
            <w:r>
              <w:rPr>
                <w:sz w:val="22"/>
              </w:rPr>
              <w:t>240,000.00</w:t>
            </w:r>
          </w:p>
        </w:tc>
        <w:tc>
          <w:tcPr>
            <w:tcW w:w="1985" w:type="dxa"/>
          </w:tcPr>
          <w:p>
            <w:pPr>
              <w:pStyle w:val="TableParagraph"/>
              <w:spacing w:line="265" w:lineRule="exact"/>
              <w:ind w:right="216"/>
              <w:jc w:val="right"/>
              <w:rPr>
                <w:sz w:val="22"/>
              </w:rPr>
            </w:pPr>
            <w:r>
              <w:rPr>
                <w:sz w:val="22"/>
              </w:rPr>
              <w:t>540,000.00</w:t>
            </w:r>
          </w:p>
        </w:tc>
      </w:tr>
      <w:tr>
        <w:trPr>
          <w:trHeight w:val="319" w:hRule="exact"/>
        </w:trPr>
        <w:tc>
          <w:tcPr>
            <w:tcW w:w="3898" w:type="dxa"/>
            <w:shd w:val="clear" w:color="auto" w:fill="E6EDD4"/>
          </w:tcPr>
          <w:p>
            <w:pPr>
              <w:pStyle w:val="TableParagraph"/>
              <w:spacing w:line="265" w:lineRule="exact"/>
              <w:ind w:left="98"/>
              <w:rPr>
                <w:sz w:val="22"/>
              </w:rPr>
            </w:pPr>
            <w:r>
              <w:rPr>
                <w:sz w:val="22"/>
              </w:rPr>
              <w:t>Utilidad en operación</w:t>
            </w:r>
          </w:p>
        </w:tc>
        <w:tc>
          <w:tcPr>
            <w:tcW w:w="1880" w:type="dxa"/>
            <w:shd w:val="clear" w:color="auto" w:fill="E6EDD4"/>
          </w:tcPr>
          <w:p>
            <w:pPr/>
          </w:p>
        </w:tc>
        <w:tc>
          <w:tcPr>
            <w:tcW w:w="1985" w:type="dxa"/>
            <w:shd w:val="clear" w:color="auto" w:fill="E6EDD4"/>
          </w:tcPr>
          <w:p>
            <w:pPr>
              <w:pStyle w:val="TableParagraph"/>
              <w:tabs>
                <w:tab w:pos="608" w:val="left" w:leader="none"/>
              </w:tabs>
              <w:spacing w:line="265" w:lineRule="exact"/>
              <w:ind w:right="204"/>
              <w:jc w:val="right"/>
              <w:rPr>
                <w:sz w:val="22"/>
              </w:rPr>
            </w:pPr>
            <w:r>
              <w:rPr>
                <w:sz w:val="22"/>
              </w:rPr>
              <w:t>$</w:t>
              <w:tab/>
            </w:r>
            <w:r>
              <w:rPr>
                <w:spacing w:val="-1"/>
                <w:sz w:val="22"/>
              </w:rPr>
              <w:t>500,000.00</w:t>
            </w:r>
          </w:p>
        </w:tc>
      </w:tr>
      <w:tr>
        <w:trPr>
          <w:trHeight w:val="322" w:hRule="exact"/>
        </w:trPr>
        <w:tc>
          <w:tcPr>
            <w:tcW w:w="3898" w:type="dxa"/>
          </w:tcPr>
          <w:p>
            <w:pPr>
              <w:pStyle w:val="TableParagraph"/>
              <w:spacing w:line="268" w:lineRule="exact"/>
              <w:ind w:left="98"/>
              <w:rPr>
                <w:sz w:val="22"/>
              </w:rPr>
            </w:pPr>
            <w:r>
              <w:rPr>
                <w:sz w:val="22"/>
              </w:rPr>
              <w:t>Costo integral de financiamiento</w:t>
            </w:r>
          </w:p>
        </w:tc>
        <w:tc>
          <w:tcPr>
            <w:tcW w:w="1880" w:type="dxa"/>
          </w:tcPr>
          <w:p>
            <w:pPr/>
          </w:p>
        </w:tc>
        <w:tc>
          <w:tcPr>
            <w:tcW w:w="1985" w:type="dxa"/>
          </w:tcPr>
          <w:p>
            <w:pPr/>
          </w:p>
        </w:tc>
      </w:tr>
      <w:tr>
        <w:trPr>
          <w:trHeight w:val="319" w:hRule="exact"/>
        </w:trPr>
        <w:tc>
          <w:tcPr>
            <w:tcW w:w="3898" w:type="dxa"/>
            <w:shd w:val="clear" w:color="auto" w:fill="E6EDD4"/>
          </w:tcPr>
          <w:p>
            <w:pPr>
              <w:pStyle w:val="TableParagraph"/>
              <w:spacing w:line="265" w:lineRule="exact"/>
              <w:ind w:left="98"/>
              <w:rPr>
                <w:sz w:val="22"/>
              </w:rPr>
            </w:pPr>
            <w:r>
              <w:rPr>
                <w:sz w:val="22"/>
              </w:rPr>
              <w:t>Gastos financieros</w:t>
            </w:r>
          </w:p>
        </w:tc>
        <w:tc>
          <w:tcPr>
            <w:tcW w:w="1880" w:type="dxa"/>
            <w:shd w:val="clear" w:color="auto" w:fill="E6EDD4"/>
          </w:tcPr>
          <w:p>
            <w:pPr>
              <w:pStyle w:val="TableParagraph"/>
              <w:tabs>
                <w:tab w:pos="558" w:val="left" w:leader="none"/>
              </w:tabs>
              <w:spacing w:line="265" w:lineRule="exact"/>
              <w:ind w:right="259"/>
              <w:jc w:val="right"/>
              <w:rPr>
                <w:sz w:val="22"/>
              </w:rPr>
            </w:pPr>
            <w:r>
              <w:rPr>
                <w:sz w:val="22"/>
              </w:rPr>
              <w:t>$</w:t>
              <w:tab/>
            </w:r>
            <w:r>
              <w:rPr>
                <w:spacing w:val="-1"/>
                <w:sz w:val="22"/>
              </w:rPr>
              <w:t>35,000.00</w:t>
            </w:r>
          </w:p>
        </w:tc>
        <w:tc>
          <w:tcPr>
            <w:tcW w:w="1985" w:type="dxa"/>
            <w:shd w:val="clear" w:color="auto" w:fill="E6EDD4"/>
          </w:tcPr>
          <w:p>
            <w:pPr/>
          </w:p>
        </w:tc>
      </w:tr>
      <w:tr>
        <w:trPr>
          <w:trHeight w:val="321" w:hRule="exact"/>
        </w:trPr>
        <w:tc>
          <w:tcPr>
            <w:tcW w:w="3898" w:type="dxa"/>
          </w:tcPr>
          <w:p>
            <w:pPr>
              <w:pStyle w:val="TableParagraph"/>
              <w:spacing w:line="265" w:lineRule="exact"/>
              <w:ind w:left="98"/>
              <w:rPr>
                <w:sz w:val="22"/>
              </w:rPr>
            </w:pPr>
            <w:r>
              <w:rPr>
                <w:sz w:val="22"/>
              </w:rPr>
              <w:t>Productos financieros</w:t>
            </w:r>
          </w:p>
        </w:tc>
        <w:tc>
          <w:tcPr>
            <w:tcW w:w="1880" w:type="dxa"/>
          </w:tcPr>
          <w:p>
            <w:pPr>
              <w:pStyle w:val="TableParagraph"/>
              <w:spacing w:line="265" w:lineRule="exact"/>
              <w:ind w:right="271"/>
              <w:jc w:val="right"/>
              <w:rPr>
                <w:sz w:val="22"/>
              </w:rPr>
            </w:pPr>
            <w:r>
              <w:rPr>
                <w:sz w:val="22"/>
              </w:rPr>
              <w:t>55,000.00</w:t>
            </w:r>
          </w:p>
        </w:tc>
        <w:tc>
          <w:tcPr>
            <w:tcW w:w="1985" w:type="dxa"/>
          </w:tcPr>
          <w:p>
            <w:pPr>
              <w:pStyle w:val="TableParagraph"/>
              <w:tabs>
                <w:tab w:pos="765" w:val="left" w:leader="none"/>
              </w:tabs>
              <w:spacing w:line="265" w:lineRule="exact"/>
              <w:ind w:right="211"/>
              <w:jc w:val="right"/>
              <w:rPr>
                <w:sz w:val="22"/>
              </w:rPr>
            </w:pPr>
            <w:r>
              <w:rPr>
                <w:color w:val="FF0000"/>
                <w:sz w:val="22"/>
              </w:rPr>
              <w:t>-</w:t>
              <w:tab/>
            </w:r>
            <w:r>
              <w:rPr>
                <w:color w:val="FF0000"/>
                <w:spacing w:val="-2"/>
                <w:sz w:val="22"/>
              </w:rPr>
              <w:t>20,000.00</w:t>
            </w:r>
          </w:p>
        </w:tc>
      </w:tr>
      <w:tr>
        <w:trPr>
          <w:trHeight w:val="320" w:hRule="exact"/>
        </w:trPr>
        <w:tc>
          <w:tcPr>
            <w:tcW w:w="3898" w:type="dxa"/>
            <w:shd w:val="clear" w:color="auto" w:fill="E6EDD4"/>
          </w:tcPr>
          <w:p>
            <w:pPr>
              <w:pStyle w:val="TableParagraph"/>
              <w:spacing w:line="267" w:lineRule="exact"/>
              <w:ind w:left="98"/>
              <w:rPr>
                <w:sz w:val="22"/>
              </w:rPr>
            </w:pPr>
            <w:r>
              <w:rPr>
                <w:sz w:val="22"/>
              </w:rPr>
              <w:t>Utilidad después de financiamiento</w:t>
            </w:r>
          </w:p>
        </w:tc>
        <w:tc>
          <w:tcPr>
            <w:tcW w:w="1880" w:type="dxa"/>
            <w:shd w:val="clear" w:color="auto" w:fill="E6EDD4"/>
          </w:tcPr>
          <w:p>
            <w:pPr/>
          </w:p>
        </w:tc>
        <w:tc>
          <w:tcPr>
            <w:tcW w:w="1985" w:type="dxa"/>
            <w:shd w:val="clear" w:color="auto" w:fill="E6EDD4"/>
          </w:tcPr>
          <w:p>
            <w:pPr>
              <w:pStyle w:val="TableParagraph"/>
              <w:spacing w:line="267" w:lineRule="exact"/>
              <w:ind w:right="165"/>
              <w:jc w:val="right"/>
              <w:rPr>
                <w:sz w:val="22"/>
              </w:rPr>
            </w:pPr>
            <w:r>
              <w:rPr>
                <w:sz w:val="22"/>
              </w:rPr>
              <w:t>520,000.00</w:t>
            </w:r>
          </w:p>
        </w:tc>
      </w:tr>
      <w:tr>
        <w:trPr>
          <w:trHeight w:val="319" w:hRule="exact"/>
        </w:trPr>
        <w:tc>
          <w:tcPr>
            <w:tcW w:w="3898" w:type="dxa"/>
          </w:tcPr>
          <w:p>
            <w:pPr>
              <w:pStyle w:val="TableParagraph"/>
              <w:spacing w:line="265" w:lineRule="exact"/>
              <w:ind w:left="98"/>
              <w:rPr>
                <w:sz w:val="22"/>
              </w:rPr>
            </w:pPr>
            <w:r>
              <w:rPr>
                <w:sz w:val="22"/>
              </w:rPr>
              <w:t>Otros gastos</w:t>
            </w:r>
          </w:p>
        </w:tc>
        <w:tc>
          <w:tcPr>
            <w:tcW w:w="1880" w:type="dxa"/>
          </w:tcPr>
          <w:p>
            <w:pPr>
              <w:pStyle w:val="TableParagraph"/>
              <w:tabs>
                <w:tab w:pos="558" w:val="left" w:leader="none"/>
              </w:tabs>
              <w:spacing w:line="265" w:lineRule="exact"/>
              <w:ind w:right="259"/>
              <w:jc w:val="right"/>
              <w:rPr>
                <w:sz w:val="22"/>
              </w:rPr>
            </w:pPr>
            <w:r>
              <w:rPr>
                <w:sz w:val="22"/>
              </w:rPr>
              <w:t>$</w:t>
              <w:tab/>
            </w:r>
            <w:r>
              <w:rPr>
                <w:spacing w:val="-1"/>
                <w:sz w:val="22"/>
              </w:rPr>
              <w:t>22,000.00</w:t>
            </w:r>
          </w:p>
        </w:tc>
        <w:tc>
          <w:tcPr>
            <w:tcW w:w="1985" w:type="dxa"/>
          </w:tcPr>
          <w:p>
            <w:pPr/>
          </w:p>
        </w:tc>
      </w:tr>
      <w:tr>
        <w:trPr>
          <w:trHeight w:val="319" w:hRule="exact"/>
        </w:trPr>
        <w:tc>
          <w:tcPr>
            <w:tcW w:w="3898" w:type="dxa"/>
            <w:shd w:val="clear" w:color="auto" w:fill="E6EDD4"/>
          </w:tcPr>
          <w:p>
            <w:pPr>
              <w:pStyle w:val="TableParagraph"/>
              <w:spacing w:line="265" w:lineRule="exact"/>
              <w:ind w:left="98"/>
              <w:rPr>
                <w:sz w:val="22"/>
              </w:rPr>
            </w:pPr>
            <w:r>
              <w:rPr>
                <w:sz w:val="22"/>
              </w:rPr>
              <w:t>Otros productos</w:t>
            </w:r>
          </w:p>
        </w:tc>
        <w:tc>
          <w:tcPr>
            <w:tcW w:w="1880" w:type="dxa"/>
            <w:shd w:val="clear" w:color="auto" w:fill="E6EDD4"/>
          </w:tcPr>
          <w:p>
            <w:pPr>
              <w:pStyle w:val="TableParagraph"/>
              <w:spacing w:line="265" w:lineRule="exact"/>
              <w:ind w:right="220"/>
              <w:jc w:val="right"/>
              <w:rPr>
                <w:sz w:val="22"/>
              </w:rPr>
            </w:pPr>
            <w:r>
              <w:rPr>
                <w:sz w:val="22"/>
              </w:rPr>
              <w:t>12,000.00</w:t>
            </w:r>
          </w:p>
        </w:tc>
        <w:tc>
          <w:tcPr>
            <w:tcW w:w="1985" w:type="dxa"/>
            <w:shd w:val="clear" w:color="auto" w:fill="E6EDD4"/>
          </w:tcPr>
          <w:p>
            <w:pPr>
              <w:pStyle w:val="TableParagraph"/>
              <w:spacing w:line="265" w:lineRule="exact"/>
              <w:ind w:right="177"/>
              <w:jc w:val="right"/>
              <w:rPr>
                <w:sz w:val="22"/>
              </w:rPr>
            </w:pPr>
            <w:r>
              <w:rPr>
                <w:sz w:val="22"/>
              </w:rPr>
              <w:t>10,000.00</w:t>
            </w:r>
          </w:p>
        </w:tc>
      </w:tr>
      <w:tr>
        <w:trPr>
          <w:trHeight w:val="322" w:hRule="exact"/>
        </w:trPr>
        <w:tc>
          <w:tcPr>
            <w:tcW w:w="3898" w:type="dxa"/>
          </w:tcPr>
          <w:p>
            <w:pPr>
              <w:pStyle w:val="TableParagraph"/>
              <w:spacing w:line="268" w:lineRule="exact"/>
              <w:ind w:left="98"/>
              <w:rPr>
                <w:sz w:val="22"/>
              </w:rPr>
            </w:pPr>
            <w:r>
              <w:rPr>
                <w:sz w:val="22"/>
              </w:rPr>
              <w:t>Utilidad neta antes de impuestos</w:t>
            </w:r>
          </w:p>
        </w:tc>
        <w:tc>
          <w:tcPr>
            <w:tcW w:w="1880" w:type="dxa"/>
          </w:tcPr>
          <w:p>
            <w:pPr/>
          </w:p>
        </w:tc>
        <w:tc>
          <w:tcPr>
            <w:tcW w:w="1985" w:type="dxa"/>
          </w:tcPr>
          <w:p>
            <w:pPr>
              <w:pStyle w:val="TableParagraph"/>
              <w:tabs>
                <w:tab w:pos="659" w:val="left" w:leader="none"/>
              </w:tabs>
              <w:spacing w:line="268" w:lineRule="exact"/>
              <w:ind w:right="154"/>
              <w:jc w:val="right"/>
              <w:rPr>
                <w:sz w:val="22"/>
              </w:rPr>
            </w:pPr>
            <w:r>
              <w:rPr>
                <w:sz w:val="22"/>
              </w:rPr>
              <w:t>$</w:t>
              <w:tab/>
            </w:r>
            <w:r>
              <w:rPr>
                <w:spacing w:val="-1"/>
                <w:sz w:val="22"/>
              </w:rPr>
              <w:t>510,000.00</w:t>
            </w:r>
          </w:p>
        </w:tc>
      </w:tr>
    </w:tbl>
    <w:p>
      <w:pPr>
        <w:spacing w:after="0" w:line="268" w:lineRule="exact"/>
        <w:jc w:val="right"/>
        <w:rPr>
          <w:sz w:val="22"/>
        </w:rPr>
        <w:sectPr>
          <w:pgSz w:w="12240" w:h="15840"/>
          <w:pgMar w:header="0" w:footer="779" w:top="1420" w:bottom="960" w:left="1480" w:right="1200"/>
        </w:sectPr>
      </w:pPr>
    </w:p>
    <w:p>
      <w:pPr>
        <w:pStyle w:val="Heading2"/>
        <w:spacing w:before="56"/>
      </w:pPr>
      <w:r>
        <w:rPr/>
        <w:t>Estado de variaciones en el capital contable</w:t>
      </w:r>
    </w:p>
    <w:p>
      <w:pPr>
        <w:pStyle w:val="BodyText"/>
        <w:spacing w:line="360" w:lineRule="auto" w:before="137"/>
        <w:ind w:left="102" w:right="104"/>
        <w:jc w:val="both"/>
      </w:pPr>
      <w:r>
        <w:rPr/>
        <w:t>Es un estado financiero dinámico que nos muestra los saldos iniciales, los incrementos, las disminuciones y los saldos finales de cada una de las cuentas del capital contable relativos a un ejercicio.</w:t>
      </w:r>
    </w:p>
    <w:p>
      <w:pPr>
        <w:pStyle w:val="BodyText"/>
      </w:pPr>
    </w:p>
    <w:p>
      <w:pPr>
        <w:pStyle w:val="BodyText"/>
        <w:spacing w:line="360" w:lineRule="auto" w:before="142"/>
        <w:ind w:left="102" w:right="100"/>
        <w:jc w:val="both"/>
      </w:pPr>
      <w:r>
        <w:rPr/>
        <w:t>Se elabora con el objetivo de proporcionar información a los accionistas de una empresa sobre los movimientos ocurridos guante un periodo determinado en las partidas que integran su inversión en la entidad.</w:t>
      </w:r>
    </w:p>
    <w:p>
      <w:pPr>
        <w:pStyle w:val="BodyText"/>
      </w:pPr>
    </w:p>
    <w:p>
      <w:pPr>
        <w:pStyle w:val="BodyText"/>
        <w:spacing w:before="142"/>
        <w:ind w:left="102"/>
        <w:jc w:val="both"/>
      </w:pPr>
      <w:r>
        <w:rPr>
          <w:u w:val="single"/>
        </w:rPr>
        <w:t>Características</w:t>
      </w:r>
    </w:p>
    <w:p>
      <w:pPr>
        <w:pStyle w:val="BodyText"/>
        <w:rPr>
          <w:sz w:val="20"/>
        </w:rPr>
      </w:pPr>
    </w:p>
    <w:p>
      <w:pPr>
        <w:pStyle w:val="BodyText"/>
        <w:spacing w:before="11"/>
        <w:rPr>
          <w:sz w:val="21"/>
        </w:rPr>
      </w:pPr>
    </w:p>
    <w:p>
      <w:pPr>
        <w:pStyle w:val="ListParagraph"/>
        <w:numPr>
          <w:ilvl w:val="0"/>
          <w:numId w:val="33"/>
        </w:numPr>
        <w:tabs>
          <w:tab w:pos="822" w:val="left" w:leader="none"/>
        </w:tabs>
        <w:spacing w:line="276" w:lineRule="auto" w:before="69" w:after="0"/>
        <w:ind w:left="822" w:right="520" w:hanging="360"/>
        <w:jc w:val="left"/>
        <w:rPr>
          <w:sz w:val="24"/>
        </w:rPr>
      </w:pPr>
      <w:r>
        <w:rPr>
          <w:sz w:val="24"/>
        </w:rPr>
        <w:t>Muestra los saldos iniciales, los movimientos deudores, los</w:t>
      </w:r>
      <w:r>
        <w:rPr>
          <w:spacing w:val="-19"/>
          <w:sz w:val="24"/>
        </w:rPr>
        <w:t> </w:t>
      </w:r>
      <w:r>
        <w:rPr>
          <w:sz w:val="24"/>
        </w:rPr>
        <w:t>movimientos acreedores y los saldos finales de cada rubro del capital</w:t>
      </w:r>
      <w:r>
        <w:rPr>
          <w:spacing w:val="-20"/>
          <w:sz w:val="24"/>
        </w:rPr>
        <w:t> </w:t>
      </w:r>
      <w:r>
        <w:rPr>
          <w:sz w:val="24"/>
        </w:rPr>
        <w:t>contable.</w:t>
      </w:r>
    </w:p>
    <w:p>
      <w:pPr>
        <w:pStyle w:val="BodyText"/>
      </w:pPr>
    </w:p>
    <w:p>
      <w:pPr>
        <w:pStyle w:val="BodyText"/>
        <w:spacing w:before="5"/>
        <w:rPr>
          <w:sz w:val="29"/>
        </w:rPr>
      </w:pPr>
    </w:p>
    <w:p>
      <w:pPr>
        <w:pStyle w:val="ListParagraph"/>
        <w:numPr>
          <w:ilvl w:val="0"/>
          <w:numId w:val="33"/>
        </w:numPr>
        <w:tabs>
          <w:tab w:pos="822" w:val="left" w:leader="none"/>
        </w:tabs>
        <w:spacing w:line="240" w:lineRule="auto" w:before="0" w:after="0"/>
        <w:ind w:left="822" w:right="0" w:hanging="360"/>
        <w:jc w:val="left"/>
        <w:rPr>
          <w:sz w:val="24"/>
        </w:rPr>
      </w:pPr>
      <w:r>
        <w:rPr>
          <w:sz w:val="24"/>
        </w:rPr>
        <w:t>La información corresponde a un período</w:t>
      </w:r>
      <w:r>
        <w:rPr>
          <w:spacing w:val="-22"/>
          <w:sz w:val="24"/>
        </w:rPr>
        <w:t> </w:t>
      </w:r>
      <w:r>
        <w:rPr>
          <w:sz w:val="24"/>
        </w:rPr>
        <w:t>determinado.</w:t>
      </w:r>
    </w:p>
    <w:p>
      <w:pPr>
        <w:pStyle w:val="BodyText"/>
      </w:pPr>
    </w:p>
    <w:p>
      <w:pPr>
        <w:pStyle w:val="BodyText"/>
      </w:pPr>
    </w:p>
    <w:p>
      <w:pPr>
        <w:pStyle w:val="BodyText"/>
      </w:pPr>
    </w:p>
    <w:p>
      <w:pPr>
        <w:pStyle w:val="BodyText"/>
        <w:spacing w:before="1"/>
        <w:rPr>
          <w:sz w:val="21"/>
        </w:rPr>
      </w:pPr>
    </w:p>
    <w:p>
      <w:pPr>
        <w:pStyle w:val="BodyText"/>
        <w:ind w:left="102"/>
      </w:pPr>
      <w:r>
        <w:rPr>
          <w:u w:val="single"/>
        </w:rPr>
        <w:t>Estructura del estado de variaciones en el capital contable</w:t>
      </w:r>
    </w:p>
    <w:p>
      <w:pPr>
        <w:pStyle w:val="BodyText"/>
        <w:rPr>
          <w:sz w:val="20"/>
        </w:rPr>
      </w:pPr>
    </w:p>
    <w:p>
      <w:pPr>
        <w:pStyle w:val="BodyText"/>
        <w:spacing w:before="11"/>
        <w:rPr>
          <w:sz w:val="21"/>
        </w:rPr>
      </w:pPr>
    </w:p>
    <w:p>
      <w:pPr>
        <w:pStyle w:val="BodyText"/>
        <w:spacing w:before="69"/>
        <w:ind w:left="102"/>
      </w:pPr>
      <w:r>
        <w:rPr/>
        <w:t>Como todo estado financiero el Estado de variaciones consta de tres partes:</w:t>
      </w:r>
    </w:p>
    <w:p>
      <w:pPr>
        <w:pStyle w:val="BodyText"/>
      </w:pPr>
    </w:p>
    <w:p>
      <w:pPr>
        <w:pStyle w:val="BodyText"/>
      </w:pPr>
    </w:p>
    <w:p>
      <w:pPr>
        <w:pStyle w:val="ListParagraph"/>
        <w:numPr>
          <w:ilvl w:val="0"/>
          <w:numId w:val="34"/>
        </w:numPr>
        <w:tabs>
          <w:tab w:pos="822" w:val="left" w:leader="none"/>
        </w:tabs>
        <w:spacing w:line="276" w:lineRule="auto" w:before="0" w:after="0"/>
        <w:ind w:left="822" w:right="678" w:hanging="360"/>
        <w:jc w:val="left"/>
        <w:rPr>
          <w:sz w:val="24"/>
        </w:rPr>
      </w:pPr>
      <w:r>
        <w:rPr>
          <w:sz w:val="24"/>
          <w:u w:val="single"/>
        </w:rPr>
        <w:t>El encabezado</w:t>
      </w:r>
      <w:r>
        <w:rPr>
          <w:sz w:val="24"/>
        </w:rPr>
        <w:t>.- Dentro del cual se coloca el nombre de la empresa, el nombre del estado financiero y el periodo al cual</w:t>
      </w:r>
      <w:r>
        <w:rPr>
          <w:spacing w:val="-26"/>
          <w:sz w:val="24"/>
        </w:rPr>
        <w:t> </w:t>
      </w:r>
      <w:r>
        <w:rPr>
          <w:sz w:val="24"/>
        </w:rPr>
        <w:t>corresponde.</w:t>
      </w:r>
    </w:p>
    <w:p>
      <w:pPr>
        <w:pStyle w:val="BodyText"/>
      </w:pPr>
    </w:p>
    <w:p>
      <w:pPr>
        <w:pStyle w:val="BodyText"/>
        <w:spacing w:before="5"/>
        <w:rPr>
          <w:sz w:val="29"/>
        </w:rPr>
      </w:pPr>
    </w:p>
    <w:p>
      <w:pPr>
        <w:pStyle w:val="ListParagraph"/>
        <w:numPr>
          <w:ilvl w:val="0"/>
          <w:numId w:val="34"/>
        </w:numPr>
        <w:tabs>
          <w:tab w:pos="822" w:val="left" w:leader="none"/>
        </w:tabs>
        <w:spacing w:line="276" w:lineRule="auto" w:before="0" w:after="0"/>
        <w:ind w:left="822" w:right="252" w:hanging="360"/>
        <w:jc w:val="left"/>
        <w:rPr>
          <w:sz w:val="24"/>
        </w:rPr>
      </w:pPr>
      <w:r>
        <w:rPr>
          <w:sz w:val="24"/>
          <w:u w:val="single"/>
        </w:rPr>
        <w:t>El cuerpo</w:t>
      </w:r>
      <w:r>
        <w:rPr>
          <w:sz w:val="24"/>
        </w:rPr>
        <w:t>.- Dentro del cual se colocan los saldos iniciales, los movimientos deudores y los saldos finales de cada una de las</w:t>
      </w:r>
      <w:r>
        <w:rPr>
          <w:spacing w:val="-17"/>
          <w:sz w:val="24"/>
        </w:rPr>
        <w:t> </w:t>
      </w:r>
      <w:r>
        <w:rPr>
          <w:sz w:val="24"/>
        </w:rPr>
        <w:t>cuentas.</w:t>
      </w:r>
    </w:p>
    <w:p>
      <w:pPr>
        <w:pStyle w:val="BodyText"/>
      </w:pPr>
    </w:p>
    <w:p>
      <w:pPr>
        <w:pStyle w:val="BodyText"/>
      </w:pPr>
    </w:p>
    <w:p>
      <w:pPr>
        <w:pStyle w:val="ListParagraph"/>
        <w:numPr>
          <w:ilvl w:val="0"/>
          <w:numId w:val="34"/>
        </w:numPr>
        <w:tabs>
          <w:tab w:pos="822" w:val="left" w:leader="none"/>
        </w:tabs>
        <w:spacing w:line="276" w:lineRule="auto" w:before="168" w:after="0"/>
        <w:ind w:left="822" w:right="536" w:hanging="360"/>
        <w:jc w:val="left"/>
        <w:rPr>
          <w:sz w:val="24"/>
        </w:rPr>
      </w:pPr>
      <w:r>
        <w:rPr>
          <w:sz w:val="24"/>
          <w:u w:val="single"/>
        </w:rPr>
        <w:t>El pie</w:t>
      </w:r>
      <w:r>
        <w:rPr>
          <w:sz w:val="24"/>
        </w:rPr>
        <w:t>.- En el cual se colocan el nombre y las firmas tanto del</w:t>
      </w:r>
      <w:r>
        <w:rPr>
          <w:spacing w:val="-26"/>
          <w:sz w:val="24"/>
        </w:rPr>
        <w:t> </w:t>
      </w:r>
      <w:r>
        <w:rPr>
          <w:sz w:val="24"/>
        </w:rPr>
        <w:t>propietario (gerente) como la del</w:t>
      </w:r>
      <w:r>
        <w:rPr>
          <w:spacing w:val="-10"/>
          <w:sz w:val="24"/>
        </w:rPr>
        <w:t> </w:t>
      </w:r>
      <w:r>
        <w:rPr>
          <w:sz w:val="24"/>
        </w:rPr>
        <w:t>contador.</w:t>
      </w:r>
    </w:p>
    <w:p>
      <w:pPr>
        <w:spacing w:after="0" w:line="276" w:lineRule="auto"/>
        <w:jc w:val="left"/>
        <w:rPr>
          <w:sz w:val="24"/>
        </w:rPr>
        <w:sectPr>
          <w:pgSz w:w="12240" w:h="15840"/>
          <w:pgMar w:header="0" w:footer="779" w:top="1360" w:bottom="960" w:left="1600" w:right="1600"/>
        </w:sectPr>
      </w:pPr>
    </w:p>
    <w:p>
      <w:pPr>
        <w:pStyle w:val="BodyText"/>
        <w:spacing w:before="7"/>
        <w:rPr>
          <w:sz w:val="22"/>
        </w:rPr>
      </w:pPr>
    </w:p>
    <w:p>
      <w:pPr>
        <w:pStyle w:val="BodyText"/>
        <w:spacing w:before="69"/>
        <w:ind w:left="102" w:right="120"/>
      </w:pPr>
      <w:r>
        <w:rPr>
          <w:u w:val="single"/>
        </w:rPr>
        <w:t>Formas de presentación</w:t>
      </w:r>
    </w:p>
    <w:p>
      <w:pPr>
        <w:pStyle w:val="BodyText"/>
        <w:rPr>
          <w:sz w:val="20"/>
        </w:rPr>
      </w:pPr>
    </w:p>
    <w:p>
      <w:pPr>
        <w:pStyle w:val="BodyText"/>
        <w:spacing w:before="11"/>
        <w:rPr>
          <w:sz w:val="21"/>
        </w:rPr>
      </w:pPr>
    </w:p>
    <w:p>
      <w:pPr>
        <w:pStyle w:val="BodyText"/>
        <w:spacing w:line="360" w:lineRule="auto" w:before="69"/>
        <w:ind w:left="102" w:right="124"/>
        <w:jc w:val="both"/>
      </w:pPr>
      <w:r>
        <w:rPr/>
        <w:t>Para presentar dicho estado existen básicamente 2 formas, en forma de reporte y en forma de cuenta.</w:t>
      </w:r>
    </w:p>
    <w:p>
      <w:pPr>
        <w:pStyle w:val="BodyText"/>
      </w:pPr>
    </w:p>
    <w:p>
      <w:pPr>
        <w:pStyle w:val="ListParagraph"/>
        <w:numPr>
          <w:ilvl w:val="0"/>
          <w:numId w:val="35"/>
        </w:numPr>
        <w:tabs>
          <w:tab w:pos="822" w:val="left" w:leader="none"/>
        </w:tabs>
        <w:spacing w:line="355" w:lineRule="auto" w:before="142" w:after="0"/>
        <w:ind w:left="822" w:right="124" w:hanging="360"/>
        <w:jc w:val="both"/>
        <w:rPr>
          <w:sz w:val="24"/>
        </w:rPr>
      </w:pPr>
      <w:r>
        <w:rPr>
          <w:sz w:val="24"/>
          <w:u w:val="single"/>
        </w:rPr>
        <w:t>En forma de reporte</w:t>
      </w:r>
      <w:r>
        <w:rPr>
          <w:sz w:val="24"/>
        </w:rPr>
        <w:t>.- se van analizando en forma vertical cada uno de los conceptos que integran el patrimonio de la empresa analizando el saldo inicial, los incrementos, las disminuciones y el saldo</w:t>
      </w:r>
      <w:r>
        <w:rPr>
          <w:spacing w:val="-14"/>
          <w:sz w:val="24"/>
        </w:rPr>
        <w:t> </w:t>
      </w:r>
      <w:r>
        <w:rPr>
          <w:sz w:val="24"/>
        </w:rPr>
        <w:t>final.</w:t>
      </w:r>
    </w:p>
    <w:p>
      <w:pPr>
        <w:pStyle w:val="BodyText"/>
      </w:pPr>
    </w:p>
    <w:p>
      <w:pPr>
        <w:pStyle w:val="ListParagraph"/>
        <w:numPr>
          <w:ilvl w:val="0"/>
          <w:numId w:val="35"/>
        </w:numPr>
        <w:tabs>
          <w:tab w:pos="822" w:val="left" w:leader="none"/>
        </w:tabs>
        <w:spacing w:line="352" w:lineRule="auto" w:before="148" w:after="0"/>
        <w:ind w:left="822" w:right="122" w:hanging="360"/>
        <w:jc w:val="both"/>
        <w:rPr>
          <w:sz w:val="24"/>
        </w:rPr>
      </w:pPr>
      <w:r>
        <w:rPr>
          <w:sz w:val="24"/>
          <w:u w:val="single"/>
        </w:rPr>
        <w:t>En forma de cuenta</w:t>
      </w:r>
      <w:r>
        <w:rPr>
          <w:sz w:val="24"/>
        </w:rPr>
        <w:t>.- Consiste en analizar cada cuenta pero haciéndolo en forma</w:t>
      </w:r>
      <w:r>
        <w:rPr>
          <w:spacing w:val="-5"/>
          <w:sz w:val="24"/>
        </w:rPr>
        <w:t> </w:t>
      </w:r>
      <w:r>
        <w:rPr>
          <w:sz w:val="24"/>
        </w:rPr>
        <w:t>horizontal.</w:t>
      </w:r>
    </w:p>
    <w:p>
      <w:pPr>
        <w:pStyle w:val="BodyText"/>
      </w:pPr>
    </w:p>
    <w:p>
      <w:pPr>
        <w:pStyle w:val="BodyText"/>
        <w:spacing w:line="360" w:lineRule="auto" w:before="150"/>
        <w:ind w:left="102" w:right="122"/>
        <w:jc w:val="both"/>
      </w:pPr>
      <w:r>
        <w:rPr/>
        <w:t>Los acreedores también conceden gran importancia a éste Estado Financiero para analizar el comportamiento del capital contable, ya que éste constituye una garantía para el financiamiento.</w:t>
      </w:r>
    </w:p>
    <w:p>
      <w:pPr>
        <w:pStyle w:val="BodyText"/>
      </w:pPr>
    </w:p>
    <w:p>
      <w:pPr>
        <w:pStyle w:val="BodyText"/>
        <w:spacing w:before="142"/>
        <w:ind w:left="102"/>
        <w:jc w:val="both"/>
      </w:pPr>
      <w:r>
        <w:rPr/>
        <w:t>Existen dos formas de elaborar el Estado:</w:t>
      </w:r>
    </w:p>
    <w:p>
      <w:pPr>
        <w:pStyle w:val="BodyText"/>
      </w:pPr>
    </w:p>
    <w:p>
      <w:pPr>
        <w:pStyle w:val="BodyText"/>
      </w:pPr>
    </w:p>
    <w:p>
      <w:pPr>
        <w:pStyle w:val="ListParagraph"/>
        <w:numPr>
          <w:ilvl w:val="0"/>
          <w:numId w:val="36"/>
        </w:numPr>
        <w:tabs>
          <w:tab w:pos="822" w:val="left" w:leader="none"/>
        </w:tabs>
        <w:spacing w:line="360" w:lineRule="auto" w:before="0" w:after="0"/>
        <w:ind w:left="822" w:right="117" w:hanging="360"/>
        <w:jc w:val="both"/>
        <w:rPr>
          <w:sz w:val="24"/>
        </w:rPr>
      </w:pPr>
      <w:r>
        <w:rPr>
          <w:sz w:val="24"/>
        </w:rPr>
        <w:t>La más sencilla consiste en partir del saldo del capital contable al inicio del ejercicio, sumarle los aumentos y restarle las disminuciones ocurridas durante el ejercicio en las partidas que lo</w:t>
      </w:r>
      <w:r>
        <w:rPr>
          <w:spacing w:val="-20"/>
          <w:sz w:val="24"/>
        </w:rPr>
        <w:t> </w:t>
      </w:r>
      <w:r>
        <w:rPr>
          <w:sz w:val="24"/>
        </w:rPr>
        <w:t>integran.</w:t>
      </w:r>
    </w:p>
    <w:p>
      <w:pPr>
        <w:pStyle w:val="ListParagraph"/>
        <w:numPr>
          <w:ilvl w:val="0"/>
          <w:numId w:val="36"/>
        </w:numPr>
        <w:tabs>
          <w:tab w:pos="822" w:val="left" w:leader="none"/>
        </w:tabs>
        <w:spacing w:line="360" w:lineRule="auto" w:before="2" w:after="0"/>
        <w:ind w:left="822" w:right="121" w:hanging="360"/>
        <w:jc w:val="both"/>
        <w:rPr>
          <w:sz w:val="24"/>
        </w:rPr>
      </w:pPr>
      <w:r>
        <w:rPr>
          <w:sz w:val="24"/>
        </w:rPr>
        <w:t>En forma de matriz, en el renglón superior se muestran las cuentas que integran el capital contable con su saldo inicial y en la primera columna se describen los movimientos que sufrieron las cuentas. En la parte interna se anotarán los movimientos que tuvieron las</w:t>
      </w:r>
      <w:r>
        <w:rPr>
          <w:spacing w:val="-16"/>
          <w:sz w:val="24"/>
        </w:rPr>
        <w:t> </w:t>
      </w:r>
      <w:r>
        <w:rPr>
          <w:sz w:val="24"/>
        </w:rPr>
        <w:t>cuentas.</w:t>
      </w:r>
    </w:p>
    <w:p>
      <w:pPr>
        <w:pStyle w:val="BodyText"/>
      </w:pPr>
    </w:p>
    <w:p>
      <w:pPr>
        <w:pStyle w:val="BodyText"/>
        <w:spacing w:line="360" w:lineRule="auto" w:before="142"/>
        <w:ind w:left="102" w:right="121"/>
        <w:jc w:val="both"/>
      </w:pPr>
      <w:r>
        <w:rPr/>
        <w:t>Muchos de los movimientos que ocurren en las cuentas del capital contable son traspasos y no afectan el saldo total del mismo, por ejemplo: cuando se crea alguna reserva de reinversión esta se toma de las utilidades retenidas y contablemente solo se realizan traspasos de las utilidades a las reservas.</w:t>
      </w:r>
    </w:p>
    <w:p>
      <w:pPr>
        <w:spacing w:after="0" w:line="360" w:lineRule="auto"/>
        <w:jc w:val="both"/>
        <w:sectPr>
          <w:pgSz w:w="12240" w:h="15840"/>
          <w:pgMar w:header="0" w:footer="779" w:top="1500" w:bottom="960" w:left="1600" w:right="1580"/>
        </w:sectPr>
      </w:pPr>
    </w:p>
    <w:p>
      <w:pPr>
        <w:pStyle w:val="BodyText"/>
        <w:spacing w:line="360" w:lineRule="auto" w:before="56"/>
        <w:ind w:left="102" w:right="101"/>
        <w:jc w:val="both"/>
      </w:pPr>
      <w:r>
        <w:rPr/>
        <w:t>Los movimientos reales ocurren cuando en alguna transacción hay un movimiento de efectivo, de cuentas por cobrar o por pagar y cuando se reconoce la utilidad del ejercicio.</w:t>
      </w:r>
    </w:p>
    <w:p>
      <w:pPr>
        <w:pStyle w:val="BodyText"/>
      </w:pPr>
    </w:p>
    <w:p>
      <w:pPr>
        <w:pStyle w:val="BodyText"/>
        <w:spacing w:line="360" w:lineRule="auto" w:before="142"/>
        <w:ind w:left="102" w:right="107"/>
        <w:jc w:val="both"/>
      </w:pPr>
      <w:r>
        <w:rPr/>
        <w:t>Antes de preceder a la elaboración del Estado se deben investigar las causas que dieron origen a los movimientos.</w:t>
      </w:r>
    </w:p>
    <w:p>
      <w:pPr>
        <w:pStyle w:val="BodyText"/>
      </w:pPr>
    </w:p>
    <w:p>
      <w:pPr>
        <w:pStyle w:val="Heading2"/>
        <w:spacing w:before="142"/>
      </w:pPr>
      <w:r>
        <w:rPr/>
        <w:t>Estado de Cambios en la Situación Financiera (Flujo de Efectivo)</w:t>
      </w:r>
    </w:p>
    <w:p>
      <w:pPr>
        <w:pStyle w:val="BodyText"/>
        <w:spacing w:line="360" w:lineRule="auto" w:before="139"/>
        <w:ind w:left="102" w:right="103"/>
        <w:jc w:val="both"/>
      </w:pPr>
      <w:r>
        <w:rPr/>
        <w:t>El estado de cambios en la situación financiera, tiene como objeto principal proporcionar a los usuarios de los estados financieros, información relevante y condensada relativa a un periodo determinado y que les aporte elementos, que en adición a los demás estados financieros, sean suficientes para:</w:t>
      </w:r>
    </w:p>
    <w:p>
      <w:pPr>
        <w:pStyle w:val="BodyText"/>
      </w:pPr>
    </w:p>
    <w:p>
      <w:pPr>
        <w:pStyle w:val="ListParagraph"/>
        <w:numPr>
          <w:ilvl w:val="1"/>
          <w:numId w:val="36"/>
        </w:numPr>
        <w:tabs>
          <w:tab w:pos="1518" w:val="left" w:leader="none"/>
        </w:tabs>
        <w:spacing w:line="360" w:lineRule="auto" w:before="142" w:after="0"/>
        <w:ind w:left="810" w:right="103" w:firstLine="0"/>
        <w:jc w:val="both"/>
        <w:rPr>
          <w:sz w:val="24"/>
        </w:rPr>
      </w:pPr>
      <w:r>
        <w:rPr>
          <w:sz w:val="24"/>
        </w:rPr>
        <w:t>Evaluar la capacidad de la sociedad distribuidora de acciones para generar</w:t>
      </w:r>
      <w:r>
        <w:rPr>
          <w:spacing w:val="-3"/>
          <w:sz w:val="24"/>
        </w:rPr>
        <w:t> </w:t>
      </w:r>
      <w:r>
        <w:rPr>
          <w:sz w:val="24"/>
        </w:rPr>
        <w:t>recursos;</w:t>
      </w:r>
    </w:p>
    <w:p>
      <w:pPr>
        <w:pStyle w:val="ListParagraph"/>
        <w:numPr>
          <w:ilvl w:val="1"/>
          <w:numId w:val="36"/>
        </w:numPr>
        <w:tabs>
          <w:tab w:pos="1518" w:val="left" w:leader="none"/>
        </w:tabs>
        <w:spacing w:line="360" w:lineRule="auto" w:before="2" w:after="0"/>
        <w:ind w:left="810" w:right="105" w:firstLine="0"/>
        <w:jc w:val="both"/>
        <w:rPr>
          <w:sz w:val="24"/>
        </w:rPr>
      </w:pPr>
      <w:r>
        <w:rPr>
          <w:sz w:val="24"/>
        </w:rPr>
        <w:t>Conocer y evaluar las razones de las diferencias entre el resultado neto y los recursos generados o utilizados por la operación,</w:t>
      </w:r>
      <w:r>
        <w:rPr>
          <w:spacing w:val="-21"/>
          <w:sz w:val="24"/>
        </w:rPr>
        <w:t> </w:t>
      </w:r>
      <w:r>
        <w:rPr>
          <w:sz w:val="24"/>
        </w:rPr>
        <w:t>y</w:t>
      </w:r>
    </w:p>
    <w:p>
      <w:pPr>
        <w:pStyle w:val="ListParagraph"/>
        <w:numPr>
          <w:ilvl w:val="1"/>
          <w:numId w:val="36"/>
        </w:numPr>
        <w:tabs>
          <w:tab w:pos="1518" w:val="left" w:leader="none"/>
        </w:tabs>
        <w:spacing w:line="360" w:lineRule="auto" w:before="3" w:after="0"/>
        <w:ind w:left="810" w:right="98" w:firstLine="0"/>
        <w:jc w:val="both"/>
        <w:rPr>
          <w:sz w:val="24"/>
        </w:rPr>
      </w:pPr>
      <w:r>
        <w:rPr>
          <w:sz w:val="24"/>
        </w:rPr>
        <w:t>Evaluar la estrategia de la sociedad distribuidora de acciones, aplicada en las transacciones de inversión y financiamiento ocurridas en el periodo, es decir, la capacidad para cumplir con sus obligaciones, para pagar dividendos, y en su caso, para anticipar la necesidad de obtener financiamiento, entre otros</w:t>
      </w:r>
      <w:r>
        <w:rPr>
          <w:spacing w:val="-7"/>
          <w:sz w:val="24"/>
        </w:rPr>
        <w:t> </w:t>
      </w:r>
      <w:r>
        <w:rPr>
          <w:sz w:val="24"/>
        </w:rPr>
        <w:t>aspectos.</w:t>
      </w:r>
    </w:p>
    <w:p>
      <w:pPr>
        <w:pStyle w:val="BodyText"/>
      </w:pPr>
    </w:p>
    <w:p>
      <w:pPr>
        <w:pStyle w:val="BodyText"/>
      </w:pPr>
    </w:p>
    <w:p>
      <w:pPr>
        <w:pStyle w:val="BodyText"/>
        <w:spacing w:before="2"/>
      </w:pPr>
    </w:p>
    <w:p>
      <w:pPr>
        <w:pStyle w:val="BodyText"/>
        <w:spacing w:line="360" w:lineRule="auto" w:before="1"/>
        <w:ind w:left="102" w:right="101"/>
        <w:jc w:val="both"/>
      </w:pPr>
      <w:r>
        <w:rPr/>
        <w:t>Por lo tanto, el estado de cambios en la situación financiera es aquél que muestra, en pesos constantes, los recursos generados o utilizados en la operación, los principales cambios ocurridos en la estructura financiera de la sociedad distribuidora de acciones y su reflejo final en el efectivo y equivalentes de efectivo en un periodo determinado.</w:t>
      </w:r>
    </w:p>
    <w:p>
      <w:pPr>
        <w:spacing w:after="0" w:line="360" w:lineRule="auto"/>
        <w:jc w:val="both"/>
        <w:sectPr>
          <w:pgSz w:w="12240" w:h="15840"/>
          <w:pgMar w:header="0" w:footer="779" w:top="1360" w:bottom="960" w:left="1600" w:right="1600"/>
        </w:sectPr>
      </w:pPr>
    </w:p>
    <w:p>
      <w:pPr>
        <w:pStyle w:val="BodyText"/>
        <w:spacing w:before="56"/>
        <w:ind w:left="102" w:right="120"/>
      </w:pPr>
      <w:r>
        <w:rPr>
          <w:u w:val="single"/>
        </w:rPr>
        <w:t>Conceptos que integran el estado de cambios en la situación financiera</w:t>
      </w:r>
    </w:p>
    <w:p>
      <w:pPr>
        <w:pStyle w:val="BodyText"/>
        <w:rPr>
          <w:sz w:val="20"/>
        </w:rPr>
      </w:pPr>
    </w:p>
    <w:p>
      <w:pPr>
        <w:pStyle w:val="BodyText"/>
        <w:rPr>
          <w:sz w:val="22"/>
        </w:rPr>
      </w:pPr>
    </w:p>
    <w:p>
      <w:pPr>
        <w:pStyle w:val="Heading2"/>
        <w:spacing w:before="69"/>
      </w:pPr>
      <w:r>
        <w:rPr/>
        <w:t>Actividades de operación</w:t>
      </w:r>
    </w:p>
    <w:p>
      <w:pPr>
        <w:pStyle w:val="BodyText"/>
        <w:spacing w:line="360" w:lineRule="auto" w:before="137"/>
        <w:ind w:left="102" w:right="125"/>
        <w:jc w:val="both"/>
      </w:pPr>
      <w:r>
        <w:rPr/>
        <w:t>Son aquellas transacciones no clasificadas como de inversión o de financiamiento, que por lo general involucran a las operaciones principales de las sociedades distribuidoras de acciones. Dentro de estas están:</w:t>
      </w:r>
    </w:p>
    <w:p>
      <w:pPr>
        <w:pStyle w:val="ListParagraph"/>
        <w:numPr>
          <w:ilvl w:val="0"/>
          <w:numId w:val="37"/>
        </w:numPr>
        <w:tabs>
          <w:tab w:pos="1518" w:val="left" w:leader="none"/>
        </w:tabs>
        <w:spacing w:line="360" w:lineRule="auto" w:before="5" w:after="0"/>
        <w:ind w:left="810" w:right="118" w:firstLine="0"/>
        <w:jc w:val="both"/>
        <w:rPr>
          <w:sz w:val="24"/>
        </w:rPr>
      </w:pPr>
      <w:r>
        <w:rPr>
          <w:sz w:val="24"/>
        </w:rPr>
        <w:t>Las partidas del estado de resultados que no hayan generado o requerido el uso de recursos o cuyo resultado neto esté asociado a actividades de financiamiento o inversión, como son: la valuación a valor razonable de inversiones en valores y divisas vinculadas a su objeto social; las depreciaciones y amortizaciones; los cambios netos en los impuestos diferidos, y las provisiones para obligaciones diversas, entre</w:t>
      </w:r>
      <w:r>
        <w:rPr>
          <w:spacing w:val="-17"/>
          <w:sz w:val="24"/>
        </w:rPr>
        <w:t> </w:t>
      </w:r>
      <w:r>
        <w:rPr>
          <w:sz w:val="24"/>
        </w:rPr>
        <w:t>otros.</w:t>
      </w:r>
    </w:p>
    <w:p>
      <w:pPr>
        <w:pStyle w:val="ListParagraph"/>
        <w:numPr>
          <w:ilvl w:val="0"/>
          <w:numId w:val="37"/>
        </w:numPr>
        <w:tabs>
          <w:tab w:pos="1518" w:val="left" w:leader="none"/>
        </w:tabs>
        <w:spacing w:line="360" w:lineRule="auto" w:before="5" w:after="0"/>
        <w:ind w:left="810" w:right="117" w:firstLine="0"/>
        <w:jc w:val="both"/>
        <w:rPr>
          <w:sz w:val="24"/>
        </w:rPr>
      </w:pPr>
      <w:r>
        <w:rPr>
          <w:sz w:val="24"/>
        </w:rPr>
        <w:t>Los incrementos o reducciones en pesos constantes de las diferentes partidas relacionadas directamente con la operación de </w:t>
      </w:r>
      <w:r>
        <w:rPr>
          <w:spacing w:val="3"/>
          <w:sz w:val="24"/>
        </w:rPr>
        <w:t>la </w:t>
      </w:r>
      <w:r>
        <w:rPr>
          <w:sz w:val="24"/>
        </w:rPr>
        <w:t>sociedad distribuidora de</w:t>
      </w:r>
      <w:r>
        <w:rPr>
          <w:spacing w:val="-7"/>
          <w:sz w:val="24"/>
        </w:rPr>
        <w:t> </w:t>
      </w:r>
      <w:r>
        <w:rPr>
          <w:sz w:val="24"/>
        </w:rPr>
        <w:t>acciones.</w:t>
      </w:r>
    </w:p>
    <w:p>
      <w:pPr>
        <w:pStyle w:val="BodyText"/>
      </w:pPr>
    </w:p>
    <w:p>
      <w:pPr>
        <w:pStyle w:val="BodyText"/>
      </w:pPr>
    </w:p>
    <w:p>
      <w:pPr>
        <w:pStyle w:val="BodyText"/>
        <w:spacing w:before="3"/>
      </w:pPr>
    </w:p>
    <w:p>
      <w:pPr>
        <w:pStyle w:val="Heading2"/>
      </w:pPr>
      <w:r>
        <w:rPr/>
        <w:t>Actividades de financiamiento</w:t>
      </w:r>
    </w:p>
    <w:p>
      <w:pPr>
        <w:pStyle w:val="BodyText"/>
        <w:spacing w:line="360" w:lineRule="auto" w:before="139"/>
        <w:ind w:left="102" w:right="118"/>
        <w:jc w:val="both"/>
      </w:pPr>
      <w:r>
        <w:rPr/>
        <w:t>Son aquellas transacciones que las sociedades distribuidoras de acciones llevan a cabo con el propósito de obtener recursos de largo plazo, tales como la  suscripción de capital. Los recursos generados o utilizados en actividades de financiamiento comprenden principalmente a aquellas partidas relacionadas con la obtención y amortización de préstamos bancarios y de otros organismos,  los pagos de dividendos en efectivo, la emisión o reducción de capital social, incluyendo la capitalización de</w:t>
      </w:r>
      <w:r>
        <w:rPr>
          <w:spacing w:val="-15"/>
        </w:rPr>
        <w:t> </w:t>
      </w:r>
      <w:r>
        <w:rPr/>
        <w:t>pasivos.</w:t>
      </w:r>
    </w:p>
    <w:p>
      <w:pPr>
        <w:pStyle w:val="BodyText"/>
      </w:pPr>
    </w:p>
    <w:p>
      <w:pPr>
        <w:pStyle w:val="Heading2"/>
        <w:spacing w:before="142"/>
      </w:pPr>
      <w:r>
        <w:rPr/>
        <w:t>Actividades de inversión</w:t>
      </w:r>
    </w:p>
    <w:p>
      <w:pPr>
        <w:pStyle w:val="BodyText"/>
        <w:spacing w:line="360" w:lineRule="auto" w:before="139"/>
        <w:ind w:left="102" w:right="119"/>
        <w:jc w:val="both"/>
      </w:pPr>
      <w:r>
        <w:rPr/>
        <w:t>Son aquellas transacciones que llevan a cabo las sociedades distribuidoras de acciones, las cuales afectan su inversión en activos. Los recursos generados o utilizados en actividades de inversión comprenden principalmente al incremento o decremento derivado de la adquisición o venta de activos fijos y de acciones de</w:t>
      </w:r>
    </w:p>
    <w:p>
      <w:pPr>
        <w:spacing w:after="0" w:line="360" w:lineRule="auto"/>
        <w:jc w:val="both"/>
        <w:sectPr>
          <w:pgSz w:w="12240" w:h="15840"/>
          <w:pgMar w:header="0" w:footer="779" w:top="1360" w:bottom="960" w:left="1600" w:right="1580"/>
        </w:sectPr>
      </w:pPr>
    </w:p>
    <w:p>
      <w:pPr>
        <w:pStyle w:val="BodyText"/>
        <w:spacing w:line="360" w:lineRule="auto" w:before="56"/>
        <w:ind w:left="102" w:right="125"/>
        <w:jc w:val="both"/>
      </w:pPr>
      <w:r>
        <w:rPr/>
        <w:t>empresas con carácter permanente. Asimismo incluyen el incremento o decremento en cargos y créditos diferidos.</w:t>
      </w:r>
    </w:p>
    <w:p>
      <w:pPr>
        <w:pStyle w:val="BodyText"/>
      </w:pPr>
    </w:p>
    <w:p>
      <w:pPr>
        <w:pStyle w:val="Heading2"/>
        <w:spacing w:before="142"/>
      </w:pPr>
      <w:r>
        <w:rPr/>
        <w:t>Equivalentes de efectivo</w:t>
      </w:r>
    </w:p>
    <w:p>
      <w:pPr>
        <w:pStyle w:val="BodyText"/>
        <w:spacing w:line="360" w:lineRule="auto" w:before="139"/>
        <w:ind w:left="102" w:right="116"/>
        <w:jc w:val="both"/>
      </w:pPr>
      <w:r>
        <w:rPr/>
        <w:t>Para efectos del presente criterio, los equivalentes de efectivo serán aquellas partidas que se consideren disponibilidades en los términos del criterio B-1 “Disponibilidades”.</w:t>
      </w:r>
    </w:p>
    <w:p>
      <w:pPr>
        <w:pStyle w:val="BodyText"/>
      </w:pPr>
    </w:p>
    <w:p>
      <w:pPr>
        <w:pStyle w:val="BodyText"/>
      </w:pPr>
    </w:p>
    <w:p>
      <w:pPr>
        <w:pStyle w:val="BodyText"/>
        <w:spacing w:before="3"/>
      </w:pPr>
    </w:p>
    <w:p>
      <w:pPr>
        <w:pStyle w:val="BodyText"/>
        <w:ind w:left="102"/>
        <w:jc w:val="both"/>
      </w:pPr>
      <w:r>
        <w:rPr>
          <w:u w:val="single"/>
        </w:rPr>
        <w:t>Estructura del estado de cambios en la situación financiera</w:t>
      </w:r>
    </w:p>
    <w:p>
      <w:pPr>
        <w:pStyle w:val="BodyText"/>
        <w:rPr>
          <w:sz w:val="20"/>
        </w:rPr>
      </w:pPr>
    </w:p>
    <w:p>
      <w:pPr>
        <w:pStyle w:val="BodyText"/>
        <w:spacing w:before="11"/>
        <w:rPr>
          <w:sz w:val="21"/>
        </w:rPr>
      </w:pPr>
    </w:p>
    <w:p>
      <w:pPr>
        <w:pStyle w:val="BodyText"/>
        <w:spacing w:line="360" w:lineRule="auto" w:before="69"/>
        <w:ind w:left="102" w:right="116"/>
        <w:jc w:val="both"/>
      </w:pPr>
      <w:r>
        <w:rPr/>
        <w:t>Para proporcionar una visión integral de los cambios en la situación financiera, el estado debe mostrar las modificaciones registradas, en pesos constantes, de cada uno de los principales rubros que lo integran; las cuales, conjuntamente con el resultado del periodo, determinan el cambio de los recursos de la sociedad distribuidora de acciones de que se trate.</w:t>
      </w:r>
    </w:p>
    <w:p>
      <w:pPr>
        <w:pStyle w:val="BodyText"/>
      </w:pPr>
    </w:p>
    <w:p>
      <w:pPr>
        <w:pStyle w:val="BodyText"/>
        <w:spacing w:line="360" w:lineRule="auto" w:before="142"/>
        <w:ind w:left="102" w:right="126"/>
        <w:jc w:val="both"/>
      </w:pPr>
      <w:r>
        <w:rPr/>
        <w:t>Las actividades desarrolladas por las sociedades distribuidoras de acciones, se dividen en:</w:t>
      </w:r>
    </w:p>
    <w:p>
      <w:pPr>
        <w:pStyle w:val="BodyText"/>
      </w:pPr>
    </w:p>
    <w:p>
      <w:pPr>
        <w:pStyle w:val="ListParagraph"/>
        <w:numPr>
          <w:ilvl w:val="0"/>
          <w:numId w:val="38"/>
        </w:numPr>
        <w:tabs>
          <w:tab w:pos="810" w:val="left" w:leader="none"/>
        </w:tabs>
        <w:spacing w:line="240" w:lineRule="auto" w:before="142" w:after="0"/>
        <w:ind w:left="810" w:right="0" w:hanging="708"/>
        <w:jc w:val="both"/>
        <w:rPr>
          <w:sz w:val="24"/>
        </w:rPr>
      </w:pPr>
      <w:r>
        <w:rPr>
          <w:sz w:val="24"/>
        </w:rPr>
        <w:t>actividades de</w:t>
      </w:r>
      <w:r>
        <w:rPr>
          <w:spacing w:val="-8"/>
          <w:sz w:val="24"/>
        </w:rPr>
        <w:t> </w:t>
      </w:r>
      <w:r>
        <w:rPr>
          <w:sz w:val="24"/>
        </w:rPr>
        <w:t>operación;</w:t>
      </w:r>
    </w:p>
    <w:p>
      <w:pPr>
        <w:pStyle w:val="ListParagraph"/>
        <w:numPr>
          <w:ilvl w:val="0"/>
          <w:numId w:val="38"/>
        </w:numPr>
        <w:tabs>
          <w:tab w:pos="810" w:val="left" w:leader="none"/>
        </w:tabs>
        <w:spacing w:line="240" w:lineRule="auto" w:before="137" w:after="0"/>
        <w:ind w:left="810" w:right="0" w:hanging="708"/>
        <w:jc w:val="both"/>
        <w:rPr>
          <w:sz w:val="24"/>
        </w:rPr>
      </w:pPr>
      <w:r>
        <w:rPr>
          <w:sz w:val="24"/>
        </w:rPr>
        <w:t>actividades de financiamiento,</w:t>
      </w:r>
      <w:r>
        <w:rPr>
          <w:spacing w:val="-8"/>
          <w:sz w:val="24"/>
        </w:rPr>
        <w:t> </w:t>
      </w:r>
      <w:r>
        <w:rPr>
          <w:sz w:val="24"/>
        </w:rPr>
        <w:t>y</w:t>
      </w:r>
    </w:p>
    <w:p>
      <w:pPr>
        <w:pStyle w:val="ListParagraph"/>
        <w:numPr>
          <w:ilvl w:val="0"/>
          <w:numId w:val="38"/>
        </w:numPr>
        <w:tabs>
          <w:tab w:pos="810" w:val="left" w:leader="none"/>
        </w:tabs>
        <w:spacing w:line="240" w:lineRule="auto" w:before="139" w:after="0"/>
        <w:ind w:left="810" w:right="0" w:hanging="708"/>
        <w:jc w:val="both"/>
        <w:rPr>
          <w:sz w:val="24"/>
        </w:rPr>
      </w:pPr>
      <w:r>
        <w:rPr>
          <w:sz w:val="24"/>
        </w:rPr>
        <w:t>actividades de</w:t>
      </w:r>
      <w:r>
        <w:rPr>
          <w:spacing w:val="-9"/>
          <w:sz w:val="24"/>
        </w:rPr>
        <w:t> </w:t>
      </w:r>
      <w:r>
        <w:rPr>
          <w:sz w:val="24"/>
        </w:rPr>
        <w:t>inversión.</w:t>
      </w:r>
    </w:p>
    <w:p>
      <w:pPr>
        <w:pStyle w:val="BodyText"/>
      </w:pPr>
    </w:p>
    <w:p>
      <w:pPr>
        <w:pStyle w:val="BodyText"/>
        <w:spacing w:before="9"/>
        <w:rPr>
          <w:sz w:val="23"/>
        </w:rPr>
      </w:pPr>
    </w:p>
    <w:p>
      <w:pPr>
        <w:pStyle w:val="BodyText"/>
        <w:spacing w:line="360" w:lineRule="auto"/>
        <w:ind w:left="102" w:right="121"/>
        <w:jc w:val="both"/>
      </w:pPr>
      <w:r>
        <w:rPr/>
        <w:t>Los cambios en la situación financiera se determinarán por diferencias entre los distintos rubros del balance general inicial y final, expresados ambos en pesos de poder adquisitivo a la fecha del balance general más reciente, clasificadas en los tres grupos antes mencionados.</w:t>
      </w:r>
    </w:p>
    <w:p>
      <w:pPr>
        <w:pStyle w:val="BodyText"/>
      </w:pPr>
    </w:p>
    <w:p>
      <w:pPr>
        <w:pStyle w:val="BodyText"/>
        <w:spacing w:line="360" w:lineRule="auto" w:before="142"/>
        <w:ind w:left="102" w:right="126"/>
        <w:jc w:val="both"/>
      </w:pPr>
      <w:r>
        <w:rPr/>
        <w:t>Los movimientos contables que no impliquen modificaciones en la estructura financiera de  las  sociedades distribuidoras de acciones,  como  es el  caso  de  la</w:t>
      </w:r>
    </w:p>
    <w:p>
      <w:pPr>
        <w:spacing w:after="0" w:line="360" w:lineRule="auto"/>
        <w:jc w:val="both"/>
        <w:sectPr>
          <w:pgSz w:w="12240" w:h="15840"/>
          <w:pgMar w:header="0" w:footer="779" w:top="1360" w:bottom="960" w:left="1600" w:right="1580"/>
        </w:sectPr>
      </w:pPr>
    </w:p>
    <w:p>
      <w:pPr>
        <w:pStyle w:val="BodyText"/>
        <w:spacing w:line="360" w:lineRule="auto" w:before="56"/>
        <w:ind w:left="102" w:right="101"/>
        <w:jc w:val="both"/>
      </w:pPr>
      <w:r>
        <w:rPr/>
        <w:t>capitalización de utilidades e incrementos en la reserva legal, se compensarán entre sí, omitiéndose su presentación en el estado de cambios en la situación financiera; por el contrario, si el traspaso implica modificación en la estructura financiera de las sociedades distribuidoras de acciones, se deberán presentar los movimientos por separado, como sería el caso de la conversión del pasivo en capital, adquisición de activos a través de contratos de arrendamiento financiero y la emisión de acciones para la adquisición de activos, entre otros.</w:t>
      </w:r>
    </w:p>
    <w:p>
      <w:pPr>
        <w:pStyle w:val="BodyText"/>
      </w:pPr>
    </w:p>
    <w:p>
      <w:pPr>
        <w:pStyle w:val="BodyText"/>
        <w:spacing w:line="360" w:lineRule="auto" w:before="142"/>
        <w:ind w:left="102" w:right="107"/>
        <w:jc w:val="both"/>
      </w:pPr>
      <w:r>
        <w:rPr/>
        <w:t>El resultado por tenencia de activos no monetarios del periodo deberá eliminarse del saldo final de la partida que le dio origen y de la correspondiente del capital contable.</w:t>
      </w:r>
    </w:p>
    <w:p>
      <w:pPr>
        <w:spacing w:after="0" w:line="360" w:lineRule="auto"/>
        <w:jc w:val="both"/>
        <w:sectPr>
          <w:pgSz w:w="12240" w:h="15840"/>
          <w:pgMar w:header="0" w:footer="779" w:top="1360" w:bottom="960" w:left="1600" w:right="1600"/>
        </w:sectPr>
      </w:pPr>
    </w:p>
    <w:p>
      <w:pPr>
        <w:pStyle w:val="Heading2"/>
        <w:spacing w:before="54"/>
        <w:ind w:left="778" w:right="120"/>
        <w:jc w:val="left"/>
      </w:pPr>
      <w:bookmarkStart w:name="_bookmark27" w:id="44"/>
      <w:bookmarkEnd w:id="44"/>
      <w:r>
        <w:rPr>
          <w:b w:val="0"/>
        </w:rPr>
      </w:r>
      <w:r>
        <w:rPr/>
        <w:t>UNIDAD V INTERPRETACIÓN DE LA INFORMACIÓN FINANCIERA</w:t>
      </w:r>
    </w:p>
    <w:p>
      <w:pPr>
        <w:pStyle w:val="BodyText"/>
        <w:rPr>
          <w:b/>
        </w:rPr>
      </w:pPr>
    </w:p>
    <w:p>
      <w:pPr>
        <w:pStyle w:val="BodyText"/>
        <w:spacing w:before="183"/>
        <w:ind w:left="102" w:right="120"/>
      </w:pPr>
      <w:r>
        <w:rPr/>
        <w:t>El alumno analiza e interpreta los resultados obtenidos por la entidad.</w:t>
      </w:r>
    </w:p>
    <w:p>
      <w:pPr>
        <w:pStyle w:val="ListParagraph"/>
        <w:numPr>
          <w:ilvl w:val="1"/>
          <w:numId w:val="39"/>
        </w:numPr>
        <w:tabs>
          <w:tab w:pos="1095" w:val="left" w:leader="none"/>
          <w:tab w:pos="1096" w:val="left" w:leader="none"/>
        </w:tabs>
        <w:spacing w:line="240" w:lineRule="auto" w:before="137" w:after="0"/>
        <w:ind w:left="1095" w:right="0" w:hanging="633"/>
        <w:jc w:val="left"/>
        <w:rPr>
          <w:sz w:val="24"/>
        </w:rPr>
      </w:pPr>
      <w:r>
        <w:rPr>
          <w:sz w:val="24"/>
        </w:rPr>
        <w:t>Razones</w:t>
      </w:r>
      <w:r>
        <w:rPr>
          <w:spacing w:val="-4"/>
          <w:sz w:val="24"/>
        </w:rPr>
        <w:t> </w:t>
      </w:r>
      <w:r>
        <w:rPr>
          <w:sz w:val="24"/>
        </w:rPr>
        <w:t>financieras.</w:t>
      </w:r>
    </w:p>
    <w:p>
      <w:pPr>
        <w:pStyle w:val="ListParagraph"/>
        <w:numPr>
          <w:ilvl w:val="1"/>
          <w:numId w:val="39"/>
        </w:numPr>
        <w:tabs>
          <w:tab w:pos="1095" w:val="left" w:leader="none"/>
          <w:tab w:pos="1096" w:val="left" w:leader="none"/>
        </w:tabs>
        <w:spacing w:line="240" w:lineRule="auto" w:before="139" w:after="0"/>
        <w:ind w:left="1095" w:right="0" w:hanging="633"/>
        <w:jc w:val="left"/>
        <w:rPr>
          <w:sz w:val="24"/>
        </w:rPr>
      </w:pPr>
      <w:r>
        <w:rPr>
          <w:sz w:val="24"/>
        </w:rPr>
        <w:t>Porcientos</w:t>
      </w:r>
      <w:r>
        <w:rPr>
          <w:spacing w:val="-6"/>
          <w:sz w:val="24"/>
        </w:rPr>
        <w:t> </w:t>
      </w:r>
      <w:r>
        <w:rPr>
          <w:sz w:val="24"/>
        </w:rPr>
        <w:t>integrales.</w:t>
      </w:r>
    </w:p>
    <w:p>
      <w:pPr>
        <w:pStyle w:val="BodyText"/>
      </w:pPr>
    </w:p>
    <w:p>
      <w:pPr>
        <w:pStyle w:val="BodyText"/>
        <w:spacing w:before="9"/>
        <w:rPr>
          <w:sz w:val="23"/>
        </w:rPr>
      </w:pPr>
    </w:p>
    <w:p>
      <w:pPr>
        <w:pStyle w:val="Heading2"/>
        <w:numPr>
          <w:ilvl w:val="1"/>
          <w:numId w:val="40"/>
        </w:numPr>
        <w:tabs>
          <w:tab w:pos="669" w:val="left" w:leader="none"/>
        </w:tabs>
        <w:spacing w:line="240" w:lineRule="auto" w:before="0" w:after="0"/>
        <w:ind w:left="668" w:right="0" w:hanging="566"/>
        <w:jc w:val="left"/>
      </w:pPr>
      <w:bookmarkStart w:name="_bookmark28" w:id="45"/>
      <w:bookmarkEnd w:id="45"/>
      <w:r>
        <w:rPr>
          <w:b w:val="0"/>
        </w:rPr>
      </w:r>
      <w:bookmarkStart w:name="_bookmark28" w:id="46"/>
      <w:bookmarkEnd w:id="46"/>
      <w:r>
        <w:rPr/>
        <w:t>Razone</w:t>
      </w:r>
      <w:r>
        <w:rPr/>
        <w:t>s</w:t>
      </w:r>
      <w:r>
        <w:rPr>
          <w:spacing w:val="-5"/>
        </w:rPr>
        <w:t> </w:t>
      </w:r>
      <w:r>
        <w:rPr/>
        <w:t>financieras.</w:t>
      </w:r>
    </w:p>
    <w:p>
      <w:pPr>
        <w:pStyle w:val="BodyText"/>
        <w:spacing w:line="360" w:lineRule="auto" w:before="139"/>
        <w:ind w:left="102" w:right="116"/>
        <w:jc w:val="both"/>
      </w:pPr>
      <w:r>
        <w:rPr/>
        <w:t>Son índices para identificar la situación en la que se encuentra la empresa, es una herramienta que señala las fortalezas y debilidades de la entidad, de acuerdo a las Normas de Información Financiera pueden ser de:</w:t>
      </w:r>
    </w:p>
    <w:p>
      <w:pPr>
        <w:pStyle w:val="BodyText"/>
      </w:pPr>
    </w:p>
    <w:p>
      <w:pPr>
        <w:pStyle w:val="ListParagraph"/>
        <w:numPr>
          <w:ilvl w:val="0"/>
          <w:numId w:val="9"/>
        </w:numPr>
        <w:tabs>
          <w:tab w:pos="462" w:val="left" w:leader="none"/>
        </w:tabs>
        <w:spacing w:line="273" w:lineRule="auto" w:before="140" w:after="0"/>
        <w:ind w:left="462" w:right="123" w:hanging="360"/>
        <w:jc w:val="both"/>
        <w:rPr>
          <w:rFonts w:ascii="Symbol"/>
          <w:sz w:val="24"/>
        </w:rPr>
      </w:pPr>
      <w:r>
        <w:rPr>
          <w:b/>
          <w:sz w:val="24"/>
        </w:rPr>
        <w:t>Liquidez: </w:t>
      </w:r>
      <w:r>
        <w:rPr>
          <w:sz w:val="24"/>
        </w:rPr>
        <w:t>Miden la capacidad de la empresa para identifica sus necesidades en</w:t>
      </w:r>
      <w:r>
        <w:rPr>
          <w:spacing w:val="-4"/>
          <w:sz w:val="24"/>
        </w:rPr>
        <w:t> </w:t>
      </w:r>
      <w:r>
        <w:rPr>
          <w:sz w:val="24"/>
        </w:rPr>
        <w:t>efectivo.</w:t>
      </w:r>
    </w:p>
    <w:p>
      <w:pPr>
        <w:pStyle w:val="BodyText"/>
        <w:spacing w:before="7"/>
        <w:rPr>
          <w:sz w:val="27"/>
        </w:rPr>
      </w:pPr>
    </w:p>
    <w:p>
      <w:pPr>
        <w:pStyle w:val="ListParagraph"/>
        <w:numPr>
          <w:ilvl w:val="0"/>
          <w:numId w:val="9"/>
        </w:numPr>
        <w:tabs>
          <w:tab w:pos="462" w:val="left" w:leader="none"/>
        </w:tabs>
        <w:spacing w:line="273" w:lineRule="auto" w:before="1" w:after="0"/>
        <w:ind w:left="462" w:right="117" w:hanging="360"/>
        <w:jc w:val="both"/>
        <w:rPr>
          <w:rFonts w:ascii="Symbol" w:hAnsi="Symbol"/>
          <w:sz w:val="24"/>
        </w:rPr>
      </w:pPr>
      <w:r>
        <w:rPr>
          <w:b/>
          <w:sz w:val="24"/>
        </w:rPr>
        <w:t>Eficiencia y operación: </w:t>
      </w:r>
      <w:r>
        <w:rPr>
          <w:sz w:val="24"/>
        </w:rPr>
        <w:t>Miden el aprovechamiento de la empresa en sus activos.</w:t>
      </w:r>
    </w:p>
    <w:p>
      <w:pPr>
        <w:pStyle w:val="BodyText"/>
        <w:spacing w:before="10"/>
        <w:rPr>
          <w:sz w:val="27"/>
        </w:rPr>
      </w:pPr>
    </w:p>
    <w:p>
      <w:pPr>
        <w:pStyle w:val="ListParagraph"/>
        <w:numPr>
          <w:ilvl w:val="0"/>
          <w:numId w:val="9"/>
        </w:numPr>
        <w:tabs>
          <w:tab w:pos="462" w:val="left" w:leader="none"/>
        </w:tabs>
        <w:spacing w:line="273" w:lineRule="auto" w:before="0" w:after="0"/>
        <w:ind w:left="462" w:right="123" w:hanging="360"/>
        <w:jc w:val="both"/>
        <w:rPr>
          <w:rFonts w:ascii="Symbol"/>
          <w:sz w:val="24"/>
        </w:rPr>
      </w:pPr>
      <w:r>
        <w:rPr>
          <w:b/>
          <w:sz w:val="24"/>
        </w:rPr>
        <w:t>Endeudamiento: </w:t>
      </w:r>
      <w:r>
        <w:rPr>
          <w:sz w:val="24"/>
        </w:rPr>
        <w:t>Estas razones indican el monto del dinero de terceros que se utilizan para generar utilidades, estas son de gran importancia ya que estas deudas comprometen a la empresa en el transcurso del</w:t>
      </w:r>
      <w:r>
        <w:rPr>
          <w:spacing w:val="-16"/>
          <w:sz w:val="24"/>
        </w:rPr>
        <w:t> </w:t>
      </w:r>
      <w:r>
        <w:rPr>
          <w:sz w:val="24"/>
        </w:rPr>
        <w:t>tiempo.</w:t>
      </w:r>
    </w:p>
    <w:p>
      <w:pPr>
        <w:pStyle w:val="BodyText"/>
        <w:spacing w:before="10"/>
        <w:rPr>
          <w:sz w:val="27"/>
        </w:rPr>
      </w:pPr>
    </w:p>
    <w:p>
      <w:pPr>
        <w:pStyle w:val="ListParagraph"/>
        <w:numPr>
          <w:ilvl w:val="0"/>
          <w:numId w:val="9"/>
        </w:numPr>
        <w:tabs>
          <w:tab w:pos="462" w:val="left" w:leader="none"/>
        </w:tabs>
        <w:spacing w:line="276" w:lineRule="auto" w:before="0" w:after="0"/>
        <w:ind w:left="462" w:right="117" w:hanging="360"/>
        <w:jc w:val="both"/>
        <w:rPr>
          <w:rFonts w:ascii="Symbol" w:hAnsi="Symbol"/>
          <w:sz w:val="23"/>
        </w:rPr>
      </w:pPr>
      <w:r>
        <w:rPr>
          <w:b/>
          <w:sz w:val="24"/>
        </w:rPr>
        <w:t>Rentabilidad: </w:t>
      </w:r>
      <w:r>
        <w:rPr>
          <w:sz w:val="24"/>
        </w:rPr>
        <w:t>Estas razones permiten analizar y evaluar las ganancias de la empresa con respecto a un nivel dado de ventas, de activos o la </w:t>
      </w:r>
      <w:hyperlink r:id="rId48">
        <w:r>
          <w:rPr>
            <w:sz w:val="24"/>
          </w:rPr>
          <w:t>inversión</w:t>
        </w:r>
      </w:hyperlink>
      <w:r>
        <w:rPr>
          <w:sz w:val="24"/>
        </w:rPr>
        <w:t> de los</w:t>
      </w:r>
      <w:r>
        <w:rPr>
          <w:spacing w:val="-3"/>
          <w:sz w:val="24"/>
        </w:rPr>
        <w:t> </w:t>
      </w:r>
      <w:r>
        <w:rPr>
          <w:sz w:val="24"/>
        </w:rPr>
        <w:t>dueños.</w:t>
      </w:r>
    </w:p>
    <w:p>
      <w:pPr>
        <w:pStyle w:val="BodyText"/>
      </w:pPr>
    </w:p>
    <w:p>
      <w:pPr>
        <w:pStyle w:val="Heading2"/>
        <w:spacing w:before="183"/>
        <w:ind w:right="120"/>
        <w:jc w:val="left"/>
      </w:pPr>
      <w:r>
        <w:rPr/>
        <w:t>Razones de Liquidez</w:t>
      </w:r>
    </w:p>
    <w:p>
      <w:pPr>
        <w:spacing w:line="364" w:lineRule="auto" w:before="79"/>
        <w:ind w:left="102" w:right="124" w:firstLine="0"/>
        <w:jc w:val="both"/>
        <w:rPr>
          <w:sz w:val="23"/>
        </w:rPr>
      </w:pPr>
      <w:r>
        <w:rPr>
          <w:sz w:val="23"/>
        </w:rPr>
        <w:t>Mide la disponibilidad de fondos suficientes para satisfacer los compromisos financieros de una entidad a su vencimiento.</w:t>
      </w:r>
    </w:p>
    <w:p>
      <w:pPr>
        <w:pStyle w:val="BodyText"/>
        <w:rPr>
          <w:sz w:val="22"/>
        </w:rPr>
      </w:pPr>
    </w:p>
    <w:p>
      <w:pPr>
        <w:pStyle w:val="ListParagraph"/>
        <w:numPr>
          <w:ilvl w:val="2"/>
          <w:numId w:val="40"/>
        </w:numPr>
        <w:tabs>
          <w:tab w:pos="822" w:val="left" w:leader="none"/>
        </w:tabs>
        <w:spacing w:line="240" w:lineRule="auto" w:before="148" w:after="0"/>
        <w:ind w:left="822" w:right="0" w:hanging="360"/>
        <w:jc w:val="left"/>
        <w:rPr>
          <w:sz w:val="23"/>
        </w:rPr>
      </w:pPr>
      <w:r>
        <w:rPr>
          <w:rFonts w:ascii="Calibri" w:hAnsi="Calibri"/>
          <w:sz w:val="23"/>
        </w:rPr>
        <w:t>Í</w:t>
      </w:r>
      <w:r>
        <w:rPr>
          <w:sz w:val="23"/>
        </w:rPr>
        <w:t>ndice de</w:t>
      </w:r>
      <w:r>
        <w:rPr>
          <w:spacing w:val="-7"/>
          <w:sz w:val="23"/>
        </w:rPr>
        <w:t> </w:t>
      </w:r>
      <w:r>
        <w:rPr>
          <w:sz w:val="23"/>
        </w:rPr>
        <w:t>Liquidez</w:t>
      </w:r>
    </w:p>
    <w:p>
      <w:pPr>
        <w:spacing w:line="364" w:lineRule="auto" w:before="123"/>
        <w:ind w:left="821" w:right="120" w:firstLine="0"/>
        <w:jc w:val="left"/>
        <w:rPr>
          <w:sz w:val="23"/>
        </w:rPr>
      </w:pPr>
      <w:r>
        <w:rPr>
          <w:sz w:val="23"/>
        </w:rPr>
        <w:t>Se utiliza como una medida de solvencia a corto plazo, es decir, la capacidad de la empresa de pagar sus deudas a corto plazo.</w:t>
      </w:r>
    </w:p>
    <w:p>
      <w:pPr>
        <w:pStyle w:val="BodyText"/>
        <w:spacing w:before="3"/>
        <w:rPr>
          <w:sz w:val="28"/>
        </w:rPr>
      </w:pPr>
    </w:p>
    <w:p>
      <w:pPr>
        <w:spacing w:before="1"/>
        <w:ind w:left="2423" w:right="120" w:firstLine="0"/>
        <w:jc w:val="left"/>
        <w:rPr>
          <w:rFonts w:ascii="Calibri" w:hAnsi="Calibri"/>
          <w:sz w:val="23"/>
        </w:rPr>
      </w:pPr>
      <w:r>
        <w:rPr/>
        <w:pict>
          <v:shape style="position:absolute;margin-left:302.170013pt;margin-top:7.395707pt;width:96.5pt;height:25pt;mso-position-horizontal-relative:page;mso-position-vertical-relative:paragraph;z-index:184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30"/>
                  </w:tblGrid>
                  <w:tr>
                    <w:trPr>
                      <w:trHeight w:val="250" w:hRule="exact"/>
                    </w:trPr>
                    <w:tc>
                      <w:tcPr>
                        <w:tcW w:w="1930" w:type="dxa"/>
                      </w:tcPr>
                      <w:p>
                        <w:pPr>
                          <w:pStyle w:val="TableParagraph"/>
                          <w:tabs>
                            <w:tab w:pos="1912" w:val="left" w:leader="none"/>
                          </w:tabs>
                          <w:spacing w:line="225" w:lineRule="exact"/>
                          <w:ind w:left="121"/>
                          <w:jc w:val="center"/>
                          <w:rPr>
                            <w:sz w:val="22"/>
                          </w:rPr>
                        </w:pPr>
                        <w:r>
                          <w:rPr>
                            <w:w w:val="100"/>
                            <w:sz w:val="22"/>
                            <w:u w:val="single"/>
                          </w:rPr>
                          <w:t> </w:t>
                        </w:r>
                        <w:r>
                          <w:rPr>
                            <w:spacing w:val="-31"/>
                            <w:sz w:val="22"/>
                            <w:u w:val="single"/>
                          </w:rPr>
                          <w:t> </w:t>
                        </w:r>
                        <w:r>
                          <w:rPr>
                            <w:sz w:val="22"/>
                            <w:u w:val="single"/>
                          </w:rPr>
                          <w:t>Activo</w:t>
                        </w:r>
                        <w:r>
                          <w:rPr>
                            <w:spacing w:val="-5"/>
                            <w:sz w:val="22"/>
                            <w:u w:val="single"/>
                          </w:rPr>
                          <w:t> </w:t>
                        </w:r>
                        <w:r>
                          <w:rPr>
                            <w:sz w:val="22"/>
                            <w:u w:val="single"/>
                          </w:rPr>
                          <w:t>Circulante</w:t>
                          <w:tab/>
                        </w:r>
                      </w:p>
                    </w:tc>
                  </w:tr>
                  <w:tr>
                    <w:trPr>
                      <w:trHeight w:val="250" w:hRule="exact"/>
                    </w:trPr>
                    <w:tc>
                      <w:tcPr>
                        <w:tcW w:w="1930" w:type="dxa"/>
                      </w:tcPr>
                      <w:p>
                        <w:pPr>
                          <w:pStyle w:val="TableParagraph"/>
                          <w:spacing w:line="253" w:lineRule="exact"/>
                          <w:jc w:val="center"/>
                          <w:rPr>
                            <w:sz w:val="22"/>
                          </w:rPr>
                        </w:pPr>
                        <w:r>
                          <w:rPr>
                            <w:sz w:val="22"/>
                          </w:rPr>
                          <w:t>Pasivo Circulante</w:t>
                        </w:r>
                      </w:p>
                    </w:tc>
                  </w:tr>
                </w:tbl>
                <w:p>
                  <w:pPr>
                    <w:pStyle w:val="BodyText"/>
                  </w:pPr>
                </w:p>
              </w:txbxContent>
            </v:textbox>
            <w10:wrap type="none"/>
          </v:shape>
        </w:pict>
      </w:r>
      <w:r>
        <w:rPr>
          <w:rFonts w:ascii="Calibri" w:hAnsi="Calibri"/>
          <w:sz w:val="23"/>
        </w:rPr>
        <w:t>Índice de Liquidez =</w:t>
      </w:r>
    </w:p>
    <w:p>
      <w:pPr>
        <w:spacing w:after="0"/>
        <w:jc w:val="left"/>
        <w:rPr>
          <w:rFonts w:ascii="Calibri" w:hAnsi="Calibri"/>
          <w:sz w:val="23"/>
        </w:rPr>
        <w:sectPr>
          <w:pgSz w:w="12240" w:h="15840"/>
          <w:pgMar w:header="0" w:footer="779" w:top="1360" w:bottom="960" w:left="1600" w:right="1580"/>
        </w:sectPr>
      </w:pPr>
    </w:p>
    <w:p>
      <w:pPr>
        <w:pStyle w:val="ListParagraph"/>
        <w:numPr>
          <w:ilvl w:val="2"/>
          <w:numId w:val="40"/>
        </w:numPr>
        <w:tabs>
          <w:tab w:pos="822" w:val="left" w:leader="none"/>
        </w:tabs>
        <w:spacing w:line="240" w:lineRule="auto" w:before="53" w:after="0"/>
        <w:ind w:left="822" w:right="0" w:hanging="360"/>
        <w:jc w:val="left"/>
        <w:rPr>
          <w:sz w:val="23"/>
        </w:rPr>
      </w:pPr>
      <w:r>
        <w:rPr>
          <w:sz w:val="23"/>
        </w:rPr>
        <w:t>Prueba</w:t>
      </w:r>
      <w:r>
        <w:rPr>
          <w:spacing w:val="-3"/>
          <w:sz w:val="23"/>
        </w:rPr>
        <w:t> </w:t>
      </w:r>
      <w:r>
        <w:rPr>
          <w:sz w:val="23"/>
        </w:rPr>
        <w:t>Ácida</w:t>
      </w:r>
    </w:p>
    <w:p>
      <w:pPr>
        <w:spacing w:line="355" w:lineRule="auto" w:before="133"/>
        <w:ind w:left="821" w:right="116" w:firstLine="0"/>
        <w:jc w:val="both"/>
        <w:rPr>
          <w:sz w:val="23"/>
        </w:rPr>
      </w:pPr>
      <w:r>
        <w:rPr>
          <w:sz w:val="23"/>
        </w:rPr>
        <w:t>Es una medida m</w:t>
      </w:r>
      <w:r>
        <w:rPr>
          <w:rFonts w:ascii="Calibri" w:hAnsi="Calibri"/>
          <w:sz w:val="23"/>
        </w:rPr>
        <w:t>á</w:t>
      </w:r>
      <w:r>
        <w:rPr>
          <w:sz w:val="23"/>
        </w:rPr>
        <w:t>s rigurosa de la solvencia a corto plazo. Al igual que las  otras razones financieras se determina la cantidad de solvencia apagar sin contar los</w:t>
      </w:r>
      <w:r>
        <w:rPr>
          <w:spacing w:val="-7"/>
          <w:sz w:val="23"/>
        </w:rPr>
        <w:t> </w:t>
      </w:r>
      <w:r>
        <w:rPr>
          <w:sz w:val="23"/>
        </w:rPr>
        <w:t>inventarios.</w:t>
      </w:r>
    </w:p>
    <w:p>
      <w:pPr>
        <w:pStyle w:val="BodyText"/>
        <w:spacing w:before="2"/>
        <w:rPr>
          <w:sz w:val="29"/>
        </w:rPr>
      </w:pPr>
    </w:p>
    <w:p>
      <w:pPr>
        <w:spacing w:before="0"/>
        <w:ind w:left="472" w:right="3783" w:firstLine="0"/>
        <w:jc w:val="center"/>
        <w:rPr>
          <w:rFonts w:ascii="Calibri" w:hAnsi="Calibri"/>
          <w:sz w:val="23"/>
        </w:rPr>
      </w:pPr>
      <w:r>
        <w:rPr/>
        <w:pict>
          <v:shape style="position:absolute;margin-left:268.570007pt;margin-top:6.869705pt;width:152.050pt;height:28.2pt;mso-position-horizontal-relative:page;mso-position-vertical-relative:paragraph;z-index:186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040"/>
                  </w:tblGrid>
                  <w:tr>
                    <w:trPr>
                      <w:trHeight w:val="282" w:hRule="exact"/>
                    </w:trPr>
                    <w:tc>
                      <w:tcPr>
                        <w:tcW w:w="3040" w:type="dxa"/>
                      </w:tcPr>
                      <w:p>
                        <w:pPr>
                          <w:pStyle w:val="TableParagraph"/>
                          <w:tabs>
                            <w:tab w:pos="3053" w:val="left" w:leader="none"/>
                          </w:tabs>
                          <w:spacing w:line="225" w:lineRule="exact"/>
                          <w:ind w:left="-14" w:right="-14"/>
                          <w:jc w:val="center"/>
                          <w:rPr>
                            <w:sz w:val="22"/>
                          </w:rPr>
                        </w:pPr>
                        <w:r>
                          <w:rPr>
                            <w:w w:val="100"/>
                            <w:sz w:val="22"/>
                            <w:u w:val="single"/>
                          </w:rPr>
                          <w:t> </w:t>
                        </w:r>
                        <w:r>
                          <w:rPr>
                            <w:sz w:val="22"/>
                            <w:u w:val="single"/>
                          </w:rPr>
                          <w:t>  </w:t>
                        </w:r>
                        <w:r>
                          <w:rPr>
                            <w:spacing w:val="14"/>
                            <w:sz w:val="22"/>
                            <w:u w:val="single"/>
                          </w:rPr>
                          <w:t> </w:t>
                        </w:r>
                        <w:r>
                          <w:rPr>
                            <w:sz w:val="22"/>
                            <w:u w:val="single"/>
                          </w:rPr>
                          <w:t>Activo Circulante</w:t>
                        </w:r>
                        <w:r>
                          <w:rPr>
                            <w:spacing w:val="-8"/>
                            <w:sz w:val="22"/>
                            <w:u w:val="single"/>
                          </w:rPr>
                          <w:t> </w:t>
                        </w:r>
                        <w:r>
                          <w:rPr>
                            <w:sz w:val="22"/>
                            <w:u w:val="single"/>
                          </w:rPr>
                          <w:t>-Inventarios</w:t>
                          <w:tab/>
                        </w:r>
                      </w:p>
                    </w:tc>
                  </w:tr>
                  <w:tr>
                    <w:trPr>
                      <w:trHeight w:val="282" w:hRule="exact"/>
                    </w:trPr>
                    <w:tc>
                      <w:tcPr>
                        <w:tcW w:w="3040" w:type="dxa"/>
                      </w:tcPr>
                      <w:p>
                        <w:pPr>
                          <w:pStyle w:val="TableParagraph"/>
                          <w:spacing w:before="17"/>
                          <w:ind w:left="735" w:right="736"/>
                          <w:jc w:val="center"/>
                          <w:rPr>
                            <w:sz w:val="22"/>
                          </w:rPr>
                        </w:pPr>
                        <w:r>
                          <w:rPr>
                            <w:sz w:val="22"/>
                          </w:rPr>
                          <w:t>Pasivo Circulante</w:t>
                        </w:r>
                      </w:p>
                    </w:tc>
                  </w:tr>
                </w:tbl>
                <w:p>
                  <w:pPr>
                    <w:pStyle w:val="BodyText"/>
                  </w:pPr>
                </w:p>
              </w:txbxContent>
            </v:textbox>
            <w10:wrap type="none"/>
          </v:shape>
        </w:pict>
      </w:r>
      <w:r>
        <w:rPr>
          <w:rFonts w:ascii="Calibri" w:hAnsi="Calibri"/>
          <w:sz w:val="23"/>
        </w:rPr>
        <w:t>Prueba Ácida =</w:t>
      </w:r>
    </w:p>
    <w:p>
      <w:pPr>
        <w:pStyle w:val="BodyText"/>
        <w:rPr>
          <w:rFonts w:ascii="Calibri"/>
          <w:sz w:val="22"/>
        </w:rPr>
      </w:pPr>
    </w:p>
    <w:p>
      <w:pPr>
        <w:pStyle w:val="BodyText"/>
        <w:rPr>
          <w:rFonts w:ascii="Calibri"/>
          <w:sz w:val="22"/>
        </w:rPr>
      </w:pPr>
    </w:p>
    <w:p>
      <w:pPr>
        <w:pStyle w:val="BodyText"/>
        <w:spacing w:before="9"/>
        <w:rPr>
          <w:rFonts w:ascii="Calibri"/>
          <w:sz w:val="27"/>
        </w:rPr>
      </w:pPr>
    </w:p>
    <w:p>
      <w:pPr>
        <w:pStyle w:val="ListParagraph"/>
        <w:numPr>
          <w:ilvl w:val="2"/>
          <w:numId w:val="40"/>
        </w:numPr>
        <w:tabs>
          <w:tab w:pos="822" w:val="left" w:leader="none"/>
        </w:tabs>
        <w:spacing w:line="240" w:lineRule="auto" w:before="0" w:after="0"/>
        <w:ind w:left="822" w:right="0" w:hanging="360"/>
        <w:jc w:val="left"/>
        <w:rPr>
          <w:sz w:val="23"/>
        </w:rPr>
      </w:pPr>
      <w:r>
        <w:rPr>
          <w:sz w:val="23"/>
        </w:rPr>
        <w:t>Raz</w:t>
      </w:r>
      <w:r>
        <w:rPr>
          <w:rFonts w:ascii="Calibri" w:hAnsi="Calibri"/>
          <w:sz w:val="23"/>
        </w:rPr>
        <w:t>ó</w:t>
      </w:r>
      <w:r>
        <w:rPr>
          <w:sz w:val="23"/>
        </w:rPr>
        <w:t>n de</w:t>
      </w:r>
      <w:r>
        <w:rPr>
          <w:spacing w:val="-6"/>
          <w:sz w:val="23"/>
        </w:rPr>
        <w:t> </w:t>
      </w:r>
      <w:r>
        <w:rPr>
          <w:sz w:val="23"/>
        </w:rPr>
        <w:t>efectivo</w:t>
      </w:r>
    </w:p>
    <w:p>
      <w:pPr>
        <w:spacing w:before="121"/>
        <w:ind w:left="821" w:right="0" w:firstLine="0"/>
        <w:jc w:val="both"/>
        <w:rPr>
          <w:sz w:val="23"/>
        </w:rPr>
      </w:pPr>
      <w:r>
        <w:rPr>
          <w:sz w:val="23"/>
        </w:rPr>
        <w:t>Mide el efectivo disponible para el pago de sus obligaciones a corto plazo.</w:t>
      </w:r>
    </w:p>
    <w:p>
      <w:pPr>
        <w:pStyle w:val="BodyText"/>
        <w:spacing w:before="6"/>
        <w:rPr>
          <w:sz w:val="29"/>
        </w:rPr>
      </w:pPr>
    </w:p>
    <w:p>
      <w:pPr>
        <w:spacing w:before="0"/>
        <w:ind w:left="2175" w:right="120" w:firstLine="0"/>
        <w:jc w:val="left"/>
        <w:rPr>
          <w:rFonts w:ascii="Calibri" w:hAnsi="Calibri"/>
          <w:sz w:val="23"/>
        </w:rPr>
      </w:pPr>
      <w:r>
        <w:rPr/>
        <w:pict>
          <v:shape style="position:absolute;margin-left:289.690002pt;margin-top:-3.450289pt;width:96.5pt;height:25pt;mso-position-horizontal-relative:page;mso-position-vertical-relative:paragraph;z-index:188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30"/>
                  </w:tblGrid>
                  <w:tr>
                    <w:trPr>
                      <w:trHeight w:val="250" w:hRule="exact"/>
                    </w:trPr>
                    <w:tc>
                      <w:tcPr>
                        <w:tcW w:w="1930" w:type="dxa"/>
                      </w:tcPr>
                      <w:p>
                        <w:pPr>
                          <w:pStyle w:val="TableParagraph"/>
                          <w:tabs>
                            <w:tab w:pos="605" w:val="left" w:leader="none"/>
                            <w:tab w:pos="2005" w:val="left" w:leader="none"/>
                          </w:tabs>
                          <w:spacing w:line="225" w:lineRule="exact"/>
                          <w:ind w:left="-77" w:right="-76"/>
                          <w:jc w:val="center"/>
                          <w:rPr>
                            <w:sz w:val="22"/>
                          </w:rPr>
                        </w:pPr>
                        <w:r>
                          <w:rPr>
                            <w:w w:val="100"/>
                            <w:sz w:val="22"/>
                            <w:u w:val="single"/>
                          </w:rPr>
                          <w:t> </w:t>
                        </w:r>
                        <w:r>
                          <w:rPr>
                            <w:sz w:val="22"/>
                            <w:u w:val="single"/>
                          </w:rPr>
                          <w:tab/>
                          <w:t>Efectivo</w:t>
                          <w:tab/>
                        </w:r>
                      </w:p>
                    </w:tc>
                  </w:tr>
                  <w:tr>
                    <w:trPr>
                      <w:trHeight w:val="250" w:hRule="exact"/>
                    </w:trPr>
                    <w:tc>
                      <w:tcPr>
                        <w:tcW w:w="1930" w:type="dxa"/>
                      </w:tcPr>
                      <w:p>
                        <w:pPr>
                          <w:pStyle w:val="TableParagraph"/>
                          <w:spacing w:line="253" w:lineRule="exact"/>
                          <w:jc w:val="center"/>
                          <w:rPr>
                            <w:sz w:val="22"/>
                          </w:rPr>
                        </w:pPr>
                        <w:r>
                          <w:rPr>
                            <w:sz w:val="22"/>
                          </w:rPr>
                          <w:t>Pasivo Circulante</w:t>
                        </w:r>
                      </w:p>
                    </w:tc>
                  </w:tr>
                </w:tbl>
                <w:p>
                  <w:pPr>
                    <w:pStyle w:val="BodyText"/>
                  </w:pPr>
                </w:p>
              </w:txbxContent>
            </v:textbox>
            <w10:wrap type="none"/>
          </v:shape>
        </w:pict>
      </w:r>
      <w:r>
        <w:rPr>
          <w:rFonts w:ascii="Calibri" w:hAnsi="Calibri"/>
          <w:sz w:val="23"/>
        </w:rPr>
        <w:t>Razón de Efectivo=</w:t>
      </w:r>
    </w:p>
    <w:p>
      <w:pPr>
        <w:pStyle w:val="BodyText"/>
        <w:rPr>
          <w:rFonts w:ascii="Calibri"/>
          <w:sz w:val="22"/>
        </w:rPr>
      </w:pPr>
    </w:p>
    <w:p>
      <w:pPr>
        <w:pStyle w:val="BodyText"/>
        <w:rPr>
          <w:rFonts w:ascii="Calibri"/>
          <w:sz w:val="22"/>
        </w:rPr>
      </w:pPr>
    </w:p>
    <w:p>
      <w:pPr>
        <w:pStyle w:val="BodyText"/>
        <w:rPr>
          <w:rFonts w:ascii="Calibri"/>
          <w:sz w:val="22"/>
        </w:rPr>
      </w:pPr>
    </w:p>
    <w:p>
      <w:pPr>
        <w:pStyle w:val="BodyText"/>
        <w:spacing w:before="11"/>
        <w:rPr>
          <w:rFonts w:ascii="Calibri"/>
        </w:rPr>
      </w:pPr>
    </w:p>
    <w:p>
      <w:pPr>
        <w:pStyle w:val="Heading2"/>
        <w:ind w:right="120"/>
        <w:jc w:val="left"/>
      </w:pPr>
      <w:r>
        <w:rPr/>
        <w:t>Razones de Eficiencia y Operación</w:t>
      </w:r>
    </w:p>
    <w:p>
      <w:pPr>
        <w:pStyle w:val="ListParagraph"/>
        <w:numPr>
          <w:ilvl w:val="3"/>
          <w:numId w:val="40"/>
        </w:numPr>
        <w:tabs>
          <w:tab w:pos="954" w:val="left" w:leader="none"/>
        </w:tabs>
        <w:spacing w:line="240" w:lineRule="auto" w:before="139" w:after="0"/>
        <w:ind w:left="954" w:right="0" w:hanging="360"/>
        <w:jc w:val="left"/>
        <w:rPr>
          <w:sz w:val="20"/>
        </w:rPr>
      </w:pPr>
      <w:r>
        <w:rPr>
          <w:sz w:val="24"/>
        </w:rPr>
        <w:t>Rotación de</w:t>
      </w:r>
      <w:r>
        <w:rPr>
          <w:spacing w:val="-8"/>
          <w:sz w:val="24"/>
        </w:rPr>
        <w:t> </w:t>
      </w:r>
      <w:r>
        <w:rPr>
          <w:sz w:val="24"/>
        </w:rPr>
        <w:t>Inventarios</w:t>
      </w:r>
    </w:p>
    <w:p>
      <w:pPr>
        <w:pStyle w:val="BodyText"/>
        <w:spacing w:line="362" w:lineRule="auto" w:before="137"/>
        <w:ind w:left="954" w:right="120"/>
      </w:pPr>
      <w:r>
        <w:rPr/>
        <w:t>Mide la liquidez del inventario por medio de su </w:t>
      </w:r>
      <w:hyperlink r:id="rId29">
        <w:r>
          <w:rPr/>
          <w:t>movimiento</w:t>
        </w:r>
      </w:hyperlink>
      <w:r>
        <w:rPr/>
        <w:t> durante el periodo.</w:t>
      </w:r>
    </w:p>
    <w:p>
      <w:pPr>
        <w:pStyle w:val="BodyText"/>
        <w:spacing w:before="3"/>
      </w:pPr>
    </w:p>
    <w:p>
      <w:pPr>
        <w:spacing w:before="1"/>
        <w:ind w:left="1604" w:right="120" w:firstLine="0"/>
        <w:jc w:val="left"/>
        <w:rPr>
          <w:rFonts w:ascii="Calibri" w:hAnsi="Calibri"/>
          <w:sz w:val="23"/>
        </w:rPr>
      </w:pPr>
      <w:r>
        <w:rPr/>
        <w:pict>
          <v:shape style="position:absolute;margin-left:287.410004pt;margin-top:-4.120286pt;width:109.45pt;height:25pt;mso-position-horizontal-relative:page;mso-position-vertical-relative:paragraph;z-index:191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89"/>
                  </w:tblGrid>
                  <w:tr>
                    <w:trPr>
                      <w:trHeight w:val="250" w:hRule="exact"/>
                    </w:trPr>
                    <w:tc>
                      <w:tcPr>
                        <w:tcW w:w="2189" w:type="dxa"/>
                      </w:tcPr>
                      <w:p>
                        <w:pPr>
                          <w:pStyle w:val="TableParagraph"/>
                          <w:spacing w:line="225" w:lineRule="exact"/>
                          <w:jc w:val="center"/>
                          <w:rPr>
                            <w:sz w:val="22"/>
                          </w:rPr>
                        </w:pPr>
                        <w:r>
                          <w:rPr>
                            <w:w w:val="100"/>
                            <w:sz w:val="22"/>
                            <w:u w:val="single"/>
                          </w:rPr>
                          <w:t> </w:t>
                        </w:r>
                        <w:r>
                          <w:rPr>
                            <w:sz w:val="22"/>
                            <w:u w:val="single"/>
                          </w:rPr>
                          <w:t>  Costo de la Vendido </w:t>
                        </w:r>
                      </w:p>
                    </w:tc>
                  </w:tr>
                  <w:tr>
                    <w:trPr>
                      <w:trHeight w:val="250" w:hRule="exact"/>
                    </w:trPr>
                    <w:tc>
                      <w:tcPr>
                        <w:tcW w:w="2189" w:type="dxa"/>
                      </w:tcPr>
                      <w:p>
                        <w:pPr>
                          <w:pStyle w:val="TableParagraph"/>
                          <w:spacing w:line="253" w:lineRule="exact"/>
                          <w:ind w:right="1"/>
                          <w:jc w:val="center"/>
                          <w:rPr>
                            <w:sz w:val="22"/>
                          </w:rPr>
                        </w:pPr>
                        <w:r>
                          <w:rPr>
                            <w:sz w:val="22"/>
                          </w:rPr>
                          <w:t>Inventarios</w:t>
                        </w:r>
                      </w:p>
                    </w:tc>
                  </w:tr>
                </w:tbl>
                <w:p>
                  <w:pPr>
                    <w:pStyle w:val="BodyText"/>
                  </w:pPr>
                </w:p>
              </w:txbxContent>
            </v:textbox>
            <w10:wrap type="none"/>
          </v:shape>
        </w:pict>
      </w:r>
      <w:r>
        <w:rPr>
          <w:rFonts w:ascii="Calibri" w:hAnsi="Calibri"/>
          <w:sz w:val="23"/>
        </w:rPr>
        <w:t>Rotación de Inventarios =</w:t>
      </w:r>
    </w:p>
    <w:p>
      <w:pPr>
        <w:pStyle w:val="BodyText"/>
        <w:rPr>
          <w:rFonts w:ascii="Calibri"/>
          <w:sz w:val="22"/>
        </w:rPr>
      </w:pPr>
    </w:p>
    <w:p>
      <w:pPr>
        <w:pStyle w:val="BodyText"/>
        <w:spacing w:before="1"/>
        <w:rPr>
          <w:rFonts w:ascii="Calibri"/>
        </w:rPr>
      </w:pPr>
    </w:p>
    <w:p>
      <w:pPr>
        <w:pStyle w:val="ListParagraph"/>
        <w:numPr>
          <w:ilvl w:val="3"/>
          <w:numId w:val="40"/>
        </w:numPr>
        <w:tabs>
          <w:tab w:pos="1096" w:val="left" w:leader="none"/>
        </w:tabs>
        <w:spacing w:line="240" w:lineRule="auto" w:before="0" w:after="0"/>
        <w:ind w:left="1095" w:right="0" w:hanging="360"/>
        <w:jc w:val="both"/>
        <w:rPr>
          <w:sz w:val="20"/>
        </w:rPr>
      </w:pPr>
      <w:r>
        <w:rPr>
          <w:sz w:val="24"/>
        </w:rPr>
        <w:t>Plazo Promedio de</w:t>
      </w:r>
      <w:r>
        <w:rPr>
          <w:spacing w:val="-12"/>
          <w:sz w:val="24"/>
        </w:rPr>
        <w:t> </w:t>
      </w:r>
      <w:r>
        <w:rPr>
          <w:sz w:val="24"/>
        </w:rPr>
        <w:t>Inventario</w:t>
      </w:r>
    </w:p>
    <w:p>
      <w:pPr>
        <w:pStyle w:val="BodyText"/>
        <w:spacing w:line="360" w:lineRule="auto" w:before="139"/>
        <w:ind w:left="1095" w:right="120"/>
      </w:pPr>
      <w:r>
        <w:rPr/>
        <w:t>Representa el promedio de días que un artículo permanece en el inventario de la empresa.</w:t>
      </w:r>
    </w:p>
    <w:p>
      <w:pPr>
        <w:pStyle w:val="BodyText"/>
        <w:spacing w:before="4"/>
        <w:rPr>
          <w:sz w:val="25"/>
        </w:rPr>
      </w:pPr>
    </w:p>
    <w:p>
      <w:pPr>
        <w:spacing w:before="0"/>
        <w:ind w:left="2433" w:right="120" w:firstLine="0"/>
        <w:jc w:val="left"/>
        <w:rPr>
          <w:rFonts w:ascii="Calibri"/>
          <w:sz w:val="23"/>
        </w:rPr>
      </w:pPr>
      <w:r>
        <w:rPr/>
        <w:pict>
          <v:shape style="position:absolute;margin-left:285.970001pt;margin-top:-4.650293pt;width:112.3pt;height:25pt;mso-position-horizontal-relative:page;mso-position-vertical-relative:paragraph;z-index:193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45"/>
                  </w:tblGrid>
                  <w:tr>
                    <w:trPr>
                      <w:trHeight w:val="250" w:hRule="exact"/>
                    </w:trPr>
                    <w:tc>
                      <w:tcPr>
                        <w:tcW w:w="2245" w:type="dxa"/>
                      </w:tcPr>
                      <w:p>
                        <w:pPr>
                          <w:pStyle w:val="TableParagraph"/>
                          <w:tabs>
                            <w:tab w:pos="874" w:val="left" w:leader="none"/>
                            <w:tab w:pos="2082" w:val="left" w:leader="none"/>
                          </w:tabs>
                          <w:spacing w:line="225" w:lineRule="exact"/>
                          <w:jc w:val="center"/>
                          <w:rPr>
                            <w:sz w:val="22"/>
                          </w:rPr>
                        </w:pPr>
                        <w:r>
                          <w:rPr>
                            <w:w w:val="100"/>
                            <w:sz w:val="22"/>
                            <w:u w:val="single"/>
                          </w:rPr>
                          <w:t> </w:t>
                        </w:r>
                        <w:r>
                          <w:rPr>
                            <w:sz w:val="22"/>
                            <w:u w:val="single"/>
                          </w:rPr>
                          <w:tab/>
                          <w:t>360</w:t>
                          <w:tab/>
                        </w:r>
                      </w:p>
                    </w:tc>
                  </w:tr>
                  <w:tr>
                    <w:trPr>
                      <w:trHeight w:val="250" w:hRule="exact"/>
                    </w:trPr>
                    <w:tc>
                      <w:tcPr>
                        <w:tcW w:w="2245" w:type="dxa"/>
                      </w:tcPr>
                      <w:p>
                        <w:pPr>
                          <w:pStyle w:val="TableParagraph"/>
                          <w:spacing w:line="253" w:lineRule="exact"/>
                          <w:jc w:val="center"/>
                          <w:rPr>
                            <w:sz w:val="22"/>
                          </w:rPr>
                        </w:pPr>
                        <w:r>
                          <w:rPr>
                            <w:sz w:val="22"/>
                          </w:rPr>
                          <w:t>Rotación Inventarios</w:t>
                        </w:r>
                      </w:p>
                    </w:tc>
                  </w:tr>
                </w:tbl>
                <w:p>
                  <w:pPr>
                    <w:pStyle w:val="BodyText"/>
                  </w:pPr>
                </w:p>
              </w:txbxContent>
            </v:textbox>
            <w10:wrap type="none"/>
          </v:shape>
        </w:pict>
      </w:r>
      <w:r>
        <w:rPr>
          <w:rFonts w:ascii="Calibri"/>
          <w:sz w:val="23"/>
        </w:rPr>
        <w:t>Plazo Prom. Inv.=</w:t>
      </w:r>
    </w:p>
    <w:p>
      <w:pPr>
        <w:pStyle w:val="BodyText"/>
        <w:rPr>
          <w:rFonts w:ascii="Calibri"/>
          <w:sz w:val="22"/>
        </w:rPr>
      </w:pPr>
    </w:p>
    <w:p>
      <w:pPr>
        <w:pStyle w:val="BodyText"/>
        <w:spacing w:before="4"/>
        <w:rPr>
          <w:rFonts w:ascii="Calibri"/>
          <w:sz w:val="23"/>
        </w:rPr>
      </w:pPr>
    </w:p>
    <w:p>
      <w:pPr>
        <w:pStyle w:val="ListParagraph"/>
        <w:numPr>
          <w:ilvl w:val="3"/>
          <w:numId w:val="40"/>
        </w:numPr>
        <w:tabs>
          <w:tab w:pos="954" w:val="left" w:leader="none"/>
        </w:tabs>
        <w:spacing w:line="240" w:lineRule="auto" w:before="0" w:after="0"/>
        <w:ind w:left="954" w:right="0" w:hanging="360"/>
        <w:jc w:val="left"/>
        <w:rPr>
          <w:sz w:val="20"/>
        </w:rPr>
      </w:pPr>
      <w:r>
        <w:rPr>
          <w:sz w:val="24"/>
        </w:rPr>
        <w:t>Rotación de Cuentas por</w:t>
      </w:r>
      <w:r>
        <w:rPr>
          <w:spacing w:val="-10"/>
          <w:sz w:val="24"/>
        </w:rPr>
        <w:t> </w:t>
      </w:r>
      <w:r>
        <w:rPr>
          <w:sz w:val="24"/>
        </w:rPr>
        <w:t>Cobrar</w:t>
      </w:r>
    </w:p>
    <w:p>
      <w:pPr>
        <w:pStyle w:val="BodyText"/>
        <w:spacing w:before="139"/>
        <w:ind w:left="954" w:right="120"/>
      </w:pPr>
      <w:r>
        <w:rPr/>
        <w:t>Mide la liquidez de las cuentas por cobrar por medio de su rotación.</w:t>
      </w:r>
    </w:p>
    <w:p>
      <w:pPr>
        <w:pStyle w:val="BodyText"/>
      </w:pPr>
    </w:p>
    <w:p>
      <w:pPr>
        <w:spacing w:before="143"/>
        <w:ind w:left="1683" w:right="120" w:firstLine="0"/>
        <w:jc w:val="left"/>
        <w:rPr>
          <w:rFonts w:ascii="Calibri" w:hAnsi="Calibri"/>
          <w:sz w:val="23"/>
        </w:rPr>
      </w:pPr>
      <w:r>
        <w:rPr/>
        <w:pict>
          <v:shape style="position:absolute;margin-left:328.709991pt;margin-top:4.059711pt;width:55.75pt;height:25pt;mso-position-horizontal-relative:page;mso-position-vertical-relative:paragraph;z-index:196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15"/>
                  </w:tblGrid>
                  <w:tr>
                    <w:trPr>
                      <w:trHeight w:val="250" w:hRule="exact"/>
                    </w:trPr>
                    <w:tc>
                      <w:tcPr>
                        <w:tcW w:w="1115" w:type="dxa"/>
                      </w:tcPr>
                      <w:p>
                        <w:pPr>
                          <w:pStyle w:val="TableParagraph"/>
                          <w:tabs>
                            <w:tab w:pos="199" w:val="left" w:leader="none"/>
                            <w:tab w:pos="1596" w:val="left" w:leader="none"/>
                          </w:tabs>
                          <w:spacing w:line="225" w:lineRule="exact"/>
                          <w:ind w:left="-485" w:right="-483"/>
                          <w:jc w:val="center"/>
                          <w:rPr>
                            <w:sz w:val="22"/>
                          </w:rPr>
                        </w:pPr>
                        <w:r>
                          <w:rPr>
                            <w:w w:val="100"/>
                            <w:sz w:val="22"/>
                            <w:u w:val="single"/>
                          </w:rPr>
                          <w:t> </w:t>
                        </w:r>
                        <w:r>
                          <w:rPr>
                            <w:sz w:val="22"/>
                            <w:u w:val="single"/>
                          </w:rPr>
                          <w:tab/>
                          <w:t>Clientes</w:t>
                          <w:tab/>
                        </w:r>
                      </w:p>
                    </w:tc>
                  </w:tr>
                  <w:tr>
                    <w:trPr>
                      <w:trHeight w:val="250" w:hRule="exact"/>
                    </w:trPr>
                    <w:tc>
                      <w:tcPr>
                        <w:tcW w:w="1115" w:type="dxa"/>
                      </w:tcPr>
                      <w:p>
                        <w:pPr>
                          <w:pStyle w:val="TableParagraph"/>
                          <w:spacing w:line="253" w:lineRule="exact"/>
                          <w:ind w:left="229" w:right="229"/>
                          <w:jc w:val="center"/>
                          <w:rPr>
                            <w:sz w:val="22"/>
                          </w:rPr>
                        </w:pPr>
                        <w:r>
                          <w:rPr>
                            <w:sz w:val="22"/>
                          </w:rPr>
                          <w:t>Ventas</w:t>
                        </w:r>
                      </w:p>
                    </w:tc>
                  </w:tr>
                </w:tbl>
                <w:p>
                  <w:pPr>
                    <w:pStyle w:val="BodyText"/>
                  </w:pPr>
                </w:p>
              </w:txbxContent>
            </v:textbox>
            <w10:wrap type="none"/>
          </v:shape>
        </w:pict>
      </w:r>
      <w:r>
        <w:rPr>
          <w:rFonts w:ascii="Calibri" w:hAnsi="Calibri"/>
          <w:sz w:val="23"/>
        </w:rPr>
        <w:t>Rotación Ctas por Cobrar=</w:t>
      </w:r>
    </w:p>
    <w:p>
      <w:pPr>
        <w:spacing w:after="0"/>
        <w:jc w:val="left"/>
        <w:rPr>
          <w:rFonts w:ascii="Calibri" w:hAnsi="Calibri"/>
          <w:sz w:val="23"/>
        </w:rPr>
        <w:sectPr>
          <w:footerReference w:type="default" r:id="rId49"/>
          <w:pgSz w:w="12240" w:h="15840"/>
          <w:pgMar w:footer="779" w:header="0" w:top="1440" w:bottom="960" w:left="1600" w:right="1580"/>
        </w:sectPr>
      </w:pPr>
    </w:p>
    <w:p>
      <w:pPr>
        <w:pStyle w:val="ListParagraph"/>
        <w:numPr>
          <w:ilvl w:val="3"/>
          <w:numId w:val="40"/>
        </w:numPr>
        <w:tabs>
          <w:tab w:pos="1096" w:val="left" w:leader="none"/>
        </w:tabs>
        <w:spacing w:line="240" w:lineRule="auto" w:before="56" w:after="0"/>
        <w:ind w:left="1095" w:right="0" w:hanging="360"/>
        <w:jc w:val="left"/>
        <w:rPr>
          <w:sz w:val="20"/>
        </w:rPr>
      </w:pPr>
      <w:r>
        <w:rPr>
          <w:sz w:val="24"/>
        </w:rPr>
        <w:t>Plazo Promedio Cuentas por</w:t>
      </w:r>
      <w:r>
        <w:rPr>
          <w:spacing w:val="-10"/>
          <w:sz w:val="24"/>
        </w:rPr>
        <w:t> </w:t>
      </w:r>
      <w:r>
        <w:rPr>
          <w:sz w:val="24"/>
        </w:rPr>
        <w:t>cobrar</w:t>
      </w:r>
    </w:p>
    <w:p>
      <w:pPr>
        <w:pStyle w:val="BodyText"/>
        <w:spacing w:line="360" w:lineRule="auto" w:before="137"/>
        <w:ind w:left="1095" w:right="120" w:firstLine="67"/>
      </w:pPr>
      <w:r>
        <w:rPr/>
        <w:pict>
          <v:shape style="position:absolute;margin-left:321.390015pt;margin-top:57.825871pt;width:146.450pt;height:25pt;mso-position-horizontal-relative:page;mso-position-vertical-relative:paragraph;z-index:198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29"/>
                  </w:tblGrid>
                  <w:tr>
                    <w:trPr>
                      <w:trHeight w:val="250" w:hRule="exact"/>
                    </w:trPr>
                    <w:tc>
                      <w:tcPr>
                        <w:tcW w:w="2929" w:type="dxa"/>
                      </w:tcPr>
                      <w:p>
                        <w:pPr>
                          <w:pStyle w:val="TableParagraph"/>
                          <w:tabs>
                            <w:tab w:pos="1275" w:val="left" w:leader="none"/>
                            <w:tab w:pos="2886" w:val="left" w:leader="none"/>
                          </w:tabs>
                          <w:spacing w:line="225" w:lineRule="exact"/>
                          <w:jc w:val="center"/>
                          <w:rPr>
                            <w:sz w:val="22"/>
                          </w:rPr>
                        </w:pPr>
                        <w:r>
                          <w:rPr>
                            <w:w w:val="100"/>
                            <w:sz w:val="22"/>
                            <w:u w:val="single"/>
                          </w:rPr>
                          <w:t> </w:t>
                        </w:r>
                        <w:r>
                          <w:rPr>
                            <w:sz w:val="22"/>
                            <w:u w:val="single"/>
                          </w:rPr>
                          <w:tab/>
                          <w:t>360</w:t>
                          <w:tab/>
                        </w:r>
                      </w:p>
                    </w:tc>
                  </w:tr>
                  <w:tr>
                    <w:trPr>
                      <w:trHeight w:val="250" w:hRule="exact"/>
                    </w:trPr>
                    <w:tc>
                      <w:tcPr>
                        <w:tcW w:w="2929" w:type="dxa"/>
                      </w:tcPr>
                      <w:p>
                        <w:pPr>
                          <w:pStyle w:val="TableParagraph"/>
                          <w:spacing w:line="253" w:lineRule="exact"/>
                          <w:jc w:val="center"/>
                          <w:rPr>
                            <w:sz w:val="22"/>
                          </w:rPr>
                        </w:pPr>
                        <w:r>
                          <w:rPr>
                            <w:sz w:val="22"/>
                          </w:rPr>
                          <w:t>Rotación cuentas por cobrar</w:t>
                        </w:r>
                      </w:p>
                    </w:tc>
                  </w:tr>
                </w:tbl>
                <w:p>
                  <w:pPr>
                    <w:pStyle w:val="BodyText"/>
                  </w:pPr>
                </w:p>
              </w:txbxContent>
            </v:textbox>
            <w10:wrap type="none"/>
          </v:shape>
        </w:pict>
      </w:r>
      <w:r>
        <w:rPr/>
        <w:t>Es una razón que indica la </w:t>
      </w:r>
      <w:hyperlink r:id="rId51">
        <w:r>
          <w:rPr/>
          <w:t>evaluación</w:t>
        </w:r>
      </w:hyperlink>
      <w:r>
        <w:rPr/>
        <w:t> de la </w:t>
      </w:r>
      <w:hyperlink r:id="rId52">
        <w:r>
          <w:rPr/>
          <w:t>política</w:t>
        </w:r>
      </w:hyperlink>
      <w:r>
        <w:rPr/>
        <w:t> de </w:t>
      </w:r>
      <w:hyperlink r:id="rId53">
        <w:r>
          <w:rPr/>
          <w:t>créditos</w:t>
        </w:r>
      </w:hyperlink>
      <w:r>
        <w:rPr/>
        <w:t> y cobros de la empresa.</w:t>
      </w:r>
    </w:p>
    <w:p>
      <w:pPr>
        <w:pStyle w:val="BodyText"/>
      </w:pPr>
    </w:p>
    <w:p>
      <w:pPr>
        <w:spacing w:before="145"/>
        <w:ind w:left="1930" w:right="120" w:firstLine="0"/>
        <w:jc w:val="left"/>
        <w:rPr>
          <w:rFonts w:ascii="Calibri"/>
          <w:sz w:val="23"/>
        </w:rPr>
      </w:pPr>
      <w:r>
        <w:rPr>
          <w:rFonts w:ascii="Calibri"/>
          <w:sz w:val="23"/>
        </w:rPr>
        <w:t>Plazo Prom. Ctas por cobrar =</w:t>
      </w:r>
    </w:p>
    <w:p>
      <w:pPr>
        <w:pStyle w:val="BodyText"/>
        <w:rPr>
          <w:rFonts w:ascii="Calibri"/>
          <w:sz w:val="22"/>
        </w:rPr>
      </w:pPr>
    </w:p>
    <w:p>
      <w:pPr>
        <w:pStyle w:val="BodyText"/>
        <w:spacing w:before="8"/>
        <w:rPr>
          <w:rFonts w:ascii="Calibri"/>
          <w:sz w:val="23"/>
        </w:rPr>
      </w:pPr>
    </w:p>
    <w:p>
      <w:pPr>
        <w:pStyle w:val="ListParagraph"/>
        <w:numPr>
          <w:ilvl w:val="3"/>
          <w:numId w:val="40"/>
        </w:numPr>
        <w:tabs>
          <w:tab w:pos="1235" w:val="left" w:leader="none"/>
        </w:tabs>
        <w:spacing w:line="240" w:lineRule="auto" w:before="0" w:after="0"/>
        <w:ind w:left="1234" w:right="0" w:hanging="360"/>
        <w:jc w:val="left"/>
        <w:rPr>
          <w:sz w:val="20"/>
        </w:rPr>
      </w:pPr>
      <w:r>
        <w:rPr>
          <w:sz w:val="24"/>
        </w:rPr>
        <w:t>Rotación Cuentas por</w:t>
      </w:r>
      <w:r>
        <w:rPr>
          <w:spacing w:val="-10"/>
          <w:sz w:val="24"/>
        </w:rPr>
        <w:t> </w:t>
      </w:r>
      <w:r>
        <w:rPr>
          <w:sz w:val="24"/>
        </w:rPr>
        <w:t>pagar</w:t>
      </w:r>
    </w:p>
    <w:p>
      <w:pPr>
        <w:pStyle w:val="BodyText"/>
        <w:spacing w:line="360" w:lineRule="auto" w:before="139"/>
        <w:ind w:left="1234" w:right="120"/>
      </w:pPr>
      <w:r>
        <w:rPr/>
        <w:t>Sirve para calcular el número de veces que las cuentas por pagar se convierten en efectivo en el curso del año.</w:t>
      </w:r>
    </w:p>
    <w:p>
      <w:pPr>
        <w:pStyle w:val="BodyText"/>
        <w:spacing w:before="5"/>
        <w:rPr>
          <w:sz w:val="25"/>
        </w:rPr>
      </w:pPr>
    </w:p>
    <w:p>
      <w:pPr>
        <w:spacing w:before="0"/>
        <w:ind w:left="2387" w:right="120" w:firstLine="0"/>
        <w:jc w:val="left"/>
        <w:rPr>
          <w:rFonts w:ascii="Calibri" w:hAnsi="Calibri"/>
          <w:sz w:val="23"/>
        </w:rPr>
      </w:pPr>
      <w:r>
        <w:rPr/>
        <w:pict>
          <v:shape style="position:absolute;margin-left:348.98999pt;margin-top:-5.850293pt;width:88.25pt;height:25pt;mso-position-horizontal-relative:page;mso-position-vertical-relative:paragraph;z-index:200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65"/>
                  </w:tblGrid>
                  <w:tr>
                    <w:trPr>
                      <w:trHeight w:val="250" w:hRule="exact"/>
                    </w:trPr>
                    <w:tc>
                      <w:tcPr>
                        <w:tcW w:w="1765" w:type="dxa"/>
                      </w:tcPr>
                      <w:p>
                        <w:pPr>
                          <w:pStyle w:val="TableParagraph"/>
                          <w:tabs>
                            <w:tab w:pos="317" w:val="left" w:leader="none"/>
                            <w:tab w:pos="1923" w:val="left" w:leader="none"/>
                          </w:tabs>
                          <w:spacing w:line="225" w:lineRule="exact"/>
                          <w:ind w:left="-158" w:right="-159"/>
                          <w:jc w:val="center"/>
                          <w:rPr>
                            <w:sz w:val="22"/>
                          </w:rPr>
                        </w:pPr>
                        <w:r>
                          <w:rPr>
                            <w:w w:val="100"/>
                            <w:sz w:val="22"/>
                            <w:u w:val="single"/>
                          </w:rPr>
                          <w:t> </w:t>
                        </w:r>
                        <w:r>
                          <w:rPr>
                            <w:sz w:val="22"/>
                            <w:u w:val="single"/>
                          </w:rPr>
                          <w:tab/>
                          <w:t>Proveedores</w:t>
                          <w:tab/>
                        </w:r>
                      </w:p>
                    </w:tc>
                  </w:tr>
                  <w:tr>
                    <w:trPr>
                      <w:trHeight w:val="250" w:hRule="exact"/>
                    </w:trPr>
                    <w:tc>
                      <w:tcPr>
                        <w:tcW w:w="1765" w:type="dxa"/>
                      </w:tcPr>
                      <w:p>
                        <w:pPr>
                          <w:pStyle w:val="TableParagraph"/>
                          <w:spacing w:line="253" w:lineRule="exact"/>
                          <w:ind w:left="181" w:right="181"/>
                          <w:jc w:val="center"/>
                          <w:rPr>
                            <w:sz w:val="22"/>
                          </w:rPr>
                        </w:pPr>
                        <w:r>
                          <w:rPr>
                            <w:sz w:val="22"/>
                          </w:rPr>
                          <w:t>Costo de Venta</w:t>
                        </w:r>
                      </w:p>
                    </w:tc>
                  </w:tr>
                </w:tbl>
                <w:p>
                  <w:pPr>
                    <w:pStyle w:val="BodyText"/>
                  </w:pPr>
                </w:p>
              </w:txbxContent>
            </v:textbox>
            <w10:wrap type="none"/>
          </v:shape>
        </w:pict>
      </w:r>
      <w:r>
        <w:rPr>
          <w:rFonts w:ascii="Calibri" w:hAnsi="Calibri"/>
          <w:sz w:val="23"/>
        </w:rPr>
        <w:t>Rotación cuentas por pagar=</w:t>
      </w:r>
    </w:p>
    <w:p>
      <w:pPr>
        <w:pStyle w:val="BodyText"/>
        <w:rPr>
          <w:rFonts w:ascii="Calibri"/>
          <w:sz w:val="22"/>
        </w:rPr>
      </w:pPr>
    </w:p>
    <w:p>
      <w:pPr>
        <w:pStyle w:val="BodyText"/>
        <w:spacing w:before="3"/>
        <w:rPr>
          <w:rFonts w:ascii="Calibri"/>
          <w:sz w:val="23"/>
        </w:rPr>
      </w:pPr>
    </w:p>
    <w:p>
      <w:pPr>
        <w:pStyle w:val="ListParagraph"/>
        <w:numPr>
          <w:ilvl w:val="3"/>
          <w:numId w:val="40"/>
        </w:numPr>
        <w:tabs>
          <w:tab w:pos="1235" w:val="left" w:leader="none"/>
        </w:tabs>
        <w:spacing w:line="240" w:lineRule="auto" w:before="0" w:after="0"/>
        <w:ind w:left="1234" w:right="0" w:hanging="360"/>
        <w:jc w:val="left"/>
        <w:rPr>
          <w:sz w:val="20"/>
        </w:rPr>
      </w:pPr>
      <w:r>
        <w:rPr>
          <w:sz w:val="24"/>
        </w:rPr>
        <w:t>Plazo promedio de cuentas por</w:t>
      </w:r>
      <w:r>
        <w:rPr>
          <w:spacing w:val="-12"/>
          <w:sz w:val="24"/>
        </w:rPr>
        <w:t> </w:t>
      </w:r>
      <w:r>
        <w:rPr>
          <w:sz w:val="24"/>
        </w:rPr>
        <w:t>pagar</w:t>
      </w:r>
    </w:p>
    <w:p>
      <w:pPr>
        <w:pStyle w:val="BodyText"/>
        <w:spacing w:before="139"/>
        <w:ind w:left="1143" w:right="120"/>
      </w:pPr>
      <w:r>
        <w:rPr/>
        <w:t>Indica las normas y plazos de pago de la empresa.</w:t>
      </w:r>
    </w:p>
    <w:p>
      <w:pPr>
        <w:pStyle w:val="BodyText"/>
      </w:pPr>
    </w:p>
    <w:p>
      <w:pPr>
        <w:pStyle w:val="BodyText"/>
        <w:spacing w:before="143"/>
        <w:ind w:left="1750" w:right="120"/>
        <w:rPr>
          <w:rFonts w:ascii="Calibri"/>
        </w:rPr>
      </w:pPr>
      <w:r>
        <w:rPr/>
        <w:pict>
          <v:shape style="position:absolute;margin-left:355.589996pt;margin-top:1.655789pt;width:88.25pt;height:25pt;mso-position-horizontal-relative:page;mso-position-vertical-relative:paragraph;z-index:203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65"/>
                  </w:tblGrid>
                  <w:tr>
                    <w:trPr>
                      <w:trHeight w:val="250" w:hRule="exact"/>
                    </w:trPr>
                    <w:tc>
                      <w:tcPr>
                        <w:tcW w:w="1765" w:type="dxa"/>
                      </w:tcPr>
                      <w:p>
                        <w:pPr>
                          <w:pStyle w:val="TableParagraph"/>
                          <w:tabs>
                            <w:tab w:pos="317" w:val="left" w:leader="none"/>
                            <w:tab w:pos="1923" w:val="left" w:leader="none"/>
                          </w:tabs>
                          <w:spacing w:line="225" w:lineRule="exact"/>
                          <w:ind w:left="-158" w:right="-159"/>
                          <w:jc w:val="center"/>
                          <w:rPr>
                            <w:sz w:val="22"/>
                          </w:rPr>
                        </w:pPr>
                        <w:r>
                          <w:rPr>
                            <w:w w:val="100"/>
                            <w:sz w:val="22"/>
                            <w:u w:val="single"/>
                          </w:rPr>
                          <w:t> </w:t>
                        </w:r>
                        <w:r>
                          <w:rPr>
                            <w:sz w:val="22"/>
                            <w:u w:val="single"/>
                          </w:rPr>
                          <w:tab/>
                          <w:t>Proveedores</w:t>
                          <w:tab/>
                        </w:r>
                      </w:p>
                    </w:tc>
                  </w:tr>
                  <w:tr>
                    <w:trPr>
                      <w:trHeight w:val="250" w:hRule="exact"/>
                    </w:trPr>
                    <w:tc>
                      <w:tcPr>
                        <w:tcW w:w="1765" w:type="dxa"/>
                      </w:tcPr>
                      <w:p>
                        <w:pPr>
                          <w:pStyle w:val="TableParagraph"/>
                          <w:spacing w:line="253" w:lineRule="exact"/>
                          <w:ind w:left="181" w:right="181"/>
                          <w:jc w:val="center"/>
                          <w:rPr>
                            <w:sz w:val="22"/>
                          </w:rPr>
                        </w:pPr>
                        <w:r>
                          <w:rPr>
                            <w:sz w:val="22"/>
                          </w:rPr>
                          <w:t>Costo de Venta</w:t>
                        </w:r>
                      </w:p>
                    </w:tc>
                  </w:tr>
                </w:tbl>
                <w:p>
                  <w:pPr>
                    <w:pStyle w:val="BodyText"/>
                  </w:pPr>
                </w:p>
              </w:txbxContent>
            </v:textbox>
            <w10:wrap type="none"/>
          </v:shape>
        </w:pict>
      </w:r>
      <w:r>
        <w:rPr>
          <w:rFonts w:ascii="Calibri"/>
        </w:rPr>
        <w:t>Plazo promedio de ctas. Por pagar=</w:t>
      </w:r>
    </w:p>
    <w:p>
      <w:pPr>
        <w:pStyle w:val="BodyText"/>
        <w:rPr>
          <w:rFonts w:ascii="Calibri"/>
        </w:rPr>
      </w:pPr>
    </w:p>
    <w:p>
      <w:pPr>
        <w:pStyle w:val="BodyText"/>
        <w:spacing w:before="11"/>
        <w:rPr>
          <w:rFonts w:ascii="Calibri"/>
          <w:sz w:val="21"/>
        </w:rPr>
      </w:pPr>
    </w:p>
    <w:p>
      <w:pPr>
        <w:pStyle w:val="Heading2"/>
        <w:ind w:right="120"/>
        <w:jc w:val="left"/>
      </w:pPr>
      <w:r>
        <w:rPr/>
        <w:t>Razones de Endeudamiento</w:t>
      </w:r>
    </w:p>
    <w:p>
      <w:pPr>
        <w:pStyle w:val="ListParagraph"/>
        <w:numPr>
          <w:ilvl w:val="0"/>
          <w:numId w:val="41"/>
        </w:numPr>
        <w:tabs>
          <w:tab w:pos="1235" w:val="left" w:leader="none"/>
        </w:tabs>
        <w:spacing w:line="240" w:lineRule="auto" w:before="137" w:after="0"/>
        <w:ind w:left="1234" w:right="0" w:hanging="280"/>
        <w:jc w:val="left"/>
        <w:rPr>
          <w:sz w:val="20"/>
        </w:rPr>
      </w:pPr>
      <w:r>
        <w:rPr>
          <w:sz w:val="24"/>
        </w:rPr>
        <w:t>Razón De Endeudamiento</w:t>
      </w:r>
      <w:r>
        <w:rPr>
          <w:spacing w:val="-11"/>
          <w:sz w:val="24"/>
        </w:rPr>
        <w:t> </w:t>
      </w:r>
      <w:r>
        <w:rPr>
          <w:sz w:val="24"/>
        </w:rPr>
        <w:t>Externo</w:t>
      </w:r>
    </w:p>
    <w:p>
      <w:pPr>
        <w:pStyle w:val="BodyText"/>
        <w:spacing w:line="360" w:lineRule="auto" w:before="139"/>
        <w:ind w:left="1234" w:right="120"/>
      </w:pPr>
      <w:r>
        <w:rPr/>
        <w:t>Mide la proporción del total de activos aportados por recursos externos de la empresa.</w:t>
      </w:r>
    </w:p>
    <w:p>
      <w:pPr>
        <w:pStyle w:val="BodyText"/>
        <w:spacing w:before="11"/>
      </w:pPr>
    </w:p>
    <w:p>
      <w:pPr>
        <w:pStyle w:val="BodyText"/>
        <w:ind w:left="1772" w:right="2978"/>
        <w:jc w:val="center"/>
        <w:rPr>
          <w:rFonts w:ascii="Calibri"/>
        </w:rPr>
      </w:pPr>
      <w:r>
        <w:rPr/>
        <w:pict>
          <v:shape style="position:absolute;margin-left:362.790009pt;margin-top:-5.614229pt;width:73.75pt;height:25pt;mso-position-horizontal-relative:page;mso-position-vertical-relative:paragraph;z-index:205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75"/>
                  </w:tblGrid>
                  <w:tr>
                    <w:trPr>
                      <w:trHeight w:val="250" w:hRule="exact"/>
                    </w:trPr>
                    <w:tc>
                      <w:tcPr>
                        <w:tcW w:w="1475" w:type="dxa"/>
                      </w:tcPr>
                      <w:p>
                        <w:pPr>
                          <w:pStyle w:val="TableParagraph"/>
                          <w:tabs>
                            <w:tab w:pos="199" w:val="left" w:leader="none"/>
                            <w:tab w:pos="1779" w:val="left" w:leader="none"/>
                          </w:tabs>
                          <w:spacing w:line="225" w:lineRule="exact"/>
                          <w:ind w:left="-302" w:right="-305"/>
                          <w:jc w:val="center"/>
                          <w:rPr>
                            <w:sz w:val="22"/>
                          </w:rPr>
                        </w:pPr>
                        <w:r>
                          <w:rPr>
                            <w:w w:val="100"/>
                            <w:sz w:val="22"/>
                            <w:u w:val="single"/>
                          </w:rPr>
                          <w:t> </w:t>
                        </w:r>
                        <w:r>
                          <w:rPr>
                            <w:sz w:val="22"/>
                            <w:u w:val="single"/>
                          </w:rPr>
                          <w:tab/>
                          <w:t>Pasivo</w:t>
                        </w:r>
                        <w:r>
                          <w:rPr>
                            <w:spacing w:val="-2"/>
                            <w:sz w:val="22"/>
                            <w:u w:val="single"/>
                          </w:rPr>
                          <w:t> </w:t>
                        </w:r>
                        <w:r>
                          <w:rPr>
                            <w:sz w:val="22"/>
                            <w:u w:val="single"/>
                          </w:rPr>
                          <w:t>Total</w:t>
                          <w:tab/>
                        </w:r>
                      </w:p>
                    </w:tc>
                  </w:tr>
                  <w:tr>
                    <w:trPr>
                      <w:trHeight w:val="250" w:hRule="exact"/>
                    </w:trPr>
                    <w:tc>
                      <w:tcPr>
                        <w:tcW w:w="1475" w:type="dxa"/>
                      </w:tcPr>
                      <w:p>
                        <w:pPr>
                          <w:pStyle w:val="TableParagraph"/>
                          <w:spacing w:line="253" w:lineRule="exact"/>
                          <w:ind w:left="188" w:right="183"/>
                          <w:jc w:val="center"/>
                          <w:rPr>
                            <w:sz w:val="22"/>
                          </w:rPr>
                        </w:pPr>
                        <w:r>
                          <w:rPr>
                            <w:sz w:val="22"/>
                          </w:rPr>
                          <w:t>Activo Total</w:t>
                        </w:r>
                      </w:p>
                    </w:tc>
                  </w:tr>
                </w:tbl>
                <w:p>
                  <w:pPr>
                    <w:pStyle w:val="BodyText"/>
                  </w:pPr>
                </w:p>
              </w:txbxContent>
            </v:textbox>
            <w10:wrap type="none"/>
          </v:shape>
        </w:pict>
      </w:r>
      <w:r>
        <w:rPr>
          <w:rFonts w:ascii="Calibri"/>
        </w:rPr>
        <w:t>Endeudamiento Externo =</w:t>
      </w:r>
    </w:p>
    <w:p>
      <w:pPr>
        <w:pStyle w:val="BodyText"/>
        <w:rPr>
          <w:rFonts w:ascii="Calibri"/>
        </w:rPr>
      </w:pPr>
    </w:p>
    <w:p>
      <w:pPr>
        <w:pStyle w:val="BodyText"/>
        <w:spacing w:before="8"/>
        <w:rPr>
          <w:rFonts w:ascii="Calibri"/>
          <w:sz w:val="21"/>
        </w:rPr>
      </w:pPr>
    </w:p>
    <w:p>
      <w:pPr>
        <w:pStyle w:val="ListParagraph"/>
        <w:numPr>
          <w:ilvl w:val="0"/>
          <w:numId w:val="41"/>
        </w:numPr>
        <w:tabs>
          <w:tab w:pos="1542" w:val="left" w:leader="none"/>
        </w:tabs>
        <w:spacing w:line="240" w:lineRule="auto" w:before="0" w:after="0"/>
        <w:ind w:left="1542" w:right="0" w:hanging="360"/>
        <w:jc w:val="left"/>
        <w:rPr>
          <w:sz w:val="20"/>
        </w:rPr>
      </w:pPr>
      <w:r>
        <w:rPr>
          <w:sz w:val="24"/>
        </w:rPr>
        <w:t>Razón de Endeudamiento</w:t>
      </w:r>
      <w:r>
        <w:rPr>
          <w:spacing w:val="-15"/>
          <w:sz w:val="24"/>
        </w:rPr>
        <w:t> </w:t>
      </w:r>
      <w:r>
        <w:rPr>
          <w:sz w:val="24"/>
        </w:rPr>
        <w:t>Interno</w:t>
      </w:r>
    </w:p>
    <w:p>
      <w:pPr>
        <w:pStyle w:val="BodyText"/>
        <w:spacing w:line="360" w:lineRule="auto" w:before="139"/>
        <w:ind w:left="1542" w:right="120"/>
      </w:pPr>
      <w:r>
        <w:rPr/>
        <w:t>Mide la proporción del total de activos aportados por recursos internos o propietarios de la empresa.</w:t>
      </w:r>
    </w:p>
    <w:p>
      <w:pPr>
        <w:pStyle w:val="BodyText"/>
        <w:spacing w:before="8"/>
      </w:pPr>
    </w:p>
    <w:p>
      <w:pPr>
        <w:spacing w:before="1"/>
        <w:ind w:left="1772" w:right="2785" w:firstLine="0"/>
        <w:jc w:val="center"/>
        <w:rPr>
          <w:rFonts w:ascii="Calibri"/>
          <w:sz w:val="23"/>
        </w:rPr>
      </w:pPr>
      <w:r>
        <w:rPr/>
        <w:pict>
          <v:shape style="position:absolute;margin-left:352.829987pt;margin-top:-5.440299pt;width:93.65pt;height:25pt;mso-position-horizontal-relative:page;mso-position-vertical-relative:paragraph;z-index:208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73"/>
                  </w:tblGrid>
                  <w:tr>
                    <w:trPr>
                      <w:trHeight w:val="250" w:hRule="exact"/>
                    </w:trPr>
                    <w:tc>
                      <w:tcPr>
                        <w:tcW w:w="1873" w:type="dxa"/>
                      </w:tcPr>
                      <w:p>
                        <w:pPr>
                          <w:pStyle w:val="TableParagraph"/>
                          <w:tabs>
                            <w:tab w:pos="199" w:val="left" w:leader="none"/>
                            <w:tab w:pos="1978" w:val="left" w:leader="none"/>
                          </w:tabs>
                          <w:spacing w:line="225" w:lineRule="exact"/>
                          <w:ind w:left="-103" w:right="-106"/>
                          <w:jc w:val="center"/>
                          <w:rPr>
                            <w:sz w:val="22"/>
                          </w:rPr>
                        </w:pPr>
                        <w:r>
                          <w:rPr>
                            <w:w w:val="100"/>
                            <w:sz w:val="22"/>
                            <w:u w:val="single"/>
                          </w:rPr>
                          <w:t> </w:t>
                        </w:r>
                        <w:r>
                          <w:rPr>
                            <w:sz w:val="22"/>
                            <w:u w:val="single"/>
                          </w:rPr>
                          <w:tab/>
                          <w:t>Capital</w:t>
                        </w:r>
                        <w:r>
                          <w:rPr>
                            <w:spacing w:val="-5"/>
                            <w:sz w:val="22"/>
                            <w:u w:val="single"/>
                          </w:rPr>
                          <w:t> </w:t>
                        </w:r>
                        <w:r>
                          <w:rPr>
                            <w:sz w:val="22"/>
                            <w:u w:val="single"/>
                          </w:rPr>
                          <w:t>Contable</w:t>
                          <w:tab/>
                        </w:r>
                      </w:p>
                    </w:tc>
                  </w:tr>
                  <w:tr>
                    <w:trPr>
                      <w:trHeight w:val="250" w:hRule="exact"/>
                    </w:trPr>
                    <w:tc>
                      <w:tcPr>
                        <w:tcW w:w="1873" w:type="dxa"/>
                      </w:tcPr>
                      <w:p>
                        <w:pPr>
                          <w:pStyle w:val="TableParagraph"/>
                          <w:spacing w:line="253" w:lineRule="exact"/>
                          <w:ind w:left="387" w:right="382"/>
                          <w:jc w:val="center"/>
                          <w:rPr>
                            <w:sz w:val="22"/>
                          </w:rPr>
                        </w:pPr>
                        <w:r>
                          <w:rPr>
                            <w:sz w:val="22"/>
                          </w:rPr>
                          <w:t>Activo Total</w:t>
                        </w:r>
                      </w:p>
                    </w:tc>
                  </w:tr>
                </w:tbl>
                <w:p>
                  <w:pPr>
                    <w:pStyle w:val="BodyText"/>
                  </w:pPr>
                </w:p>
              </w:txbxContent>
            </v:textbox>
            <w10:wrap type="none"/>
          </v:shape>
        </w:pict>
      </w:r>
      <w:r>
        <w:rPr>
          <w:rFonts w:ascii="Calibri"/>
          <w:sz w:val="23"/>
        </w:rPr>
        <w:t>Endeudamiento Interno=</w:t>
      </w:r>
    </w:p>
    <w:p>
      <w:pPr>
        <w:spacing w:after="0"/>
        <w:jc w:val="center"/>
        <w:rPr>
          <w:rFonts w:ascii="Calibri"/>
          <w:sz w:val="23"/>
        </w:rPr>
        <w:sectPr>
          <w:footerReference w:type="default" r:id="rId50"/>
          <w:pgSz w:w="12240" w:h="15840"/>
          <w:pgMar w:footer="779" w:header="0" w:top="1360" w:bottom="960" w:left="1600" w:right="1580"/>
          <w:pgNumType w:start="61"/>
        </w:sectPr>
      </w:pPr>
    </w:p>
    <w:p>
      <w:pPr>
        <w:pStyle w:val="Heading2"/>
        <w:spacing w:before="56"/>
        <w:ind w:right="120"/>
        <w:jc w:val="left"/>
      </w:pPr>
      <w:r>
        <w:rPr/>
        <w:t>Razones de Rentabilidad</w:t>
      </w:r>
    </w:p>
    <w:p>
      <w:pPr>
        <w:pStyle w:val="ListParagraph"/>
        <w:numPr>
          <w:ilvl w:val="0"/>
          <w:numId w:val="42"/>
        </w:numPr>
        <w:tabs>
          <w:tab w:pos="1517" w:val="left" w:leader="none"/>
          <w:tab w:pos="1518" w:val="left" w:leader="none"/>
        </w:tabs>
        <w:spacing w:line="240" w:lineRule="auto" w:before="137" w:after="0"/>
        <w:ind w:left="1518" w:right="0" w:hanging="423"/>
        <w:jc w:val="left"/>
        <w:rPr>
          <w:sz w:val="24"/>
        </w:rPr>
      </w:pPr>
      <w:r>
        <w:rPr>
          <w:sz w:val="24"/>
        </w:rPr>
        <w:t>Razón de Rentabilidad sobre las</w:t>
      </w:r>
      <w:r>
        <w:rPr>
          <w:spacing w:val="-10"/>
          <w:sz w:val="24"/>
        </w:rPr>
        <w:t> </w:t>
      </w:r>
      <w:r>
        <w:rPr>
          <w:sz w:val="24"/>
        </w:rPr>
        <w:t>Ventas</w:t>
      </w:r>
    </w:p>
    <w:p>
      <w:pPr>
        <w:pStyle w:val="BodyText"/>
        <w:spacing w:line="360" w:lineRule="auto" w:before="139"/>
        <w:ind w:left="1095" w:right="120"/>
      </w:pPr>
      <w:r>
        <w:rPr/>
        <w:t>Indica el porcentaje que queda sobre las ventas después que la empresa ha pagado sus existencias.</w:t>
      </w:r>
    </w:p>
    <w:p>
      <w:pPr>
        <w:pStyle w:val="BodyText"/>
        <w:spacing w:before="11"/>
      </w:pPr>
    </w:p>
    <w:p>
      <w:pPr>
        <w:pStyle w:val="BodyText"/>
        <w:ind w:left="2146" w:right="120"/>
        <w:rPr>
          <w:rFonts w:ascii="Calibri"/>
        </w:rPr>
      </w:pPr>
      <w:r>
        <w:rPr/>
        <w:pict>
          <v:shape style="position:absolute;margin-left:360.029999pt;margin-top:-5.614212pt;width:79.350pt;height:25pt;mso-position-horizontal-relative:page;mso-position-vertical-relative:paragraph;z-index:210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86"/>
                  </w:tblGrid>
                  <w:tr>
                    <w:trPr>
                      <w:trHeight w:val="250" w:hRule="exact"/>
                    </w:trPr>
                    <w:tc>
                      <w:tcPr>
                        <w:tcW w:w="1586" w:type="dxa"/>
                      </w:tcPr>
                      <w:p>
                        <w:pPr>
                          <w:pStyle w:val="TableParagraph"/>
                          <w:tabs>
                            <w:tab w:pos="199" w:val="left" w:leader="none"/>
                            <w:tab w:pos="1834" w:val="left" w:leader="none"/>
                          </w:tabs>
                          <w:spacing w:line="225" w:lineRule="exact"/>
                          <w:ind w:left="-247" w:right="-249"/>
                          <w:jc w:val="center"/>
                          <w:rPr>
                            <w:sz w:val="22"/>
                          </w:rPr>
                        </w:pPr>
                        <w:r>
                          <w:rPr>
                            <w:w w:val="100"/>
                            <w:sz w:val="22"/>
                            <w:u w:val="single"/>
                          </w:rPr>
                          <w:t> </w:t>
                        </w:r>
                        <w:r>
                          <w:rPr>
                            <w:sz w:val="22"/>
                            <w:u w:val="single"/>
                          </w:rPr>
                          <w:tab/>
                          <w:t>Utilidad</w:t>
                        </w:r>
                        <w:r>
                          <w:rPr>
                            <w:spacing w:val="1"/>
                            <w:sz w:val="22"/>
                            <w:u w:val="single"/>
                          </w:rPr>
                          <w:t> </w:t>
                        </w:r>
                        <w:r>
                          <w:rPr>
                            <w:sz w:val="22"/>
                            <w:u w:val="single"/>
                          </w:rPr>
                          <w:t>Neta</w:t>
                          <w:tab/>
                        </w:r>
                      </w:p>
                    </w:tc>
                  </w:tr>
                  <w:tr>
                    <w:trPr>
                      <w:trHeight w:val="250" w:hRule="exact"/>
                    </w:trPr>
                    <w:tc>
                      <w:tcPr>
                        <w:tcW w:w="1586" w:type="dxa"/>
                      </w:tcPr>
                      <w:p>
                        <w:pPr>
                          <w:pStyle w:val="TableParagraph"/>
                          <w:spacing w:line="253" w:lineRule="exact"/>
                          <w:ind w:left="182" w:right="181"/>
                          <w:jc w:val="center"/>
                          <w:rPr>
                            <w:sz w:val="22"/>
                          </w:rPr>
                        </w:pPr>
                        <w:r>
                          <w:rPr>
                            <w:sz w:val="22"/>
                          </w:rPr>
                          <w:t>Ventas Netas</w:t>
                        </w:r>
                      </w:p>
                    </w:tc>
                  </w:tr>
                </w:tbl>
                <w:p>
                  <w:pPr>
                    <w:pStyle w:val="BodyText"/>
                  </w:pPr>
                </w:p>
              </w:txbxContent>
            </v:textbox>
            <w10:wrap type="none"/>
          </v:shape>
        </w:pict>
      </w:r>
      <w:r>
        <w:rPr>
          <w:rFonts w:ascii="Calibri"/>
        </w:rPr>
        <w:t>Rentabilidad sobre las Ventas =</w:t>
      </w:r>
    </w:p>
    <w:p>
      <w:pPr>
        <w:pStyle w:val="BodyText"/>
        <w:rPr>
          <w:rFonts w:ascii="Calibri"/>
        </w:rPr>
      </w:pPr>
    </w:p>
    <w:p>
      <w:pPr>
        <w:pStyle w:val="BodyText"/>
        <w:spacing w:before="8"/>
        <w:rPr>
          <w:rFonts w:ascii="Calibri"/>
          <w:sz w:val="21"/>
        </w:rPr>
      </w:pPr>
    </w:p>
    <w:p>
      <w:pPr>
        <w:pStyle w:val="ListParagraph"/>
        <w:numPr>
          <w:ilvl w:val="0"/>
          <w:numId w:val="42"/>
        </w:numPr>
        <w:tabs>
          <w:tab w:pos="1379" w:val="left" w:leader="none"/>
        </w:tabs>
        <w:spacing w:line="240" w:lineRule="auto" w:before="0" w:after="0"/>
        <w:ind w:left="1378" w:right="0" w:hanging="360"/>
        <w:jc w:val="left"/>
        <w:rPr>
          <w:sz w:val="24"/>
        </w:rPr>
      </w:pPr>
      <w:r>
        <w:rPr>
          <w:sz w:val="24"/>
        </w:rPr>
        <w:t>Razón de Rentabilidad de la Utilidad de</w:t>
      </w:r>
      <w:r>
        <w:rPr>
          <w:spacing w:val="-18"/>
          <w:sz w:val="24"/>
        </w:rPr>
        <w:t> </w:t>
      </w:r>
      <w:r>
        <w:rPr>
          <w:sz w:val="24"/>
        </w:rPr>
        <w:t>Operación</w:t>
      </w:r>
    </w:p>
    <w:p>
      <w:pPr>
        <w:pStyle w:val="BodyText"/>
        <w:spacing w:line="360" w:lineRule="auto" w:before="139"/>
        <w:ind w:left="1378" w:right="116"/>
        <w:jc w:val="both"/>
      </w:pPr>
      <w:r>
        <w:rPr/>
        <w:t>Representa las utilidades netas que gana la empresa en el </w:t>
      </w:r>
      <w:hyperlink r:id="rId54">
        <w:r>
          <w:rPr/>
          <w:t>valor</w:t>
        </w:r>
      </w:hyperlink>
      <w:r>
        <w:rPr/>
        <w:t> de cada </w:t>
      </w:r>
      <w:hyperlink r:id="rId55">
        <w:r>
          <w:rPr/>
          <w:t>venta</w:t>
        </w:r>
      </w:hyperlink>
      <w:r>
        <w:rPr/>
        <w:t>. Estas se deben tener en cuenta deduciéndoles los cargos financieros o gubernamentales y determina solamente la </w:t>
      </w:r>
      <w:hyperlink r:id="rId56">
        <w:r>
          <w:rPr/>
          <w:t>utilidad</w:t>
        </w:r>
      </w:hyperlink>
      <w:r>
        <w:rPr/>
        <w:t> de la operación de la empresa.</w:t>
      </w:r>
    </w:p>
    <w:p>
      <w:pPr>
        <w:pStyle w:val="BodyText"/>
        <w:spacing w:before="5"/>
        <w:rPr>
          <w:sz w:val="27"/>
        </w:rPr>
      </w:pPr>
    </w:p>
    <w:p>
      <w:pPr>
        <w:pStyle w:val="BodyText"/>
        <w:ind w:left="1758" w:right="120"/>
        <w:rPr>
          <w:rFonts w:ascii="Calibri" w:hAnsi="Calibri"/>
        </w:rPr>
      </w:pPr>
      <w:r>
        <w:rPr/>
        <w:pict>
          <v:shape style="position:absolute;margin-left:385.470001pt;margin-top:-6.454225pt;width:104.15pt;height:25pt;mso-position-horizontal-relative:page;mso-position-vertical-relative:paragraph;z-index:212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83"/>
                  </w:tblGrid>
                  <w:tr>
                    <w:trPr>
                      <w:trHeight w:val="250" w:hRule="exact"/>
                    </w:trPr>
                    <w:tc>
                      <w:tcPr>
                        <w:tcW w:w="2083" w:type="dxa"/>
                      </w:tcPr>
                      <w:p>
                        <w:pPr>
                          <w:pStyle w:val="TableParagraph"/>
                          <w:spacing w:line="225" w:lineRule="exact"/>
                          <w:jc w:val="center"/>
                          <w:rPr>
                            <w:sz w:val="22"/>
                          </w:rPr>
                        </w:pPr>
                        <w:r>
                          <w:rPr>
                            <w:w w:val="100"/>
                            <w:sz w:val="22"/>
                            <w:u w:val="single"/>
                          </w:rPr>
                          <w:t> </w:t>
                        </w:r>
                        <w:r>
                          <w:rPr>
                            <w:sz w:val="22"/>
                            <w:u w:val="single"/>
                          </w:rPr>
                          <w:t>   Utilidad Operación </w:t>
                        </w:r>
                      </w:p>
                    </w:tc>
                  </w:tr>
                  <w:tr>
                    <w:trPr>
                      <w:trHeight w:val="250" w:hRule="exact"/>
                    </w:trPr>
                    <w:tc>
                      <w:tcPr>
                        <w:tcW w:w="2083" w:type="dxa"/>
                      </w:tcPr>
                      <w:p>
                        <w:pPr>
                          <w:pStyle w:val="TableParagraph"/>
                          <w:spacing w:line="253" w:lineRule="exact"/>
                          <w:jc w:val="center"/>
                          <w:rPr>
                            <w:sz w:val="22"/>
                          </w:rPr>
                        </w:pPr>
                        <w:r>
                          <w:rPr>
                            <w:sz w:val="22"/>
                          </w:rPr>
                          <w:t>Ventas Netas</w:t>
                        </w:r>
                      </w:p>
                    </w:tc>
                  </w:tr>
                </w:tbl>
                <w:p>
                  <w:pPr>
                    <w:pStyle w:val="BodyText"/>
                  </w:pPr>
                </w:p>
              </w:txbxContent>
            </v:textbox>
            <w10:wrap type="none"/>
          </v:shape>
        </w:pict>
      </w:r>
      <w:r>
        <w:rPr>
          <w:rFonts w:ascii="Calibri" w:hAnsi="Calibri"/>
        </w:rPr>
        <w:t>Rentabilidad sobre Utilidad de Operación =</w:t>
      </w:r>
    </w:p>
    <w:p>
      <w:pPr>
        <w:pStyle w:val="ListParagraph"/>
        <w:numPr>
          <w:ilvl w:val="0"/>
          <w:numId w:val="42"/>
        </w:numPr>
        <w:tabs>
          <w:tab w:pos="1235" w:val="left" w:leader="none"/>
        </w:tabs>
        <w:spacing w:line="240" w:lineRule="auto" w:before="145" w:after="0"/>
        <w:ind w:left="1234" w:right="0" w:hanging="360"/>
        <w:jc w:val="left"/>
        <w:rPr>
          <w:sz w:val="24"/>
        </w:rPr>
      </w:pPr>
      <w:r>
        <w:rPr>
          <w:sz w:val="24"/>
        </w:rPr>
        <w:t>Razones de Rentabilidad en el</w:t>
      </w:r>
      <w:r>
        <w:rPr>
          <w:spacing w:val="-16"/>
          <w:sz w:val="24"/>
        </w:rPr>
        <w:t> </w:t>
      </w:r>
      <w:r>
        <w:rPr>
          <w:sz w:val="24"/>
        </w:rPr>
        <w:t>activo</w:t>
      </w:r>
    </w:p>
    <w:p>
      <w:pPr>
        <w:pStyle w:val="BodyText"/>
        <w:spacing w:line="360" w:lineRule="auto" w:before="139"/>
        <w:ind w:left="1234" w:right="120"/>
      </w:pPr>
      <w:r>
        <w:rPr/>
        <w:t>Indica la </w:t>
      </w:r>
      <w:hyperlink r:id="rId57">
        <w:r>
          <w:rPr/>
          <w:t>eficiencia</w:t>
        </w:r>
      </w:hyperlink>
      <w:r>
        <w:rPr/>
        <w:t> con que la empresa puede utilizar sus activos para generar ventas.</w:t>
      </w:r>
    </w:p>
    <w:p>
      <w:pPr>
        <w:pStyle w:val="BodyText"/>
        <w:spacing w:before="6"/>
        <w:rPr>
          <w:sz w:val="27"/>
        </w:rPr>
      </w:pPr>
    </w:p>
    <w:p>
      <w:pPr>
        <w:pStyle w:val="BodyText"/>
        <w:ind w:left="1696" w:right="1518"/>
        <w:jc w:val="center"/>
        <w:rPr>
          <w:rFonts w:ascii="Calibri"/>
        </w:rPr>
      </w:pPr>
      <w:r>
        <w:rPr/>
        <w:pict>
          <v:shape style="position:absolute;margin-left:385.470001pt;margin-top:-6.45422pt;width:104.15pt;height:25pt;mso-position-horizontal-relative:page;mso-position-vertical-relative:paragraph;z-index:215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83"/>
                  </w:tblGrid>
                  <w:tr>
                    <w:trPr>
                      <w:trHeight w:val="250" w:hRule="exact"/>
                    </w:trPr>
                    <w:tc>
                      <w:tcPr>
                        <w:tcW w:w="2083" w:type="dxa"/>
                      </w:tcPr>
                      <w:p>
                        <w:pPr>
                          <w:pStyle w:val="TableParagraph"/>
                          <w:spacing w:line="225" w:lineRule="exact"/>
                          <w:jc w:val="center"/>
                          <w:rPr>
                            <w:sz w:val="22"/>
                          </w:rPr>
                        </w:pPr>
                        <w:r>
                          <w:rPr>
                            <w:w w:val="100"/>
                            <w:sz w:val="22"/>
                            <w:u w:val="single"/>
                          </w:rPr>
                          <w:t> </w:t>
                        </w:r>
                        <w:r>
                          <w:rPr>
                            <w:sz w:val="22"/>
                            <w:u w:val="single"/>
                          </w:rPr>
                          <w:t>   Utilidad Operación </w:t>
                        </w:r>
                      </w:p>
                    </w:tc>
                  </w:tr>
                  <w:tr>
                    <w:trPr>
                      <w:trHeight w:val="250" w:hRule="exact"/>
                    </w:trPr>
                    <w:tc>
                      <w:tcPr>
                        <w:tcW w:w="2083" w:type="dxa"/>
                      </w:tcPr>
                      <w:p>
                        <w:pPr>
                          <w:pStyle w:val="TableParagraph"/>
                          <w:spacing w:line="253" w:lineRule="exact"/>
                          <w:jc w:val="center"/>
                          <w:rPr>
                            <w:sz w:val="22"/>
                          </w:rPr>
                        </w:pPr>
                        <w:r>
                          <w:rPr>
                            <w:sz w:val="22"/>
                          </w:rPr>
                          <w:t>Ventas Netas</w:t>
                        </w:r>
                      </w:p>
                    </w:tc>
                  </w:tr>
                </w:tbl>
                <w:p>
                  <w:pPr>
                    <w:pStyle w:val="BodyText"/>
                  </w:pPr>
                </w:p>
              </w:txbxContent>
            </v:textbox>
            <w10:wrap type="none"/>
          </v:shape>
        </w:pict>
      </w:r>
      <w:r>
        <w:rPr>
          <w:rFonts w:ascii="Calibri"/>
        </w:rPr>
        <w:t>Rentabilidad sobre Activo =</w:t>
      </w:r>
    </w:p>
    <w:p>
      <w:pPr>
        <w:pStyle w:val="BodyText"/>
        <w:rPr>
          <w:rFonts w:ascii="Calibri"/>
        </w:rPr>
      </w:pPr>
    </w:p>
    <w:p>
      <w:pPr>
        <w:pStyle w:val="BodyText"/>
        <w:spacing w:before="10"/>
        <w:rPr>
          <w:rFonts w:ascii="Calibri"/>
          <w:sz w:val="21"/>
        </w:rPr>
      </w:pPr>
    </w:p>
    <w:p>
      <w:pPr>
        <w:pStyle w:val="ListParagraph"/>
        <w:numPr>
          <w:ilvl w:val="0"/>
          <w:numId w:val="42"/>
        </w:numPr>
        <w:tabs>
          <w:tab w:pos="1229" w:val="left" w:leader="none"/>
          <w:tab w:pos="1230" w:val="left" w:leader="none"/>
        </w:tabs>
        <w:spacing w:line="240" w:lineRule="auto" w:before="0" w:after="0"/>
        <w:ind w:left="1230" w:right="0" w:hanging="495"/>
        <w:jc w:val="left"/>
        <w:rPr>
          <w:sz w:val="24"/>
        </w:rPr>
      </w:pPr>
      <w:r>
        <w:rPr>
          <w:sz w:val="24"/>
        </w:rPr>
        <w:t>Razones de Rentabilidad sobre el</w:t>
      </w:r>
      <w:r>
        <w:rPr>
          <w:spacing w:val="-15"/>
          <w:sz w:val="24"/>
        </w:rPr>
        <w:t> </w:t>
      </w:r>
      <w:r>
        <w:rPr>
          <w:sz w:val="24"/>
        </w:rPr>
        <w:t>Capital</w:t>
      </w:r>
    </w:p>
    <w:p>
      <w:pPr>
        <w:pStyle w:val="BodyText"/>
        <w:spacing w:line="360" w:lineRule="auto" w:before="137"/>
        <w:ind w:left="1095"/>
      </w:pPr>
      <w:r>
        <w:rPr/>
        <w:t>Indica el rendimiento que se obtiene sobre el valor de cada aportación de socios.</w:t>
      </w:r>
    </w:p>
    <w:p>
      <w:pPr>
        <w:pStyle w:val="BodyText"/>
        <w:spacing w:before="3"/>
        <w:rPr>
          <w:sz w:val="27"/>
        </w:rPr>
      </w:pPr>
    </w:p>
    <w:p>
      <w:pPr>
        <w:pStyle w:val="BodyText"/>
        <w:ind w:left="2989" w:right="120"/>
        <w:rPr>
          <w:rFonts w:ascii="Calibri"/>
        </w:rPr>
      </w:pPr>
      <w:r>
        <w:rPr/>
        <w:pict>
          <v:shape style="position:absolute;margin-left:385.470001pt;margin-top:-6.334226pt;width:104.15pt;height:25pt;mso-position-horizontal-relative:page;mso-position-vertical-relative:paragraph;z-index:217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83"/>
                  </w:tblGrid>
                  <w:tr>
                    <w:trPr>
                      <w:trHeight w:val="250" w:hRule="exact"/>
                    </w:trPr>
                    <w:tc>
                      <w:tcPr>
                        <w:tcW w:w="2083" w:type="dxa"/>
                      </w:tcPr>
                      <w:p>
                        <w:pPr>
                          <w:pStyle w:val="TableParagraph"/>
                          <w:spacing w:line="225" w:lineRule="exact"/>
                          <w:jc w:val="center"/>
                          <w:rPr>
                            <w:sz w:val="22"/>
                          </w:rPr>
                        </w:pPr>
                        <w:r>
                          <w:rPr>
                            <w:w w:val="100"/>
                            <w:sz w:val="22"/>
                            <w:u w:val="single"/>
                          </w:rPr>
                          <w:t> </w:t>
                        </w:r>
                        <w:r>
                          <w:rPr>
                            <w:sz w:val="22"/>
                            <w:u w:val="single"/>
                          </w:rPr>
                          <w:t>   Utilidad Operación </w:t>
                        </w:r>
                      </w:p>
                    </w:tc>
                  </w:tr>
                  <w:tr>
                    <w:trPr>
                      <w:trHeight w:val="250" w:hRule="exact"/>
                    </w:trPr>
                    <w:tc>
                      <w:tcPr>
                        <w:tcW w:w="2083" w:type="dxa"/>
                      </w:tcPr>
                      <w:p>
                        <w:pPr>
                          <w:pStyle w:val="TableParagraph"/>
                          <w:spacing w:line="253" w:lineRule="exact"/>
                          <w:jc w:val="center"/>
                          <w:rPr>
                            <w:sz w:val="22"/>
                          </w:rPr>
                        </w:pPr>
                        <w:r>
                          <w:rPr>
                            <w:sz w:val="22"/>
                          </w:rPr>
                          <w:t>Ventas Netas</w:t>
                        </w:r>
                      </w:p>
                    </w:tc>
                  </w:tr>
                </w:tbl>
                <w:p>
                  <w:pPr>
                    <w:pStyle w:val="BodyText"/>
                  </w:pPr>
                </w:p>
              </w:txbxContent>
            </v:textbox>
            <w10:wrap type="none"/>
          </v:shape>
        </w:pict>
      </w:r>
      <w:r>
        <w:rPr>
          <w:rFonts w:ascii="Calibri"/>
        </w:rPr>
        <w:t>Rentabilidad sobre el Capital =</w:t>
      </w:r>
    </w:p>
    <w:p>
      <w:pPr>
        <w:spacing w:after="0"/>
        <w:rPr>
          <w:rFonts w:ascii="Calibri"/>
        </w:rPr>
        <w:sectPr>
          <w:pgSz w:w="12240" w:h="15840"/>
          <w:pgMar w:header="0" w:footer="779" w:top="1360" w:bottom="960" w:left="1600" w:right="1580"/>
        </w:sectPr>
      </w:pPr>
    </w:p>
    <w:p>
      <w:pPr>
        <w:pStyle w:val="Heading2"/>
        <w:spacing w:before="54"/>
        <w:ind w:left="242" w:right="120"/>
        <w:jc w:val="left"/>
      </w:pPr>
      <w:r>
        <w:rPr>
          <w:u w:val="thick"/>
        </w:rPr>
        <w:t>Ejemplo:</w:t>
      </w:r>
    </w:p>
    <w:p>
      <w:pPr>
        <w:pStyle w:val="BodyText"/>
        <w:spacing w:before="10"/>
        <w:rPr>
          <w:b/>
          <w:sz w:val="19"/>
        </w:rPr>
      </w:pPr>
    </w:p>
    <w:p>
      <w:pPr>
        <w:spacing w:before="51"/>
        <w:ind w:left="1772" w:right="1512" w:firstLine="0"/>
        <w:jc w:val="center"/>
        <w:rPr>
          <w:rFonts w:ascii="Calibri"/>
          <w:b/>
          <w:sz w:val="24"/>
        </w:rPr>
      </w:pPr>
      <w:r>
        <w:rPr>
          <w:rFonts w:ascii="Calibri"/>
          <w:b/>
          <w:sz w:val="24"/>
        </w:rPr>
        <w:t>LA NENA SA</w:t>
      </w:r>
    </w:p>
    <w:p>
      <w:pPr>
        <w:spacing w:line="292" w:lineRule="exact" w:before="0"/>
        <w:ind w:left="1772" w:right="1518" w:firstLine="0"/>
        <w:jc w:val="center"/>
        <w:rPr>
          <w:rFonts w:ascii="Calibri" w:hAnsi="Calibri"/>
          <w:b/>
          <w:sz w:val="24"/>
        </w:rPr>
      </w:pPr>
      <w:r>
        <w:rPr>
          <w:rFonts w:ascii="Calibri" w:hAnsi="Calibri"/>
          <w:b/>
          <w:sz w:val="24"/>
        </w:rPr>
        <w:t>Estado de Situación Financiera al 31 diciembre 2013</w:t>
      </w:r>
    </w:p>
    <w:p>
      <w:pPr>
        <w:tabs>
          <w:tab w:pos="6060" w:val="left" w:leader="none"/>
        </w:tabs>
        <w:spacing w:line="219" w:lineRule="exact" w:before="0" w:after="2"/>
        <w:ind w:left="1895" w:right="120" w:firstLine="0"/>
        <w:jc w:val="left"/>
        <w:rPr>
          <w:rFonts w:ascii="Calibri"/>
          <w:b/>
          <w:sz w:val="18"/>
        </w:rPr>
      </w:pPr>
      <w:r>
        <w:rPr>
          <w:rFonts w:ascii="Calibri"/>
          <w:b/>
          <w:sz w:val="18"/>
        </w:rPr>
        <w:t>ACTIVO</w:t>
        <w:tab/>
        <w:t>PASIVO</w:t>
      </w:r>
    </w:p>
    <w:tbl>
      <w:tblPr>
        <w:tblW w:w="0" w:type="auto"/>
        <w:jc w:val="left"/>
        <w:tblInd w:w="119" w:type="dxa"/>
        <w:tblBorders>
          <w:top w:val="single" w:sz="2" w:space="0" w:color="B1A0C6"/>
          <w:left w:val="single" w:sz="2" w:space="0" w:color="B1A0C6"/>
          <w:bottom w:val="single" w:sz="2" w:space="0" w:color="B1A0C6"/>
          <w:right w:val="single" w:sz="2" w:space="0" w:color="B1A0C6"/>
          <w:insideH w:val="single" w:sz="2" w:space="0" w:color="B1A0C6"/>
          <w:insideV w:val="single" w:sz="2" w:space="0" w:color="B1A0C6"/>
        </w:tblBorders>
        <w:tblLayout w:type="fixed"/>
        <w:tblCellMar>
          <w:top w:w="0" w:type="dxa"/>
          <w:left w:w="0" w:type="dxa"/>
          <w:bottom w:w="0" w:type="dxa"/>
          <w:right w:w="0" w:type="dxa"/>
        </w:tblCellMar>
        <w:tblLook w:val="01E0"/>
      </w:tblPr>
      <w:tblGrid>
        <w:gridCol w:w="257"/>
        <w:gridCol w:w="1788"/>
        <w:gridCol w:w="257"/>
        <w:gridCol w:w="1791"/>
        <w:gridCol w:w="257"/>
        <w:gridCol w:w="1700"/>
        <w:gridCol w:w="257"/>
        <w:gridCol w:w="2021"/>
      </w:tblGrid>
      <w:tr>
        <w:trPr>
          <w:trHeight w:val="235" w:hRule="exact"/>
        </w:trPr>
        <w:tc>
          <w:tcPr>
            <w:tcW w:w="2045" w:type="dxa"/>
            <w:gridSpan w:val="2"/>
            <w:tcBorders>
              <w:top w:val="single" w:sz="12" w:space="0" w:color="B1A0C6"/>
              <w:left w:val="nil"/>
            </w:tcBorders>
            <w:shd w:val="clear" w:color="auto" w:fill="E4DFEB"/>
          </w:tcPr>
          <w:p>
            <w:pPr>
              <w:pStyle w:val="TableParagraph"/>
              <w:spacing w:line="219" w:lineRule="exact"/>
              <w:ind w:left="108"/>
              <w:rPr>
                <w:b/>
                <w:sz w:val="18"/>
              </w:rPr>
            </w:pPr>
            <w:r>
              <w:rPr>
                <w:b/>
                <w:sz w:val="18"/>
                <w:u w:val="single"/>
              </w:rPr>
              <w:t>Activo Circulante</w:t>
            </w:r>
          </w:p>
        </w:tc>
        <w:tc>
          <w:tcPr>
            <w:tcW w:w="257" w:type="dxa"/>
            <w:tcBorders>
              <w:top w:val="single" w:sz="12" w:space="0" w:color="B1A0C6"/>
            </w:tcBorders>
            <w:shd w:val="clear" w:color="auto" w:fill="E4DFEB"/>
          </w:tcPr>
          <w:p>
            <w:pPr/>
          </w:p>
        </w:tc>
        <w:tc>
          <w:tcPr>
            <w:tcW w:w="1791" w:type="dxa"/>
            <w:tcBorders>
              <w:top w:val="single" w:sz="12" w:space="0" w:color="B1A0C6"/>
            </w:tcBorders>
            <w:shd w:val="clear" w:color="auto" w:fill="E4DFEB"/>
          </w:tcPr>
          <w:p>
            <w:pPr/>
          </w:p>
        </w:tc>
        <w:tc>
          <w:tcPr>
            <w:tcW w:w="1956" w:type="dxa"/>
            <w:gridSpan w:val="2"/>
            <w:tcBorders>
              <w:top w:val="single" w:sz="12" w:space="0" w:color="B1A0C6"/>
            </w:tcBorders>
            <w:shd w:val="clear" w:color="auto" w:fill="E4DFEB"/>
          </w:tcPr>
          <w:p>
            <w:pPr>
              <w:pStyle w:val="TableParagraph"/>
              <w:spacing w:line="219" w:lineRule="exact"/>
              <w:ind w:left="103"/>
              <w:rPr>
                <w:b/>
                <w:sz w:val="18"/>
              </w:rPr>
            </w:pPr>
            <w:r>
              <w:rPr>
                <w:b/>
                <w:sz w:val="18"/>
                <w:u w:val="single"/>
              </w:rPr>
              <w:t>Pasivo a corto plazo</w:t>
            </w:r>
          </w:p>
        </w:tc>
        <w:tc>
          <w:tcPr>
            <w:tcW w:w="257" w:type="dxa"/>
            <w:tcBorders>
              <w:top w:val="single" w:sz="12" w:space="0" w:color="B1A0C6"/>
            </w:tcBorders>
            <w:shd w:val="clear" w:color="auto" w:fill="E4DFEB"/>
          </w:tcPr>
          <w:p>
            <w:pPr/>
          </w:p>
        </w:tc>
        <w:tc>
          <w:tcPr>
            <w:tcW w:w="2021" w:type="dxa"/>
            <w:tcBorders>
              <w:top w:val="single" w:sz="12" w:space="0" w:color="B1A0C6"/>
              <w:right w:val="nil"/>
            </w:tcBorders>
            <w:shd w:val="clear" w:color="auto" w:fill="E4DFEB"/>
          </w:tcPr>
          <w:p>
            <w:pPr/>
          </w:p>
        </w:tc>
      </w:tr>
      <w:tr>
        <w:trPr>
          <w:trHeight w:val="226" w:hRule="exact"/>
        </w:trPr>
        <w:tc>
          <w:tcPr>
            <w:tcW w:w="257" w:type="dxa"/>
            <w:tcBorders>
              <w:left w:val="nil"/>
            </w:tcBorders>
          </w:tcPr>
          <w:p>
            <w:pPr/>
          </w:p>
        </w:tc>
        <w:tc>
          <w:tcPr>
            <w:tcW w:w="1788" w:type="dxa"/>
          </w:tcPr>
          <w:p>
            <w:pPr>
              <w:pStyle w:val="TableParagraph"/>
              <w:spacing w:before="1"/>
              <w:ind w:left="105"/>
              <w:rPr>
                <w:sz w:val="18"/>
              </w:rPr>
            </w:pPr>
            <w:r>
              <w:rPr>
                <w:sz w:val="18"/>
              </w:rPr>
              <w:t>Bancos y Caja</w:t>
            </w:r>
          </w:p>
        </w:tc>
        <w:tc>
          <w:tcPr>
            <w:tcW w:w="257" w:type="dxa"/>
          </w:tcPr>
          <w:p>
            <w:pPr/>
          </w:p>
        </w:tc>
        <w:tc>
          <w:tcPr>
            <w:tcW w:w="1791" w:type="dxa"/>
          </w:tcPr>
          <w:p>
            <w:pPr>
              <w:pStyle w:val="TableParagraph"/>
              <w:spacing w:before="1"/>
              <w:ind w:right="319"/>
              <w:jc w:val="right"/>
              <w:rPr>
                <w:sz w:val="18"/>
              </w:rPr>
            </w:pPr>
            <w:r>
              <w:rPr>
                <w:sz w:val="18"/>
              </w:rPr>
              <w:t>322,00</w:t>
            </w:r>
          </w:p>
        </w:tc>
        <w:tc>
          <w:tcPr>
            <w:tcW w:w="257" w:type="dxa"/>
          </w:tcPr>
          <w:p>
            <w:pPr/>
          </w:p>
        </w:tc>
        <w:tc>
          <w:tcPr>
            <w:tcW w:w="1700" w:type="dxa"/>
          </w:tcPr>
          <w:p>
            <w:pPr>
              <w:pStyle w:val="TableParagraph"/>
              <w:spacing w:before="1"/>
              <w:ind w:left="103"/>
              <w:rPr>
                <w:sz w:val="18"/>
              </w:rPr>
            </w:pPr>
            <w:r>
              <w:rPr>
                <w:sz w:val="18"/>
              </w:rPr>
              <w:t>Proveedores</w:t>
            </w:r>
          </w:p>
        </w:tc>
        <w:tc>
          <w:tcPr>
            <w:tcW w:w="257" w:type="dxa"/>
          </w:tcPr>
          <w:p>
            <w:pPr/>
          </w:p>
        </w:tc>
        <w:tc>
          <w:tcPr>
            <w:tcW w:w="2021" w:type="dxa"/>
            <w:tcBorders>
              <w:right w:val="nil"/>
            </w:tcBorders>
          </w:tcPr>
          <w:p>
            <w:pPr>
              <w:pStyle w:val="TableParagraph"/>
              <w:spacing w:before="1"/>
              <w:ind w:right="569"/>
              <w:jc w:val="right"/>
              <w:rPr>
                <w:sz w:val="18"/>
              </w:rPr>
            </w:pPr>
            <w:r>
              <w:rPr>
                <w:sz w:val="18"/>
              </w:rPr>
              <w:t>29.350,00</w:t>
            </w:r>
          </w:p>
        </w:tc>
      </w:tr>
      <w:tr>
        <w:trPr>
          <w:trHeight w:val="444" w:hRule="exact"/>
        </w:trPr>
        <w:tc>
          <w:tcPr>
            <w:tcW w:w="257" w:type="dxa"/>
            <w:tcBorders>
              <w:left w:val="nil"/>
            </w:tcBorders>
            <w:shd w:val="clear" w:color="auto" w:fill="E4DFEB"/>
          </w:tcPr>
          <w:p>
            <w:pPr/>
          </w:p>
        </w:tc>
        <w:tc>
          <w:tcPr>
            <w:tcW w:w="1788" w:type="dxa"/>
            <w:shd w:val="clear" w:color="auto" w:fill="E4DFEB"/>
          </w:tcPr>
          <w:p>
            <w:pPr>
              <w:pStyle w:val="TableParagraph"/>
              <w:spacing w:line="219" w:lineRule="exact"/>
              <w:ind w:left="105"/>
              <w:rPr>
                <w:sz w:val="18"/>
              </w:rPr>
            </w:pPr>
            <w:r>
              <w:rPr>
                <w:sz w:val="18"/>
              </w:rPr>
              <w:t>Clientes</w:t>
            </w:r>
          </w:p>
        </w:tc>
        <w:tc>
          <w:tcPr>
            <w:tcW w:w="257" w:type="dxa"/>
            <w:shd w:val="clear" w:color="auto" w:fill="E4DFEB"/>
          </w:tcPr>
          <w:p>
            <w:pPr/>
          </w:p>
        </w:tc>
        <w:tc>
          <w:tcPr>
            <w:tcW w:w="1791" w:type="dxa"/>
            <w:shd w:val="clear" w:color="auto" w:fill="E4DFEB"/>
          </w:tcPr>
          <w:p>
            <w:pPr>
              <w:pStyle w:val="TableParagraph"/>
              <w:spacing w:line="219" w:lineRule="exact"/>
              <w:ind w:right="336"/>
              <w:jc w:val="right"/>
              <w:rPr>
                <w:sz w:val="18"/>
              </w:rPr>
            </w:pPr>
            <w:r>
              <w:rPr>
                <w:sz w:val="18"/>
              </w:rPr>
              <w:t>34.600,00</w:t>
            </w:r>
          </w:p>
        </w:tc>
        <w:tc>
          <w:tcPr>
            <w:tcW w:w="257" w:type="dxa"/>
            <w:shd w:val="clear" w:color="auto" w:fill="E4DFEB"/>
          </w:tcPr>
          <w:p>
            <w:pPr/>
          </w:p>
        </w:tc>
        <w:tc>
          <w:tcPr>
            <w:tcW w:w="1956" w:type="dxa"/>
            <w:gridSpan w:val="2"/>
            <w:shd w:val="clear" w:color="auto" w:fill="E4DFEB"/>
          </w:tcPr>
          <w:p>
            <w:pPr>
              <w:pStyle w:val="TableParagraph"/>
              <w:ind w:left="103" w:right="905"/>
              <w:rPr>
                <w:sz w:val="18"/>
              </w:rPr>
            </w:pPr>
            <w:r>
              <w:rPr>
                <w:sz w:val="18"/>
              </w:rPr>
              <w:t>Proveedores Extranjeros</w:t>
            </w:r>
          </w:p>
        </w:tc>
        <w:tc>
          <w:tcPr>
            <w:tcW w:w="2021" w:type="dxa"/>
            <w:tcBorders>
              <w:right w:val="nil"/>
            </w:tcBorders>
            <w:shd w:val="clear" w:color="auto" w:fill="E4DFEB"/>
          </w:tcPr>
          <w:p>
            <w:pPr>
              <w:pStyle w:val="TableParagraph"/>
              <w:spacing w:line="219" w:lineRule="exact"/>
              <w:ind w:right="579"/>
              <w:jc w:val="right"/>
              <w:rPr>
                <w:sz w:val="18"/>
              </w:rPr>
            </w:pPr>
            <w:r>
              <w:rPr>
                <w:sz w:val="18"/>
              </w:rPr>
              <w:t>1.400,00</w:t>
            </w:r>
          </w:p>
        </w:tc>
      </w:tr>
      <w:tr>
        <w:trPr>
          <w:trHeight w:val="226" w:hRule="exact"/>
        </w:trPr>
        <w:tc>
          <w:tcPr>
            <w:tcW w:w="257" w:type="dxa"/>
            <w:tcBorders>
              <w:left w:val="nil"/>
            </w:tcBorders>
          </w:tcPr>
          <w:p>
            <w:pPr/>
          </w:p>
        </w:tc>
        <w:tc>
          <w:tcPr>
            <w:tcW w:w="1788" w:type="dxa"/>
          </w:tcPr>
          <w:p>
            <w:pPr>
              <w:pStyle w:val="TableParagraph"/>
              <w:spacing w:line="219" w:lineRule="exact"/>
              <w:ind w:left="105"/>
              <w:rPr>
                <w:sz w:val="18"/>
              </w:rPr>
            </w:pPr>
            <w:r>
              <w:rPr>
                <w:sz w:val="18"/>
              </w:rPr>
              <w:t>Almacén</w:t>
            </w:r>
          </w:p>
        </w:tc>
        <w:tc>
          <w:tcPr>
            <w:tcW w:w="257" w:type="dxa"/>
          </w:tcPr>
          <w:p>
            <w:pPr/>
          </w:p>
        </w:tc>
        <w:tc>
          <w:tcPr>
            <w:tcW w:w="1791" w:type="dxa"/>
          </w:tcPr>
          <w:p>
            <w:pPr>
              <w:pStyle w:val="TableParagraph"/>
              <w:spacing w:line="219" w:lineRule="exact"/>
              <w:ind w:right="336"/>
              <w:jc w:val="right"/>
              <w:rPr>
                <w:sz w:val="18"/>
              </w:rPr>
            </w:pPr>
            <w:r>
              <w:rPr>
                <w:sz w:val="18"/>
              </w:rPr>
              <w:t>18.400,00</w:t>
            </w:r>
          </w:p>
        </w:tc>
        <w:tc>
          <w:tcPr>
            <w:tcW w:w="257" w:type="dxa"/>
          </w:tcPr>
          <w:p>
            <w:pPr/>
          </w:p>
        </w:tc>
        <w:tc>
          <w:tcPr>
            <w:tcW w:w="1956" w:type="dxa"/>
            <w:gridSpan w:val="2"/>
          </w:tcPr>
          <w:p>
            <w:pPr>
              <w:pStyle w:val="TableParagraph"/>
              <w:spacing w:line="219" w:lineRule="exact"/>
              <w:ind w:left="103"/>
              <w:rPr>
                <w:sz w:val="18"/>
              </w:rPr>
            </w:pPr>
            <w:r>
              <w:rPr>
                <w:sz w:val="18"/>
              </w:rPr>
              <w:t>Acreedores Diversos</w:t>
            </w:r>
          </w:p>
        </w:tc>
        <w:tc>
          <w:tcPr>
            <w:tcW w:w="2021" w:type="dxa"/>
            <w:tcBorders>
              <w:right w:val="nil"/>
            </w:tcBorders>
          </w:tcPr>
          <w:p>
            <w:pPr>
              <w:pStyle w:val="TableParagraph"/>
              <w:spacing w:line="219" w:lineRule="exact"/>
              <w:ind w:right="579"/>
              <w:jc w:val="right"/>
              <w:rPr>
                <w:sz w:val="18"/>
              </w:rPr>
            </w:pPr>
            <w:r>
              <w:rPr>
                <w:sz w:val="18"/>
              </w:rPr>
              <w:t>6.039,00</w:t>
            </w:r>
          </w:p>
        </w:tc>
      </w:tr>
      <w:tr>
        <w:trPr>
          <w:trHeight w:val="226" w:hRule="exact"/>
        </w:trPr>
        <w:tc>
          <w:tcPr>
            <w:tcW w:w="257" w:type="dxa"/>
            <w:tcBorders>
              <w:left w:val="nil"/>
            </w:tcBorders>
            <w:shd w:val="clear" w:color="auto" w:fill="E4DFEB"/>
          </w:tcPr>
          <w:p>
            <w:pPr/>
          </w:p>
        </w:tc>
        <w:tc>
          <w:tcPr>
            <w:tcW w:w="2045" w:type="dxa"/>
            <w:gridSpan w:val="2"/>
            <w:shd w:val="clear" w:color="auto" w:fill="E4DFEB"/>
          </w:tcPr>
          <w:p>
            <w:pPr>
              <w:pStyle w:val="TableParagraph"/>
              <w:spacing w:line="219" w:lineRule="exact"/>
              <w:ind w:left="105" w:right="266"/>
              <w:rPr>
                <w:sz w:val="18"/>
              </w:rPr>
            </w:pPr>
            <w:r>
              <w:rPr>
                <w:sz w:val="18"/>
              </w:rPr>
              <w:t>Deudores Diversos</w:t>
            </w:r>
          </w:p>
        </w:tc>
        <w:tc>
          <w:tcPr>
            <w:tcW w:w="1791" w:type="dxa"/>
            <w:shd w:val="clear" w:color="auto" w:fill="E4DFEB"/>
          </w:tcPr>
          <w:p>
            <w:pPr>
              <w:pStyle w:val="TableParagraph"/>
              <w:spacing w:line="219" w:lineRule="exact"/>
              <w:ind w:right="346"/>
              <w:jc w:val="right"/>
              <w:rPr>
                <w:sz w:val="18"/>
              </w:rPr>
            </w:pPr>
            <w:r>
              <w:rPr>
                <w:sz w:val="18"/>
              </w:rPr>
              <w:t>5.400,00</w:t>
            </w:r>
          </w:p>
        </w:tc>
        <w:tc>
          <w:tcPr>
            <w:tcW w:w="257" w:type="dxa"/>
            <w:shd w:val="clear" w:color="auto" w:fill="E4DFEB"/>
          </w:tcPr>
          <w:p>
            <w:pPr/>
          </w:p>
        </w:tc>
        <w:tc>
          <w:tcPr>
            <w:tcW w:w="1956" w:type="dxa"/>
            <w:gridSpan w:val="2"/>
            <w:shd w:val="clear" w:color="auto" w:fill="E4DFEB"/>
          </w:tcPr>
          <w:p>
            <w:pPr>
              <w:pStyle w:val="TableParagraph"/>
              <w:spacing w:line="219" w:lineRule="exact"/>
              <w:ind w:left="103"/>
              <w:rPr>
                <w:sz w:val="18"/>
              </w:rPr>
            </w:pPr>
            <w:r>
              <w:rPr>
                <w:sz w:val="18"/>
              </w:rPr>
              <w:t>Impuestos por pagar</w:t>
            </w:r>
          </w:p>
        </w:tc>
        <w:tc>
          <w:tcPr>
            <w:tcW w:w="2021" w:type="dxa"/>
            <w:tcBorders>
              <w:right w:val="nil"/>
            </w:tcBorders>
            <w:shd w:val="clear" w:color="auto" w:fill="E4DFEB"/>
          </w:tcPr>
          <w:p>
            <w:pPr>
              <w:pStyle w:val="TableParagraph"/>
              <w:spacing w:line="219" w:lineRule="exact"/>
              <w:ind w:right="569"/>
              <w:jc w:val="right"/>
              <w:rPr>
                <w:sz w:val="18"/>
              </w:rPr>
            </w:pPr>
            <w:r>
              <w:rPr>
                <w:sz w:val="18"/>
              </w:rPr>
              <w:t>14.523,00</w:t>
            </w:r>
          </w:p>
        </w:tc>
      </w:tr>
      <w:tr>
        <w:trPr>
          <w:trHeight w:val="223" w:hRule="exact"/>
        </w:trPr>
        <w:tc>
          <w:tcPr>
            <w:tcW w:w="2302" w:type="dxa"/>
            <w:gridSpan w:val="3"/>
            <w:tcBorders>
              <w:left w:val="nil"/>
            </w:tcBorders>
          </w:tcPr>
          <w:p>
            <w:pPr>
              <w:pStyle w:val="TableParagraph"/>
              <w:spacing w:line="219" w:lineRule="exact"/>
              <w:ind w:left="108"/>
              <w:rPr>
                <w:b/>
                <w:sz w:val="18"/>
              </w:rPr>
            </w:pPr>
            <w:r>
              <w:rPr>
                <w:b/>
                <w:sz w:val="18"/>
              </w:rPr>
              <w:t>Suma activo circulante</w:t>
            </w:r>
          </w:p>
        </w:tc>
        <w:tc>
          <w:tcPr>
            <w:tcW w:w="1791" w:type="dxa"/>
          </w:tcPr>
          <w:p>
            <w:pPr>
              <w:pStyle w:val="TableParagraph"/>
              <w:spacing w:line="219" w:lineRule="exact"/>
              <w:ind w:right="333"/>
              <w:jc w:val="right"/>
              <w:rPr>
                <w:b/>
                <w:sz w:val="18"/>
              </w:rPr>
            </w:pPr>
            <w:r>
              <w:rPr>
                <w:b/>
                <w:sz w:val="18"/>
              </w:rPr>
              <w:t>58.722,00</w:t>
            </w:r>
          </w:p>
        </w:tc>
        <w:tc>
          <w:tcPr>
            <w:tcW w:w="2213" w:type="dxa"/>
            <w:gridSpan w:val="3"/>
          </w:tcPr>
          <w:p>
            <w:pPr>
              <w:pStyle w:val="TableParagraph"/>
              <w:spacing w:line="219" w:lineRule="exact"/>
              <w:ind w:left="103"/>
              <w:rPr>
                <w:b/>
                <w:sz w:val="18"/>
              </w:rPr>
            </w:pPr>
            <w:r>
              <w:rPr>
                <w:b/>
                <w:sz w:val="18"/>
              </w:rPr>
              <w:t>Suma pasivo circulante</w:t>
            </w:r>
          </w:p>
        </w:tc>
        <w:tc>
          <w:tcPr>
            <w:tcW w:w="2021" w:type="dxa"/>
            <w:tcBorders>
              <w:right w:val="nil"/>
            </w:tcBorders>
          </w:tcPr>
          <w:p>
            <w:pPr>
              <w:pStyle w:val="TableParagraph"/>
              <w:spacing w:line="219" w:lineRule="exact"/>
              <w:ind w:right="567"/>
              <w:jc w:val="right"/>
              <w:rPr>
                <w:b/>
                <w:sz w:val="18"/>
              </w:rPr>
            </w:pPr>
            <w:r>
              <w:rPr>
                <w:b/>
                <w:sz w:val="18"/>
              </w:rPr>
              <w:t>51.312,00</w:t>
            </w:r>
          </w:p>
        </w:tc>
      </w:tr>
      <w:tr>
        <w:trPr>
          <w:trHeight w:val="223" w:hRule="exact"/>
        </w:trPr>
        <w:tc>
          <w:tcPr>
            <w:tcW w:w="2045" w:type="dxa"/>
            <w:gridSpan w:val="2"/>
            <w:tcBorders>
              <w:left w:val="nil"/>
            </w:tcBorders>
            <w:shd w:val="clear" w:color="auto" w:fill="E4DFEB"/>
          </w:tcPr>
          <w:p>
            <w:pPr>
              <w:pStyle w:val="TableParagraph"/>
              <w:spacing w:line="219" w:lineRule="exact"/>
              <w:ind w:left="108"/>
              <w:rPr>
                <w:b/>
                <w:sz w:val="18"/>
              </w:rPr>
            </w:pPr>
            <w:r>
              <w:rPr>
                <w:b/>
                <w:sz w:val="18"/>
                <w:u w:val="single"/>
              </w:rPr>
              <w:t>Activo Fijo</w:t>
            </w:r>
          </w:p>
        </w:tc>
        <w:tc>
          <w:tcPr>
            <w:tcW w:w="257" w:type="dxa"/>
            <w:shd w:val="clear" w:color="auto" w:fill="E4DFEB"/>
          </w:tcPr>
          <w:p>
            <w:pPr/>
          </w:p>
        </w:tc>
        <w:tc>
          <w:tcPr>
            <w:tcW w:w="1791" w:type="dxa"/>
            <w:shd w:val="clear" w:color="auto" w:fill="E4DFEB"/>
          </w:tcPr>
          <w:p>
            <w:pPr/>
          </w:p>
        </w:tc>
        <w:tc>
          <w:tcPr>
            <w:tcW w:w="1956" w:type="dxa"/>
            <w:gridSpan w:val="2"/>
            <w:shd w:val="clear" w:color="auto" w:fill="E4DFEB"/>
          </w:tcPr>
          <w:p>
            <w:pPr>
              <w:pStyle w:val="TableParagraph"/>
              <w:spacing w:line="219" w:lineRule="exact"/>
              <w:ind w:left="103"/>
              <w:rPr>
                <w:b/>
                <w:sz w:val="18"/>
              </w:rPr>
            </w:pPr>
            <w:r>
              <w:rPr>
                <w:b/>
                <w:sz w:val="18"/>
                <w:u w:val="single"/>
              </w:rPr>
              <w:t>Pasivo  a largo plazo</w:t>
            </w:r>
          </w:p>
        </w:tc>
        <w:tc>
          <w:tcPr>
            <w:tcW w:w="257" w:type="dxa"/>
            <w:shd w:val="clear" w:color="auto" w:fill="E4DFEB"/>
          </w:tcPr>
          <w:p>
            <w:pPr/>
          </w:p>
        </w:tc>
        <w:tc>
          <w:tcPr>
            <w:tcW w:w="2021" w:type="dxa"/>
            <w:tcBorders>
              <w:right w:val="nil"/>
            </w:tcBorders>
            <w:shd w:val="clear" w:color="auto" w:fill="E4DFEB"/>
          </w:tcPr>
          <w:p>
            <w:pPr/>
          </w:p>
        </w:tc>
      </w:tr>
      <w:tr>
        <w:trPr>
          <w:trHeight w:val="228" w:hRule="exact"/>
        </w:trPr>
        <w:tc>
          <w:tcPr>
            <w:tcW w:w="257" w:type="dxa"/>
            <w:tcBorders>
              <w:left w:val="nil"/>
            </w:tcBorders>
          </w:tcPr>
          <w:p>
            <w:pPr/>
          </w:p>
        </w:tc>
        <w:tc>
          <w:tcPr>
            <w:tcW w:w="2045" w:type="dxa"/>
            <w:gridSpan w:val="2"/>
          </w:tcPr>
          <w:p>
            <w:pPr>
              <w:pStyle w:val="TableParagraph"/>
              <w:spacing w:before="1"/>
              <w:ind w:left="105" w:right="266"/>
              <w:rPr>
                <w:sz w:val="18"/>
              </w:rPr>
            </w:pPr>
            <w:r>
              <w:rPr>
                <w:sz w:val="18"/>
              </w:rPr>
              <w:t>Maquinaria y equipo</w:t>
            </w:r>
          </w:p>
        </w:tc>
        <w:tc>
          <w:tcPr>
            <w:tcW w:w="1791" w:type="dxa"/>
          </w:tcPr>
          <w:p>
            <w:pPr>
              <w:pStyle w:val="TableParagraph"/>
              <w:spacing w:before="1"/>
              <w:ind w:right="336"/>
              <w:jc w:val="right"/>
              <w:rPr>
                <w:sz w:val="18"/>
              </w:rPr>
            </w:pPr>
            <w:r>
              <w:rPr>
                <w:sz w:val="18"/>
              </w:rPr>
              <w:t>10.095,00</w:t>
            </w:r>
          </w:p>
        </w:tc>
        <w:tc>
          <w:tcPr>
            <w:tcW w:w="257" w:type="dxa"/>
          </w:tcPr>
          <w:p>
            <w:pPr/>
          </w:p>
        </w:tc>
        <w:tc>
          <w:tcPr>
            <w:tcW w:w="1956" w:type="dxa"/>
            <w:gridSpan w:val="2"/>
          </w:tcPr>
          <w:p>
            <w:pPr>
              <w:pStyle w:val="TableParagraph"/>
              <w:spacing w:before="1"/>
              <w:ind w:left="103"/>
              <w:rPr>
                <w:sz w:val="18"/>
              </w:rPr>
            </w:pPr>
            <w:r>
              <w:rPr>
                <w:sz w:val="18"/>
              </w:rPr>
              <w:t>Hipotecas pro pagar</w:t>
            </w:r>
          </w:p>
        </w:tc>
        <w:tc>
          <w:tcPr>
            <w:tcW w:w="2021" w:type="dxa"/>
            <w:tcBorders>
              <w:right w:val="nil"/>
            </w:tcBorders>
          </w:tcPr>
          <w:p>
            <w:pPr>
              <w:pStyle w:val="TableParagraph"/>
              <w:spacing w:before="1"/>
              <w:ind w:right="553"/>
              <w:jc w:val="right"/>
              <w:rPr>
                <w:sz w:val="18"/>
              </w:rPr>
            </w:pPr>
            <w:r>
              <w:rPr>
                <w:sz w:val="18"/>
              </w:rPr>
              <w:t>800,00</w:t>
            </w:r>
          </w:p>
        </w:tc>
      </w:tr>
      <w:tr>
        <w:trPr>
          <w:trHeight w:val="445" w:hRule="exact"/>
        </w:trPr>
        <w:tc>
          <w:tcPr>
            <w:tcW w:w="257" w:type="dxa"/>
            <w:tcBorders>
              <w:left w:val="nil"/>
            </w:tcBorders>
            <w:shd w:val="clear" w:color="auto" w:fill="E4DFEB"/>
          </w:tcPr>
          <w:p>
            <w:pPr/>
          </w:p>
        </w:tc>
        <w:tc>
          <w:tcPr>
            <w:tcW w:w="2045" w:type="dxa"/>
            <w:gridSpan w:val="2"/>
            <w:shd w:val="clear" w:color="auto" w:fill="E4DFEB"/>
          </w:tcPr>
          <w:p>
            <w:pPr>
              <w:pStyle w:val="TableParagraph"/>
              <w:ind w:left="105" w:right="266"/>
              <w:rPr>
                <w:sz w:val="18"/>
              </w:rPr>
            </w:pPr>
            <w:r>
              <w:rPr>
                <w:sz w:val="18"/>
              </w:rPr>
              <w:t>Mobiliario y Equipo de Of</w:t>
            </w:r>
          </w:p>
        </w:tc>
        <w:tc>
          <w:tcPr>
            <w:tcW w:w="1791" w:type="dxa"/>
            <w:shd w:val="clear" w:color="auto" w:fill="E4DFEB"/>
          </w:tcPr>
          <w:p>
            <w:pPr>
              <w:pStyle w:val="TableParagraph"/>
              <w:spacing w:line="219" w:lineRule="exact"/>
              <w:ind w:right="336"/>
              <w:jc w:val="right"/>
              <w:rPr>
                <w:sz w:val="18"/>
              </w:rPr>
            </w:pPr>
            <w:r>
              <w:rPr>
                <w:sz w:val="18"/>
              </w:rPr>
              <w:t>16.032,00</w:t>
            </w:r>
          </w:p>
        </w:tc>
        <w:tc>
          <w:tcPr>
            <w:tcW w:w="257" w:type="dxa"/>
            <w:shd w:val="clear" w:color="auto" w:fill="E4DFEB"/>
          </w:tcPr>
          <w:p>
            <w:pPr/>
          </w:p>
        </w:tc>
        <w:tc>
          <w:tcPr>
            <w:tcW w:w="1956" w:type="dxa"/>
            <w:gridSpan w:val="2"/>
            <w:shd w:val="clear" w:color="auto" w:fill="E4DFEB"/>
          </w:tcPr>
          <w:p>
            <w:pPr>
              <w:pStyle w:val="TableParagraph"/>
              <w:spacing w:line="219" w:lineRule="exact"/>
              <w:ind w:left="103"/>
              <w:rPr>
                <w:sz w:val="18"/>
              </w:rPr>
            </w:pPr>
            <w:r>
              <w:rPr>
                <w:sz w:val="18"/>
              </w:rPr>
              <w:t>Doc. Por pagar a LP.</w:t>
            </w:r>
          </w:p>
        </w:tc>
        <w:tc>
          <w:tcPr>
            <w:tcW w:w="2021" w:type="dxa"/>
            <w:tcBorders>
              <w:right w:val="nil"/>
            </w:tcBorders>
            <w:shd w:val="clear" w:color="auto" w:fill="E4DFEB"/>
          </w:tcPr>
          <w:p>
            <w:pPr>
              <w:pStyle w:val="TableParagraph"/>
              <w:spacing w:line="219" w:lineRule="exact"/>
              <w:ind w:right="569"/>
              <w:jc w:val="right"/>
              <w:rPr>
                <w:sz w:val="18"/>
              </w:rPr>
            </w:pPr>
            <w:r>
              <w:rPr>
                <w:sz w:val="18"/>
              </w:rPr>
              <w:t>15.677,00</w:t>
            </w:r>
          </w:p>
        </w:tc>
      </w:tr>
      <w:tr>
        <w:trPr>
          <w:trHeight w:val="223" w:hRule="exact"/>
        </w:trPr>
        <w:tc>
          <w:tcPr>
            <w:tcW w:w="257" w:type="dxa"/>
            <w:tcBorders>
              <w:left w:val="nil"/>
            </w:tcBorders>
          </w:tcPr>
          <w:p>
            <w:pPr/>
          </w:p>
        </w:tc>
        <w:tc>
          <w:tcPr>
            <w:tcW w:w="2045" w:type="dxa"/>
            <w:gridSpan w:val="2"/>
          </w:tcPr>
          <w:p>
            <w:pPr>
              <w:pStyle w:val="TableParagraph"/>
              <w:spacing w:line="219" w:lineRule="exact"/>
              <w:ind w:left="105" w:right="266"/>
              <w:rPr>
                <w:sz w:val="18"/>
              </w:rPr>
            </w:pPr>
            <w:r>
              <w:rPr>
                <w:sz w:val="18"/>
              </w:rPr>
              <w:t>Equipo de Computo</w:t>
            </w:r>
          </w:p>
        </w:tc>
        <w:tc>
          <w:tcPr>
            <w:tcW w:w="1791" w:type="dxa"/>
          </w:tcPr>
          <w:p>
            <w:pPr>
              <w:pStyle w:val="TableParagraph"/>
              <w:spacing w:line="219" w:lineRule="exact"/>
              <w:ind w:right="336"/>
              <w:jc w:val="right"/>
              <w:rPr>
                <w:sz w:val="18"/>
              </w:rPr>
            </w:pPr>
            <w:r>
              <w:rPr>
                <w:sz w:val="18"/>
              </w:rPr>
              <w:t>44.300,00</w:t>
            </w:r>
          </w:p>
        </w:tc>
        <w:tc>
          <w:tcPr>
            <w:tcW w:w="1956" w:type="dxa"/>
            <w:gridSpan w:val="2"/>
          </w:tcPr>
          <w:p>
            <w:pPr>
              <w:pStyle w:val="TableParagraph"/>
              <w:spacing w:line="219" w:lineRule="exact"/>
              <w:ind w:left="103"/>
              <w:rPr>
                <w:b/>
                <w:sz w:val="18"/>
              </w:rPr>
            </w:pPr>
            <w:r>
              <w:rPr>
                <w:b/>
                <w:sz w:val="18"/>
              </w:rPr>
              <w:t>Suma pasivo LP</w:t>
            </w:r>
          </w:p>
        </w:tc>
        <w:tc>
          <w:tcPr>
            <w:tcW w:w="257" w:type="dxa"/>
          </w:tcPr>
          <w:p>
            <w:pPr/>
          </w:p>
        </w:tc>
        <w:tc>
          <w:tcPr>
            <w:tcW w:w="2021" w:type="dxa"/>
            <w:tcBorders>
              <w:right w:val="nil"/>
            </w:tcBorders>
          </w:tcPr>
          <w:p>
            <w:pPr>
              <w:pStyle w:val="TableParagraph"/>
              <w:spacing w:line="219" w:lineRule="exact"/>
              <w:ind w:right="567"/>
              <w:jc w:val="right"/>
              <w:rPr>
                <w:b/>
                <w:sz w:val="18"/>
              </w:rPr>
            </w:pPr>
            <w:r>
              <w:rPr>
                <w:b/>
                <w:sz w:val="18"/>
              </w:rPr>
              <w:t>16.477,00</w:t>
            </w:r>
          </w:p>
        </w:tc>
      </w:tr>
      <w:tr>
        <w:trPr>
          <w:trHeight w:val="226" w:hRule="exact"/>
        </w:trPr>
        <w:tc>
          <w:tcPr>
            <w:tcW w:w="257" w:type="dxa"/>
            <w:tcBorders>
              <w:left w:val="nil"/>
            </w:tcBorders>
            <w:shd w:val="clear" w:color="auto" w:fill="E4DFEB"/>
          </w:tcPr>
          <w:p>
            <w:pPr/>
          </w:p>
        </w:tc>
        <w:tc>
          <w:tcPr>
            <w:tcW w:w="1788" w:type="dxa"/>
            <w:shd w:val="clear" w:color="auto" w:fill="E4DFEB"/>
          </w:tcPr>
          <w:p>
            <w:pPr>
              <w:pStyle w:val="TableParagraph"/>
              <w:spacing w:line="219" w:lineRule="exact"/>
              <w:ind w:left="105"/>
              <w:rPr>
                <w:sz w:val="18"/>
              </w:rPr>
            </w:pPr>
            <w:r>
              <w:rPr>
                <w:sz w:val="18"/>
              </w:rPr>
              <w:t>Dep. acumulada</w:t>
            </w:r>
          </w:p>
        </w:tc>
        <w:tc>
          <w:tcPr>
            <w:tcW w:w="257" w:type="dxa"/>
            <w:shd w:val="clear" w:color="auto" w:fill="E4DFEB"/>
          </w:tcPr>
          <w:p>
            <w:pPr/>
          </w:p>
        </w:tc>
        <w:tc>
          <w:tcPr>
            <w:tcW w:w="1791" w:type="dxa"/>
            <w:shd w:val="clear" w:color="auto" w:fill="E4DFEB"/>
          </w:tcPr>
          <w:p>
            <w:pPr>
              <w:pStyle w:val="TableParagraph"/>
              <w:spacing w:line="219" w:lineRule="exact"/>
              <w:ind w:right="346"/>
              <w:jc w:val="right"/>
              <w:rPr>
                <w:sz w:val="18"/>
              </w:rPr>
            </w:pPr>
            <w:r>
              <w:rPr>
                <w:sz w:val="18"/>
              </w:rPr>
              <w:t>3.000,00</w:t>
            </w:r>
          </w:p>
        </w:tc>
        <w:tc>
          <w:tcPr>
            <w:tcW w:w="257" w:type="dxa"/>
            <w:shd w:val="clear" w:color="auto" w:fill="E4DFEB"/>
          </w:tcPr>
          <w:p>
            <w:pPr/>
          </w:p>
        </w:tc>
        <w:tc>
          <w:tcPr>
            <w:tcW w:w="1700" w:type="dxa"/>
            <w:shd w:val="clear" w:color="auto" w:fill="E4DFEB"/>
          </w:tcPr>
          <w:p>
            <w:pPr/>
          </w:p>
        </w:tc>
        <w:tc>
          <w:tcPr>
            <w:tcW w:w="257" w:type="dxa"/>
            <w:shd w:val="clear" w:color="auto" w:fill="E4DFEB"/>
          </w:tcPr>
          <w:p>
            <w:pPr/>
          </w:p>
        </w:tc>
        <w:tc>
          <w:tcPr>
            <w:tcW w:w="2021" w:type="dxa"/>
            <w:tcBorders>
              <w:right w:val="nil"/>
            </w:tcBorders>
            <w:shd w:val="clear" w:color="auto" w:fill="E4DFEB"/>
          </w:tcPr>
          <w:p>
            <w:pPr/>
          </w:p>
        </w:tc>
      </w:tr>
      <w:tr>
        <w:trPr>
          <w:trHeight w:val="226" w:hRule="exact"/>
        </w:trPr>
        <w:tc>
          <w:tcPr>
            <w:tcW w:w="2045" w:type="dxa"/>
            <w:gridSpan w:val="2"/>
            <w:tcBorders>
              <w:left w:val="nil"/>
            </w:tcBorders>
          </w:tcPr>
          <w:p>
            <w:pPr>
              <w:pStyle w:val="TableParagraph"/>
              <w:spacing w:line="219" w:lineRule="exact"/>
              <w:ind w:left="108"/>
              <w:rPr>
                <w:b/>
                <w:sz w:val="18"/>
              </w:rPr>
            </w:pPr>
            <w:r>
              <w:rPr>
                <w:b/>
                <w:sz w:val="18"/>
              </w:rPr>
              <w:t>Suma activo fijo</w:t>
            </w:r>
          </w:p>
        </w:tc>
        <w:tc>
          <w:tcPr>
            <w:tcW w:w="257" w:type="dxa"/>
          </w:tcPr>
          <w:p>
            <w:pPr/>
          </w:p>
        </w:tc>
        <w:tc>
          <w:tcPr>
            <w:tcW w:w="1791" w:type="dxa"/>
          </w:tcPr>
          <w:p>
            <w:pPr>
              <w:pStyle w:val="TableParagraph"/>
              <w:spacing w:line="219" w:lineRule="exact"/>
              <w:ind w:right="333"/>
              <w:jc w:val="right"/>
              <w:rPr>
                <w:b/>
                <w:sz w:val="18"/>
              </w:rPr>
            </w:pPr>
            <w:r>
              <w:rPr>
                <w:b/>
                <w:sz w:val="18"/>
              </w:rPr>
              <w:t>73.427,00</w:t>
            </w:r>
          </w:p>
        </w:tc>
        <w:tc>
          <w:tcPr>
            <w:tcW w:w="1956" w:type="dxa"/>
            <w:gridSpan w:val="2"/>
          </w:tcPr>
          <w:p>
            <w:pPr>
              <w:pStyle w:val="TableParagraph"/>
              <w:spacing w:line="219" w:lineRule="exact"/>
              <w:ind w:left="103"/>
              <w:rPr>
                <w:b/>
                <w:sz w:val="18"/>
              </w:rPr>
            </w:pPr>
            <w:r>
              <w:rPr>
                <w:b/>
                <w:sz w:val="18"/>
              </w:rPr>
              <w:t>TOTAL PASIVO</w:t>
            </w:r>
          </w:p>
        </w:tc>
        <w:tc>
          <w:tcPr>
            <w:tcW w:w="257" w:type="dxa"/>
          </w:tcPr>
          <w:p>
            <w:pPr/>
          </w:p>
        </w:tc>
        <w:tc>
          <w:tcPr>
            <w:tcW w:w="2021" w:type="dxa"/>
            <w:tcBorders>
              <w:right w:val="nil"/>
            </w:tcBorders>
          </w:tcPr>
          <w:p>
            <w:pPr>
              <w:pStyle w:val="TableParagraph"/>
              <w:spacing w:line="219" w:lineRule="exact"/>
              <w:ind w:right="567"/>
              <w:jc w:val="right"/>
              <w:rPr>
                <w:b/>
                <w:sz w:val="18"/>
              </w:rPr>
            </w:pPr>
            <w:r>
              <w:rPr>
                <w:b/>
                <w:sz w:val="18"/>
              </w:rPr>
              <w:t>67.789,00</w:t>
            </w:r>
          </w:p>
        </w:tc>
      </w:tr>
      <w:tr>
        <w:trPr>
          <w:trHeight w:val="223" w:hRule="exact"/>
        </w:trPr>
        <w:tc>
          <w:tcPr>
            <w:tcW w:w="2045" w:type="dxa"/>
            <w:gridSpan w:val="2"/>
            <w:tcBorders>
              <w:left w:val="nil"/>
            </w:tcBorders>
            <w:shd w:val="clear" w:color="auto" w:fill="E4DFEB"/>
          </w:tcPr>
          <w:p>
            <w:pPr>
              <w:pStyle w:val="TableParagraph"/>
              <w:spacing w:line="219" w:lineRule="exact"/>
              <w:ind w:left="108"/>
              <w:rPr>
                <w:b/>
                <w:sz w:val="18"/>
              </w:rPr>
            </w:pPr>
            <w:r>
              <w:rPr>
                <w:b/>
                <w:sz w:val="18"/>
                <w:u w:val="single"/>
              </w:rPr>
              <w:t>Activo Diferido</w:t>
            </w:r>
          </w:p>
        </w:tc>
        <w:tc>
          <w:tcPr>
            <w:tcW w:w="257" w:type="dxa"/>
            <w:shd w:val="clear" w:color="auto" w:fill="E4DFEB"/>
          </w:tcPr>
          <w:p>
            <w:pPr/>
          </w:p>
        </w:tc>
        <w:tc>
          <w:tcPr>
            <w:tcW w:w="1791" w:type="dxa"/>
            <w:shd w:val="clear" w:color="auto" w:fill="E4DFEB"/>
          </w:tcPr>
          <w:p>
            <w:pPr/>
          </w:p>
        </w:tc>
        <w:tc>
          <w:tcPr>
            <w:tcW w:w="4234" w:type="dxa"/>
            <w:gridSpan w:val="4"/>
            <w:tcBorders>
              <w:right w:val="nil"/>
            </w:tcBorders>
            <w:shd w:val="clear" w:color="auto" w:fill="E4DFEB"/>
          </w:tcPr>
          <w:p>
            <w:pPr>
              <w:pStyle w:val="TableParagraph"/>
              <w:spacing w:line="219" w:lineRule="exact"/>
              <w:ind w:left="1382"/>
              <w:rPr>
                <w:b/>
                <w:sz w:val="18"/>
              </w:rPr>
            </w:pPr>
            <w:r>
              <w:rPr>
                <w:b/>
                <w:sz w:val="18"/>
              </w:rPr>
              <w:t>CAPITAL CONTABLE</w:t>
            </w:r>
          </w:p>
        </w:tc>
      </w:tr>
      <w:tr>
        <w:trPr>
          <w:trHeight w:val="226" w:hRule="exact"/>
        </w:trPr>
        <w:tc>
          <w:tcPr>
            <w:tcW w:w="257" w:type="dxa"/>
            <w:tcBorders>
              <w:left w:val="nil"/>
            </w:tcBorders>
          </w:tcPr>
          <w:p>
            <w:pPr/>
          </w:p>
        </w:tc>
        <w:tc>
          <w:tcPr>
            <w:tcW w:w="2045" w:type="dxa"/>
            <w:gridSpan w:val="2"/>
          </w:tcPr>
          <w:p>
            <w:pPr>
              <w:pStyle w:val="TableParagraph"/>
              <w:spacing w:line="219" w:lineRule="exact"/>
              <w:ind w:left="105"/>
              <w:rPr>
                <w:sz w:val="18"/>
              </w:rPr>
            </w:pPr>
            <w:r>
              <w:rPr>
                <w:sz w:val="18"/>
              </w:rPr>
              <w:t>Cuotas y suscripciones</w:t>
            </w:r>
          </w:p>
        </w:tc>
        <w:tc>
          <w:tcPr>
            <w:tcW w:w="1791" w:type="dxa"/>
          </w:tcPr>
          <w:p>
            <w:pPr>
              <w:pStyle w:val="TableParagraph"/>
              <w:spacing w:line="219" w:lineRule="exact"/>
              <w:ind w:right="319"/>
              <w:jc w:val="right"/>
              <w:rPr>
                <w:sz w:val="18"/>
              </w:rPr>
            </w:pPr>
            <w:r>
              <w:rPr>
                <w:sz w:val="18"/>
              </w:rPr>
              <w:t>493,00</w:t>
            </w:r>
          </w:p>
        </w:tc>
        <w:tc>
          <w:tcPr>
            <w:tcW w:w="1956" w:type="dxa"/>
            <w:gridSpan w:val="2"/>
          </w:tcPr>
          <w:p>
            <w:pPr>
              <w:pStyle w:val="TableParagraph"/>
              <w:spacing w:line="219" w:lineRule="exact"/>
              <w:ind w:left="103"/>
              <w:rPr>
                <w:sz w:val="18"/>
              </w:rPr>
            </w:pPr>
            <w:r>
              <w:rPr>
                <w:sz w:val="18"/>
              </w:rPr>
              <w:t>Capital Social</w:t>
            </w:r>
          </w:p>
        </w:tc>
        <w:tc>
          <w:tcPr>
            <w:tcW w:w="257" w:type="dxa"/>
          </w:tcPr>
          <w:p>
            <w:pPr/>
          </w:p>
        </w:tc>
        <w:tc>
          <w:tcPr>
            <w:tcW w:w="2021" w:type="dxa"/>
            <w:tcBorders>
              <w:right w:val="nil"/>
            </w:tcBorders>
          </w:tcPr>
          <w:p>
            <w:pPr>
              <w:pStyle w:val="TableParagraph"/>
              <w:spacing w:line="219" w:lineRule="exact"/>
              <w:ind w:right="579"/>
              <w:jc w:val="right"/>
              <w:rPr>
                <w:sz w:val="18"/>
              </w:rPr>
            </w:pPr>
            <w:r>
              <w:rPr>
                <w:sz w:val="18"/>
              </w:rPr>
              <w:t>8.119,00</w:t>
            </w:r>
          </w:p>
        </w:tc>
      </w:tr>
      <w:tr>
        <w:trPr>
          <w:trHeight w:val="226" w:hRule="exact"/>
        </w:trPr>
        <w:tc>
          <w:tcPr>
            <w:tcW w:w="257" w:type="dxa"/>
            <w:tcBorders>
              <w:left w:val="nil"/>
            </w:tcBorders>
            <w:shd w:val="clear" w:color="auto" w:fill="E4DFEB"/>
          </w:tcPr>
          <w:p>
            <w:pPr/>
          </w:p>
        </w:tc>
        <w:tc>
          <w:tcPr>
            <w:tcW w:w="2045" w:type="dxa"/>
            <w:gridSpan w:val="2"/>
            <w:shd w:val="clear" w:color="auto" w:fill="E4DFEB"/>
          </w:tcPr>
          <w:p>
            <w:pPr>
              <w:pStyle w:val="TableParagraph"/>
              <w:spacing w:line="219" w:lineRule="exact"/>
              <w:ind w:left="105"/>
              <w:rPr>
                <w:sz w:val="18"/>
              </w:rPr>
            </w:pPr>
            <w:r>
              <w:rPr>
                <w:sz w:val="18"/>
              </w:rPr>
              <w:t>Rentas Pagadas por Ant.</w:t>
            </w:r>
          </w:p>
        </w:tc>
        <w:tc>
          <w:tcPr>
            <w:tcW w:w="1791" w:type="dxa"/>
            <w:shd w:val="clear" w:color="auto" w:fill="E4DFEB"/>
          </w:tcPr>
          <w:p>
            <w:pPr>
              <w:pStyle w:val="TableParagraph"/>
              <w:spacing w:line="219" w:lineRule="exact"/>
              <w:ind w:right="346"/>
              <w:jc w:val="right"/>
              <w:rPr>
                <w:sz w:val="18"/>
              </w:rPr>
            </w:pPr>
            <w:r>
              <w:rPr>
                <w:sz w:val="18"/>
              </w:rPr>
              <w:t>3.650,00</w:t>
            </w:r>
          </w:p>
        </w:tc>
        <w:tc>
          <w:tcPr>
            <w:tcW w:w="2213" w:type="dxa"/>
            <w:gridSpan w:val="3"/>
            <w:shd w:val="clear" w:color="auto" w:fill="E4DFEB"/>
          </w:tcPr>
          <w:p>
            <w:pPr>
              <w:pStyle w:val="TableParagraph"/>
              <w:spacing w:line="219" w:lineRule="exact"/>
              <w:ind w:left="103"/>
              <w:rPr>
                <w:sz w:val="18"/>
              </w:rPr>
            </w:pPr>
            <w:r>
              <w:rPr>
                <w:sz w:val="18"/>
              </w:rPr>
              <w:t>Futuros aum. De capital</w:t>
            </w:r>
          </w:p>
        </w:tc>
        <w:tc>
          <w:tcPr>
            <w:tcW w:w="2021" w:type="dxa"/>
            <w:tcBorders>
              <w:right w:val="nil"/>
            </w:tcBorders>
            <w:shd w:val="clear" w:color="auto" w:fill="E4DFEB"/>
          </w:tcPr>
          <w:p>
            <w:pPr>
              <w:pStyle w:val="TableParagraph"/>
              <w:spacing w:line="219" w:lineRule="exact"/>
              <w:ind w:right="569"/>
              <w:jc w:val="right"/>
              <w:rPr>
                <w:sz w:val="18"/>
              </w:rPr>
            </w:pPr>
            <w:r>
              <w:rPr>
                <w:sz w:val="18"/>
              </w:rPr>
              <w:t>40.000,00</w:t>
            </w:r>
          </w:p>
        </w:tc>
      </w:tr>
      <w:tr>
        <w:trPr>
          <w:trHeight w:val="444" w:hRule="exact"/>
        </w:trPr>
        <w:tc>
          <w:tcPr>
            <w:tcW w:w="257" w:type="dxa"/>
            <w:tcBorders>
              <w:left w:val="nil"/>
            </w:tcBorders>
          </w:tcPr>
          <w:p>
            <w:pPr/>
          </w:p>
        </w:tc>
        <w:tc>
          <w:tcPr>
            <w:tcW w:w="2045" w:type="dxa"/>
            <w:gridSpan w:val="2"/>
          </w:tcPr>
          <w:p>
            <w:pPr>
              <w:pStyle w:val="TableParagraph"/>
              <w:ind w:left="105" w:right="391"/>
              <w:rPr>
                <w:sz w:val="18"/>
              </w:rPr>
            </w:pPr>
            <w:r>
              <w:rPr>
                <w:sz w:val="18"/>
              </w:rPr>
              <w:t>Seguros Pagados por Ant.</w:t>
            </w:r>
          </w:p>
        </w:tc>
        <w:tc>
          <w:tcPr>
            <w:tcW w:w="1791" w:type="dxa"/>
          </w:tcPr>
          <w:p>
            <w:pPr>
              <w:pStyle w:val="TableParagraph"/>
              <w:spacing w:line="219" w:lineRule="exact"/>
              <w:ind w:right="398"/>
              <w:jc w:val="right"/>
              <w:rPr>
                <w:sz w:val="18"/>
              </w:rPr>
            </w:pPr>
            <w:r>
              <w:rPr>
                <w:sz w:val="18"/>
              </w:rPr>
              <w:t>-</w:t>
            </w:r>
          </w:p>
        </w:tc>
        <w:tc>
          <w:tcPr>
            <w:tcW w:w="2213" w:type="dxa"/>
            <w:gridSpan w:val="3"/>
          </w:tcPr>
          <w:p>
            <w:pPr>
              <w:pStyle w:val="TableParagraph"/>
              <w:spacing w:line="219" w:lineRule="exact"/>
              <w:ind w:left="103"/>
              <w:rPr>
                <w:sz w:val="18"/>
              </w:rPr>
            </w:pPr>
            <w:r>
              <w:rPr>
                <w:sz w:val="18"/>
              </w:rPr>
              <w:t>Utilidad del Ejercicio</w:t>
            </w:r>
          </w:p>
        </w:tc>
        <w:tc>
          <w:tcPr>
            <w:tcW w:w="2021" w:type="dxa"/>
            <w:tcBorders>
              <w:right w:val="nil"/>
            </w:tcBorders>
          </w:tcPr>
          <w:p>
            <w:pPr>
              <w:pStyle w:val="TableParagraph"/>
              <w:spacing w:line="219" w:lineRule="exact"/>
              <w:ind w:right="569"/>
              <w:jc w:val="right"/>
              <w:rPr>
                <w:sz w:val="18"/>
              </w:rPr>
            </w:pPr>
            <w:r>
              <w:rPr>
                <w:sz w:val="18"/>
              </w:rPr>
              <w:t>14.384,00</w:t>
            </w:r>
          </w:p>
        </w:tc>
      </w:tr>
      <w:tr>
        <w:trPr>
          <w:trHeight w:val="223" w:hRule="exact"/>
        </w:trPr>
        <w:tc>
          <w:tcPr>
            <w:tcW w:w="2302" w:type="dxa"/>
            <w:gridSpan w:val="3"/>
            <w:tcBorders>
              <w:left w:val="nil"/>
            </w:tcBorders>
            <w:shd w:val="clear" w:color="auto" w:fill="E4DFEB"/>
          </w:tcPr>
          <w:p>
            <w:pPr>
              <w:pStyle w:val="TableParagraph"/>
              <w:spacing w:line="219" w:lineRule="exact"/>
              <w:ind w:left="108"/>
              <w:rPr>
                <w:b/>
                <w:sz w:val="18"/>
              </w:rPr>
            </w:pPr>
            <w:r>
              <w:rPr>
                <w:b/>
                <w:sz w:val="18"/>
              </w:rPr>
              <w:t>Suma activo diferido</w:t>
            </w:r>
          </w:p>
        </w:tc>
        <w:tc>
          <w:tcPr>
            <w:tcW w:w="1791" w:type="dxa"/>
            <w:shd w:val="clear" w:color="auto" w:fill="E4DFEB"/>
          </w:tcPr>
          <w:p>
            <w:pPr>
              <w:pStyle w:val="TableParagraph"/>
              <w:spacing w:line="219" w:lineRule="exact"/>
              <w:ind w:right="343"/>
              <w:jc w:val="right"/>
              <w:rPr>
                <w:b/>
                <w:sz w:val="18"/>
              </w:rPr>
            </w:pPr>
            <w:r>
              <w:rPr>
                <w:b/>
                <w:sz w:val="18"/>
              </w:rPr>
              <w:t>4.143,00</w:t>
            </w:r>
          </w:p>
        </w:tc>
        <w:tc>
          <w:tcPr>
            <w:tcW w:w="2213" w:type="dxa"/>
            <w:gridSpan w:val="3"/>
            <w:shd w:val="clear" w:color="auto" w:fill="E4DFEB"/>
          </w:tcPr>
          <w:p>
            <w:pPr>
              <w:pStyle w:val="TableParagraph"/>
              <w:spacing w:line="219" w:lineRule="exact"/>
              <w:ind w:left="103"/>
              <w:rPr>
                <w:b/>
                <w:sz w:val="18"/>
              </w:rPr>
            </w:pPr>
            <w:r>
              <w:rPr>
                <w:b/>
                <w:sz w:val="18"/>
              </w:rPr>
              <w:t>Total capital contable</w:t>
            </w:r>
          </w:p>
        </w:tc>
        <w:tc>
          <w:tcPr>
            <w:tcW w:w="2021" w:type="dxa"/>
            <w:tcBorders>
              <w:right w:val="nil"/>
            </w:tcBorders>
            <w:shd w:val="clear" w:color="auto" w:fill="E4DFEB"/>
          </w:tcPr>
          <w:p>
            <w:pPr>
              <w:pStyle w:val="TableParagraph"/>
              <w:spacing w:line="219" w:lineRule="exact"/>
              <w:ind w:right="567"/>
              <w:jc w:val="right"/>
              <w:rPr>
                <w:b/>
                <w:sz w:val="18"/>
              </w:rPr>
            </w:pPr>
            <w:r>
              <w:rPr>
                <w:b/>
                <w:sz w:val="18"/>
              </w:rPr>
              <w:t>62.503,00</w:t>
            </w:r>
          </w:p>
        </w:tc>
      </w:tr>
      <w:tr>
        <w:trPr>
          <w:trHeight w:val="226" w:hRule="exact"/>
        </w:trPr>
        <w:tc>
          <w:tcPr>
            <w:tcW w:w="257" w:type="dxa"/>
            <w:tcBorders>
              <w:left w:val="nil"/>
            </w:tcBorders>
          </w:tcPr>
          <w:p>
            <w:pPr/>
          </w:p>
        </w:tc>
        <w:tc>
          <w:tcPr>
            <w:tcW w:w="1788" w:type="dxa"/>
          </w:tcPr>
          <w:p>
            <w:pPr/>
          </w:p>
        </w:tc>
        <w:tc>
          <w:tcPr>
            <w:tcW w:w="257" w:type="dxa"/>
          </w:tcPr>
          <w:p>
            <w:pPr/>
          </w:p>
        </w:tc>
        <w:tc>
          <w:tcPr>
            <w:tcW w:w="1791" w:type="dxa"/>
          </w:tcPr>
          <w:p>
            <w:pPr/>
          </w:p>
        </w:tc>
        <w:tc>
          <w:tcPr>
            <w:tcW w:w="257" w:type="dxa"/>
          </w:tcPr>
          <w:p>
            <w:pPr/>
          </w:p>
        </w:tc>
        <w:tc>
          <w:tcPr>
            <w:tcW w:w="1700" w:type="dxa"/>
          </w:tcPr>
          <w:p>
            <w:pPr/>
          </w:p>
        </w:tc>
        <w:tc>
          <w:tcPr>
            <w:tcW w:w="257" w:type="dxa"/>
          </w:tcPr>
          <w:p>
            <w:pPr/>
          </w:p>
        </w:tc>
        <w:tc>
          <w:tcPr>
            <w:tcW w:w="2021" w:type="dxa"/>
            <w:tcBorders>
              <w:right w:val="nil"/>
            </w:tcBorders>
          </w:tcPr>
          <w:p>
            <w:pPr/>
          </w:p>
        </w:tc>
      </w:tr>
      <w:tr>
        <w:trPr>
          <w:trHeight w:val="226" w:hRule="exact"/>
        </w:trPr>
        <w:tc>
          <w:tcPr>
            <w:tcW w:w="2045" w:type="dxa"/>
            <w:gridSpan w:val="2"/>
            <w:tcBorders>
              <w:left w:val="nil"/>
            </w:tcBorders>
            <w:shd w:val="clear" w:color="auto" w:fill="E4DFEB"/>
          </w:tcPr>
          <w:p>
            <w:pPr>
              <w:pStyle w:val="TableParagraph"/>
              <w:spacing w:line="219" w:lineRule="exact"/>
              <w:ind w:left="108"/>
              <w:rPr>
                <w:b/>
                <w:sz w:val="18"/>
              </w:rPr>
            </w:pPr>
            <w:r>
              <w:rPr>
                <w:b/>
                <w:sz w:val="18"/>
              </w:rPr>
              <w:t>TOTAL ACTIVO</w:t>
            </w:r>
          </w:p>
        </w:tc>
        <w:tc>
          <w:tcPr>
            <w:tcW w:w="257" w:type="dxa"/>
            <w:shd w:val="clear" w:color="auto" w:fill="E4DFEB"/>
          </w:tcPr>
          <w:p>
            <w:pPr/>
          </w:p>
        </w:tc>
        <w:tc>
          <w:tcPr>
            <w:tcW w:w="1791" w:type="dxa"/>
            <w:shd w:val="clear" w:color="auto" w:fill="E4DFEB"/>
          </w:tcPr>
          <w:p>
            <w:pPr>
              <w:pStyle w:val="TableParagraph"/>
              <w:tabs>
                <w:tab w:pos="595" w:val="left" w:leader="none"/>
              </w:tabs>
              <w:spacing w:line="219" w:lineRule="exact"/>
              <w:ind w:left="106"/>
              <w:rPr>
                <w:b/>
                <w:sz w:val="18"/>
              </w:rPr>
            </w:pPr>
            <w:r>
              <w:rPr>
                <w:b/>
                <w:sz w:val="18"/>
                <w:u w:val="thick"/>
              </w:rPr>
              <w:t> </w:t>
              <w:tab/>
              <w:t>136.292,00</w:t>
            </w:r>
          </w:p>
        </w:tc>
        <w:tc>
          <w:tcPr>
            <w:tcW w:w="2213" w:type="dxa"/>
            <w:gridSpan w:val="3"/>
            <w:shd w:val="clear" w:color="auto" w:fill="E4DFEB"/>
          </w:tcPr>
          <w:p>
            <w:pPr>
              <w:pStyle w:val="TableParagraph"/>
              <w:spacing w:line="219" w:lineRule="exact"/>
              <w:ind w:left="103"/>
              <w:rPr>
                <w:b/>
                <w:sz w:val="18"/>
              </w:rPr>
            </w:pPr>
            <w:r>
              <w:rPr>
                <w:b/>
                <w:sz w:val="18"/>
              </w:rPr>
              <w:t>TOTAL PASIVO + CAP</w:t>
            </w:r>
          </w:p>
        </w:tc>
        <w:tc>
          <w:tcPr>
            <w:tcW w:w="2021" w:type="dxa"/>
            <w:tcBorders>
              <w:right w:val="nil"/>
            </w:tcBorders>
            <w:shd w:val="clear" w:color="auto" w:fill="E4DFEB"/>
          </w:tcPr>
          <w:p>
            <w:pPr>
              <w:pStyle w:val="TableParagraph"/>
              <w:tabs>
                <w:tab w:pos="489" w:val="left" w:leader="none"/>
              </w:tabs>
              <w:spacing w:line="219" w:lineRule="exact"/>
              <w:ind w:right="598"/>
              <w:jc w:val="right"/>
              <w:rPr>
                <w:b/>
                <w:sz w:val="18"/>
              </w:rPr>
            </w:pPr>
            <w:r>
              <w:rPr>
                <w:b/>
                <w:sz w:val="18"/>
                <w:u w:val="double"/>
              </w:rPr>
              <w:t> </w:t>
              <w:tab/>
            </w:r>
            <w:r>
              <w:rPr>
                <w:b/>
                <w:spacing w:val="-1"/>
                <w:sz w:val="18"/>
                <w:u w:val="double"/>
              </w:rPr>
              <w:t>130.292,00</w:t>
            </w:r>
          </w:p>
        </w:tc>
      </w:tr>
    </w:tbl>
    <w:p>
      <w:pPr>
        <w:pStyle w:val="BodyText"/>
        <w:rPr>
          <w:rFonts w:ascii="Calibri"/>
          <w:b/>
          <w:sz w:val="20"/>
        </w:rPr>
      </w:pPr>
    </w:p>
    <w:p>
      <w:pPr>
        <w:pStyle w:val="BodyText"/>
        <w:rPr>
          <w:rFonts w:ascii="Calibri"/>
          <w:b/>
          <w:sz w:val="20"/>
        </w:rPr>
      </w:pPr>
    </w:p>
    <w:p>
      <w:pPr>
        <w:pStyle w:val="BodyText"/>
        <w:spacing w:before="9"/>
        <w:rPr>
          <w:rFonts w:ascii="Calibri"/>
          <w:b/>
          <w:sz w:val="17"/>
        </w:rPr>
      </w:pPr>
    </w:p>
    <w:p>
      <w:pPr>
        <w:pStyle w:val="Heading2"/>
        <w:ind w:left="1772" w:right="1512"/>
        <w:jc w:val="center"/>
        <w:rPr>
          <w:rFonts w:ascii="Calibri"/>
        </w:rPr>
      </w:pPr>
      <w:r>
        <w:rPr>
          <w:rFonts w:ascii="Calibri"/>
        </w:rPr>
        <w:t>LA NENA SA</w:t>
      </w:r>
    </w:p>
    <w:p>
      <w:pPr>
        <w:spacing w:before="0" w:after="36"/>
        <w:ind w:left="1772" w:right="1518" w:firstLine="0"/>
        <w:jc w:val="center"/>
        <w:rPr>
          <w:rFonts w:ascii="Calibri"/>
          <w:b/>
          <w:sz w:val="24"/>
        </w:rPr>
      </w:pPr>
      <w:r>
        <w:rPr>
          <w:rFonts w:ascii="Calibri"/>
          <w:b/>
          <w:sz w:val="24"/>
        </w:rPr>
        <w:t>Estado de Resultados del 1 de enero al 31 diciembre 2013</w:t>
      </w:r>
    </w:p>
    <w:tbl>
      <w:tblPr>
        <w:tblW w:w="0" w:type="auto"/>
        <w:jc w:val="left"/>
        <w:tblInd w:w="2349" w:type="dxa"/>
        <w:tblBorders>
          <w:top w:val="single" w:sz="2" w:space="0" w:color="B1A0C6"/>
          <w:left w:val="single" w:sz="2" w:space="0" w:color="B1A0C6"/>
          <w:bottom w:val="single" w:sz="2" w:space="0" w:color="B1A0C6"/>
          <w:right w:val="single" w:sz="2" w:space="0" w:color="B1A0C6"/>
          <w:insideH w:val="single" w:sz="2" w:space="0" w:color="B1A0C6"/>
          <w:insideV w:val="single" w:sz="2" w:space="0" w:color="B1A0C6"/>
        </w:tblBorders>
        <w:tblLayout w:type="fixed"/>
        <w:tblCellMar>
          <w:top w:w="0" w:type="dxa"/>
          <w:left w:w="0" w:type="dxa"/>
          <w:bottom w:w="0" w:type="dxa"/>
          <w:right w:w="0" w:type="dxa"/>
        </w:tblCellMar>
        <w:tblLook w:val="01E0"/>
      </w:tblPr>
      <w:tblGrid>
        <w:gridCol w:w="2749"/>
        <w:gridCol w:w="257"/>
        <w:gridCol w:w="1613"/>
      </w:tblGrid>
      <w:tr>
        <w:trPr>
          <w:trHeight w:val="200" w:hRule="exact"/>
        </w:trPr>
        <w:tc>
          <w:tcPr>
            <w:tcW w:w="2749" w:type="dxa"/>
            <w:tcBorders>
              <w:top w:val="nil"/>
              <w:left w:val="nil"/>
              <w:bottom w:val="single" w:sz="12" w:space="0" w:color="B1A0C6"/>
              <w:right w:val="nil"/>
            </w:tcBorders>
          </w:tcPr>
          <w:p>
            <w:pPr>
              <w:pStyle w:val="TableParagraph"/>
              <w:spacing w:line="183" w:lineRule="exact"/>
              <w:ind w:left="108"/>
              <w:rPr>
                <w:b/>
                <w:sz w:val="18"/>
              </w:rPr>
            </w:pPr>
            <w:r>
              <w:rPr>
                <w:b/>
                <w:sz w:val="18"/>
              </w:rPr>
              <w:t>Ventas de contado</w:t>
            </w:r>
          </w:p>
        </w:tc>
        <w:tc>
          <w:tcPr>
            <w:tcW w:w="257" w:type="dxa"/>
            <w:tcBorders>
              <w:top w:val="nil"/>
              <w:left w:val="nil"/>
              <w:bottom w:val="single" w:sz="12" w:space="0" w:color="B1A0C6"/>
              <w:right w:val="nil"/>
            </w:tcBorders>
          </w:tcPr>
          <w:p>
            <w:pPr/>
          </w:p>
        </w:tc>
        <w:tc>
          <w:tcPr>
            <w:tcW w:w="1613" w:type="dxa"/>
            <w:tcBorders>
              <w:top w:val="nil"/>
              <w:left w:val="nil"/>
              <w:bottom w:val="single" w:sz="12" w:space="0" w:color="B1A0C6"/>
              <w:right w:val="nil"/>
            </w:tcBorders>
          </w:tcPr>
          <w:p>
            <w:pPr>
              <w:pStyle w:val="TableParagraph"/>
              <w:spacing w:line="183" w:lineRule="exact"/>
              <w:ind w:right="475"/>
              <w:jc w:val="right"/>
              <w:rPr>
                <w:b/>
                <w:sz w:val="18"/>
              </w:rPr>
            </w:pPr>
            <w:r>
              <w:rPr>
                <w:b/>
                <w:sz w:val="18"/>
              </w:rPr>
              <w:t>141.600,00</w:t>
            </w:r>
          </w:p>
        </w:tc>
      </w:tr>
      <w:tr>
        <w:trPr>
          <w:trHeight w:val="238" w:hRule="exact"/>
        </w:trPr>
        <w:tc>
          <w:tcPr>
            <w:tcW w:w="3006" w:type="dxa"/>
            <w:gridSpan w:val="2"/>
            <w:tcBorders>
              <w:top w:val="single" w:sz="12" w:space="0" w:color="B1A0C6"/>
              <w:left w:val="nil"/>
            </w:tcBorders>
            <w:shd w:val="clear" w:color="auto" w:fill="E4DFEB"/>
          </w:tcPr>
          <w:p>
            <w:pPr>
              <w:pStyle w:val="TableParagraph"/>
              <w:spacing w:line="219" w:lineRule="exact"/>
              <w:ind w:left="108"/>
              <w:rPr>
                <w:b/>
                <w:sz w:val="18"/>
              </w:rPr>
            </w:pPr>
            <w:r>
              <w:rPr>
                <w:b/>
                <w:sz w:val="18"/>
              </w:rPr>
              <w:t>Ventas de crédito</w:t>
            </w:r>
          </w:p>
        </w:tc>
        <w:tc>
          <w:tcPr>
            <w:tcW w:w="1613" w:type="dxa"/>
            <w:tcBorders>
              <w:top w:val="single" w:sz="12" w:space="0" w:color="B1A0C6"/>
              <w:right w:val="nil"/>
            </w:tcBorders>
            <w:shd w:val="clear" w:color="auto" w:fill="E4DFEB"/>
          </w:tcPr>
          <w:p>
            <w:pPr>
              <w:pStyle w:val="TableParagraph"/>
              <w:spacing w:line="219" w:lineRule="exact"/>
              <w:ind w:right="446"/>
              <w:jc w:val="right"/>
              <w:rPr>
                <w:sz w:val="18"/>
              </w:rPr>
            </w:pPr>
            <w:r>
              <w:rPr>
                <w:sz w:val="18"/>
              </w:rPr>
              <w:t>94.400,00</w:t>
            </w:r>
          </w:p>
        </w:tc>
      </w:tr>
      <w:tr>
        <w:trPr>
          <w:trHeight w:val="226" w:hRule="exact"/>
        </w:trPr>
        <w:tc>
          <w:tcPr>
            <w:tcW w:w="2749" w:type="dxa"/>
            <w:tcBorders>
              <w:left w:val="nil"/>
            </w:tcBorders>
          </w:tcPr>
          <w:p>
            <w:pPr>
              <w:pStyle w:val="TableParagraph"/>
              <w:spacing w:line="219" w:lineRule="exact"/>
              <w:ind w:left="108"/>
              <w:rPr>
                <w:b/>
                <w:sz w:val="18"/>
              </w:rPr>
            </w:pPr>
            <w:r>
              <w:rPr>
                <w:b/>
                <w:sz w:val="18"/>
              </w:rPr>
              <w:t>Ventas Netas</w:t>
            </w:r>
          </w:p>
        </w:tc>
        <w:tc>
          <w:tcPr>
            <w:tcW w:w="257" w:type="dxa"/>
          </w:tcPr>
          <w:p>
            <w:pPr/>
          </w:p>
        </w:tc>
        <w:tc>
          <w:tcPr>
            <w:tcW w:w="1613" w:type="dxa"/>
            <w:tcBorders>
              <w:right w:val="nil"/>
            </w:tcBorders>
          </w:tcPr>
          <w:p>
            <w:pPr>
              <w:pStyle w:val="TableParagraph"/>
              <w:spacing w:line="219" w:lineRule="exact"/>
              <w:ind w:right="475"/>
              <w:jc w:val="right"/>
              <w:rPr>
                <w:b/>
                <w:sz w:val="18"/>
              </w:rPr>
            </w:pPr>
            <w:r>
              <w:rPr>
                <w:b/>
                <w:sz w:val="18"/>
              </w:rPr>
              <w:t>236.000,00</w:t>
            </w:r>
          </w:p>
        </w:tc>
      </w:tr>
      <w:tr>
        <w:trPr>
          <w:trHeight w:val="223" w:hRule="exact"/>
        </w:trPr>
        <w:tc>
          <w:tcPr>
            <w:tcW w:w="3006" w:type="dxa"/>
            <w:gridSpan w:val="2"/>
            <w:tcBorders>
              <w:left w:val="nil"/>
            </w:tcBorders>
            <w:shd w:val="clear" w:color="auto" w:fill="E4DFEB"/>
          </w:tcPr>
          <w:p>
            <w:pPr>
              <w:pStyle w:val="TableParagraph"/>
              <w:spacing w:line="219" w:lineRule="exact"/>
              <w:ind w:left="108"/>
              <w:rPr>
                <w:b/>
                <w:sz w:val="18"/>
              </w:rPr>
            </w:pPr>
            <w:r>
              <w:rPr>
                <w:b/>
                <w:sz w:val="18"/>
              </w:rPr>
              <w:t>Costo de ventas</w:t>
            </w:r>
          </w:p>
        </w:tc>
        <w:tc>
          <w:tcPr>
            <w:tcW w:w="1613" w:type="dxa"/>
            <w:tcBorders>
              <w:right w:val="nil"/>
            </w:tcBorders>
            <w:shd w:val="clear" w:color="auto" w:fill="E4DFEB"/>
          </w:tcPr>
          <w:p>
            <w:pPr>
              <w:pStyle w:val="TableParagraph"/>
              <w:spacing w:line="219" w:lineRule="exact"/>
              <w:ind w:right="478"/>
              <w:jc w:val="right"/>
              <w:rPr>
                <w:sz w:val="18"/>
              </w:rPr>
            </w:pPr>
            <w:r>
              <w:rPr>
                <w:sz w:val="18"/>
              </w:rPr>
              <w:t>184.080,00</w:t>
            </w:r>
          </w:p>
        </w:tc>
      </w:tr>
      <w:tr>
        <w:trPr>
          <w:trHeight w:val="226" w:hRule="exact"/>
        </w:trPr>
        <w:tc>
          <w:tcPr>
            <w:tcW w:w="2749" w:type="dxa"/>
            <w:tcBorders>
              <w:left w:val="nil"/>
            </w:tcBorders>
          </w:tcPr>
          <w:p>
            <w:pPr>
              <w:pStyle w:val="TableParagraph"/>
              <w:spacing w:line="219" w:lineRule="exact"/>
              <w:ind w:left="108"/>
              <w:rPr>
                <w:b/>
                <w:sz w:val="18"/>
              </w:rPr>
            </w:pPr>
            <w:r>
              <w:rPr>
                <w:b/>
                <w:sz w:val="18"/>
              </w:rPr>
              <w:t>Utilidad bruta</w:t>
            </w:r>
          </w:p>
        </w:tc>
        <w:tc>
          <w:tcPr>
            <w:tcW w:w="257" w:type="dxa"/>
          </w:tcPr>
          <w:p>
            <w:pPr/>
          </w:p>
        </w:tc>
        <w:tc>
          <w:tcPr>
            <w:tcW w:w="1613" w:type="dxa"/>
            <w:tcBorders>
              <w:right w:val="nil"/>
            </w:tcBorders>
          </w:tcPr>
          <w:p>
            <w:pPr>
              <w:pStyle w:val="TableParagraph"/>
              <w:spacing w:line="219" w:lineRule="exact"/>
              <w:ind w:right="444"/>
              <w:jc w:val="right"/>
              <w:rPr>
                <w:b/>
                <w:sz w:val="18"/>
              </w:rPr>
            </w:pPr>
            <w:r>
              <w:rPr>
                <w:b/>
                <w:sz w:val="18"/>
              </w:rPr>
              <w:t>51.920,00</w:t>
            </w:r>
          </w:p>
        </w:tc>
      </w:tr>
      <w:tr>
        <w:trPr>
          <w:trHeight w:val="226" w:hRule="exact"/>
        </w:trPr>
        <w:tc>
          <w:tcPr>
            <w:tcW w:w="3006" w:type="dxa"/>
            <w:gridSpan w:val="2"/>
            <w:tcBorders>
              <w:left w:val="nil"/>
            </w:tcBorders>
            <w:shd w:val="clear" w:color="auto" w:fill="E4DFEB"/>
          </w:tcPr>
          <w:p>
            <w:pPr>
              <w:pStyle w:val="TableParagraph"/>
              <w:spacing w:line="219" w:lineRule="exact"/>
              <w:ind w:left="108"/>
              <w:rPr>
                <w:b/>
                <w:sz w:val="18"/>
              </w:rPr>
            </w:pPr>
            <w:r>
              <w:rPr>
                <w:b/>
                <w:sz w:val="18"/>
              </w:rPr>
              <w:t>Gastos de operación</w:t>
            </w:r>
          </w:p>
        </w:tc>
        <w:tc>
          <w:tcPr>
            <w:tcW w:w="1613" w:type="dxa"/>
            <w:tcBorders>
              <w:right w:val="nil"/>
            </w:tcBorders>
            <w:shd w:val="clear" w:color="auto" w:fill="E4DFEB"/>
          </w:tcPr>
          <w:p>
            <w:pPr/>
          </w:p>
        </w:tc>
      </w:tr>
      <w:tr>
        <w:trPr>
          <w:trHeight w:val="223" w:hRule="exact"/>
        </w:trPr>
        <w:tc>
          <w:tcPr>
            <w:tcW w:w="3006" w:type="dxa"/>
            <w:gridSpan w:val="2"/>
            <w:tcBorders>
              <w:left w:val="nil"/>
            </w:tcBorders>
          </w:tcPr>
          <w:p>
            <w:pPr>
              <w:pStyle w:val="TableParagraph"/>
              <w:spacing w:line="219" w:lineRule="exact"/>
              <w:ind w:left="108"/>
              <w:rPr>
                <w:b/>
                <w:sz w:val="18"/>
              </w:rPr>
            </w:pPr>
            <w:r>
              <w:rPr>
                <w:b/>
                <w:sz w:val="18"/>
              </w:rPr>
              <w:t>Gastos de venta</w:t>
            </w:r>
          </w:p>
        </w:tc>
        <w:tc>
          <w:tcPr>
            <w:tcW w:w="1613" w:type="dxa"/>
            <w:tcBorders>
              <w:right w:val="nil"/>
            </w:tcBorders>
          </w:tcPr>
          <w:p>
            <w:pPr>
              <w:pStyle w:val="TableParagraph"/>
              <w:spacing w:line="219" w:lineRule="exact"/>
              <w:ind w:right="446"/>
              <w:jc w:val="right"/>
              <w:rPr>
                <w:sz w:val="18"/>
              </w:rPr>
            </w:pPr>
            <w:r>
              <w:rPr>
                <w:sz w:val="18"/>
              </w:rPr>
              <w:t>10.160,00</w:t>
            </w:r>
          </w:p>
        </w:tc>
      </w:tr>
      <w:tr>
        <w:trPr>
          <w:trHeight w:val="226" w:hRule="exact"/>
        </w:trPr>
        <w:tc>
          <w:tcPr>
            <w:tcW w:w="3006" w:type="dxa"/>
            <w:gridSpan w:val="2"/>
            <w:tcBorders>
              <w:left w:val="nil"/>
            </w:tcBorders>
            <w:shd w:val="clear" w:color="auto" w:fill="E4DFEB"/>
          </w:tcPr>
          <w:p>
            <w:pPr>
              <w:pStyle w:val="TableParagraph"/>
              <w:spacing w:line="219" w:lineRule="exact"/>
              <w:ind w:left="108"/>
              <w:rPr>
                <w:b/>
                <w:sz w:val="18"/>
              </w:rPr>
            </w:pPr>
            <w:r>
              <w:rPr>
                <w:b/>
                <w:sz w:val="18"/>
              </w:rPr>
              <w:t>Gastos de Administración</w:t>
            </w:r>
          </w:p>
        </w:tc>
        <w:tc>
          <w:tcPr>
            <w:tcW w:w="1613" w:type="dxa"/>
            <w:tcBorders>
              <w:right w:val="nil"/>
            </w:tcBorders>
            <w:shd w:val="clear" w:color="auto" w:fill="E4DFEB"/>
          </w:tcPr>
          <w:p>
            <w:pPr>
              <w:pStyle w:val="TableParagraph"/>
              <w:spacing w:line="219" w:lineRule="exact"/>
              <w:ind w:right="456"/>
              <w:jc w:val="right"/>
              <w:rPr>
                <w:sz w:val="18"/>
              </w:rPr>
            </w:pPr>
            <w:r>
              <w:rPr>
                <w:sz w:val="18"/>
              </w:rPr>
              <w:t>4.000,00</w:t>
            </w:r>
          </w:p>
        </w:tc>
      </w:tr>
      <w:tr>
        <w:trPr>
          <w:trHeight w:val="226" w:hRule="exact"/>
        </w:trPr>
        <w:tc>
          <w:tcPr>
            <w:tcW w:w="2749" w:type="dxa"/>
            <w:tcBorders>
              <w:left w:val="nil"/>
            </w:tcBorders>
          </w:tcPr>
          <w:p>
            <w:pPr/>
          </w:p>
        </w:tc>
        <w:tc>
          <w:tcPr>
            <w:tcW w:w="257" w:type="dxa"/>
          </w:tcPr>
          <w:p>
            <w:pPr/>
          </w:p>
        </w:tc>
        <w:tc>
          <w:tcPr>
            <w:tcW w:w="1613" w:type="dxa"/>
            <w:tcBorders>
              <w:right w:val="nil"/>
            </w:tcBorders>
          </w:tcPr>
          <w:p>
            <w:pPr>
              <w:pStyle w:val="TableParagraph"/>
              <w:spacing w:line="219" w:lineRule="exact"/>
              <w:ind w:right="444"/>
              <w:jc w:val="right"/>
              <w:rPr>
                <w:b/>
                <w:sz w:val="18"/>
              </w:rPr>
            </w:pPr>
            <w:r>
              <w:rPr>
                <w:b/>
                <w:sz w:val="18"/>
              </w:rPr>
              <w:t>14.160,00</w:t>
            </w:r>
          </w:p>
        </w:tc>
      </w:tr>
      <w:tr>
        <w:trPr>
          <w:trHeight w:val="223" w:hRule="exact"/>
        </w:trPr>
        <w:tc>
          <w:tcPr>
            <w:tcW w:w="3006" w:type="dxa"/>
            <w:gridSpan w:val="2"/>
            <w:tcBorders>
              <w:left w:val="nil"/>
            </w:tcBorders>
            <w:shd w:val="clear" w:color="auto" w:fill="E4DFEB"/>
          </w:tcPr>
          <w:p>
            <w:pPr>
              <w:pStyle w:val="TableParagraph"/>
              <w:spacing w:line="219" w:lineRule="exact"/>
              <w:ind w:left="108"/>
              <w:rPr>
                <w:b/>
                <w:sz w:val="18"/>
              </w:rPr>
            </w:pPr>
            <w:r>
              <w:rPr>
                <w:b/>
                <w:sz w:val="18"/>
              </w:rPr>
              <w:t>Utilidad de Operación</w:t>
            </w:r>
          </w:p>
        </w:tc>
        <w:tc>
          <w:tcPr>
            <w:tcW w:w="1613" w:type="dxa"/>
            <w:tcBorders>
              <w:right w:val="nil"/>
            </w:tcBorders>
            <w:shd w:val="clear" w:color="auto" w:fill="E4DFEB"/>
          </w:tcPr>
          <w:p>
            <w:pPr>
              <w:pStyle w:val="TableParagraph"/>
              <w:spacing w:line="219" w:lineRule="exact"/>
              <w:ind w:right="446"/>
              <w:jc w:val="right"/>
              <w:rPr>
                <w:sz w:val="18"/>
              </w:rPr>
            </w:pPr>
            <w:r>
              <w:rPr>
                <w:sz w:val="18"/>
              </w:rPr>
              <w:t>37.760,00</w:t>
            </w:r>
          </w:p>
        </w:tc>
      </w:tr>
      <w:tr>
        <w:trPr>
          <w:trHeight w:val="226" w:hRule="exact"/>
        </w:trPr>
        <w:tc>
          <w:tcPr>
            <w:tcW w:w="3006" w:type="dxa"/>
            <w:gridSpan w:val="2"/>
            <w:tcBorders>
              <w:left w:val="nil"/>
            </w:tcBorders>
          </w:tcPr>
          <w:p>
            <w:pPr>
              <w:pStyle w:val="TableParagraph"/>
              <w:spacing w:line="219" w:lineRule="exact"/>
              <w:ind w:left="108"/>
              <w:rPr>
                <w:b/>
                <w:sz w:val="18"/>
              </w:rPr>
            </w:pPr>
            <w:r>
              <w:rPr>
                <w:b/>
                <w:sz w:val="18"/>
              </w:rPr>
              <w:t>Gastos Financieros</w:t>
            </w:r>
          </w:p>
        </w:tc>
        <w:tc>
          <w:tcPr>
            <w:tcW w:w="1613" w:type="dxa"/>
            <w:tcBorders>
              <w:right w:val="nil"/>
            </w:tcBorders>
          </w:tcPr>
          <w:p>
            <w:pPr>
              <w:pStyle w:val="TableParagraph"/>
              <w:spacing w:line="219" w:lineRule="exact"/>
              <w:ind w:right="446"/>
              <w:jc w:val="right"/>
              <w:rPr>
                <w:sz w:val="18"/>
              </w:rPr>
            </w:pPr>
            <w:r>
              <w:rPr>
                <w:sz w:val="18"/>
              </w:rPr>
              <w:t>23.376,00</w:t>
            </w:r>
          </w:p>
        </w:tc>
      </w:tr>
      <w:tr>
        <w:trPr>
          <w:trHeight w:val="223" w:hRule="exact"/>
        </w:trPr>
        <w:tc>
          <w:tcPr>
            <w:tcW w:w="3006" w:type="dxa"/>
            <w:gridSpan w:val="2"/>
            <w:tcBorders>
              <w:left w:val="nil"/>
            </w:tcBorders>
            <w:shd w:val="clear" w:color="auto" w:fill="E4DFEB"/>
          </w:tcPr>
          <w:p>
            <w:pPr>
              <w:pStyle w:val="TableParagraph"/>
              <w:spacing w:line="219" w:lineRule="exact"/>
              <w:ind w:left="108"/>
              <w:rPr>
                <w:b/>
                <w:sz w:val="18"/>
              </w:rPr>
            </w:pPr>
            <w:r>
              <w:rPr>
                <w:b/>
                <w:sz w:val="18"/>
              </w:rPr>
              <w:t>Utilidad después gtos Fin.</w:t>
            </w:r>
          </w:p>
        </w:tc>
        <w:tc>
          <w:tcPr>
            <w:tcW w:w="1613" w:type="dxa"/>
            <w:tcBorders>
              <w:right w:val="nil"/>
            </w:tcBorders>
            <w:shd w:val="clear" w:color="auto" w:fill="E4DFEB"/>
          </w:tcPr>
          <w:p>
            <w:pPr>
              <w:pStyle w:val="TableParagraph"/>
              <w:spacing w:line="219" w:lineRule="exact"/>
              <w:ind w:right="446"/>
              <w:jc w:val="right"/>
              <w:rPr>
                <w:sz w:val="18"/>
              </w:rPr>
            </w:pPr>
            <w:r>
              <w:rPr>
                <w:sz w:val="18"/>
              </w:rPr>
              <w:t>14.384,00</w:t>
            </w:r>
          </w:p>
        </w:tc>
      </w:tr>
      <w:tr>
        <w:trPr>
          <w:trHeight w:val="226" w:hRule="exact"/>
        </w:trPr>
        <w:tc>
          <w:tcPr>
            <w:tcW w:w="3006" w:type="dxa"/>
            <w:gridSpan w:val="2"/>
            <w:tcBorders>
              <w:left w:val="nil"/>
            </w:tcBorders>
          </w:tcPr>
          <w:p>
            <w:pPr>
              <w:pStyle w:val="TableParagraph"/>
              <w:spacing w:line="219" w:lineRule="exact"/>
              <w:ind w:left="108"/>
              <w:rPr>
                <w:b/>
                <w:sz w:val="18"/>
              </w:rPr>
            </w:pPr>
            <w:r>
              <w:rPr>
                <w:b/>
                <w:sz w:val="18"/>
              </w:rPr>
              <w:t>Otros gastos (ingresos)</w:t>
            </w:r>
          </w:p>
        </w:tc>
        <w:tc>
          <w:tcPr>
            <w:tcW w:w="1613" w:type="dxa"/>
            <w:tcBorders>
              <w:right w:val="nil"/>
            </w:tcBorders>
          </w:tcPr>
          <w:p>
            <w:pPr>
              <w:pStyle w:val="TableParagraph"/>
              <w:spacing w:line="219" w:lineRule="exact"/>
              <w:ind w:right="509"/>
              <w:jc w:val="right"/>
              <w:rPr>
                <w:sz w:val="18"/>
              </w:rPr>
            </w:pPr>
            <w:r>
              <w:rPr>
                <w:sz w:val="18"/>
              </w:rPr>
              <w:t>-</w:t>
            </w:r>
          </w:p>
        </w:tc>
      </w:tr>
      <w:tr>
        <w:trPr>
          <w:trHeight w:val="226" w:hRule="exact"/>
        </w:trPr>
        <w:tc>
          <w:tcPr>
            <w:tcW w:w="3006" w:type="dxa"/>
            <w:gridSpan w:val="2"/>
            <w:tcBorders>
              <w:left w:val="nil"/>
            </w:tcBorders>
            <w:shd w:val="clear" w:color="auto" w:fill="E4DFEB"/>
          </w:tcPr>
          <w:p>
            <w:pPr>
              <w:pStyle w:val="TableParagraph"/>
              <w:spacing w:line="219" w:lineRule="exact"/>
              <w:ind w:left="108"/>
              <w:rPr>
                <w:b/>
                <w:sz w:val="18"/>
              </w:rPr>
            </w:pPr>
            <w:r>
              <w:rPr>
                <w:b/>
                <w:sz w:val="18"/>
              </w:rPr>
              <w:t>Utilidad antes de impuesto</w:t>
            </w:r>
          </w:p>
        </w:tc>
        <w:tc>
          <w:tcPr>
            <w:tcW w:w="1613" w:type="dxa"/>
            <w:tcBorders>
              <w:right w:val="nil"/>
            </w:tcBorders>
            <w:shd w:val="clear" w:color="auto" w:fill="E4DFEB"/>
          </w:tcPr>
          <w:p>
            <w:pPr>
              <w:pStyle w:val="TableParagraph"/>
              <w:spacing w:line="219" w:lineRule="exact"/>
              <w:ind w:right="444"/>
              <w:jc w:val="right"/>
              <w:rPr>
                <w:b/>
                <w:sz w:val="18"/>
              </w:rPr>
            </w:pPr>
            <w:r>
              <w:rPr>
                <w:b/>
                <w:sz w:val="18"/>
              </w:rPr>
              <w:t>14.384,00</w:t>
            </w:r>
          </w:p>
        </w:tc>
      </w:tr>
      <w:tr>
        <w:trPr>
          <w:trHeight w:val="223" w:hRule="exact"/>
        </w:trPr>
        <w:tc>
          <w:tcPr>
            <w:tcW w:w="2749" w:type="dxa"/>
            <w:tcBorders>
              <w:left w:val="nil"/>
            </w:tcBorders>
          </w:tcPr>
          <w:p>
            <w:pPr>
              <w:pStyle w:val="TableParagraph"/>
              <w:spacing w:line="219" w:lineRule="exact"/>
              <w:ind w:left="108"/>
              <w:rPr>
                <w:b/>
                <w:sz w:val="18"/>
              </w:rPr>
            </w:pPr>
            <w:r>
              <w:rPr>
                <w:b/>
                <w:sz w:val="18"/>
              </w:rPr>
              <w:t>ISR, PTU</w:t>
            </w:r>
          </w:p>
        </w:tc>
        <w:tc>
          <w:tcPr>
            <w:tcW w:w="257" w:type="dxa"/>
          </w:tcPr>
          <w:p>
            <w:pPr/>
          </w:p>
        </w:tc>
        <w:tc>
          <w:tcPr>
            <w:tcW w:w="1613" w:type="dxa"/>
            <w:tcBorders>
              <w:right w:val="nil"/>
            </w:tcBorders>
          </w:tcPr>
          <w:p>
            <w:pPr>
              <w:pStyle w:val="TableParagraph"/>
              <w:spacing w:line="219" w:lineRule="exact"/>
              <w:ind w:right="430"/>
              <w:jc w:val="right"/>
              <w:rPr>
                <w:sz w:val="18"/>
              </w:rPr>
            </w:pPr>
            <w:r>
              <w:rPr>
                <w:sz w:val="18"/>
              </w:rPr>
              <w:t>384,00</w:t>
            </w:r>
          </w:p>
        </w:tc>
      </w:tr>
      <w:tr>
        <w:trPr>
          <w:trHeight w:val="227" w:hRule="exact"/>
        </w:trPr>
        <w:tc>
          <w:tcPr>
            <w:tcW w:w="2749" w:type="dxa"/>
            <w:tcBorders>
              <w:left w:val="nil"/>
            </w:tcBorders>
            <w:shd w:val="clear" w:color="auto" w:fill="E4DFEB"/>
          </w:tcPr>
          <w:p>
            <w:pPr>
              <w:pStyle w:val="TableParagraph"/>
              <w:spacing w:line="219" w:lineRule="exact"/>
              <w:ind w:left="108"/>
              <w:rPr>
                <w:b/>
                <w:sz w:val="18"/>
              </w:rPr>
            </w:pPr>
            <w:r>
              <w:rPr>
                <w:b/>
                <w:sz w:val="18"/>
              </w:rPr>
              <w:t>UTILIDAD NETA</w:t>
            </w:r>
          </w:p>
        </w:tc>
        <w:tc>
          <w:tcPr>
            <w:tcW w:w="257" w:type="dxa"/>
            <w:shd w:val="clear" w:color="auto" w:fill="E4DFEB"/>
          </w:tcPr>
          <w:p>
            <w:pPr/>
          </w:p>
        </w:tc>
        <w:tc>
          <w:tcPr>
            <w:tcW w:w="1613" w:type="dxa"/>
            <w:tcBorders>
              <w:right w:val="nil"/>
            </w:tcBorders>
            <w:shd w:val="clear" w:color="auto" w:fill="E4DFEB"/>
          </w:tcPr>
          <w:p>
            <w:pPr>
              <w:pStyle w:val="TableParagraph"/>
              <w:tabs>
                <w:tab w:pos="326" w:val="left" w:leader="none"/>
              </w:tabs>
              <w:spacing w:line="219" w:lineRule="exact"/>
              <w:ind w:right="444"/>
              <w:jc w:val="right"/>
              <w:rPr>
                <w:b/>
                <w:sz w:val="18"/>
              </w:rPr>
            </w:pPr>
            <w:r>
              <w:rPr>
                <w:b/>
                <w:sz w:val="18"/>
                <w:u w:val="double"/>
              </w:rPr>
              <w:t> </w:t>
              <w:tab/>
            </w:r>
            <w:r>
              <w:rPr>
                <w:b/>
                <w:spacing w:val="-1"/>
                <w:sz w:val="18"/>
                <w:u w:val="double"/>
              </w:rPr>
              <w:t>14.000,00</w:t>
            </w:r>
          </w:p>
        </w:tc>
      </w:tr>
    </w:tbl>
    <w:p>
      <w:pPr>
        <w:spacing w:after="0" w:line="219" w:lineRule="exact"/>
        <w:jc w:val="right"/>
        <w:rPr>
          <w:sz w:val="18"/>
        </w:rPr>
        <w:sectPr>
          <w:pgSz w:w="12240" w:h="15840"/>
          <w:pgMar w:header="0" w:footer="779" w:top="1360" w:bottom="960" w:left="1460" w:right="1720"/>
        </w:sectPr>
      </w:pPr>
    </w:p>
    <w:p>
      <w:pPr>
        <w:spacing w:before="56"/>
        <w:ind w:left="102" w:right="0" w:firstLine="0"/>
        <w:jc w:val="left"/>
        <w:rPr>
          <w:b/>
          <w:sz w:val="24"/>
        </w:rPr>
      </w:pPr>
      <w:r>
        <w:rPr>
          <w:b/>
          <w:sz w:val="24"/>
        </w:rPr>
        <w:t>Liquidez</w:t>
      </w:r>
    </w:p>
    <w:p>
      <w:pPr>
        <w:pStyle w:val="BodyText"/>
        <w:rPr>
          <w:b/>
          <w:sz w:val="21"/>
        </w:rPr>
      </w:pPr>
    </w:p>
    <w:p>
      <w:pPr>
        <w:spacing w:before="0"/>
        <w:ind w:left="102" w:right="0" w:firstLine="0"/>
        <w:jc w:val="left"/>
        <w:rPr>
          <w:rFonts w:ascii="Calibri" w:hAnsi="Calibri"/>
          <w:b/>
          <w:sz w:val="22"/>
        </w:rPr>
      </w:pPr>
      <w:r>
        <w:rPr>
          <w:rFonts w:ascii="Calibri" w:hAnsi="Calibri"/>
          <w:b/>
          <w:sz w:val="22"/>
        </w:rPr>
        <w:t>Índice de liquidez</w:t>
      </w:r>
    </w:p>
    <w:p>
      <w:pPr>
        <w:pStyle w:val="BodyText"/>
        <w:spacing w:after="1"/>
        <w:rPr>
          <w:rFonts w:ascii="Calibri"/>
          <w:b/>
          <w:sz w:val="23"/>
        </w:rPr>
      </w:pPr>
    </w:p>
    <w:tbl>
      <w:tblPr>
        <w:tblW w:w="0" w:type="auto"/>
        <w:jc w:val="left"/>
        <w:tblInd w:w="18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71"/>
        <w:gridCol w:w="319"/>
        <w:gridCol w:w="1421"/>
        <w:gridCol w:w="275"/>
        <w:gridCol w:w="670"/>
      </w:tblGrid>
      <w:tr>
        <w:trPr>
          <w:trHeight w:val="274" w:hRule="exact"/>
        </w:trPr>
        <w:tc>
          <w:tcPr>
            <w:tcW w:w="1971" w:type="dxa"/>
            <w:tcBorders>
              <w:bottom w:val="single" w:sz="4" w:space="0" w:color="000000"/>
            </w:tcBorders>
          </w:tcPr>
          <w:p>
            <w:pPr>
              <w:pStyle w:val="TableParagraph"/>
              <w:spacing w:line="225" w:lineRule="exact"/>
              <w:ind w:left="69"/>
              <w:rPr>
                <w:sz w:val="22"/>
              </w:rPr>
            </w:pPr>
            <w:r>
              <w:rPr>
                <w:sz w:val="22"/>
              </w:rPr>
              <w:t>Activo Circulante</w:t>
            </w:r>
          </w:p>
        </w:tc>
        <w:tc>
          <w:tcPr>
            <w:tcW w:w="319" w:type="dxa"/>
            <w:vMerge w:val="restart"/>
          </w:tcPr>
          <w:p>
            <w:pPr>
              <w:pStyle w:val="TableParagraph"/>
              <w:spacing w:before="117"/>
              <w:ind w:left="103"/>
              <w:rPr>
                <w:sz w:val="22"/>
              </w:rPr>
            </w:pPr>
            <w:r>
              <w:rPr>
                <w:w w:val="100"/>
                <w:sz w:val="22"/>
              </w:rPr>
              <w:t>=</w:t>
            </w:r>
          </w:p>
        </w:tc>
        <w:tc>
          <w:tcPr>
            <w:tcW w:w="1421" w:type="dxa"/>
            <w:tcBorders>
              <w:bottom w:val="single" w:sz="4" w:space="0" w:color="000000"/>
            </w:tcBorders>
          </w:tcPr>
          <w:p>
            <w:pPr>
              <w:pStyle w:val="TableParagraph"/>
              <w:spacing w:line="225" w:lineRule="exact"/>
              <w:ind w:left="383" w:right="384"/>
              <w:jc w:val="center"/>
              <w:rPr>
                <w:sz w:val="22"/>
              </w:rPr>
            </w:pPr>
            <w:r>
              <w:rPr>
                <w:sz w:val="22"/>
              </w:rPr>
              <w:t>58,722</w:t>
            </w:r>
          </w:p>
        </w:tc>
        <w:tc>
          <w:tcPr>
            <w:tcW w:w="275" w:type="dxa"/>
            <w:vMerge w:val="restart"/>
          </w:tcPr>
          <w:p>
            <w:pPr>
              <w:pStyle w:val="TableParagraph"/>
              <w:spacing w:before="117"/>
              <w:ind w:left="86"/>
              <w:rPr>
                <w:sz w:val="22"/>
              </w:rPr>
            </w:pPr>
            <w:r>
              <w:rPr>
                <w:w w:val="100"/>
                <w:sz w:val="22"/>
              </w:rPr>
              <w:t>=</w:t>
            </w:r>
          </w:p>
        </w:tc>
        <w:tc>
          <w:tcPr>
            <w:tcW w:w="670" w:type="dxa"/>
            <w:vMerge w:val="restart"/>
          </w:tcPr>
          <w:p>
            <w:pPr>
              <w:pStyle w:val="TableParagraph"/>
              <w:spacing w:before="117"/>
              <w:ind w:left="78"/>
              <w:rPr>
                <w:sz w:val="22"/>
              </w:rPr>
            </w:pPr>
            <w:r>
              <w:rPr>
                <w:sz w:val="22"/>
              </w:rPr>
              <w:t>1.14</w:t>
            </w:r>
          </w:p>
        </w:tc>
      </w:tr>
      <w:tr>
        <w:trPr>
          <w:trHeight w:val="266" w:hRule="exact"/>
        </w:trPr>
        <w:tc>
          <w:tcPr>
            <w:tcW w:w="1971" w:type="dxa"/>
            <w:tcBorders>
              <w:top w:val="single" w:sz="4" w:space="0" w:color="000000"/>
            </w:tcBorders>
          </w:tcPr>
          <w:p>
            <w:pPr>
              <w:pStyle w:val="TableParagraph"/>
              <w:spacing w:line="265" w:lineRule="exact"/>
              <w:ind w:left="69"/>
              <w:rPr>
                <w:sz w:val="22"/>
              </w:rPr>
            </w:pPr>
            <w:r>
              <w:rPr>
                <w:sz w:val="22"/>
              </w:rPr>
              <w:t>Pasivo Circulante</w:t>
            </w:r>
          </w:p>
        </w:tc>
        <w:tc>
          <w:tcPr>
            <w:tcW w:w="319" w:type="dxa"/>
            <w:vMerge/>
          </w:tcPr>
          <w:p>
            <w:pPr/>
          </w:p>
        </w:tc>
        <w:tc>
          <w:tcPr>
            <w:tcW w:w="1421" w:type="dxa"/>
            <w:tcBorders>
              <w:top w:val="single" w:sz="4" w:space="0" w:color="000000"/>
            </w:tcBorders>
          </w:tcPr>
          <w:p>
            <w:pPr>
              <w:pStyle w:val="TableParagraph"/>
              <w:spacing w:line="265" w:lineRule="exact"/>
              <w:ind w:left="383" w:right="384"/>
              <w:jc w:val="center"/>
              <w:rPr>
                <w:sz w:val="22"/>
              </w:rPr>
            </w:pPr>
            <w:r>
              <w:rPr>
                <w:sz w:val="22"/>
              </w:rPr>
              <w:t>51,312</w:t>
            </w:r>
          </w:p>
        </w:tc>
        <w:tc>
          <w:tcPr>
            <w:tcW w:w="275" w:type="dxa"/>
            <w:vMerge/>
          </w:tcPr>
          <w:p>
            <w:pPr/>
          </w:p>
        </w:tc>
        <w:tc>
          <w:tcPr>
            <w:tcW w:w="670" w:type="dxa"/>
            <w:vMerge/>
          </w:tcPr>
          <w:p>
            <w:pPr/>
          </w:p>
        </w:tc>
      </w:tr>
    </w:tbl>
    <w:p>
      <w:pPr>
        <w:pStyle w:val="BodyText"/>
        <w:rPr>
          <w:rFonts w:ascii="Calibri"/>
          <w:b/>
          <w:sz w:val="20"/>
        </w:rPr>
      </w:pPr>
    </w:p>
    <w:p>
      <w:pPr>
        <w:pStyle w:val="BodyText"/>
        <w:spacing w:before="11"/>
        <w:rPr>
          <w:rFonts w:ascii="Calibri"/>
          <w:b/>
          <w:sz w:val="20"/>
        </w:rPr>
      </w:pPr>
    </w:p>
    <w:p>
      <w:pPr>
        <w:spacing w:before="57"/>
        <w:ind w:left="102" w:right="0" w:firstLine="0"/>
        <w:jc w:val="left"/>
        <w:rPr>
          <w:rFonts w:ascii="Calibri"/>
          <w:sz w:val="22"/>
        </w:rPr>
      </w:pPr>
      <w:r>
        <w:rPr>
          <w:rFonts w:ascii="Calibri"/>
          <w:sz w:val="22"/>
        </w:rPr>
        <w:t>Por cada peso de deuda a corto plazo la empresa cuanta con $1 peso 14 centavos  para liquidar.</w:t>
      </w:r>
    </w:p>
    <w:p>
      <w:pPr>
        <w:pStyle w:val="BodyText"/>
        <w:spacing w:before="8"/>
        <w:rPr>
          <w:rFonts w:ascii="Calibri"/>
          <w:sz w:val="19"/>
        </w:rPr>
      </w:pPr>
    </w:p>
    <w:p>
      <w:pPr>
        <w:spacing w:before="0"/>
        <w:ind w:left="102" w:right="0" w:firstLine="0"/>
        <w:jc w:val="left"/>
        <w:rPr>
          <w:rFonts w:ascii="Calibri"/>
          <w:b/>
          <w:sz w:val="22"/>
        </w:rPr>
      </w:pPr>
      <w:r>
        <w:rPr>
          <w:rFonts w:ascii="Calibri"/>
          <w:b/>
          <w:sz w:val="22"/>
        </w:rPr>
        <w:t>Prueba de acido</w:t>
      </w:r>
    </w:p>
    <w:p>
      <w:pPr>
        <w:pStyle w:val="BodyText"/>
        <w:rPr>
          <w:rFonts w:ascii="Calibri"/>
          <w:b/>
          <w:sz w:val="20"/>
        </w:rPr>
      </w:pPr>
    </w:p>
    <w:p>
      <w:pPr>
        <w:pStyle w:val="BodyText"/>
        <w:spacing w:before="8"/>
        <w:rPr>
          <w:rFonts w:ascii="Calibri"/>
          <w:b/>
          <w:sz w:val="12"/>
        </w:rPr>
      </w:pPr>
    </w:p>
    <w:tbl>
      <w:tblPr>
        <w:tblW w:w="0" w:type="auto"/>
        <w:jc w:val="left"/>
        <w:tblInd w:w="133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69"/>
        <w:gridCol w:w="338"/>
        <w:gridCol w:w="1471"/>
        <w:gridCol w:w="260"/>
        <w:gridCol w:w="663"/>
      </w:tblGrid>
      <w:tr>
        <w:trPr>
          <w:trHeight w:val="284" w:hRule="exact"/>
        </w:trPr>
        <w:tc>
          <w:tcPr>
            <w:tcW w:w="2969" w:type="dxa"/>
          </w:tcPr>
          <w:p>
            <w:pPr>
              <w:pStyle w:val="TableParagraph"/>
              <w:spacing w:line="225" w:lineRule="exact"/>
              <w:ind w:left="20" w:right="-52"/>
              <w:jc w:val="center"/>
              <w:rPr>
                <w:sz w:val="22"/>
              </w:rPr>
            </w:pPr>
            <w:r>
              <w:rPr>
                <w:w w:val="100"/>
                <w:sz w:val="22"/>
                <w:u w:val="single"/>
              </w:rPr>
              <w:t> </w:t>
            </w:r>
            <w:r>
              <w:rPr>
                <w:sz w:val="22"/>
                <w:u w:val="single"/>
              </w:rPr>
              <w:t>  </w:t>
            </w:r>
            <w:r>
              <w:rPr>
                <w:spacing w:val="-20"/>
                <w:sz w:val="22"/>
                <w:u w:val="single"/>
              </w:rPr>
              <w:t> </w:t>
            </w:r>
            <w:r>
              <w:rPr>
                <w:sz w:val="22"/>
                <w:u w:val="single"/>
              </w:rPr>
              <w:t>Activo Circulante</w:t>
            </w:r>
            <w:r>
              <w:rPr>
                <w:spacing w:val="-8"/>
                <w:sz w:val="22"/>
                <w:u w:val="single"/>
              </w:rPr>
              <w:t> </w:t>
            </w:r>
            <w:r>
              <w:rPr>
                <w:sz w:val="22"/>
                <w:u w:val="single"/>
              </w:rPr>
              <w:t>-Inventarios</w:t>
            </w:r>
            <w:r>
              <w:rPr>
                <w:spacing w:val="-20"/>
                <w:sz w:val="22"/>
                <w:u w:val="single"/>
              </w:rPr>
              <w:t> </w:t>
            </w:r>
          </w:p>
        </w:tc>
        <w:tc>
          <w:tcPr>
            <w:tcW w:w="338" w:type="dxa"/>
          </w:tcPr>
          <w:p>
            <w:pPr>
              <w:pStyle w:val="TableParagraph"/>
              <w:spacing w:before="35"/>
              <w:ind w:left="128"/>
              <w:rPr>
                <w:sz w:val="22"/>
              </w:rPr>
            </w:pPr>
            <w:r>
              <w:rPr>
                <w:w w:val="100"/>
                <w:sz w:val="22"/>
              </w:rPr>
              <w:t>=</w:t>
            </w:r>
          </w:p>
        </w:tc>
        <w:tc>
          <w:tcPr>
            <w:tcW w:w="1471" w:type="dxa"/>
          </w:tcPr>
          <w:p>
            <w:pPr>
              <w:pStyle w:val="TableParagraph"/>
              <w:spacing w:line="225" w:lineRule="exact"/>
              <w:ind w:left="-21" w:right="-12"/>
              <w:jc w:val="center"/>
              <w:rPr>
                <w:sz w:val="22"/>
              </w:rPr>
            </w:pPr>
            <w:r>
              <w:rPr>
                <w:w w:val="100"/>
                <w:sz w:val="22"/>
                <w:u w:val="single"/>
              </w:rPr>
              <w:t> </w:t>
            </w:r>
            <w:r>
              <w:rPr>
                <w:spacing w:val="20"/>
                <w:sz w:val="22"/>
                <w:u w:val="single"/>
              </w:rPr>
              <w:t> </w:t>
            </w:r>
            <w:r>
              <w:rPr>
                <w:sz w:val="22"/>
                <w:u w:val="single"/>
              </w:rPr>
              <w:t>58,722-18,400</w:t>
            </w:r>
            <w:r>
              <w:rPr>
                <w:spacing w:val="-10"/>
                <w:sz w:val="22"/>
                <w:u w:val="single"/>
              </w:rPr>
              <w:t> </w:t>
            </w:r>
          </w:p>
        </w:tc>
        <w:tc>
          <w:tcPr>
            <w:tcW w:w="260" w:type="dxa"/>
          </w:tcPr>
          <w:p>
            <w:pPr>
              <w:pStyle w:val="TableParagraph"/>
              <w:spacing w:before="35"/>
              <w:ind w:left="78"/>
              <w:rPr>
                <w:sz w:val="22"/>
              </w:rPr>
            </w:pPr>
            <w:r>
              <w:rPr>
                <w:w w:val="100"/>
                <w:sz w:val="22"/>
              </w:rPr>
              <w:t>=</w:t>
            </w:r>
          </w:p>
        </w:tc>
        <w:tc>
          <w:tcPr>
            <w:tcW w:w="663" w:type="dxa"/>
          </w:tcPr>
          <w:p>
            <w:pPr>
              <w:pStyle w:val="TableParagraph"/>
              <w:spacing w:before="35"/>
              <w:ind w:left="71"/>
              <w:rPr>
                <w:sz w:val="22"/>
              </w:rPr>
            </w:pPr>
            <w:r>
              <w:rPr>
                <w:sz w:val="22"/>
              </w:rPr>
              <w:t>0.78</w:t>
            </w:r>
          </w:p>
        </w:tc>
      </w:tr>
      <w:tr>
        <w:trPr>
          <w:trHeight w:val="216" w:hRule="exact"/>
        </w:trPr>
        <w:tc>
          <w:tcPr>
            <w:tcW w:w="2969" w:type="dxa"/>
          </w:tcPr>
          <w:p>
            <w:pPr>
              <w:pStyle w:val="TableParagraph"/>
              <w:spacing w:line="219" w:lineRule="exact"/>
              <w:ind w:left="734" w:right="665"/>
              <w:jc w:val="center"/>
              <w:rPr>
                <w:sz w:val="22"/>
              </w:rPr>
            </w:pPr>
            <w:r>
              <w:rPr>
                <w:sz w:val="22"/>
              </w:rPr>
              <w:t>Pasivo Circulante</w:t>
            </w:r>
          </w:p>
        </w:tc>
        <w:tc>
          <w:tcPr>
            <w:tcW w:w="338" w:type="dxa"/>
          </w:tcPr>
          <w:p>
            <w:pPr/>
          </w:p>
        </w:tc>
        <w:tc>
          <w:tcPr>
            <w:tcW w:w="1471" w:type="dxa"/>
          </w:tcPr>
          <w:p>
            <w:pPr>
              <w:pStyle w:val="TableParagraph"/>
              <w:spacing w:line="219" w:lineRule="exact"/>
              <w:ind w:left="405" w:right="412"/>
              <w:jc w:val="center"/>
              <w:rPr>
                <w:sz w:val="22"/>
              </w:rPr>
            </w:pPr>
            <w:r>
              <w:rPr>
                <w:sz w:val="22"/>
              </w:rPr>
              <w:t>51,312</w:t>
            </w:r>
          </w:p>
        </w:tc>
        <w:tc>
          <w:tcPr>
            <w:tcW w:w="260" w:type="dxa"/>
          </w:tcPr>
          <w:p>
            <w:pPr/>
          </w:p>
        </w:tc>
        <w:tc>
          <w:tcPr>
            <w:tcW w:w="663" w:type="dxa"/>
          </w:tcPr>
          <w:p>
            <w:pPr/>
          </w:p>
        </w:tc>
      </w:tr>
    </w:tbl>
    <w:p>
      <w:pPr>
        <w:pStyle w:val="BodyText"/>
        <w:rPr>
          <w:rFonts w:ascii="Calibri"/>
          <w:b/>
          <w:sz w:val="20"/>
        </w:rPr>
      </w:pPr>
    </w:p>
    <w:p>
      <w:pPr>
        <w:pStyle w:val="BodyText"/>
        <w:spacing w:before="2"/>
        <w:rPr>
          <w:rFonts w:ascii="Calibri"/>
          <w:b/>
          <w:sz w:val="17"/>
        </w:rPr>
      </w:pPr>
    </w:p>
    <w:p>
      <w:pPr>
        <w:spacing w:line="278" w:lineRule="auto" w:before="57"/>
        <w:ind w:left="102" w:right="266" w:firstLine="0"/>
        <w:jc w:val="left"/>
        <w:rPr>
          <w:rFonts w:ascii="Calibri"/>
          <w:sz w:val="22"/>
        </w:rPr>
      </w:pPr>
      <w:r>
        <w:rPr>
          <w:rFonts w:ascii="Calibri"/>
          <w:sz w:val="22"/>
        </w:rPr>
        <w:t>Por cada peso de deuda a corto plazo la empresa cuenta con .78 centavos para pagar sin contar sus inventarios.</w:t>
      </w:r>
    </w:p>
    <w:p>
      <w:pPr>
        <w:spacing w:before="197"/>
        <w:ind w:left="102" w:right="0" w:firstLine="0"/>
        <w:jc w:val="left"/>
        <w:rPr>
          <w:rFonts w:ascii="Calibri"/>
          <w:b/>
          <w:sz w:val="22"/>
        </w:rPr>
      </w:pPr>
      <w:r>
        <w:rPr>
          <w:rFonts w:ascii="Calibri"/>
          <w:b/>
          <w:sz w:val="22"/>
        </w:rPr>
        <w:t>Capital de trabajo</w:t>
      </w:r>
    </w:p>
    <w:p>
      <w:pPr>
        <w:pStyle w:val="BodyText"/>
        <w:spacing w:before="8"/>
        <w:rPr>
          <w:rFonts w:ascii="Calibri"/>
          <w:b/>
          <w:sz w:val="19"/>
        </w:rPr>
      </w:pPr>
    </w:p>
    <w:p>
      <w:pPr>
        <w:spacing w:before="0"/>
        <w:ind w:left="1832" w:right="1710" w:firstLine="0"/>
        <w:jc w:val="center"/>
        <w:rPr>
          <w:rFonts w:ascii="Calibri" w:hAnsi="Calibri"/>
          <w:sz w:val="22"/>
        </w:rPr>
      </w:pPr>
      <w:r>
        <w:rPr>
          <w:rFonts w:ascii="Calibri" w:hAnsi="Calibri"/>
          <w:sz w:val="22"/>
        </w:rPr>
        <w:t>Activo Circulante – Pasivo circulante = 58,722-51312= 7,410</w:t>
      </w:r>
    </w:p>
    <w:p>
      <w:pPr>
        <w:pStyle w:val="BodyText"/>
        <w:spacing w:before="8"/>
        <w:rPr>
          <w:rFonts w:ascii="Calibri"/>
          <w:sz w:val="19"/>
        </w:rPr>
      </w:pPr>
    </w:p>
    <w:p>
      <w:pPr>
        <w:spacing w:before="0"/>
        <w:ind w:left="102" w:right="0" w:firstLine="0"/>
        <w:jc w:val="left"/>
        <w:rPr>
          <w:rFonts w:ascii="Calibri"/>
          <w:sz w:val="22"/>
        </w:rPr>
      </w:pPr>
      <w:r>
        <w:rPr>
          <w:rFonts w:ascii="Calibri"/>
          <w:sz w:val="22"/>
        </w:rPr>
        <w:t>La empresa cuenta con $7,410 para pagar sus deudas una vez liquidadas las deudas a corto plazo.</w:t>
      </w:r>
    </w:p>
    <w:p>
      <w:pPr>
        <w:pStyle w:val="BodyText"/>
        <w:rPr>
          <w:rFonts w:ascii="Calibri"/>
          <w:sz w:val="22"/>
        </w:rPr>
      </w:pPr>
    </w:p>
    <w:p>
      <w:pPr>
        <w:pStyle w:val="BodyText"/>
        <w:rPr>
          <w:rFonts w:ascii="Calibri"/>
          <w:sz w:val="22"/>
        </w:rPr>
      </w:pPr>
    </w:p>
    <w:p>
      <w:pPr>
        <w:pStyle w:val="BodyText"/>
        <w:spacing w:before="6"/>
        <w:rPr>
          <w:rFonts w:ascii="Calibri"/>
        </w:rPr>
      </w:pPr>
    </w:p>
    <w:p>
      <w:pPr>
        <w:pStyle w:val="Heading1"/>
        <w:ind w:left="102"/>
        <w:rPr>
          <w:rFonts w:ascii="Calibri"/>
        </w:rPr>
      </w:pPr>
      <w:r>
        <w:rPr>
          <w:rFonts w:ascii="Calibri"/>
        </w:rPr>
        <w:t>Endeudamiento</w:t>
      </w:r>
    </w:p>
    <w:p>
      <w:pPr>
        <w:spacing w:before="248"/>
        <w:ind w:left="102" w:right="0" w:firstLine="0"/>
        <w:jc w:val="left"/>
        <w:rPr>
          <w:rFonts w:ascii="Calibri"/>
          <w:b/>
          <w:sz w:val="22"/>
        </w:rPr>
      </w:pPr>
      <w:r>
        <w:rPr>
          <w:rFonts w:ascii="Calibri"/>
          <w:b/>
          <w:sz w:val="22"/>
        </w:rPr>
        <w:t>Externo</w:t>
      </w:r>
    </w:p>
    <w:p>
      <w:pPr>
        <w:pStyle w:val="BodyText"/>
        <w:rPr>
          <w:rFonts w:ascii="Calibri"/>
          <w:b/>
          <w:sz w:val="20"/>
        </w:rPr>
      </w:pPr>
    </w:p>
    <w:p>
      <w:pPr>
        <w:pStyle w:val="BodyText"/>
        <w:spacing w:before="9"/>
        <w:rPr>
          <w:rFonts w:ascii="Calibri"/>
          <w:b/>
          <w:sz w:val="10"/>
        </w:rPr>
      </w:pPr>
    </w:p>
    <w:tbl>
      <w:tblPr>
        <w:tblW w:w="0" w:type="auto"/>
        <w:jc w:val="left"/>
        <w:tblInd w:w="228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56"/>
        <w:gridCol w:w="500"/>
        <w:gridCol w:w="1004"/>
        <w:gridCol w:w="372"/>
        <w:gridCol w:w="662"/>
      </w:tblGrid>
      <w:tr>
        <w:trPr>
          <w:trHeight w:val="304" w:hRule="exact"/>
        </w:trPr>
        <w:tc>
          <w:tcPr>
            <w:tcW w:w="1456" w:type="dxa"/>
          </w:tcPr>
          <w:p>
            <w:pPr>
              <w:pStyle w:val="TableParagraph"/>
              <w:tabs>
                <w:tab w:pos="209" w:val="left" w:leader="none"/>
                <w:tab w:pos="1563" w:val="left" w:leader="none"/>
              </w:tabs>
              <w:spacing w:line="225" w:lineRule="exact"/>
              <w:ind w:left="-99" w:right="-107"/>
              <w:jc w:val="center"/>
              <w:rPr>
                <w:sz w:val="22"/>
              </w:rPr>
            </w:pPr>
            <w:r>
              <w:rPr>
                <w:w w:val="100"/>
                <w:sz w:val="22"/>
                <w:u w:val="single"/>
              </w:rPr>
              <w:t> </w:t>
            </w:r>
            <w:r>
              <w:rPr>
                <w:sz w:val="22"/>
                <w:u w:val="single"/>
              </w:rPr>
              <w:tab/>
              <w:t>Pasivo</w:t>
            </w:r>
            <w:r>
              <w:rPr>
                <w:spacing w:val="-1"/>
                <w:sz w:val="22"/>
                <w:u w:val="single"/>
              </w:rPr>
              <w:t> </w:t>
            </w:r>
            <w:r>
              <w:rPr>
                <w:sz w:val="22"/>
                <w:u w:val="single"/>
              </w:rPr>
              <w:t>total</w:t>
              <w:tab/>
            </w:r>
          </w:p>
        </w:tc>
        <w:tc>
          <w:tcPr>
            <w:tcW w:w="500" w:type="dxa"/>
          </w:tcPr>
          <w:p>
            <w:pPr>
              <w:pStyle w:val="TableParagraph"/>
              <w:tabs>
                <w:tab w:pos="699" w:val="left" w:leader="none"/>
              </w:tabs>
              <w:spacing w:before="56"/>
              <w:ind w:left="190" w:right="-200"/>
              <w:rPr>
                <w:sz w:val="22"/>
              </w:rPr>
            </w:pPr>
            <w:r>
              <w:rPr>
                <w:position w:val="-9"/>
                <w:sz w:val="22"/>
              </w:rPr>
              <w:t>= </w:t>
            </w:r>
            <w:r>
              <w:rPr>
                <w:spacing w:val="-13"/>
                <w:position w:val="-9"/>
                <w:sz w:val="22"/>
              </w:rPr>
              <w:t> </w:t>
            </w:r>
            <w:r>
              <w:rPr>
                <w:w w:val="100"/>
                <w:sz w:val="22"/>
                <w:u w:val="single"/>
              </w:rPr>
              <w:t> </w:t>
            </w:r>
            <w:r>
              <w:rPr>
                <w:sz w:val="22"/>
                <w:u w:val="single"/>
              </w:rPr>
              <w:tab/>
            </w:r>
          </w:p>
        </w:tc>
        <w:tc>
          <w:tcPr>
            <w:tcW w:w="1004" w:type="dxa"/>
          </w:tcPr>
          <w:p>
            <w:pPr>
              <w:pStyle w:val="TableParagraph"/>
              <w:tabs>
                <w:tab w:pos="1126" w:val="left" w:leader="none"/>
              </w:tabs>
              <w:spacing w:line="225" w:lineRule="exact"/>
              <w:ind w:left="199" w:right="-123"/>
              <w:rPr>
                <w:sz w:val="22"/>
              </w:rPr>
            </w:pPr>
            <w:r>
              <w:rPr>
                <w:sz w:val="22"/>
                <w:u w:val="single"/>
              </w:rPr>
              <w:t>67,789</w:t>
              <w:tab/>
            </w:r>
          </w:p>
        </w:tc>
        <w:tc>
          <w:tcPr>
            <w:tcW w:w="372" w:type="dxa"/>
          </w:tcPr>
          <w:p>
            <w:pPr>
              <w:pStyle w:val="TableParagraph"/>
              <w:spacing w:before="59"/>
              <w:ind w:left="191"/>
              <w:rPr>
                <w:sz w:val="22"/>
              </w:rPr>
            </w:pPr>
            <w:r>
              <w:rPr>
                <w:w w:val="100"/>
                <w:sz w:val="22"/>
              </w:rPr>
              <w:t>=</w:t>
            </w:r>
          </w:p>
        </w:tc>
        <w:tc>
          <w:tcPr>
            <w:tcW w:w="662" w:type="dxa"/>
          </w:tcPr>
          <w:p>
            <w:pPr>
              <w:pStyle w:val="TableParagraph"/>
              <w:spacing w:before="59"/>
              <w:ind w:left="69"/>
              <w:rPr>
                <w:sz w:val="22"/>
              </w:rPr>
            </w:pPr>
            <w:r>
              <w:rPr>
                <w:sz w:val="22"/>
              </w:rPr>
              <w:t>0.52</w:t>
            </w:r>
          </w:p>
        </w:tc>
      </w:tr>
      <w:tr>
        <w:trPr>
          <w:trHeight w:val="214" w:hRule="exact"/>
        </w:trPr>
        <w:tc>
          <w:tcPr>
            <w:tcW w:w="1456" w:type="dxa"/>
          </w:tcPr>
          <w:p>
            <w:pPr>
              <w:pStyle w:val="TableParagraph"/>
              <w:spacing w:line="218" w:lineRule="exact"/>
              <w:ind w:left="181" w:right="172"/>
              <w:jc w:val="center"/>
              <w:rPr>
                <w:sz w:val="22"/>
              </w:rPr>
            </w:pPr>
            <w:r>
              <w:rPr>
                <w:sz w:val="22"/>
              </w:rPr>
              <w:t>Activo Total</w:t>
            </w:r>
          </w:p>
        </w:tc>
        <w:tc>
          <w:tcPr>
            <w:tcW w:w="500" w:type="dxa"/>
          </w:tcPr>
          <w:p>
            <w:pPr/>
          </w:p>
        </w:tc>
        <w:tc>
          <w:tcPr>
            <w:tcW w:w="1004" w:type="dxa"/>
          </w:tcPr>
          <w:p>
            <w:pPr>
              <w:pStyle w:val="TableParagraph"/>
              <w:spacing w:line="218" w:lineRule="exact"/>
              <w:ind w:left="144"/>
              <w:rPr>
                <w:sz w:val="22"/>
              </w:rPr>
            </w:pPr>
            <w:r>
              <w:rPr>
                <w:sz w:val="22"/>
              </w:rPr>
              <w:t>130,292</w:t>
            </w:r>
          </w:p>
        </w:tc>
        <w:tc>
          <w:tcPr>
            <w:tcW w:w="372" w:type="dxa"/>
          </w:tcPr>
          <w:p>
            <w:pPr/>
          </w:p>
        </w:tc>
        <w:tc>
          <w:tcPr>
            <w:tcW w:w="662" w:type="dxa"/>
          </w:tcPr>
          <w:p>
            <w:pPr/>
          </w:p>
        </w:tc>
      </w:tr>
    </w:tbl>
    <w:p>
      <w:pPr>
        <w:pStyle w:val="BodyText"/>
        <w:rPr>
          <w:rFonts w:ascii="Calibri"/>
          <w:b/>
          <w:sz w:val="20"/>
        </w:rPr>
      </w:pPr>
    </w:p>
    <w:p>
      <w:pPr>
        <w:pStyle w:val="BodyText"/>
        <w:spacing w:before="5"/>
        <w:rPr>
          <w:rFonts w:ascii="Calibri"/>
          <w:b/>
          <w:sz w:val="17"/>
        </w:rPr>
      </w:pPr>
    </w:p>
    <w:p>
      <w:pPr>
        <w:spacing w:line="276" w:lineRule="auto" w:before="56"/>
        <w:ind w:left="102" w:right="800" w:firstLine="0"/>
        <w:jc w:val="left"/>
        <w:rPr>
          <w:rFonts w:ascii="Calibri"/>
          <w:sz w:val="22"/>
        </w:rPr>
      </w:pPr>
      <w:r>
        <w:rPr>
          <w:rFonts w:ascii="Calibri"/>
          <w:sz w:val="22"/>
        </w:rPr>
        <w:t>De cada peso en el activo .52 centavos se encuentran financiados por recursos ajenos a la empresa.</w:t>
      </w:r>
    </w:p>
    <w:p>
      <w:pPr>
        <w:pStyle w:val="BodyText"/>
        <w:spacing w:before="5"/>
        <w:rPr>
          <w:rFonts w:ascii="Calibri"/>
          <w:sz w:val="16"/>
        </w:rPr>
      </w:pPr>
    </w:p>
    <w:p>
      <w:pPr>
        <w:spacing w:before="0"/>
        <w:ind w:left="102" w:right="0" w:firstLine="0"/>
        <w:jc w:val="left"/>
        <w:rPr>
          <w:rFonts w:ascii="Calibri"/>
          <w:b/>
          <w:sz w:val="22"/>
        </w:rPr>
      </w:pPr>
      <w:r>
        <w:rPr>
          <w:rFonts w:ascii="Calibri"/>
          <w:b/>
          <w:sz w:val="22"/>
        </w:rPr>
        <w:t>INTERNO</w:t>
      </w:r>
    </w:p>
    <w:p>
      <w:pPr>
        <w:pStyle w:val="BodyText"/>
        <w:rPr>
          <w:rFonts w:ascii="Calibri"/>
          <w:b/>
          <w:sz w:val="20"/>
        </w:rPr>
      </w:pPr>
    </w:p>
    <w:p>
      <w:pPr>
        <w:pStyle w:val="BodyText"/>
        <w:spacing w:before="6"/>
        <w:rPr>
          <w:rFonts w:ascii="Calibri"/>
          <w:b/>
          <w:sz w:val="10"/>
        </w:rPr>
      </w:pPr>
    </w:p>
    <w:tbl>
      <w:tblPr>
        <w:tblW w:w="0" w:type="auto"/>
        <w:jc w:val="left"/>
        <w:tblInd w:w="209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44"/>
        <w:gridCol w:w="377"/>
        <w:gridCol w:w="1060"/>
        <w:gridCol w:w="519"/>
        <w:gridCol w:w="838"/>
      </w:tblGrid>
      <w:tr>
        <w:trPr>
          <w:trHeight w:val="307" w:hRule="exact"/>
        </w:trPr>
        <w:tc>
          <w:tcPr>
            <w:tcW w:w="1744" w:type="dxa"/>
          </w:tcPr>
          <w:p>
            <w:pPr>
              <w:pStyle w:val="TableParagraph"/>
              <w:spacing w:line="225" w:lineRule="exact"/>
              <w:ind w:left="94" w:right="-12"/>
              <w:jc w:val="center"/>
              <w:rPr>
                <w:sz w:val="22"/>
              </w:rPr>
            </w:pPr>
            <w:r>
              <w:rPr>
                <w:w w:val="100"/>
                <w:sz w:val="22"/>
                <w:u w:val="single"/>
              </w:rPr>
              <w:t> </w:t>
            </w:r>
            <w:r>
              <w:rPr>
                <w:spacing w:val="5"/>
                <w:sz w:val="22"/>
                <w:u w:val="single"/>
              </w:rPr>
              <w:t> </w:t>
            </w:r>
            <w:r>
              <w:rPr>
                <w:sz w:val="22"/>
                <w:u w:val="single"/>
              </w:rPr>
              <w:t>Capital</w:t>
            </w:r>
            <w:r>
              <w:rPr>
                <w:spacing w:val="-3"/>
                <w:sz w:val="22"/>
                <w:u w:val="single"/>
              </w:rPr>
              <w:t> </w:t>
            </w:r>
            <w:r>
              <w:rPr>
                <w:sz w:val="22"/>
                <w:u w:val="single"/>
              </w:rPr>
              <w:t>contable</w:t>
            </w:r>
            <w:r>
              <w:rPr>
                <w:spacing w:val="7"/>
                <w:sz w:val="22"/>
                <w:u w:val="single"/>
              </w:rPr>
              <w:t> </w:t>
            </w:r>
          </w:p>
        </w:tc>
        <w:tc>
          <w:tcPr>
            <w:tcW w:w="377" w:type="dxa"/>
          </w:tcPr>
          <w:p>
            <w:pPr>
              <w:pStyle w:val="TableParagraph"/>
              <w:tabs>
                <w:tab w:pos="548" w:val="left" w:leader="none"/>
              </w:tabs>
              <w:spacing w:before="66"/>
              <w:ind w:left="95" w:right="-172"/>
              <w:rPr>
                <w:sz w:val="22"/>
              </w:rPr>
            </w:pPr>
            <w:r>
              <w:rPr>
                <w:position w:val="-10"/>
                <w:sz w:val="22"/>
              </w:rPr>
              <w:t>= </w:t>
            </w:r>
            <w:r>
              <w:rPr>
                <w:spacing w:val="-13"/>
                <w:position w:val="-10"/>
                <w:sz w:val="22"/>
              </w:rPr>
              <w:t> </w:t>
            </w:r>
            <w:r>
              <w:rPr>
                <w:w w:val="100"/>
                <w:sz w:val="22"/>
                <w:u w:val="single"/>
              </w:rPr>
              <w:t> </w:t>
            </w:r>
            <w:r>
              <w:rPr>
                <w:sz w:val="22"/>
                <w:u w:val="single"/>
              </w:rPr>
              <w:tab/>
            </w:r>
          </w:p>
        </w:tc>
        <w:tc>
          <w:tcPr>
            <w:tcW w:w="1060" w:type="dxa"/>
          </w:tcPr>
          <w:p>
            <w:pPr>
              <w:pStyle w:val="TableParagraph"/>
              <w:tabs>
                <w:tab w:pos="1153" w:val="left" w:leader="none"/>
              </w:tabs>
              <w:spacing w:line="225" w:lineRule="exact"/>
              <w:ind w:left="171" w:right="-94"/>
              <w:rPr>
                <w:sz w:val="22"/>
              </w:rPr>
            </w:pPr>
            <w:r>
              <w:rPr>
                <w:sz w:val="22"/>
                <w:u w:val="single"/>
              </w:rPr>
              <w:t>602,503</w:t>
              <w:tab/>
            </w:r>
          </w:p>
        </w:tc>
        <w:tc>
          <w:tcPr>
            <w:tcW w:w="519" w:type="dxa"/>
          </w:tcPr>
          <w:p>
            <w:pPr>
              <w:pStyle w:val="TableParagraph"/>
              <w:spacing w:before="61"/>
              <w:ind w:left="162"/>
              <w:rPr>
                <w:sz w:val="22"/>
              </w:rPr>
            </w:pPr>
            <w:r>
              <w:rPr>
                <w:w w:val="100"/>
                <w:sz w:val="22"/>
              </w:rPr>
              <w:t>=</w:t>
            </w:r>
          </w:p>
        </w:tc>
        <w:tc>
          <w:tcPr>
            <w:tcW w:w="838" w:type="dxa"/>
          </w:tcPr>
          <w:p>
            <w:pPr>
              <w:pStyle w:val="TableParagraph"/>
              <w:spacing w:before="61"/>
              <w:ind w:left="246"/>
              <w:rPr>
                <w:sz w:val="22"/>
              </w:rPr>
            </w:pPr>
            <w:r>
              <w:rPr>
                <w:sz w:val="22"/>
              </w:rPr>
              <w:t>4.62</w:t>
            </w:r>
          </w:p>
        </w:tc>
      </w:tr>
      <w:tr>
        <w:trPr>
          <w:trHeight w:val="214" w:hRule="exact"/>
        </w:trPr>
        <w:tc>
          <w:tcPr>
            <w:tcW w:w="1744" w:type="dxa"/>
          </w:tcPr>
          <w:p>
            <w:pPr>
              <w:pStyle w:val="TableParagraph"/>
              <w:spacing w:line="218" w:lineRule="exact"/>
              <w:ind w:left="374" w:right="268"/>
              <w:jc w:val="center"/>
              <w:rPr>
                <w:sz w:val="22"/>
              </w:rPr>
            </w:pPr>
            <w:r>
              <w:rPr>
                <w:sz w:val="22"/>
              </w:rPr>
              <w:t>Activo Total</w:t>
            </w:r>
          </w:p>
        </w:tc>
        <w:tc>
          <w:tcPr>
            <w:tcW w:w="377" w:type="dxa"/>
          </w:tcPr>
          <w:p>
            <w:pPr/>
          </w:p>
        </w:tc>
        <w:tc>
          <w:tcPr>
            <w:tcW w:w="1060" w:type="dxa"/>
          </w:tcPr>
          <w:p>
            <w:pPr>
              <w:pStyle w:val="TableParagraph"/>
              <w:spacing w:line="218" w:lineRule="exact"/>
              <w:ind w:left="171" w:right="-94"/>
              <w:rPr>
                <w:sz w:val="22"/>
              </w:rPr>
            </w:pPr>
            <w:r>
              <w:rPr>
                <w:sz w:val="22"/>
              </w:rPr>
              <w:t>130,292</w:t>
            </w:r>
          </w:p>
        </w:tc>
        <w:tc>
          <w:tcPr>
            <w:tcW w:w="519" w:type="dxa"/>
          </w:tcPr>
          <w:p>
            <w:pPr/>
          </w:p>
        </w:tc>
        <w:tc>
          <w:tcPr>
            <w:tcW w:w="838" w:type="dxa"/>
          </w:tcPr>
          <w:p>
            <w:pPr/>
          </w:p>
        </w:tc>
      </w:tr>
    </w:tbl>
    <w:p>
      <w:pPr>
        <w:pStyle w:val="BodyText"/>
        <w:rPr>
          <w:rFonts w:ascii="Calibri"/>
          <w:b/>
          <w:sz w:val="20"/>
        </w:rPr>
      </w:pPr>
    </w:p>
    <w:p>
      <w:pPr>
        <w:pStyle w:val="BodyText"/>
        <w:spacing w:before="5"/>
        <w:rPr>
          <w:rFonts w:ascii="Calibri"/>
          <w:b/>
          <w:sz w:val="17"/>
        </w:rPr>
      </w:pPr>
    </w:p>
    <w:p>
      <w:pPr>
        <w:spacing w:line="276" w:lineRule="auto" w:before="56"/>
        <w:ind w:left="102" w:right="668" w:firstLine="0"/>
        <w:jc w:val="left"/>
        <w:rPr>
          <w:rFonts w:ascii="Calibri"/>
          <w:sz w:val="22"/>
        </w:rPr>
      </w:pPr>
      <w:r>
        <w:rPr>
          <w:rFonts w:ascii="Calibri"/>
          <w:sz w:val="22"/>
        </w:rPr>
        <w:t>Por cada peso de los activos se encuentran financiados $4.62 por recursos internos (socios, accionistas).</w:t>
      </w:r>
    </w:p>
    <w:p>
      <w:pPr>
        <w:spacing w:after="0" w:line="276" w:lineRule="auto"/>
        <w:jc w:val="left"/>
        <w:rPr>
          <w:rFonts w:ascii="Calibri"/>
          <w:sz w:val="22"/>
        </w:rPr>
        <w:sectPr>
          <w:pgSz w:w="12240" w:h="15840"/>
          <w:pgMar w:header="0" w:footer="779" w:top="1360" w:bottom="960" w:left="1600" w:right="1720"/>
        </w:sectPr>
      </w:pPr>
    </w:p>
    <w:p>
      <w:pPr>
        <w:pStyle w:val="Heading1"/>
        <w:spacing w:before="21"/>
        <w:ind w:left="222"/>
        <w:rPr>
          <w:rFonts w:ascii="Calibri" w:hAnsi="Calibri"/>
        </w:rPr>
      </w:pPr>
      <w:r>
        <w:rPr>
          <w:rFonts w:ascii="Calibri" w:hAnsi="Calibri"/>
        </w:rPr>
        <w:t>Razones de eficiencia y operación</w:t>
      </w:r>
    </w:p>
    <w:p>
      <w:pPr>
        <w:spacing w:before="248"/>
        <w:ind w:left="222" w:right="0" w:firstLine="0"/>
        <w:jc w:val="left"/>
        <w:rPr>
          <w:rFonts w:ascii="Calibri" w:hAnsi="Calibri"/>
          <w:b/>
          <w:sz w:val="22"/>
        </w:rPr>
      </w:pPr>
      <w:r>
        <w:rPr>
          <w:rFonts w:ascii="Calibri" w:hAnsi="Calibri"/>
          <w:b/>
          <w:sz w:val="22"/>
        </w:rPr>
        <w:t>Rotación de inventarios totales</w:t>
      </w:r>
    </w:p>
    <w:p>
      <w:pPr>
        <w:pStyle w:val="BodyText"/>
        <w:rPr>
          <w:rFonts w:ascii="Calibri"/>
          <w:b/>
          <w:sz w:val="20"/>
        </w:rPr>
      </w:pPr>
    </w:p>
    <w:p>
      <w:pPr>
        <w:pStyle w:val="BodyText"/>
        <w:spacing w:before="6"/>
        <w:rPr>
          <w:rFonts w:ascii="Calibri"/>
          <w:b/>
          <w:sz w:val="10"/>
        </w:rPr>
      </w:pPr>
    </w:p>
    <w:tbl>
      <w:tblPr>
        <w:tblW w:w="0" w:type="auto"/>
        <w:jc w:val="left"/>
        <w:tblInd w:w="216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26"/>
        <w:gridCol w:w="450"/>
        <w:gridCol w:w="1060"/>
        <w:gridCol w:w="865"/>
      </w:tblGrid>
      <w:tr>
        <w:trPr>
          <w:trHeight w:val="304" w:hRule="exact"/>
        </w:trPr>
        <w:tc>
          <w:tcPr>
            <w:tcW w:w="1526" w:type="dxa"/>
          </w:tcPr>
          <w:p>
            <w:pPr>
              <w:pStyle w:val="TableParagraph"/>
              <w:tabs>
                <w:tab w:pos="1611" w:val="left" w:leader="none"/>
              </w:tabs>
              <w:spacing w:line="225" w:lineRule="exact"/>
              <w:ind w:left="-50" w:right="-86"/>
              <w:jc w:val="center"/>
              <w:rPr>
                <w:sz w:val="22"/>
              </w:rPr>
            </w:pPr>
            <w:r>
              <w:rPr>
                <w:w w:val="100"/>
                <w:sz w:val="22"/>
                <w:u w:val="single"/>
              </w:rPr>
              <w:t> </w:t>
            </w:r>
            <w:r>
              <w:rPr>
                <w:sz w:val="22"/>
                <w:u w:val="single"/>
              </w:rPr>
              <w:t>    Ventas</w:t>
            </w:r>
            <w:r>
              <w:rPr>
                <w:spacing w:val="-2"/>
                <w:sz w:val="22"/>
                <w:u w:val="single"/>
              </w:rPr>
              <w:t> </w:t>
            </w:r>
            <w:r>
              <w:rPr>
                <w:sz w:val="22"/>
                <w:u w:val="single"/>
              </w:rPr>
              <w:t>netas</w:t>
              <w:tab/>
            </w:r>
          </w:p>
        </w:tc>
        <w:tc>
          <w:tcPr>
            <w:tcW w:w="450" w:type="dxa"/>
          </w:tcPr>
          <w:p>
            <w:pPr>
              <w:pStyle w:val="TableParagraph"/>
              <w:tabs>
                <w:tab w:pos="620" w:val="left" w:leader="none"/>
              </w:tabs>
              <w:spacing w:before="56"/>
              <w:ind w:left="169" w:right="-171"/>
              <w:rPr>
                <w:sz w:val="22"/>
              </w:rPr>
            </w:pPr>
            <w:r>
              <w:rPr>
                <w:position w:val="-9"/>
                <w:sz w:val="22"/>
              </w:rPr>
              <w:t>= </w:t>
            </w:r>
            <w:r>
              <w:rPr>
                <w:spacing w:val="-16"/>
                <w:position w:val="-9"/>
                <w:sz w:val="22"/>
              </w:rPr>
              <w:t> </w:t>
            </w:r>
            <w:r>
              <w:rPr>
                <w:w w:val="100"/>
                <w:sz w:val="22"/>
                <w:u w:val="single"/>
              </w:rPr>
              <w:t> </w:t>
            </w:r>
            <w:r>
              <w:rPr>
                <w:sz w:val="22"/>
                <w:u w:val="single"/>
              </w:rPr>
              <w:tab/>
            </w:r>
          </w:p>
        </w:tc>
        <w:tc>
          <w:tcPr>
            <w:tcW w:w="1060" w:type="dxa"/>
          </w:tcPr>
          <w:p>
            <w:pPr>
              <w:pStyle w:val="TableParagraph"/>
              <w:tabs>
                <w:tab w:pos="1155" w:val="left" w:leader="none"/>
              </w:tabs>
              <w:spacing w:line="225" w:lineRule="exact"/>
              <w:ind w:left="170" w:right="-95"/>
              <w:rPr>
                <w:sz w:val="22"/>
              </w:rPr>
            </w:pPr>
            <w:r>
              <w:rPr>
                <w:sz w:val="22"/>
                <w:u w:val="single"/>
              </w:rPr>
              <w:t>236,000</w:t>
              <w:tab/>
            </w:r>
          </w:p>
        </w:tc>
        <w:tc>
          <w:tcPr>
            <w:tcW w:w="865" w:type="dxa"/>
          </w:tcPr>
          <w:p>
            <w:pPr>
              <w:pStyle w:val="TableParagraph"/>
              <w:spacing w:before="59"/>
              <w:ind w:left="164"/>
              <w:rPr>
                <w:sz w:val="22"/>
              </w:rPr>
            </w:pPr>
            <w:r>
              <w:rPr>
                <w:sz w:val="22"/>
              </w:rPr>
              <w:t>=1.18</w:t>
            </w:r>
          </w:p>
        </w:tc>
      </w:tr>
      <w:tr>
        <w:trPr>
          <w:trHeight w:val="214" w:hRule="exact"/>
        </w:trPr>
        <w:tc>
          <w:tcPr>
            <w:tcW w:w="1526" w:type="dxa"/>
          </w:tcPr>
          <w:p>
            <w:pPr>
              <w:pStyle w:val="TableParagraph"/>
              <w:spacing w:line="218" w:lineRule="exact"/>
              <w:ind w:left="229" w:right="194"/>
              <w:jc w:val="center"/>
              <w:rPr>
                <w:sz w:val="22"/>
              </w:rPr>
            </w:pPr>
            <w:r>
              <w:rPr>
                <w:sz w:val="22"/>
              </w:rPr>
              <w:t>Activo Total</w:t>
            </w:r>
          </w:p>
        </w:tc>
        <w:tc>
          <w:tcPr>
            <w:tcW w:w="450" w:type="dxa"/>
          </w:tcPr>
          <w:p>
            <w:pPr/>
          </w:p>
        </w:tc>
        <w:tc>
          <w:tcPr>
            <w:tcW w:w="1060" w:type="dxa"/>
          </w:tcPr>
          <w:p>
            <w:pPr>
              <w:pStyle w:val="TableParagraph"/>
              <w:spacing w:line="218" w:lineRule="exact"/>
              <w:ind w:left="170" w:right="-94"/>
              <w:rPr>
                <w:sz w:val="22"/>
              </w:rPr>
            </w:pPr>
            <w:r>
              <w:rPr>
                <w:sz w:val="22"/>
              </w:rPr>
              <w:t>130,292</w:t>
            </w:r>
          </w:p>
        </w:tc>
        <w:tc>
          <w:tcPr>
            <w:tcW w:w="865" w:type="dxa"/>
          </w:tcPr>
          <w:p>
            <w:pPr/>
          </w:p>
        </w:tc>
      </w:tr>
    </w:tbl>
    <w:p>
      <w:pPr>
        <w:pStyle w:val="BodyText"/>
        <w:rPr>
          <w:rFonts w:ascii="Calibri"/>
          <w:b/>
          <w:sz w:val="20"/>
        </w:rPr>
      </w:pPr>
    </w:p>
    <w:p>
      <w:pPr>
        <w:pStyle w:val="BodyText"/>
        <w:spacing w:before="7"/>
        <w:rPr>
          <w:rFonts w:ascii="Calibri"/>
          <w:b/>
          <w:sz w:val="17"/>
        </w:rPr>
      </w:pPr>
    </w:p>
    <w:p>
      <w:pPr>
        <w:spacing w:before="56"/>
        <w:ind w:left="222" w:right="0" w:firstLine="0"/>
        <w:jc w:val="left"/>
        <w:rPr>
          <w:rFonts w:ascii="Calibri"/>
          <w:sz w:val="22"/>
        </w:rPr>
      </w:pPr>
      <w:r>
        <w:rPr>
          <w:rFonts w:ascii="Calibri"/>
          <w:sz w:val="22"/>
        </w:rPr>
        <w:t>Por cada peso invertido en el activo se generan $1.18 por cada peso de utilidad</w:t>
      </w:r>
    </w:p>
    <w:p>
      <w:pPr>
        <w:pStyle w:val="BodyText"/>
        <w:spacing w:before="8"/>
        <w:rPr>
          <w:rFonts w:ascii="Calibri"/>
          <w:sz w:val="19"/>
        </w:rPr>
      </w:pPr>
    </w:p>
    <w:p>
      <w:pPr>
        <w:spacing w:before="0"/>
        <w:ind w:left="222" w:right="0" w:firstLine="0"/>
        <w:jc w:val="left"/>
        <w:rPr>
          <w:rFonts w:ascii="Calibri" w:hAnsi="Calibri"/>
          <w:b/>
          <w:sz w:val="22"/>
        </w:rPr>
      </w:pPr>
      <w:r>
        <w:rPr>
          <w:rFonts w:ascii="Calibri" w:hAnsi="Calibri"/>
          <w:b/>
          <w:sz w:val="22"/>
        </w:rPr>
        <w:t>Rotación de inventarios</w:t>
      </w:r>
    </w:p>
    <w:p>
      <w:pPr>
        <w:pStyle w:val="BodyText"/>
        <w:rPr>
          <w:rFonts w:ascii="Calibri"/>
          <w:b/>
          <w:sz w:val="20"/>
        </w:rPr>
      </w:pPr>
    </w:p>
    <w:p>
      <w:pPr>
        <w:pStyle w:val="BodyText"/>
        <w:spacing w:before="6"/>
        <w:rPr>
          <w:rFonts w:ascii="Calibri"/>
          <w:b/>
          <w:sz w:val="10"/>
        </w:rPr>
      </w:pPr>
    </w:p>
    <w:tbl>
      <w:tblPr>
        <w:tblW w:w="0" w:type="auto"/>
        <w:jc w:val="left"/>
        <w:tblInd w:w="113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74"/>
        <w:gridCol w:w="1046"/>
        <w:gridCol w:w="427"/>
        <w:gridCol w:w="1078"/>
        <w:gridCol w:w="1147"/>
        <w:gridCol w:w="372"/>
        <w:gridCol w:w="1019"/>
      </w:tblGrid>
      <w:tr>
        <w:trPr>
          <w:trHeight w:val="305" w:hRule="exact"/>
        </w:trPr>
        <w:tc>
          <w:tcPr>
            <w:tcW w:w="1774" w:type="dxa"/>
          </w:tcPr>
          <w:p>
            <w:pPr>
              <w:pStyle w:val="TableParagraph"/>
              <w:tabs>
                <w:tab w:pos="423" w:val="left" w:leader="none"/>
                <w:tab w:pos="1818" w:val="left" w:leader="none"/>
              </w:tabs>
              <w:spacing w:line="225" w:lineRule="exact"/>
              <w:ind w:left="39" w:right="-44"/>
              <w:jc w:val="center"/>
              <w:rPr>
                <w:sz w:val="22"/>
              </w:rPr>
            </w:pPr>
            <w:r>
              <w:rPr>
                <w:w w:val="100"/>
                <w:sz w:val="22"/>
                <w:u w:val="single"/>
              </w:rPr>
              <w:t> </w:t>
            </w:r>
            <w:r>
              <w:rPr>
                <w:sz w:val="22"/>
                <w:u w:val="single"/>
              </w:rPr>
              <w:tab/>
              <w:t>Inventarios</w:t>
              <w:tab/>
            </w:r>
          </w:p>
        </w:tc>
        <w:tc>
          <w:tcPr>
            <w:tcW w:w="1046" w:type="dxa"/>
          </w:tcPr>
          <w:p>
            <w:pPr>
              <w:pStyle w:val="TableParagraph"/>
              <w:spacing w:before="60"/>
              <w:ind w:left="123"/>
              <w:rPr>
                <w:sz w:val="22"/>
              </w:rPr>
            </w:pPr>
            <w:r>
              <w:rPr>
                <w:sz w:val="22"/>
              </w:rPr>
              <w:t>x360 días</w:t>
            </w:r>
          </w:p>
        </w:tc>
        <w:tc>
          <w:tcPr>
            <w:tcW w:w="427" w:type="dxa"/>
          </w:tcPr>
          <w:p>
            <w:pPr>
              <w:pStyle w:val="TableParagraph"/>
              <w:tabs>
                <w:tab w:pos="661" w:val="left" w:leader="none"/>
              </w:tabs>
              <w:spacing w:before="56"/>
              <w:ind w:left="82" w:right="-235"/>
              <w:rPr>
                <w:sz w:val="22"/>
              </w:rPr>
            </w:pPr>
            <w:r>
              <w:rPr>
                <w:position w:val="-9"/>
                <w:sz w:val="22"/>
              </w:rPr>
              <w:t>= </w:t>
            </w:r>
            <w:r>
              <w:rPr>
                <w:spacing w:val="-13"/>
                <w:position w:val="-9"/>
                <w:sz w:val="22"/>
              </w:rPr>
              <w:t> </w:t>
            </w:r>
            <w:r>
              <w:rPr>
                <w:w w:val="100"/>
                <w:sz w:val="22"/>
                <w:u w:val="single"/>
              </w:rPr>
              <w:t> </w:t>
            </w:r>
            <w:r>
              <w:rPr>
                <w:sz w:val="22"/>
                <w:u w:val="single"/>
              </w:rPr>
              <w:tab/>
            </w:r>
          </w:p>
        </w:tc>
        <w:tc>
          <w:tcPr>
            <w:tcW w:w="1078" w:type="dxa"/>
          </w:tcPr>
          <w:p>
            <w:pPr>
              <w:pStyle w:val="TableParagraph"/>
              <w:tabs>
                <w:tab w:pos="1233" w:val="left" w:leader="none"/>
              </w:tabs>
              <w:spacing w:line="225" w:lineRule="exact"/>
              <w:ind w:left="234" w:right="-155"/>
              <w:rPr>
                <w:sz w:val="22"/>
              </w:rPr>
            </w:pPr>
            <w:r>
              <w:rPr>
                <w:sz w:val="22"/>
                <w:u w:val="single"/>
              </w:rPr>
              <w:t>18,400</w:t>
              <w:tab/>
            </w:r>
          </w:p>
        </w:tc>
        <w:tc>
          <w:tcPr>
            <w:tcW w:w="1147" w:type="dxa"/>
          </w:tcPr>
          <w:p>
            <w:pPr>
              <w:pStyle w:val="TableParagraph"/>
              <w:spacing w:before="60"/>
              <w:ind w:left="231"/>
              <w:rPr>
                <w:sz w:val="22"/>
              </w:rPr>
            </w:pPr>
            <w:r>
              <w:rPr>
                <w:sz w:val="22"/>
              </w:rPr>
              <w:t>x360 días</w:t>
            </w:r>
          </w:p>
        </w:tc>
        <w:tc>
          <w:tcPr>
            <w:tcW w:w="372" w:type="dxa"/>
          </w:tcPr>
          <w:p>
            <w:pPr>
              <w:pStyle w:val="TableParagraph"/>
              <w:spacing w:before="60"/>
              <w:ind w:left="75"/>
              <w:rPr>
                <w:sz w:val="22"/>
              </w:rPr>
            </w:pPr>
            <w:r>
              <w:rPr>
                <w:w w:val="100"/>
                <w:sz w:val="22"/>
              </w:rPr>
              <w:t>=</w:t>
            </w:r>
          </w:p>
        </w:tc>
        <w:tc>
          <w:tcPr>
            <w:tcW w:w="1019" w:type="dxa"/>
          </w:tcPr>
          <w:p>
            <w:pPr>
              <w:pStyle w:val="TableParagraph"/>
              <w:spacing w:before="60"/>
              <w:ind w:left="186"/>
              <w:rPr>
                <w:sz w:val="22"/>
              </w:rPr>
            </w:pPr>
            <w:r>
              <w:rPr>
                <w:sz w:val="22"/>
              </w:rPr>
              <w:t>36 días</w:t>
            </w:r>
          </w:p>
        </w:tc>
      </w:tr>
      <w:tr>
        <w:trPr>
          <w:trHeight w:val="214" w:hRule="exact"/>
        </w:trPr>
        <w:tc>
          <w:tcPr>
            <w:tcW w:w="1774" w:type="dxa"/>
          </w:tcPr>
          <w:p>
            <w:pPr>
              <w:pStyle w:val="TableParagraph"/>
              <w:spacing w:line="218" w:lineRule="exact"/>
              <w:ind w:left="180" w:right="104"/>
              <w:jc w:val="center"/>
              <w:rPr>
                <w:sz w:val="22"/>
              </w:rPr>
            </w:pPr>
            <w:r>
              <w:rPr>
                <w:sz w:val="22"/>
              </w:rPr>
              <w:t>Costo de Ventas</w:t>
            </w:r>
          </w:p>
        </w:tc>
        <w:tc>
          <w:tcPr>
            <w:tcW w:w="1046" w:type="dxa"/>
          </w:tcPr>
          <w:p>
            <w:pPr/>
          </w:p>
        </w:tc>
        <w:tc>
          <w:tcPr>
            <w:tcW w:w="427" w:type="dxa"/>
          </w:tcPr>
          <w:p>
            <w:pPr/>
          </w:p>
        </w:tc>
        <w:tc>
          <w:tcPr>
            <w:tcW w:w="1078" w:type="dxa"/>
          </w:tcPr>
          <w:p>
            <w:pPr>
              <w:pStyle w:val="TableParagraph"/>
              <w:spacing w:line="218" w:lineRule="exact"/>
              <w:ind w:left="176" w:right="-155"/>
              <w:rPr>
                <w:sz w:val="22"/>
              </w:rPr>
            </w:pPr>
            <w:r>
              <w:rPr>
                <w:sz w:val="22"/>
              </w:rPr>
              <w:t>184,080</w:t>
            </w:r>
          </w:p>
        </w:tc>
        <w:tc>
          <w:tcPr>
            <w:tcW w:w="1147" w:type="dxa"/>
          </w:tcPr>
          <w:p>
            <w:pPr/>
          </w:p>
        </w:tc>
        <w:tc>
          <w:tcPr>
            <w:tcW w:w="372" w:type="dxa"/>
          </w:tcPr>
          <w:p>
            <w:pPr/>
          </w:p>
        </w:tc>
        <w:tc>
          <w:tcPr>
            <w:tcW w:w="1019" w:type="dxa"/>
          </w:tcPr>
          <w:p>
            <w:pPr/>
          </w:p>
        </w:tc>
      </w:tr>
    </w:tbl>
    <w:p>
      <w:pPr>
        <w:pStyle w:val="BodyText"/>
        <w:rPr>
          <w:rFonts w:ascii="Calibri"/>
          <w:b/>
          <w:sz w:val="20"/>
        </w:rPr>
      </w:pPr>
    </w:p>
    <w:p>
      <w:pPr>
        <w:pStyle w:val="BodyText"/>
        <w:spacing w:before="7"/>
        <w:rPr>
          <w:rFonts w:ascii="Calibri"/>
          <w:b/>
          <w:sz w:val="17"/>
        </w:rPr>
      </w:pPr>
    </w:p>
    <w:p>
      <w:pPr>
        <w:spacing w:before="56"/>
        <w:ind w:left="222" w:right="0" w:firstLine="0"/>
        <w:jc w:val="left"/>
        <w:rPr>
          <w:rFonts w:ascii="Calibri" w:hAnsi="Calibri"/>
          <w:sz w:val="22"/>
        </w:rPr>
      </w:pPr>
      <w:r>
        <w:rPr>
          <w:rFonts w:ascii="Calibri" w:hAnsi="Calibri"/>
          <w:sz w:val="22"/>
        </w:rPr>
        <w:t>Cada 36 días aproximadamente permanecen los inventarios en el almacén.</w:t>
      </w:r>
    </w:p>
    <w:p>
      <w:pPr>
        <w:pStyle w:val="BodyText"/>
        <w:spacing w:before="8"/>
        <w:rPr>
          <w:rFonts w:ascii="Calibri"/>
          <w:sz w:val="19"/>
        </w:rPr>
      </w:pPr>
    </w:p>
    <w:p>
      <w:pPr>
        <w:spacing w:before="0"/>
        <w:ind w:left="222" w:right="0" w:firstLine="0"/>
        <w:jc w:val="left"/>
        <w:rPr>
          <w:rFonts w:ascii="Calibri" w:hAnsi="Calibri"/>
          <w:b/>
          <w:sz w:val="22"/>
        </w:rPr>
      </w:pPr>
      <w:r>
        <w:rPr>
          <w:rFonts w:ascii="Calibri" w:hAnsi="Calibri"/>
          <w:b/>
          <w:sz w:val="22"/>
        </w:rPr>
        <w:t>Rotación de cuentas por cobrar</w:t>
      </w:r>
    </w:p>
    <w:p>
      <w:pPr>
        <w:pStyle w:val="BodyText"/>
        <w:rPr>
          <w:rFonts w:ascii="Calibri"/>
          <w:b/>
          <w:sz w:val="20"/>
        </w:rPr>
      </w:pPr>
    </w:p>
    <w:p>
      <w:pPr>
        <w:pStyle w:val="BodyText"/>
        <w:spacing w:before="6"/>
        <w:rPr>
          <w:rFonts w:ascii="Calibri"/>
          <w:b/>
          <w:sz w:val="10"/>
        </w:rPr>
      </w:pPr>
    </w:p>
    <w:tbl>
      <w:tblPr>
        <w:tblW w:w="0" w:type="auto"/>
        <w:jc w:val="left"/>
        <w:tblInd w:w="114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61"/>
        <w:gridCol w:w="1049"/>
        <w:gridCol w:w="427"/>
        <w:gridCol w:w="1078"/>
        <w:gridCol w:w="1147"/>
        <w:gridCol w:w="372"/>
        <w:gridCol w:w="1019"/>
      </w:tblGrid>
      <w:tr>
        <w:trPr>
          <w:trHeight w:val="307" w:hRule="exact"/>
        </w:trPr>
        <w:tc>
          <w:tcPr>
            <w:tcW w:w="1761" w:type="dxa"/>
          </w:tcPr>
          <w:p>
            <w:pPr>
              <w:pStyle w:val="TableParagraph"/>
              <w:tabs>
                <w:tab w:pos="559" w:val="left" w:leader="none"/>
                <w:tab w:pos="1808" w:val="left" w:leader="none"/>
              </w:tabs>
              <w:spacing w:line="225" w:lineRule="exact"/>
              <w:ind w:left="29" w:right="-48"/>
              <w:jc w:val="center"/>
              <w:rPr>
                <w:sz w:val="22"/>
              </w:rPr>
            </w:pPr>
            <w:r>
              <w:rPr>
                <w:w w:val="100"/>
                <w:sz w:val="22"/>
                <w:u w:val="single"/>
              </w:rPr>
              <w:t> </w:t>
            </w:r>
            <w:r>
              <w:rPr>
                <w:sz w:val="22"/>
                <w:u w:val="single"/>
              </w:rPr>
              <w:tab/>
              <w:t>Clientes</w:t>
              <w:tab/>
            </w:r>
          </w:p>
        </w:tc>
        <w:tc>
          <w:tcPr>
            <w:tcW w:w="1049" w:type="dxa"/>
          </w:tcPr>
          <w:p>
            <w:pPr>
              <w:pStyle w:val="TableParagraph"/>
              <w:spacing w:before="61"/>
              <w:ind w:left="126"/>
              <w:rPr>
                <w:sz w:val="22"/>
              </w:rPr>
            </w:pPr>
            <w:r>
              <w:rPr>
                <w:sz w:val="22"/>
              </w:rPr>
              <w:t>x360 días</w:t>
            </w:r>
          </w:p>
        </w:tc>
        <w:tc>
          <w:tcPr>
            <w:tcW w:w="427" w:type="dxa"/>
          </w:tcPr>
          <w:p>
            <w:pPr>
              <w:pStyle w:val="TableParagraph"/>
              <w:tabs>
                <w:tab w:pos="661" w:val="left" w:leader="none"/>
              </w:tabs>
              <w:spacing w:before="66"/>
              <w:ind w:left="82" w:right="-235"/>
              <w:rPr>
                <w:sz w:val="22"/>
              </w:rPr>
            </w:pPr>
            <w:r>
              <w:rPr>
                <w:position w:val="-10"/>
                <w:sz w:val="22"/>
              </w:rPr>
              <w:t>= </w:t>
            </w:r>
            <w:r>
              <w:rPr>
                <w:spacing w:val="-13"/>
                <w:position w:val="-10"/>
                <w:sz w:val="22"/>
              </w:rPr>
              <w:t> </w:t>
            </w:r>
            <w:r>
              <w:rPr>
                <w:w w:val="100"/>
                <w:sz w:val="22"/>
                <w:u w:val="single"/>
              </w:rPr>
              <w:t> </w:t>
            </w:r>
            <w:r>
              <w:rPr>
                <w:sz w:val="22"/>
                <w:u w:val="single"/>
              </w:rPr>
              <w:tab/>
            </w:r>
          </w:p>
        </w:tc>
        <w:tc>
          <w:tcPr>
            <w:tcW w:w="1078" w:type="dxa"/>
          </w:tcPr>
          <w:p>
            <w:pPr>
              <w:pStyle w:val="TableParagraph"/>
              <w:tabs>
                <w:tab w:pos="1233" w:val="left" w:leader="none"/>
              </w:tabs>
              <w:spacing w:line="225" w:lineRule="exact"/>
              <w:ind w:left="234" w:right="-155"/>
              <w:rPr>
                <w:sz w:val="22"/>
              </w:rPr>
            </w:pPr>
            <w:r>
              <w:rPr>
                <w:sz w:val="22"/>
                <w:u w:val="single"/>
              </w:rPr>
              <w:t>34,600</w:t>
              <w:tab/>
            </w:r>
          </w:p>
        </w:tc>
        <w:tc>
          <w:tcPr>
            <w:tcW w:w="1147" w:type="dxa"/>
          </w:tcPr>
          <w:p>
            <w:pPr>
              <w:pStyle w:val="TableParagraph"/>
              <w:spacing w:before="61"/>
              <w:ind w:left="231"/>
              <w:rPr>
                <w:sz w:val="22"/>
              </w:rPr>
            </w:pPr>
            <w:r>
              <w:rPr>
                <w:sz w:val="22"/>
              </w:rPr>
              <w:t>x360 días</w:t>
            </w:r>
          </w:p>
        </w:tc>
        <w:tc>
          <w:tcPr>
            <w:tcW w:w="372" w:type="dxa"/>
          </w:tcPr>
          <w:p>
            <w:pPr>
              <w:pStyle w:val="TableParagraph"/>
              <w:spacing w:before="61"/>
              <w:ind w:left="75"/>
              <w:rPr>
                <w:sz w:val="22"/>
              </w:rPr>
            </w:pPr>
            <w:r>
              <w:rPr>
                <w:w w:val="100"/>
                <w:sz w:val="22"/>
              </w:rPr>
              <w:t>=</w:t>
            </w:r>
          </w:p>
        </w:tc>
        <w:tc>
          <w:tcPr>
            <w:tcW w:w="1019" w:type="dxa"/>
          </w:tcPr>
          <w:p>
            <w:pPr>
              <w:pStyle w:val="TableParagraph"/>
              <w:spacing w:before="61"/>
              <w:ind w:left="186"/>
              <w:rPr>
                <w:sz w:val="22"/>
              </w:rPr>
            </w:pPr>
            <w:r>
              <w:rPr>
                <w:sz w:val="22"/>
              </w:rPr>
              <w:t>48 días</w:t>
            </w:r>
          </w:p>
        </w:tc>
      </w:tr>
      <w:tr>
        <w:trPr>
          <w:trHeight w:val="214" w:hRule="exact"/>
        </w:trPr>
        <w:tc>
          <w:tcPr>
            <w:tcW w:w="1761" w:type="dxa"/>
          </w:tcPr>
          <w:p>
            <w:pPr>
              <w:pStyle w:val="TableParagraph"/>
              <w:spacing w:line="218" w:lineRule="exact"/>
              <w:ind w:left="180" w:right="107"/>
              <w:jc w:val="center"/>
              <w:rPr>
                <w:sz w:val="22"/>
              </w:rPr>
            </w:pPr>
            <w:r>
              <w:rPr>
                <w:sz w:val="22"/>
              </w:rPr>
              <w:t>Ventas (crédito)</w:t>
            </w:r>
          </w:p>
        </w:tc>
        <w:tc>
          <w:tcPr>
            <w:tcW w:w="1049" w:type="dxa"/>
          </w:tcPr>
          <w:p>
            <w:pPr/>
          </w:p>
        </w:tc>
        <w:tc>
          <w:tcPr>
            <w:tcW w:w="427" w:type="dxa"/>
          </w:tcPr>
          <w:p>
            <w:pPr/>
          </w:p>
        </w:tc>
        <w:tc>
          <w:tcPr>
            <w:tcW w:w="1078" w:type="dxa"/>
          </w:tcPr>
          <w:p>
            <w:pPr>
              <w:pStyle w:val="TableParagraph"/>
              <w:spacing w:line="218" w:lineRule="exact"/>
              <w:ind w:left="176" w:right="-155"/>
              <w:rPr>
                <w:sz w:val="22"/>
              </w:rPr>
            </w:pPr>
            <w:r>
              <w:rPr>
                <w:sz w:val="22"/>
              </w:rPr>
              <w:t>260,000</w:t>
            </w:r>
          </w:p>
        </w:tc>
        <w:tc>
          <w:tcPr>
            <w:tcW w:w="1147" w:type="dxa"/>
          </w:tcPr>
          <w:p>
            <w:pPr/>
          </w:p>
        </w:tc>
        <w:tc>
          <w:tcPr>
            <w:tcW w:w="372" w:type="dxa"/>
          </w:tcPr>
          <w:p>
            <w:pPr/>
          </w:p>
        </w:tc>
        <w:tc>
          <w:tcPr>
            <w:tcW w:w="1019" w:type="dxa"/>
          </w:tcPr>
          <w:p>
            <w:pPr/>
          </w:p>
        </w:tc>
      </w:tr>
    </w:tbl>
    <w:p>
      <w:pPr>
        <w:pStyle w:val="BodyText"/>
        <w:rPr>
          <w:rFonts w:ascii="Calibri"/>
          <w:b/>
          <w:sz w:val="20"/>
        </w:rPr>
      </w:pPr>
    </w:p>
    <w:p>
      <w:pPr>
        <w:pStyle w:val="BodyText"/>
        <w:spacing w:before="7"/>
        <w:rPr>
          <w:rFonts w:ascii="Calibri"/>
          <w:b/>
          <w:sz w:val="17"/>
        </w:rPr>
      </w:pPr>
    </w:p>
    <w:p>
      <w:pPr>
        <w:spacing w:before="56"/>
        <w:ind w:left="222" w:right="0" w:firstLine="0"/>
        <w:jc w:val="left"/>
        <w:rPr>
          <w:rFonts w:ascii="Calibri" w:hAnsi="Calibri"/>
          <w:sz w:val="22"/>
        </w:rPr>
      </w:pPr>
      <w:r>
        <w:rPr>
          <w:rFonts w:ascii="Calibri" w:hAnsi="Calibri"/>
          <w:sz w:val="22"/>
        </w:rPr>
        <w:t>Aproximadamente cada 48 días se cobran a los clientes.</w:t>
      </w:r>
    </w:p>
    <w:p>
      <w:pPr>
        <w:pStyle w:val="BodyText"/>
        <w:spacing w:before="8"/>
        <w:rPr>
          <w:rFonts w:ascii="Calibri"/>
          <w:sz w:val="19"/>
        </w:rPr>
      </w:pPr>
    </w:p>
    <w:p>
      <w:pPr>
        <w:spacing w:before="0"/>
        <w:ind w:left="222" w:right="0" w:firstLine="0"/>
        <w:jc w:val="left"/>
        <w:rPr>
          <w:rFonts w:ascii="Calibri" w:hAnsi="Calibri"/>
          <w:b/>
          <w:sz w:val="22"/>
        </w:rPr>
      </w:pPr>
      <w:r>
        <w:rPr>
          <w:rFonts w:ascii="Calibri" w:hAnsi="Calibri"/>
          <w:b/>
          <w:sz w:val="22"/>
        </w:rPr>
        <w:t>Rotación de proveedores</w:t>
      </w:r>
    </w:p>
    <w:p>
      <w:pPr>
        <w:pStyle w:val="BodyText"/>
        <w:spacing w:before="2"/>
        <w:rPr>
          <w:rFonts w:ascii="Calibri"/>
          <w:b/>
          <w:sz w:val="28"/>
        </w:rPr>
      </w:pPr>
    </w:p>
    <w:tbl>
      <w:tblPr>
        <w:tblW w:w="0" w:type="auto"/>
        <w:jc w:val="left"/>
        <w:tblInd w:w="11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73"/>
        <w:gridCol w:w="1045"/>
        <w:gridCol w:w="523"/>
        <w:gridCol w:w="1326"/>
        <w:gridCol w:w="864"/>
        <w:gridCol w:w="402"/>
        <w:gridCol w:w="1019"/>
      </w:tblGrid>
      <w:tr>
        <w:trPr>
          <w:trHeight w:val="337" w:hRule="exact"/>
        </w:trPr>
        <w:tc>
          <w:tcPr>
            <w:tcW w:w="1773" w:type="dxa"/>
          </w:tcPr>
          <w:p>
            <w:pPr>
              <w:pStyle w:val="TableParagraph"/>
              <w:tabs>
                <w:tab w:pos="360" w:val="left" w:leader="none"/>
                <w:tab w:pos="1817" w:val="left" w:leader="none"/>
              </w:tabs>
              <w:spacing w:line="253" w:lineRule="exact"/>
              <w:ind w:left="36" w:right="-46"/>
              <w:jc w:val="center"/>
              <w:rPr>
                <w:sz w:val="22"/>
              </w:rPr>
            </w:pPr>
            <w:r>
              <w:rPr>
                <w:w w:val="100"/>
                <w:sz w:val="22"/>
                <w:u w:val="single"/>
              </w:rPr>
              <w:t> </w:t>
            </w:r>
            <w:r>
              <w:rPr>
                <w:sz w:val="22"/>
                <w:u w:val="single"/>
              </w:rPr>
              <w:tab/>
              <w:t>Proveedores</w:t>
              <w:tab/>
            </w:r>
          </w:p>
        </w:tc>
        <w:tc>
          <w:tcPr>
            <w:tcW w:w="1045" w:type="dxa"/>
          </w:tcPr>
          <w:p>
            <w:pPr>
              <w:pStyle w:val="TableParagraph"/>
              <w:spacing w:before="90"/>
              <w:ind w:left="121"/>
              <w:rPr>
                <w:sz w:val="22"/>
              </w:rPr>
            </w:pPr>
            <w:r>
              <w:rPr>
                <w:sz w:val="22"/>
              </w:rPr>
              <w:t>x360 días</w:t>
            </w:r>
          </w:p>
        </w:tc>
        <w:tc>
          <w:tcPr>
            <w:tcW w:w="523" w:type="dxa"/>
          </w:tcPr>
          <w:p>
            <w:pPr>
              <w:pStyle w:val="TableParagraph"/>
              <w:tabs>
                <w:tab w:pos="853" w:val="left" w:leader="none"/>
              </w:tabs>
              <w:spacing w:before="95"/>
              <w:ind w:left="83" w:right="-331"/>
              <w:rPr>
                <w:sz w:val="22"/>
              </w:rPr>
            </w:pPr>
            <w:r>
              <w:rPr>
                <w:position w:val="-10"/>
                <w:sz w:val="22"/>
              </w:rPr>
              <w:t>= </w:t>
            </w:r>
            <w:r>
              <w:rPr>
                <w:spacing w:val="-13"/>
                <w:position w:val="-10"/>
                <w:sz w:val="22"/>
              </w:rPr>
              <w:t> </w:t>
            </w:r>
            <w:r>
              <w:rPr>
                <w:w w:val="100"/>
                <w:sz w:val="22"/>
                <w:u w:val="single"/>
              </w:rPr>
              <w:t> </w:t>
            </w:r>
            <w:r>
              <w:rPr>
                <w:sz w:val="22"/>
                <w:u w:val="single"/>
              </w:rPr>
              <w:tab/>
            </w:r>
          </w:p>
        </w:tc>
        <w:tc>
          <w:tcPr>
            <w:tcW w:w="1326" w:type="dxa"/>
          </w:tcPr>
          <w:p>
            <w:pPr>
              <w:pStyle w:val="TableParagraph"/>
              <w:tabs>
                <w:tab w:pos="1515" w:val="left" w:leader="none"/>
              </w:tabs>
              <w:spacing w:line="253" w:lineRule="exact"/>
              <w:ind w:left="330" w:right="-191"/>
              <w:rPr>
                <w:sz w:val="22"/>
              </w:rPr>
            </w:pPr>
            <w:r>
              <w:rPr>
                <w:sz w:val="22"/>
                <w:u w:val="single"/>
              </w:rPr>
              <w:t>29,350</w:t>
              <w:tab/>
            </w:r>
          </w:p>
        </w:tc>
        <w:tc>
          <w:tcPr>
            <w:tcW w:w="864" w:type="dxa"/>
            <w:vMerge w:val="restart"/>
          </w:tcPr>
          <w:p>
            <w:pPr>
              <w:pStyle w:val="TableParagraph"/>
              <w:spacing w:line="225" w:lineRule="exact"/>
              <w:ind w:left="327"/>
              <w:rPr>
                <w:sz w:val="22"/>
              </w:rPr>
            </w:pPr>
            <w:r>
              <w:rPr>
                <w:sz w:val="22"/>
              </w:rPr>
              <w:t>x360</w:t>
            </w:r>
          </w:p>
          <w:p>
            <w:pPr>
              <w:pStyle w:val="TableParagraph"/>
              <w:ind w:left="365"/>
              <w:rPr>
                <w:sz w:val="22"/>
              </w:rPr>
            </w:pPr>
            <w:r>
              <w:rPr>
                <w:sz w:val="22"/>
              </w:rPr>
              <w:t>días</w:t>
            </w:r>
          </w:p>
        </w:tc>
        <w:tc>
          <w:tcPr>
            <w:tcW w:w="402" w:type="dxa"/>
          </w:tcPr>
          <w:p>
            <w:pPr>
              <w:pStyle w:val="TableParagraph"/>
              <w:spacing w:before="90"/>
              <w:ind w:left="106"/>
              <w:rPr>
                <w:sz w:val="22"/>
              </w:rPr>
            </w:pPr>
            <w:r>
              <w:rPr>
                <w:w w:val="100"/>
                <w:sz w:val="22"/>
              </w:rPr>
              <w:t>=</w:t>
            </w:r>
          </w:p>
        </w:tc>
        <w:tc>
          <w:tcPr>
            <w:tcW w:w="1019" w:type="dxa"/>
          </w:tcPr>
          <w:p>
            <w:pPr>
              <w:pStyle w:val="TableParagraph"/>
              <w:spacing w:before="90"/>
              <w:ind w:left="186"/>
              <w:rPr>
                <w:sz w:val="22"/>
              </w:rPr>
            </w:pPr>
            <w:r>
              <w:rPr>
                <w:sz w:val="22"/>
              </w:rPr>
              <w:t>57 días</w:t>
            </w:r>
          </w:p>
        </w:tc>
      </w:tr>
      <w:tr>
        <w:trPr>
          <w:trHeight w:val="215" w:hRule="exact"/>
        </w:trPr>
        <w:tc>
          <w:tcPr>
            <w:tcW w:w="1773" w:type="dxa"/>
          </w:tcPr>
          <w:p>
            <w:pPr>
              <w:pStyle w:val="TableParagraph"/>
              <w:spacing w:line="219" w:lineRule="exact"/>
              <w:ind w:left="181" w:right="103"/>
              <w:jc w:val="center"/>
              <w:rPr>
                <w:sz w:val="22"/>
              </w:rPr>
            </w:pPr>
            <w:r>
              <w:rPr>
                <w:sz w:val="22"/>
              </w:rPr>
              <w:t>Costo de Ventas</w:t>
            </w:r>
          </w:p>
        </w:tc>
        <w:tc>
          <w:tcPr>
            <w:tcW w:w="1045" w:type="dxa"/>
          </w:tcPr>
          <w:p>
            <w:pPr/>
          </w:p>
        </w:tc>
        <w:tc>
          <w:tcPr>
            <w:tcW w:w="523" w:type="dxa"/>
          </w:tcPr>
          <w:p>
            <w:pPr/>
          </w:p>
        </w:tc>
        <w:tc>
          <w:tcPr>
            <w:tcW w:w="1326" w:type="dxa"/>
          </w:tcPr>
          <w:p>
            <w:pPr>
              <w:pStyle w:val="TableParagraph"/>
              <w:spacing w:line="219" w:lineRule="exact"/>
              <w:ind w:left="272"/>
              <w:rPr>
                <w:sz w:val="22"/>
              </w:rPr>
            </w:pPr>
            <w:r>
              <w:rPr>
                <w:sz w:val="22"/>
              </w:rPr>
              <w:t>184,080</w:t>
            </w:r>
          </w:p>
        </w:tc>
        <w:tc>
          <w:tcPr>
            <w:tcW w:w="864" w:type="dxa"/>
            <w:vMerge/>
          </w:tcPr>
          <w:p>
            <w:pPr/>
          </w:p>
        </w:tc>
        <w:tc>
          <w:tcPr>
            <w:tcW w:w="402" w:type="dxa"/>
          </w:tcPr>
          <w:p>
            <w:pPr/>
          </w:p>
        </w:tc>
        <w:tc>
          <w:tcPr>
            <w:tcW w:w="1019" w:type="dxa"/>
          </w:tcPr>
          <w:p>
            <w:pPr/>
          </w:p>
        </w:tc>
      </w:tr>
    </w:tbl>
    <w:p>
      <w:pPr>
        <w:pStyle w:val="BodyText"/>
        <w:rPr>
          <w:rFonts w:ascii="Calibri"/>
          <w:b/>
          <w:sz w:val="20"/>
        </w:rPr>
      </w:pPr>
    </w:p>
    <w:p>
      <w:pPr>
        <w:pStyle w:val="BodyText"/>
        <w:spacing w:before="5"/>
        <w:rPr>
          <w:rFonts w:ascii="Calibri"/>
          <w:b/>
          <w:sz w:val="17"/>
        </w:rPr>
      </w:pPr>
    </w:p>
    <w:p>
      <w:pPr>
        <w:spacing w:before="56"/>
        <w:ind w:left="222" w:right="0" w:firstLine="0"/>
        <w:jc w:val="left"/>
        <w:rPr>
          <w:rFonts w:ascii="Calibri" w:hAnsi="Calibri"/>
          <w:sz w:val="22"/>
        </w:rPr>
      </w:pPr>
      <w:r>
        <w:rPr>
          <w:rFonts w:ascii="Calibri" w:hAnsi="Calibri"/>
          <w:sz w:val="22"/>
        </w:rPr>
        <w:t>Se realiza el pago a los proveedores cada 57 días.</w:t>
      </w:r>
    </w:p>
    <w:p>
      <w:pPr>
        <w:pStyle w:val="BodyText"/>
        <w:rPr>
          <w:rFonts w:ascii="Calibri"/>
          <w:sz w:val="22"/>
        </w:rPr>
      </w:pPr>
    </w:p>
    <w:p>
      <w:pPr>
        <w:pStyle w:val="BodyText"/>
        <w:rPr>
          <w:rFonts w:ascii="Calibri"/>
          <w:sz w:val="22"/>
        </w:rPr>
      </w:pPr>
    </w:p>
    <w:p>
      <w:pPr>
        <w:pStyle w:val="BodyText"/>
        <w:rPr>
          <w:rFonts w:ascii="Calibri"/>
          <w:sz w:val="18"/>
        </w:rPr>
      </w:pPr>
    </w:p>
    <w:p>
      <w:pPr>
        <w:pStyle w:val="Heading2"/>
        <w:ind w:left="222"/>
        <w:jc w:val="left"/>
      </w:pPr>
      <w:r>
        <w:rPr/>
        <w:t>Razones de rentabilidad</w:t>
      </w:r>
    </w:p>
    <w:p>
      <w:pPr>
        <w:pStyle w:val="BodyText"/>
        <w:spacing w:before="2"/>
        <w:rPr>
          <w:b/>
          <w:sz w:val="21"/>
        </w:rPr>
      </w:pPr>
    </w:p>
    <w:p>
      <w:pPr>
        <w:spacing w:before="0"/>
        <w:ind w:left="222" w:right="0" w:firstLine="0"/>
        <w:jc w:val="left"/>
        <w:rPr>
          <w:rFonts w:ascii="Calibri"/>
          <w:b/>
          <w:sz w:val="22"/>
        </w:rPr>
      </w:pPr>
      <w:r>
        <w:rPr>
          <w:rFonts w:ascii="Calibri"/>
          <w:b/>
          <w:sz w:val="22"/>
        </w:rPr>
        <w:t>Rentabilidad sobre las ventas</w:t>
      </w:r>
    </w:p>
    <w:p>
      <w:pPr>
        <w:pStyle w:val="BodyText"/>
        <w:rPr>
          <w:rFonts w:ascii="Calibri"/>
          <w:b/>
          <w:sz w:val="20"/>
        </w:rPr>
      </w:pPr>
    </w:p>
    <w:p>
      <w:pPr>
        <w:pStyle w:val="BodyText"/>
        <w:spacing w:before="3"/>
        <w:rPr>
          <w:rFonts w:ascii="Calibri"/>
          <w:b/>
          <w:sz w:val="25"/>
        </w:rPr>
      </w:pPr>
    </w:p>
    <w:tbl>
      <w:tblPr>
        <w:tblW w:w="0" w:type="auto"/>
        <w:jc w:val="left"/>
        <w:tblInd w:w="183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21"/>
        <w:gridCol w:w="1444"/>
        <w:gridCol w:w="1197"/>
        <w:gridCol w:w="680"/>
      </w:tblGrid>
      <w:tr>
        <w:trPr>
          <w:trHeight w:val="186" w:hRule="exact"/>
        </w:trPr>
        <w:tc>
          <w:tcPr>
            <w:tcW w:w="1721" w:type="dxa"/>
          </w:tcPr>
          <w:p>
            <w:pPr/>
          </w:p>
        </w:tc>
        <w:tc>
          <w:tcPr>
            <w:tcW w:w="2640" w:type="dxa"/>
            <w:gridSpan w:val="2"/>
          </w:tcPr>
          <w:p>
            <w:pPr>
              <w:pStyle w:val="TableParagraph"/>
              <w:spacing w:line="203" w:lineRule="exact"/>
              <w:ind w:left="1153" w:right="889"/>
              <w:jc w:val="center"/>
              <w:rPr>
                <w:sz w:val="20"/>
              </w:rPr>
            </w:pPr>
            <w:r>
              <w:rPr>
                <w:sz w:val="20"/>
              </w:rPr>
              <w:t>14,000</w:t>
            </w:r>
          </w:p>
        </w:tc>
        <w:tc>
          <w:tcPr>
            <w:tcW w:w="680" w:type="dxa"/>
          </w:tcPr>
          <w:p>
            <w:pPr/>
          </w:p>
        </w:tc>
      </w:tr>
      <w:tr>
        <w:trPr>
          <w:trHeight w:val="262" w:hRule="exact"/>
        </w:trPr>
        <w:tc>
          <w:tcPr>
            <w:tcW w:w="1721" w:type="dxa"/>
          </w:tcPr>
          <w:p>
            <w:pPr>
              <w:pStyle w:val="TableParagraph"/>
              <w:tabs>
                <w:tab w:pos="199" w:val="left" w:leader="none"/>
                <w:tab w:pos="1933" w:val="left" w:leader="none"/>
              </w:tabs>
              <w:spacing w:line="212" w:lineRule="exact"/>
              <w:ind w:left="-348" w:right="-213"/>
              <w:jc w:val="center"/>
              <w:rPr>
                <w:sz w:val="22"/>
              </w:rPr>
            </w:pPr>
            <w:r>
              <w:rPr>
                <w:w w:val="100"/>
                <w:sz w:val="22"/>
                <w:u w:val="single"/>
              </w:rPr>
              <w:t> </w:t>
            </w:r>
            <w:r>
              <w:rPr>
                <w:sz w:val="22"/>
                <w:u w:val="single"/>
              </w:rPr>
              <w:tab/>
              <w:t>Utilidad</w:t>
            </w:r>
            <w:r>
              <w:rPr>
                <w:spacing w:val="1"/>
                <w:sz w:val="22"/>
                <w:u w:val="single"/>
              </w:rPr>
              <w:t> </w:t>
            </w:r>
            <w:r>
              <w:rPr>
                <w:sz w:val="22"/>
                <w:u w:val="single"/>
              </w:rPr>
              <w:t>Neta</w:t>
              <w:tab/>
            </w:r>
          </w:p>
        </w:tc>
        <w:tc>
          <w:tcPr>
            <w:tcW w:w="1444" w:type="dxa"/>
          </w:tcPr>
          <w:p>
            <w:pPr>
              <w:pStyle w:val="TableParagraph"/>
              <w:tabs>
                <w:tab w:pos="2384" w:val="left" w:leader="none"/>
              </w:tabs>
              <w:spacing w:line="262" w:lineRule="exact"/>
              <w:ind w:left="335" w:right="-942"/>
              <w:rPr>
                <w:sz w:val="22"/>
              </w:rPr>
            </w:pPr>
            <w:r>
              <w:rPr>
                <w:sz w:val="22"/>
              </w:rPr>
              <w:t>=  </w:t>
            </w:r>
            <w:r>
              <w:rPr>
                <w:spacing w:val="-24"/>
                <w:sz w:val="22"/>
              </w:rPr>
              <w:t> </w:t>
            </w:r>
            <w:r>
              <w:rPr>
                <w:w w:val="100"/>
                <w:sz w:val="22"/>
                <w:u w:val="single"/>
              </w:rPr>
              <w:t> </w:t>
            </w:r>
            <w:r>
              <w:rPr>
                <w:sz w:val="22"/>
                <w:u w:val="single"/>
              </w:rPr>
              <w:tab/>
            </w:r>
          </w:p>
        </w:tc>
        <w:tc>
          <w:tcPr>
            <w:tcW w:w="1197" w:type="dxa"/>
          </w:tcPr>
          <w:p>
            <w:pPr>
              <w:pStyle w:val="TableParagraph"/>
              <w:spacing w:line="262" w:lineRule="exact"/>
              <w:ind w:right="85"/>
              <w:jc w:val="right"/>
              <w:rPr>
                <w:sz w:val="22"/>
              </w:rPr>
            </w:pPr>
            <w:r>
              <w:rPr>
                <w:w w:val="100"/>
                <w:sz w:val="22"/>
              </w:rPr>
              <w:t>=</w:t>
            </w:r>
          </w:p>
        </w:tc>
        <w:tc>
          <w:tcPr>
            <w:tcW w:w="680" w:type="dxa"/>
          </w:tcPr>
          <w:p>
            <w:pPr>
              <w:pStyle w:val="TableParagraph"/>
              <w:spacing w:line="262" w:lineRule="exact"/>
              <w:ind w:left="87"/>
              <w:rPr>
                <w:sz w:val="22"/>
              </w:rPr>
            </w:pPr>
            <w:r>
              <w:rPr>
                <w:sz w:val="22"/>
              </w:rPr>
              <w:t>.059</w:t>
            </w:r>
          </w:p>
        </w:tc>
      </w:tr>
      <w:tr>
        <w:trPr>
          <w:trHeight w:val="248" w:hRule="exact"/>
        </w:trPr>
        <w:tc>
          <w:tcPr>
            <w:tcW w:w="1721" w:type="dxa"/>
          </w:tcPr>
          <w:p>
            <w:pPr/>
          </w:p>
        </w:tc>
        <w:tc>
          <w:tcPr>
            <w:tcW w:w="2640" w:type="dxa"/>
            <w:gridSpan w:val="2"/>
          </w:tcPr>
          <w:p>
            <w:pPr>
              <w:pStyle w:val="TableParagraph"/>
              <w:spacing w:line="228" w:lineRule="exact"/>
              <w:ind w:left="1091"/>
              <w:rPr>
                <w:sz w:val="22"/>
              </w:rPr>
            </w:pPr>
            <w:r>
              <w:rPr>
                <w:sz w:val="22"/>
              </w:rPr>
              <w:t>236,000</w:t>
            </w:r>
          </w:p>
        </w:tc>
        <w:tc>
          <w:tcPr>
            <w:tcW w:w="680" w:type="dxa"/>
          </w:tcPr>
          <w:p>
            <w:pPr/>
          </w:p>
        </w:tc>
      </w:tr>
      <w:tr>
        <w:trPr>
          <w:trHeight w:val="245" w:hRule="exact"/>
        </w:trPr>
        <w:tc>
          <w:tcPr>
            <w:tcW w:w="1721" w:type="dxa"/>
          </w:tcPr>
          <w:p>
            <w:pPr>
              <w:pStyle w:val="TableParagraph"/>
              <w:spacing w:line="249" w:lineRule="exact"/>
              <w:ind w:left="184" w:right="315"/>
              <w:jc w:val="center"/>
              <w:rPr>
                <w:sz w:val="22"/>
              </w:rPr>
            </w:pPr>
            <w:r>
              <w:rPr>
                <w:sz w:val="22"/>
              </w:rPr>
              <w:t>Ventas Netas</w:t>
            </w:r>
          </w:p>
        </w:tc>
        <w:tc>
          <w:tcPr>
            <w:tcW w:w="2640" w:type="dxa"/>
            <w:gridSpan w:val="2"/>
          </w:tcPr>
          <w:p>
            <w:pPr/>
          </w:p>
        </w:tc>
        <w:tc>
          <w:tcPr>
            <w:tcW w:w="680" w:type="dxa"/>
          </w:tcPr>
          <w:p>
            <w:pPr/>
          </w:p>
        </w:tc>
      </w:tr>
    </w:tbl>
    <w:p>
      <w:pPr>
        <w:pStyle w:val="BodyText"/>
        <w:rPr>
          <w:rFonts w:ascii="Calibri"/>
          <w:b/>
          <w:sz w:val="20"/>
        </w:rPr>
      </w:pPr>
    </w:p>
    <w:p>
      <w:pPr>
        <w:pStyle w:val="BodyText"/>
        <w:spacing w:before="7"/>
        <w:rPr>
          <w:rFonts w:ascii="Calibri"/>
          <w:b/>
          <w:sz w:val="17"/>
        </w:rPr>
      </w:pPr>
    </w:p>
    <w:p>
      <w:pPr>
        <w:spacing w:before="56"/>
        <w:ind w:left="222" w:right="0" w:firstLine="0"/>
        <w:jc w:val="left"/>
        <w:rPr>
          <w:rFonts w:ascii="Calibri"/>
          <w:sz w:val="22"/>
        </w:rPr>
      </w:pPr>
      <w:r>
        <w:rPr>
          <w:rFonts w:ascii="Calibri"/>
          <w:sz w:val="22"/>
        </w:rPr>
        <w:t>Por cada peso de venta se genera .059 centavos de las ventas.</w:t>
      </w:r>
    </w:p>
    <w:p>
      <w:pPr>
        <w:spacing w:after="0"/>
        <w:jc w:val="left"/>
        <w:rPr>
          <w:rFonts w:ascii="Calibri"/>
          <w:sz w:val="22"/>
        </w:rPr>
        <w:sectPr>
          <w:pgSz w:w="12240" w:h="15840"/>
          <w:pgMar w:header="0" w:footer="779" w:top="1400" w:bottom="960" w:left="1480" w:right="1720"/>
        </w:sectPr>
      </w:pPr>
    </w:p>
    <w:p>
      <w:pPr>
        <w:spacing w:before="37"/>
        <w:ind w:left="102" w:right="0" w:firstLine="0"/>
        <w:jc w:val="left"/>
        <w:rPr>
          <w:rFonts w:ascii="Calibri" w:hAnsi="Calibri"/>
          <w:b/>
          <w:sz w:val="22"/>
        </w:rPr>
      </w:pPr>
      <w:r>
        <w:rPr>
          <w:rFonts w:ascii="Calibri" w:hAnsi="Calibri"/>
          <w:b/>
          <w:sz w:val="22"/>
        </w:rPr>
        <w:t>Rentabilidad de utilidad de operación</w:t>
      </w:r>
    </w:p>
    <w:p>
      <w:pPr>
        <w:pStyle w:val="BodyText"/>
        <w:rPr>
          <w:rFonts w:ascii="Calibri"/>
          <w:b/>
          <w:sz w:val="20"/>
        </w:rPr>
      </w:pPr>
    </w:p>
    <w:p>
      <w:pPr>
        <w:pStyle w:val="BodyText"/>
        <w:spacing w:before="7"/>
        <w:rPr>
          <w:rFonts w:ascii="Calibri"/>
          <w:b/>
          <w:sz w:val="10"/>
        </w:rPr>
      </w:pPr>
    </w:p>
    <w:tbl>
      <w:tblPr>
        <w:tblW w:w="0" w:type="auto"/>
        <w:jc w:val="left"/>
        <w:tblInd w:w="179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01"/>
        <w:gridCol w:w="410"/>
        <w:gridCol w:w="1066"/>
        <w:gridCol w:w="612"/>
        <w:gridCol w:w="754"/>
      </w:tblGrid>
      <w:tr>
        <w:trPr>
          <w:trHeight w:val="304" w:hRule="exact"/>
        </w:trPr>
        <w:tc>
          <w:tcPr>
            <w:tcW w:w="2201" w:type="dxa"/>
          </w:tcPr>
          <w:p>
            <w:pPr>
              <w:pStyle w:val="TableParagraph"/>
              <w:spacing w:line="225" w:lineRule="exact"/>
              <w:ind w:left="123" w:right="-4"/>
              <w:jc w:val="center"/>
              <w:rPr>
                <w:sz w:val="22"/>
              </w:rPr>
            </w:pPr>
            <w:r>
              <w:rPr>
                <w:w w:val="100"/>
                <w:sz w:val="22"/>
                <w:u w:val="single"/>
              </w:rPr>
              <w:t> </w:t>
            </w:r>
            <w:r>
              <w:rPr>
                <w:spacing w:val="-23"/>
                <w:sz w:val="22"/>
                <w:u w:val="single"/>
              </w:rPr>
              <w:t> </w:t>
            </w:r>
            <w:r>
              <w:rPr>
                <w:sz w:val="22"/>
                <w:u w:val="single"/>
              </w:rPr>
              <w:t>Utilidad de</w:t>
            </w:r>
            <w:r>
              <w:rPr>
                <w:spacing w:val="-2"/>
                <w:sz w:val="22"/>
                <w:u w:val="single"/>
              </w:rPr>
              <w:t> </w:t>
            </w:r>
            <w:r>
              <w:rPr>
                <w:sz w:val="22"/>
                <w:u w:val="single"/>
              </w:rPr>
              <w:t>operación</w:t>
            </w:r>
            <w:r>
              <w:rPr>
                <w:spacing w:val="-23"/>
                <w:sz w:val="22"/>
                <w:u w:val="single"/>
              </w:rPr>
              <w:t> </w:t>
            </w:r>
          </w:p>
        </w:tc>
        <w:tc>
          <w:tcPr>
            <w:tcW w:w="410" w:type="dxa"/>
          </w:tcPr>
          <w:p>
            <w:pPr>
              <w:pStyle w:val="TableParagraph"/>
              <w:tabs>
                <w:tab w:pos="637" w:val="left" w:leader="none"/>
              </w:tabs>
              <w:spacing w:before="56"/>
              <w:ind w:left="73" w:right="-228"/>
              <w:rPr>
                <w:sz w:val="22"/>
              </w:rPr>
            </w:pPr>
            <w:r>
              <w:rPr>
                <w:position w:val="-9"/>
                <w:sz w:val="22"/>
              </w:rPr>
              <w:t>=</w:t>
            </w:r>
            <w:r>
              <w:rPr>
                <w:spacing w:val="20"/>
                <w:position w:val="-9"/>
                <w:sz w:val="22"/>
              </w:rPr>
              <w:t> </w:t>
            </w:r>
            <w:r>
              <w:rPr>
                <w:w w:val="100"/>
                <w:sz w:val="22"/>
                <w:u w:val="single"/>
              </w:rPr>
              <w:t> </w:t>
            </w:r>
            <w:r>
              <w:rPr>
                <w:sz w:val="22"/>
                <w:u w:val="single"/>
              </w:rPr>
              <w:tab/>
            </w:r>
          </w:p>
        </w:tc>
        <w:tc>
          <w:tcPr>
            <w:tcW w:w="1066" w:type="dxa"/>
          </w:tcPr>
          <w:p>
            <w:pPr>
              <w:pStyle w:val="TableParagraph"/>
              <w:tabs>
                <w:tab w:pos="1223" w:val="left" w:leader="none"/>
              </w:tabs>
              <w:spacing w:line="225" w:lineRule="exact"/>
              <w:ind w:left="227" w:right="-158"/>
              <w:rPr>
                <w:sz w:val="22"/>
              </w:rPr>
            </w:pPr>
            <w:r>
              <w:rPr>
                <w:sz w:val="22"/>
                <w:u w:val="single"/>
              </w:rPr>
              <w:t>37,760</w:t>
              <w:tab/>
            </w:r>
          </w:p>
        </w:tc>
        <w:tc>
          <w:tcPr>
            <w:tcW w:w="612" w:type="dxa"/>
          </w:tcPr>
          <w:p>
            <w:pPr>
              <w:pStyle w:val="TableParagraph"/>
              <w:spacing w:before="59"/>
              <w:ind w:right="46"/>
              <w:jc w:val="center"/>
              <w:rPr>
                <w:sz w:val="22"/>
              </w:rPr>
            </w:pPr>
            <w:r>
              <w:rPr>
                <w:w w:val="100"/>
                <w:sz w:val="22"/>
              </w:rPr>
              <w:t>=</w:t>
            </w:r>
          </w:p>
        </w:tc>
        <w:tc>
          <w:tcPr>
            <w:tcW w:w="754" w:type="dxa"/>
          </w:tcPr>
          <w:p>
            <w:pPr>
              <w:pStyle w:val="TableParagraph"/>
              <w:spacing w:before="59"/>
              <w:ind w:left="275"/>
              <w:rPr>
                <w:sz w:val="22"/>
              </w:rPr>
            </w:pPr>
            <w:r>
              <w:rPr>
                <w:sz w:val="22"/>
              </w:rPr>
              <w:t>.16</w:t>
            </w:r>
          </w:p>
        </w:tc>
      </w:tr>
      <w:tr>
        <w:trPr>
          <w:trHeight w:val="214" w:hRule="exact"/>
        </w:trPr>
        <w:tc>
          <w:tcPr>
            <w:tcW w:w="2201" w:type="dxa"/>
          </w:tcPr>
          <w:p>
            <w:pPr>
              <w:pStyle w:val="TableParagraph"/>
              <w:spacing w:line="218" w:lineRule="exact"/>
              <w:ind w:left="552" w:right="426"/>
              <w:jc w:val="center"/>
              <w:rPr>
                <w:sz w:val="22"/>
              </w:rPr>
            </w:pPr>
            <w:r>
              <w:rPr>
                <w:sz w:val="22"/>
              </w:rPr>
              <w:t>Ventas Netas</w:t>
            </w:r>
          </w:p>
        </w:tc>
        <w:tc>
          <w:tcPr>
            <w:tcW w:w="410" w:type="dxa"/>
          </w:tcPr>
          <w:p>
            <w:pPr/>
          </w:p>
        </w:tc>
        <w:tc>
          <w:tcPr>
            <w:tcW w:w="1066" w:type="dxa"/>
          </w:tcPr>
          <w:p>
            <w:pPr>
              <w:pStyle w:val="TableParagraph"/>
              <w:spacing w:line="218" w:lineRule="exact"/>
              <w:ind w:left="169"/>
              <w:rPr>
                <w:sz w:val="22"/>
              </w:rPr>
            </w:pPr>
            <w:r>
              <w:rPr>
                <w:sz w:val="22"/>
              </w:rPr>
              <w:t>236,000</w:t>
            </w:r>
          </w:p>
        </w:tc>
        <w:tc>
          <w:tcPr>
            <w:tcW w:w="612" w:type="dxa"/>
          </w:tcPr>
          <w:p>
            <w:pPr/>
          </w:p>
        </w:tc>
        <w:tc>
          <w:tcPr>
            <w:tcW w:w="754" w:type="dxa"/>
          </w:tcPr>
          <w:p>
            <w:pPr/>
          </w:p>
        </w:tc>
      </w:tr>
    </w:tbl>
    <w:p>
      <w:pPr>
        <w:pStyle w:val="BodyText"/>
        <w:rPr>
          <w:rFonts w:ascii="Calibri"/>
          <w:b/>
          <w:sz w:val="20"/>
        </w:rPr>
      </w:pPr>
    </w:p>
    <w:p>
      <w:pPr>
        <w:pStyle w:val="BodyText"/>
        <w:spacing w:before="5"/>
        <w:rPr>
          <w:rFonts w:ascii="Calibri"/>
          <w:b/>
          <w:sz w:val="17"/>
        </w:rPr>
      </w:pPr>
    </w:p>
    <w:p>
      <w:pPr>
        <w:spacing w:line="278" w:lineRule="auto" w:before="56"/>
        <w:ind w:left="102" w:right="1282" w:firstLine="0"/>
        <w:jc w:val="left"/>
        <w:rPr>
          <w:rFonts w:ascii="Calibri" w:hAnsi="Calibri"/>
          <w:sz w:val="22"/>
        </w:rPr>
      </w:pPr>
      <w:r>
        <w:rPr>
          <w:rFonts w:ascii="Calibri" w:hAnsi="Calibri"/>
          <w:sz w:val="22"/>
        </w:rPr>
        <w:t>Por cada peso que se obtiene en ventas se obtendrá .16 centavos que a esta cantidad posteriormente se le quitara los impuestos y préstamos realizados.</w:t>
      </w:r>
    </w:p>
    <w:p>
      <w:pPr>
        <w:spacing w:before="197"/>
        <w:ind w:left="102" w:right="0" w:firstLine="0"/>
        <w:jc w:val="left"/>
        <w:rPr>
          <w:rFonts w:ascii="Calibri"/>
          <w:b/>
          <w:sz w:val="22"/>
        </w:rPr>
      </w:pPr>
      <w:r>
        <w:rPr>
          <w:rFonts w:ascii="Calibri"/>
          <w:b/>
          <w:sz w:val="22"/>
        </w:rPr>
        <w:t>Rentabilidad sobre Activos</w:t>
      </w:r>
    </w:p>
    <w:p>
      <w:pPr>
        <w:pStyle w:val="BodyText"/>
        <w:spacing w:before="9" w:after="1"/>
        <w:rPr>
          <w:rFonts w:ascii="Calibri"/>
          <w:b/>
          <w:sz w:val="26"/>
        </w:rPr>
      </w:pPr>
    </w:p>
    <w:tbl>
      <w:tblPr>
        <w:tblW w:w="0" w:type="auto"/>
        <w:jc w:val="left"/>
        <w:tblInd w:w="20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36"/>
        <w:gridCol w:w="496"/>
        <w:gridCol w:w="1207"/>
        <w:gridCol w:w="716"/>
        <w:gridCol w:w="827"/>
      </w:tblGrid>
      <w:tr>
        <w:trPr>
          <w:trHeight w:val="250" w:hRule="exact"/>
        </w:trPr>
        <w:tc>
          <w:tcPr>
            <w:tcW w:w="1636" w:type="dxa"/>
          </w:tcPr>
          <w:p>
            <w:pPr>
              <w:pStyle w:val="TableParagraph"/>
              <w:tabs>
                <w:tab w:pos="199" w:val="left" w:leader="none"/>
                <w:tab w:pos="1822" w:val="left" w:leader="none"/>
              </w:tabs>
              <w:spacing w:line="225" w:lineRule="exact"/>
              <w:ind w:left="-261" w:right="-187"/>
              <w:jc w:val="center"/>
              <w:rPr>
                <w:sz w:val="22"/>
              </w:rPr>
            </w:pPr>
            <w:r>
              <w:rPr>
                <w:w w:val="100"/>
                <w:sz w:val="22"/>
                <w:u w:val="single"/>
              </w:rPr>
              <w:t> </w:t>
            </w:r>
            <w:r>
              <w:rPr>
                <w:sz w:val="22"/>
                <w:u w:val="single"/>
              </w:rPr>
              <w:tab/>
              <w:t>Utilidad</w:t>
            </w:r>
            <w:r>
              <w:rPr>
                <w:spacing w:val="-2"/>
                <w:sz w:val="22"/>
                <w:u w:val="single"/>
              </w:rPr>
              <w:t> </w:t>
            </w:r>
            <w:r>
              <w:rPr>
                <w:sz w:val="22"/>
                <w:u w:val="single"/>
              </w:rPr>
              <w:t>neta</w:t>
              <w:tab/>
            </w:r>
          </w:p>
        </w:tc>
        <w:tc>
          <w:tcPr>
            <w:tcW w:w="496" w:type="dxa"/>
            <w:vMerge w:val="restart"/>
          </w:tcPr>
          <w:p>
            <w:pPr>
              <w:pStyle w:val="TableParagraph"/>
              <w:spacing w:before="71"/>
              <w:ind w:left="277"/>
              <w:rPr>
                <w:sz w:val="22"/>
              </w:rPr>
            </w:pPr>
            <w:r>
              <w:rPr>
                <w:w w:val="100"/>
                <w:sz w:val="22"/>
              </w:rPr>
              <w:t>=</w:t>
            </w:r>
          </w:p>
        </w:tc>
        <w:tc>
          <w:tcPr>
            <w:tcW w:w="1207" w:type="dxa"/>
          </w:tcPr>
          <w:p>
            <w:pPr>
              <w:pStyle w:val="TableParagraph"/>
              <w:tabs>
                <w:tab w:pos="1455" w:val="left" w:leader="none"/>
              </w:tabs>
              <w:spacing w:line="225" w:lineRule="exact"/>
              <w:ind w:left="-12" w:right="-249"/>
              <w:rPr>
                <w:sz w:val="22"/>
              </w:rPr>
            </w:pPr>
            <w:r>
              <w:rPr>
                <w:w w:val="100"/>
                <w:sz w:val="22"/>
                <w:u w:val="single"/>
              </w:rPr>
              <w:t> </w:t>
            </w:r>
            <w:r>
              <w:rPr>
                <w:spacing w:val="20"/>
                <w:sz w:val="22"/>
                <w:u w:val="single"/>
              </w:rPr>
              <w:t> </w:t>
            </w:r>
            <w:r>
              <w:rPr>
                <w:sz w:val="22"/>
                <w:u w:val="single"/>
              </w:rPr>
              <w:t>14,000</w:t>
              <w:tab/>
            </w:r>
          </w:p>
        </w:tc>
        <w:tc>
          <w:tcPr>
            <w:tcW w:w="716" w:type="dxa"/>
            <w:vMerge w:val="restart"/>
          </w:tcPr>
          <w:p>
            <w:pPr>
              <w:pStyle w:val="TableParagraph"/>
              <w:spacing w:before="71"/>
              <w:ind w:left="43"/>
              <w:jc w:val="center"/>
              <w:rPr>
                <w:sz w:val="22"/>
              </w:rPr>
            </w:pPr>
            <w:r>
              <w:rPr>
                <w:w w:val="100"/>
                <w:sz w:val="22"/>
              </w:rPr>
              <w:t>=</w:t>
            </w:r>
          </w:p>
        </w:tc>
        <w:tc>
          <w:tcPr>
            <w:tcW w:w="827" w:type="dxa"/>
            <w:vMerge w:val="restart"/>
          </w:tcPr>
          <w:p>
            <w:pPr>
              <w:pStyle w:val="TableParagraph"/>
              <w:spacing w:before="71"/>
              <w:ind w:left="281"/>
              <w:rPr>
                <w:sz w:val="22"/>
              </w:rPr>
            </w:pPr>
            <w:r>
              <w:rPr>
                <w:sz w:val="22"/>
              </w:rPr>
              <w:t>-.11</w:t>
            </w:r>
          </w:p>
        </w:tc>
      </w:tr>
      <w:tr>
        <w:trPr>
          <w:trHeight w:val="250" w:hRule="exact"/>
        </w:trPr>
        <w:tc>
          <w:tcPr>
            <w:tcW w:w="1636" w:type="dxa"/>
          </w:tcPr>
          <w:p>
            <w:pPr>
              <w:pStyle w:val="TableParagraph"/>
              <w:spacing w:line="253" w:lineRule="exact"/>
              <w:ind w:left="228" w:right="304"/>
              <w:jc w:val="center"/>
              <w:rPr>
                <w:sz w:val="22"/>
              </w:rPr>
            </w:pPr>
            <w:r>
              <w:rPr>
                <w:sz w:val="22"/>
              </w:rPr>
              <w:t>Activo Total</w:t>
            </w:r>
          </w:p>
        </w:tc>
        <w:tc>
          <w:tcPr>
            <w:tcW w:w="496" w:type="dxa"/>
            <w:vMerge/>
          </w:tcPr>
          <w:p>
            <w:pPr/>
          </w:p>
        </w:tc>
        <w:tc>
          <w:tcPr>
            <w:tcW w:w="1207" w:type="dxa"/>
          </w:tcPr>
          <w:p>
            <w:pPr>
              <w:pStyle w:val="TableParagraph"/>
              <w:spacing w:line="253" w:lineRule="exact"/>
              <w:ind w:left="158" w:right="-249"/>
              <w:rPr>
                <w:sz w:val="22"/>
              </w:rPr>
            </w:pPr>
            <w:r>
              <w:rPr>
                <w:sz w:val="22"/>
              </w:rPr>
              <w:t>130,292</w:t>
            </w:r>
          </w:p>
        </w:tc>
        <w:tc>
          <w:tcPr>
            <w:tcW w:w="716" w:type="dxa"/>
            <w:vMerge/>
          </w:tcPr>
          <w:p>
            <w:pPr/>
          </w:p>
        </w:tc>
        <w:tc>
          <w:tcPr>
            <w:tcW w:w="827" w:type="dxa"/>
            <w:vMerge/>
          </w:tcPr>
          <w:p>
            <w:pPr/>
          </w:p>
        </w:tc>
      </w:tr>
    </w:tbl>
    <w:p>
      <w:pPr>
        <w:pStyle w:val="BodyText"/>
        <w:rPr>
          <w:rFonts w:ascii="Calibri"/>
          <w:b/>
          <w:sz w:val="20"/>
        </w:rPr>
      </w:pPr>
    </w:p>
    <w:p>
      <w:pPr>
        <w:pStyle w:val="BodyText"/>
        <w:spacing w:before="8"/>
        <w:rPr>
          <w:rFonts w:ascii="Calibri"/>
          <w:b/>
          <w:sz w:val="17"/>
        </w:rPr>
      </w:pPr>
    </w:p>
    <w:p>
      <w:pPr>
        <w:spacing w:before="56"/>
        <w:ind w:left="102" w:right="0" w:firstLine="0"/>
        <w:jc w:val="left"/>
        <w:rPr>
          <w:rFonts w:ascii="Calibri"/>
          <w:sz w:val="22"/>
        </w:rPr>
      </w:pPr>
      <w:r>
        <w:rPr>
          <w:rFonts w:ascii="Calibri"/>
          <w:sz w:val="22"/>
        </w:rPr>
        <w:t>Por cada peso invertido en el activo total me genera una utilidad de .11 centavos.</w:t>
      </w:r>
    </w:p>
    <w:p>
      <w:pPr>
        <w:pStyle w:val="BodyText"/>
        <w:spacing w:before="8"/>
        <w:rPr>
          <w:rFonts w:ascii="Calibri"/>
          <w:sz w:val="19"/>
        </w:rPr>
      </w:pPr>
    </w:p>
    <w:p>
      <w:pPr>
        <w:spacing w:before="0"/>
        <w:ind w:left="102" w:right="0" w:firstLine="0"/>
        <w:jc w:val="left"/>
        <w:rPr>
          <w:rFonts w:ascii="Calibri"/>
          <w:b/>
          <w:sz w:val="22"/>
        </w:rPr>
      </w:pPr>
      <w:r>
        <w:rPr>
          <w:rFonts w:ascii="Calibri"/>
          <w:b/>
          <w:sz w:val="22"/>
        </w:rPr>
        <w:t>Rentabilidad sobre capital</w:t>
      </w:r>
    </w:p>
    <w:p>
      <w:pPr>
        <w:pStyle w:val="BodyText"/>
        <w:rPr>
          <w:rFonts w:ascii="Calibri"/>
          <w:b/>
          <w:sz w:val="20"/>
        </w:rPr>
      </w:pPr>
    </w:p>
    <w:p>
      <w:pPr>
        <w:pStyle w:val="BodyText"/>
        <w:spacing w:before="6"/>
        <w:rPr>
          <w:rFonts w:ascii="Calibri"/>
          <w:b/>
          <w:sz w:val="10"/>
        </w:rPr>
      </w:pPr>
    </w:p>
    <w:tbl>
      <w:tblPr>
        <w:tblW w:w="0" w:type="auto"/>
        <w:jc w:val="left"/>
        <w:tblInd w:w="202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19"/>
        <w:gridCol w:w="358"/>
        <w:gridCol w:w="1075"/>
        <w:gridCol w:w="769"/>
        <w:gridCol w:w="754"/>
      </w:tblGrid>
      <w:tr>
        <w:trPr>
          <w:trHeight w:val="304" w:hRule="exact"/>
        </w:trPr>
        <w:tc>
          <w:tcPr>
            <w:tcW w:w="1819" w:type="dxa"/>
          </w:tcPr>
          <w:p>
            <w:pPr>
              <w:pStyle w:val="TableParagraph"/>
              <w:tabs>
                <w:tab w:pos="346" w:val="left" w:leader="none"/>
                <w:tab w:pos="1904" w:val="left" w:leader="none"/>
              </w:tabs>
              <w:spacing w:line="225" w:lineRule="exact"/>
              <w:ind w:left="-55" w:right="-86"/>
              <w:jc w:val="center"/>
              <w:rPr>
                <w:sz w:val="22"/>
              </w:rPr>
            </w:pPr>
            <w:r>
              <w:rPr>
                <w:w w:val="100"/>
                <w:sz w:val="22"/>
                <w:u w:val="single"/>
              </w:rPr>
              <w:t> </w:t>
            </w:r>
            <w:r>
              <w:rPr>
                <w:sz w:val="22"/>
                <w:u w:val="single"/>
              </w:rPr>
              <w:tab/>
              <w:t>Utilidad</w:t>
            </w:r>
            <w:r>
              <w:rPr>
                <w:spacing w:val="-2"/>
                <w:sz w:val="22"/>
                <w:u w:val="single"/>
              </w:rPr>
              <w:t> </w:t>
            </w:r>
            <w:r>
              <w:rPr>
                <w:sz w:val="22"/>
                <w:u w:val="single"/>
              </w:rPr>
              <w:t>neta</w:t>
              <w:tab/>
            </w:r>
          </w:p>
        </w:tc>
        <w:tc>
          <w:tcPr>
            <w:tcW w:w="358" w:type="dxa"/>
          </w:tcPr>
          <w:p>
            <w:pPr>
              <w:pStyle w:val="TableParagraph"/>
              <w:spacing w:before="59"/>
              <w:ind w:left="169"/>
              <w:rPr>
                <w:sz w:val="22"/>
              </w:rPr>
            </w:pPr>
            <w:r>
              <w:rPr>
                <w:w w:val="100"/>
                <w:sz w:val="22"/>
              </w:rPr>
              <w:t>=</w:t>
            </w:r>
          </w:p>
        </w:tc>
        <w:tc>
          <w:tcPr>
            <w:tcW w:w="1075" w:type="dxa"/>
          </w:tcPr>
          <w:p>
            <w:pPr>
              <w:pStyle w:val="TableParagraph"/>
              <w:tabs>
                <w:tab w:pos="1389" w:val="left" w:leader="none"/>
              </w:tabs>
              <w:spacing w:line="225" w:lineRule="exact"/>
              <w:ind w:left="8" w:right="-315"/>
              <w:rPr>
                <w:sz w:val="22"/>
              </w:rPr>
            </w:pPr>
            <w:r>
              <w:rPr>
                <w:w w:val="100"/>
                <w:sz w:val="22"/>
                <w:u w:val="single"/>
              </w:rPr>
              <w:t> </w:t>
            </w:r>
            <w:r>
              <w:rPr>
                <w:spacing w:val="-31"/>
                <w:sz w:val="22"/>
                <w:u w:val="single"/>
              </w:rPr>
              <w:t> </w:t>
            </w:r>
            <w:r>
              <w:rPr>
                <w:sz w:val="22"/>
                <w:u w:val="single"/>
              </w:rPr>
              <w:t>14,000</w:t>
              <w:tab/>
            </w:r>
          </w:p>
        </w:tc>
        <w:tc>
          <w:tcPr>
            <w:tcW w:w="769" w:type="dxa"/>
          </w:tcPr>
          <w:p>
            <w:pPr>
              <w:pStyle w:val="TableParagraph"/>
              <w:spacing w:before="59"/>
              <w:ind w:left="108"/>
              <w:jc w:val="center"/>
              <w:rPr>
                <w:sz w:val="22"/>
              </w:rPr>
            </w:pPr>
            <w:r>
              <w:rPr>
                <w:w w:val="100"/>
                <w:sz w:val="22"/>
              </w:rPr>
              <w:t>=</w:t>
            </w:r>
          </w:p>
        </w:tc>
        <w:tc>
          <w:tcPr>
            <w:tcW w:w="754" w:type="dxa"/>
          </w:tcPr>
          <w:p>
            <w:pPr>
              <w:pStyle w:val="TableParagraph"/>
              <w:spacing w:before="59"/>
              <w:ind w:left="275"/>
              <w:rPr>
                <w:sz w:val="22"/>
              </w:rPr>
            </w:pPr>
            <w:r>
              <w:rPr>
                <w:sz w:val="22"/>
              </w:rPr>
              <w:t>.02</w:t>
            </w:r>
          </w:p>
        </w:tc>
      </w:tr>
      <w:tr>
        <w:trPr>
          <w:trHeight w:val="214" w:hRule="exact"/>
        </w:trPr>
        <w:tc>
          <w:tcPr>
            <w:tcW w:w="1819" w:type="dxa"/>
          </w:tcPr>
          <w:p>
            <w:pPr>
              <w:pStyle w:val="TableParagraph"/>
              <w:spacing w:line="218" w:lineRule="exact"/>
              <w:ind w:left="180" w:right="150"/>
              <w:jc w:val="center"/>
              <w:rPr>
                <w:sz w:val="22"/>
              </w:rPr>
            </w:pPr>
            <w:r>
              <w:rPr>
                <w:sz w:val="22"/>
              </w:rPr>
              <w:t>Capital contable</w:t>
            </w:r>
          </w:p>
        </w:tc>
        <w:tc>
          <w:tcPr>
            <w:tcW w:w="358" w:type="dxa"/>
          </w:tcPr>
          <w:p>
            <w:pPr/>
          </w:p>
        </w:tc>
        <w:tc>
          <w:tcPr>
            <w:tcW w:w="1075" w:type="dxa"/>
          </w:tcPr>
          <w:p>
            <w:pPr>
              <w:pStyle w:val="TableParagraph"/>
              <w:spacing w:line="218" w:lineRule="exact"/>
              <w:ind w:left="179" w:right="-315"/>
              <w:rPr>
                <w:sz w:val="22"/>
              </w:rPr>
            </w:pPr>
            <w:r>
              <w:rPr>
                <w:sz w:val="22"/>
              </w:rPr>
              <w:t>602,503</w:t>
            </w:r>
          </w:p>
        </w:tc>
        <w:tc>
          <w:tcPr>
            <w:tcW w:w="769" w:type="dxa"/>
          </w:tcPr>
          <w:p>
            <w:pPr/>
          </w:p>
        </w:tc>
        <w:tc>
          <w:tcPr>
            <w:tcW w:w="754" w:type="dxa"/>
          </w:tcPr>
          <w:p>
            <w:pPr/>
          </w:p>
        </w:tc>
      </w:tr>
    </w:tbl>
    <w:p>
      <w:pPr>
        <w:pStyle w:val="BodyText"/>
        <w:rPr>
          <w:rFonts w:ascii="Calibri"/>
          <w:b/>
          <w:sz w:val="20"/>
        </w:rPr>
      </w:pPr>
    </w:p>
    <w:p>
      <w:pPr>
        <w:pStyle w:val="BodyText"/>
        <w:spacing w:before="5"/>
        <w:rPr>
          <w:rFonts w:ascii="Calibri"/>
          <w:b/>
          <w:sz w:val="17"/>
        </w:rPr>
      </w:pPr>
    </w:p>
    <w:p>
      <w:pPr>
        <w:spacing w:line="278" w:lineRule="auto" w:before="56"/>
        <w:ind w:left="102" w:right="755" w:firstLine="0"/>
        <w:jc w:val="left"/>
        <w:rPr>
          <w:rFonts w:ascii="Calibri"/>
          <w:sz w:val="22"/>
        </w:rPr>
      </w:pPr>
      <w:r>
        <w:rPr>
          <w:rFonts w:ascii="Calibri"/>
          <w:sz w:val="22"/>
        </w:rPr>
        <w:t>Por cada peso invertido los socios les proporcionara de rendimiento .02 centavos de capital equivalente.</w:t>
      </w:r>
    </w:p>
    <w:p>
      <w:pPr>
        <w:pStyle w:val="BodyText"/>
        <w:rPr>
          <w:rFonts w:ascii="Calibri"/>
          <w:sz w:val="22"/>
        </w:rPr>
      </w:pPr>
    </w:p>
    <w:p>
      <w:pPr>
        <w:pStyle w:val="BodyText"/>
        <w:rPr>
          <w:rFonts w:ascii="Calibri"/>
          <w:sz w:val="22"/>
        </w:rPr>
      </w:pPr>
    </w:p>
    <w:p>
      <w:pPr>
        <w:pStyle w:val="Heading2"/>
        <w:numPr>
          <w:ilvl w:val="1"/>
          <w:numId w:val="40"/>
        </w:numPr>
        <w:tabs>
          <w:tab w:pos="570" w:val="left" w:leader="none"/>
        </w:tabs>
        <w:spacing w:line="240" w:lineRule="auto" w:before="168" w:after="0"/>
        <w:ind w:left="569" w:right="0" w:hanging="467"/>
        <w:jc w:val="both"/>
      </w:pPr>
      <w:bookmarkStart w:name="_bookmark29" w:id="47"/>
      <w:bookmarkEnd w:id="47"/>
      <w:r>
        <w:rPr>
          <w:b w:val="0"/>
        </w:rPr>
      </w:r>
      <w:bookmarkStart w:name="_bookmark29" w:id="48"/>
      <w:bookmarkEnd w:id="48"/>
      <w:r>
        <w:rPr/>
        <w:t>P</w:t>
      </w:r>
      <w:r>
        <w:rPr/>
        <w:t>orcientos</w:t>
      </w:r>
      <w:r>
        <w:rPr>
          <w:spacing w:val="-7"/>
        </w:rPr>
        <w:t> </w:t>
      </w:r>
      <w:r>
        <w:rPr/>
        <w:t>integrales</w:t>
      </w:r>
    </w:p>
    <w:p>
      <w:pPr>
        <w:pStyle w:val="BodyText"/>
        <w:rPr>
          <w:b/>
        </w:rPr>
      </w:pPr>
    </w:p>
    <w:p>
      <w:pPr>
        <w:pStyle w:val="BodyText"/>
        <w:spacing w:line="360" w:lineRule="auto" w:before="177"/>
        <w:ind w:left="102" w:right="99"/>
        <w:jc w:val="both"/>
      </w:pPr>
      <w:r>
        <w:rPr/>
        <w:t>El método de por cientos integrales consiste en expresar en porcentajes las cifras de un Estado Financiero. Un Balance en porcientos integrales indica la proporción en que se encuentran invertidos en cada tipo o clase de activo los recursos totales de la empresa, así como la proporción en que están financiados por los  acreedores o por los accionistas de la</w:t>
      </w:r>
      <w:r>
        <w:rPr>
          <w:spacing w:val="-15"/>
        </w:rPr>
        <w:t> </w:t>
      </w:r>
      <w:r>
        <w:rPr/>
        <w:t>misma.</w:t>
      </w:r>
    </w:p>
    <w:p>
      <w:pPr>
        <w:pStyle w:val="BodyText"/>
      </w:pPr>
    </w:p>
    <w:p>
      <w:pPr>
        <w:pStyle w:val="BodyText"/>
        <w:spacing w:line="360" w:lineRule="auto" w:before="142"/>
        <w:ind w:left="102" w:right="103"/>
        <w:jc w:val="both"/>
      </w:pPr>
      <w:r>
        <w:rPr/>
        <w:t>El Estado de Resultados muestra el porcentaje de participación de las diversas partidas de costos y gastos, así como el porcentaje que representa la utilidad obtenida en relación con las ventas totales.</w:t>
      </w:r>
    </w:p>
    <w:p>
      <w:pPr>
        <w:spacing w:after="0" w:line="360" w:lineRule="auto"/>
        <w:jc w:val="both"/>
        <w:sectPr>
          <w:pgSz w:w="12240" w:h="15840"/>
          <w:pgMar w:header="0" w:footer="779" w:top="1380" w:bottom="960" w:left="1600" w:right="1600"/>
        </w:sectPr>
      </w:pPr>
    </w:p>
    <w:p>
      <w:pPr>
        <w:pStyle w:val="BodyText"/>
        <w:spacing w:line="360" w:lineRule="auto" w:before="56"/>
        <w:ind w:left="102" w:right="115"/>
        <w:jc w:val="both"/>
      </w:pPr>
      <w:r>
        <w:rPr/>
        <w:t>Este método consiste en la separación del contenido de los Estados Financieros a una misma fecha correspondiente a un mismo período en sus elementos o partes integrantes con el fin de poder determinar la proporción que guarda cada una de ellas en relación a un todo.</w:t>
      </w:r>
    </w:p>
    <w:p>
      <w:pPr>
        <w:pStyle w:val="BodyText"/>
      </w:pPr>
    </w:p>
    <w:p>
      <w:pPr>
        <w:pStyle w:val="BodyText"/>
        <w:spacing w:line="360" w:lineRule="auto" w:before="142"/>
        <w:ind w:left="102" w:right="114"/>
        <w:jc w:val="both"/>
      </w:pPr>
      <w:r>
        <w:rPr/>
        <w:t>A diferencia del método de razones financieras, el método de porcentajes integrales tiene características muy especiales. No es posible obtener conclusiones acerca de la situación financiera de la empresa únicamente con los porcentajes integrales (es decir, es un método alternativo). El método de porcentajes integrales es alternativo y es considerado como un tipo de análisis vertical</w:t>
      </w:r>
    </w:p>
    <w:p>
      <w:pPr>
        <w:pStyle w:val="BodyText"/>
      </w:pPr>
    </w:p>
    <w:p>
      <w:pPr>
        <w:pStyle w:val="BodyText"/>
        <w:spacing w:line="360" w:lineRule="auto" w:before="142"/>
        <w:ind w:left="102" w:right="123"/>
        <w:jc w:val="both"/>
      </w:pPr>
      <w:r>
        <w:rPr/>
        <w:t>Se aplica este método en aquellos casos en los cuales se desea conocer la magnitud o importancia que tienen las partes que integran un todo. Es determinar la magnitud que integran cada uno de los renglones que componen por ejemplo el Activo Circulante en relación con su monto total. Su aplicación puede enfocarse a Estados Financieros dinámicos o estáticos, básicos o secundarios tales como:</w:t>
      </w:r>
    </w:p>
    <w:p>
      <w:pPr>
        <w:pStyle w:val="BodyText"/>
      </w:pPr>
    </w:p>
    <w:p>
      <w:pPr>
        <w:pStyle w:val="BodyText"/>
        <w:spacing w:line="360" w:lineRule="auto" w:before="142"/>
        <w:ind w:left="102" w:right="3681"/>
      </w:pPr>
      <w:r>
        <w:rPr/>
        <w:t>Estado de Situación Financiera / Balance general Estado de Resultados / Pérdidas y Ganancias Estado de Costo de Ventas</w:t>
      </w:r>
    </w:p>
    <w:p>
      <w:pPr>
        <w:pStyle w:val="BodyText"/>
        <w:spacing w:before="2"/>
        <w:ind w:left="102"/>
        <w:jc w:val="both"/>
      </w:pPr>
      <w:r>
        <w:rPr/>
        <w:t>Estado del Costo de Producción</w:t>
      </w:r>
    </w:p>
    <w:p>
      <w:pPr>
        <w:pStyle w:val="BodyText"/>
      </w:pPr>
    </w:p>
    <w:p>
      <w:pPr>
        <w:pStyle w:val="BodyText"/>
      </w:pPr>
    </w:p>
    <w:p>
      <w:pPr>
        <w:pStyle w:val="BodyText"/>
        <w:spacing w:line="360" w:lineRule="auto"/>
        <w:ind w:left="102" w:right="125"/>
        <w:jc w:val="both"/>
      </w:pPr>
      <w:r>
        <w:rPr/>
        <w:t>Este procedimiento facilita la comparación de las cifras con lo cual podremos determinar una probable anormalidad o defecto de la empresa sujeta a analizar.</w:t>
      </w:r>
    </w:p>
    <w:p>
      <w:pPr>
        <w:pStyle w:val="BodyText"/>
      </w:pPr>
    </w:p>
    <w:p>
      <w:pPr>
        <w:pStyle w:val="BodyText"/>
        <w:spacing w:line="360" w:lineRule="auto" w:before="142"/>
        <w:ind w:left="102" w:right="1413"/>
      </w:pPr>
      <w:r>
        <w:rPr/>
        <w:t>El método de porcientos integrales aplicado al Balance General: Asigna 100% al activo total.</w:t>
      </w:r>
    </w:p>
    <w:p>
      <w:pPr>
        <w:pStyle w:val="BodyText"/>
        <w:spacing w:before="2"/>
        <w:ind w:left="102"/>
        <w:jc w:val="both"/>
      </w:pPr>
      <w:r>
        <w:rPr/>
        <w:t>Asigna también 100% a la suma del pasivo y Capital Contable.</w:t>
      </w:r>
    </w:p>
    <w:p>
      <w:pPr>
        <w:pStyle w:val="BodyText"/>
        <w:spacing w:line="360" w:lineRule="auto" w:before="139"/>
        <w:ind w:left="102" w:right="126"/>
        <w:jc w:val="both"/>
      </w:pPr>
      <w:r>
        <w:rPr/>
        <w:t>Considera que cada una de las partidas del activo, pasivo y capital debe representar una fracción de los totales.</w:t>
      </w:r>
    </w:p>
    <w:p>
      <w:pPr>
        <w:spacing w:after="0" w:line="360" w:lineRule="auto"/>
        <w:jc w:val="both"/>
        <w:sectPr>
          <w:pgSz w:w="12240" w:h="15840"/>
          <w:pgMar w:header="0" w:footer="779" w:top="1360" w:bottom="960" w:left="1600" w:right="1580"/>
        </w:sectPr>
      </w:pPr>
    </w:p>
    <w:p>
      <w:pPr>
        <w:pStyle w:val="BodyText"/>
        <w:spacing w:line="360" w:lineRule="auto" w:before="56"/>
        <w:ind w:left="102" w:right="114"/>
        <w:jc w:val="both"/>
      </w:pPr>
      <w:r>
        <w:rPr/>
        <w:t>Es útil este método para obtener conclusiones aisladamente, ejercicio por  ejercicio, pero no es aconsejable si se desean establecer interpretaciones al comparar varios</w:t>
      </w:r>
      <w:r>
        <w:rPr>
          <w:spacing w:val="-7"/>
        </w:rPr>
        <w:t> </w:t>
      </w:r>
      <w:r>
        <w:rPr/>
        <w:t>ejercicios.</w:t>
      </w:r>
    </w:p>
    <w:p>
      <w:pPr>
        <w:pStyle w:val="BodyText"/>
      </w:pPr>
    </w:p>
    <w:p>
      <w:pPr>
        <w:pStyle w:val="BodyText"/>
        <w:spacing w:before="142"/>
        <w:ind w:left="102"/>
        <w:jc w:val="both"/>
      </w:pPr>
      <w:r>
        <w:rPr>
          <w:u w:val="single"/>
        </w:rPr>
        <w:t>Ventajas y desventajas</w:t>
      </w:r>
    </w:p>
    <w:p>
      <w:pPr>
        <w:pStyle w:val="BodyText"/>
        <w:spacing w:line="360" w:lineRule="auto" w:before="137"/>
        <w:ind w:left="102" w:right="126"/>
        <w:jc w:val="both"/>
      </w:pPr>
      <w:r>
        <w:rPr/>
        <w:t>Los resultados obtenidos quedan expresados en porcientos, encontrando aquí la ventaja y la desventaja del método.</w:t>
      </w:r>
    </w:p>
    <w:p>
      <w:pPr>
        <w:pStyle w:val="BodyText"/>
      </w:pPr>
    </w:p>
    <w:p>
      <w:pPr>
        <w:pStyle w:val="BodyText"/>
        <w:spacing w:line="360" w:lineRule="auto" w:before="142"/>
        <w:ind w:left="102" w:right="126"/>
        <w:jc w:val="both"/>
      </w:pPr>
      <w:r>
        <w:rPr/>
        <w:t>La ventaja es porque al trabajar con números relativos nos olvidamos de la magnitud absoluta de las cifras de una empresa y con ello se comprende más fácilmente la importancia de cada concepto dentro del conjunto de valores de una empresa.</w:t>
      </w:r>
    </w:p>
    <w:p>
      <w:pPr>
        <w:pStyle w:val="BodyText"/>
      </w:pPr>
    </w:p>
    <w:p>
      <w:pPr>
        <w:pStyle w:val="BodyText"/>
        <w:spacing w:line="360" w:lineRule="auto" w:before="142"/>
        <w:ind w:left="102" w:right="124"/>
        <w:jc w:val="both"/>
      </w:pPr>
      <w:r>
        <w:rPr/>
        <w:t>El defecto es que como se está hablando de porcientos es fácil llegar a conclusiones erróneas, especialmente si se quieren establecer porcientos comparativos.</w:t>
      </w:r>
    </w:p>
    <w:p>
      <w:pPr>
        <w:pStyle w:val="BodyText"/>
        <w:rPr>
          <w:sz w:val="20"/>
        </w:rPr>
      </w:pPr>
    </w:p>
    <w:p>
      <w:pPr>
        <w:spacing w:after="0"/>
        <w:rPr>
          <w:sz w:val="20"/>
        </w:rPr>
        <w:sectPr>
          <w:pgSz w:w="12240" w:h="15840"/>
          <w:pgMar w:header="0" w:footer="779" w:top="1360" w:bottom="960" w:left="1600" w:right="1580"/>
        </w:sectPr>
      </w:pPr>
    </w:p>
    <w:p>
      <w:pPr>
        <w:pStyle w:val="BodyText"/>
        <w:spacing w:before="188"/>
        <w:ind w:left="102" w:right="-18"/>
      </w:pPr>
      <w:r>
        <w:rPr/>
        <w:t>Ejemplo:</w:t>
      </w:r>
    </w:p>
    <w:p>
      <w:pPr>
        <w:pStyle w:val="BodyText"/>
      </w:pPr>
      <w:r>
        <w:rPr/>
        <w:br w:type="column"/>
      </w:r>
      <w:r>
        <w:rPr/>
      </w:r>
    </w:p>
    <w:p>
      <w:pPr>
        <w:pStyle w:val="BodyText"/>
        <w:spacing w:before="7"/>
        <w:rPr>
          <w:sz w:val="28"/>
        </w:rPr>
      </w:pPr>
    </w:p>
    <w:p>
      <w:pPr>
        <w:pStyle w:val="BodyText"/>
        <w:ind w:left="378" w:right="2580" w:hanging="1"/>
        <w:jc w:val="center"/>
        <w:rPr>
          <w:rFonts w:ascii="Calibri" w:hAnsi="Calibri"/>
        </w:rPr>
      </w:pPr>
      <w:r>
        <w:rPr>
          <w:rFonts w:ascii="Calibri" w:hAnsi="Calibri"/>
        </w:rPr>
        <w:t>Fábrica de Muñecas “La Coqueta S.A.” Balance General al 31 de diciembre xxxx</w:t>
      </w:r>
    </w:p>
    <w:p>
      <w:pPr>
        <w:tabs>
          <w:tab w:pos="4035" w:val="left" w:leader="none"/>
        </w:tabs>
        <w:spacing w:line="266" w:lineRule="exact" w:before="0"/>
        <w:ind w:left="0" w:right="2038" w:firstLine="0"/>
        <w:jc w:val="center"/>
        <w:rPr>
          <w:rFonts w:ascii="Calibri"/>
          <w:b/>
          <w:sz w:val="22"/>
        </w:rPr>
      </w:pPr>
      <w:r>
        <w:rPr>
          <w:rFonts w:ascii="Calibri"/>
          <w:b/>
          <w:sz w:val="22"/>
        </w:rPr>
        <w:t>Activo</w:t>
        <w:tab/>
        <w:t>Pasivo</w:t>
      </w:r>
    </w:p>
    <w:p>
      <w:pPr>
        <w:spacing w:after="0" w:line="266" w:lineRule="exact"/>
        <w:jc w:val="center"/>
        <w:rPr>
          <w:rFonts w:ascii="Calibri"/>
          <w:sz w:val="22"/>
        </w:rPr>
        <w:sectPr>
          <w:type w:val="continuous"/>
          <w:pgSz w:w="12240" w:h="15840"/>
          <w:pgMar w:top="880" w:bottom="960" w:left="1600" w:right="1580"/>
          <w:cols w:num="2" w:equalWidth="0">
            <w:col w:w="1038" w:space="1149"/>
            <w:col w:w="6873"/>
          </w:cols>
        </w:sectPr>
      </w:pPr>
    </w:p>
    <w:tbl>
      <w:tblPr>
        <w:tblW w:w="0" w:type="auto"/>
        <w:jc w:val="left"/>
        <w:tblInd w:w="464" w:type="dxa"/>
        <w:tblBorders>
          <w:top w:val="single" w:sz="2" w:space="0" w:color="92CDDC"/>
          <w:left w:val="single" w:sz="2" w:space="0" w:color="92CDDC"/>
          <w:bottom w:val="single" w:sz="2" w:space="0" w:color="92CDDC"/>
          <w:right w:val="single" w:sz="2" w:space="0" w:color="92CDDC"/>
          <w:insideH w:val="single" w:sz="2" w:space="0" w:color="92CDDC"/>
          <w:insideV w:val="single" w:sz="2" w:space="0" w:color="92CDDC"/>
        </w:tblBorders>
        <w:tblLayout w:type="fixed"/>
        <w:tblCellMar>
          <w:top w:w="0" w:type="dxa"/>
          <w:left w:w="0" w:type="dxa"/>
          <w:bottom w:w="0" w:type="dxa"/>
          <w:right w:w="0" w:type="dxa"/>
        </w:tblCellMar>
        <w:tblLook w:val="01E0"/>
      </w:tblPr>
      <w:tblGrid>
        <w:gridCol w:w="2206"/>
        <w:gridCol w:w="1142"/>
        <w:gridCol w:w="850"/>
        <w:gridCol w:w="1997"/>
        <w:gridCol w:w="1040"/>
        <w:gridCol w:w="850"/>
      </w:tblGrid>
      <w:tr>
        <w:trPr>
          <w:trHeight w:val="211" w:hRule="exact"/>
        </w:trPr>
        <w:tc>
          <w:tcPr>
            <w:tcW w:w="2206" w:type="dxa"/>
            <w:tcBorders>
              <w:top w:val="single" w:sz="12" w:space="0" w:color="92CDDC"/>
              <w:left w:val="nil"/>
            </w:tcBorders>
            <w:shd w:val="clear" w:color="auto" w:fill="DAEDF3"/>
          </w:tcPr>
          <w:p>
            <w:pPr>
              <w:pStyle w:val="TableParagraph"/>
              <w:spacing w:line="194" w:lineRule="exact"/>
              <w:ind w:left="232" w:right="229"/>
              <w:jc w:val="center"/>
              <w:rPr>
                <w:b/>
                <w:sz w:val="16"/>
              </w:rPr>
            </w:pPr>
            <w:r>
              <w:rPr>
                <w:b/>
                <w:sz w:val="16"/>
              </w:rPr>
              <w:t>Activo Circulante</w:t>
            </w:r>
          </w:p>
        </w:tc>
        <w:tc>
          <w:tcPr>
            <w:tcW w:w="1142" w:type="dxa"/>
            <w:tcBorders>
              <w:top w:val="single" w:sz="12" w:space="0" w:color="92CDDC"/>
            </w:tcBorders>
            <w:shd w:val="clear" w:color="auto" w:fill="DAEDF3"/>
          </w:tcPr>
          <w:p>
            <w:pPr/>
          </w:p>
        </w:tc>
        <w:tc>
          <w:tcPr>
            <w:tcW w:w="850" w:type="dxa"/>
            <w:tcBorders>
              <w:top w:val="single" w:sz="12" w:space="0" w:color="92CDDC"/>
            </w:tcBorders>
            <w:shd w:val="clear" w:color="auto" w:fill="DAEDF3"/>
          </w:tcPr>
          <w:p>
            <w:pPr/>
          </w:p>
        </w:tc>
        <w:tc>
          <w:tcPr>
            <w:tcW w:w="1997" w:type="dxa"/>
            <w:tcBorders>
              <w:top w:val="single" w:sz="12" w:space="0" w:color="92CDDC"/>
            </w:tcBorders>
            <w:shd w:val="clear" w:color="auto" w:fill="DAEDF3"/>
          </w:tcPr>
          <w:p>
            <w:pPr>
              <w:pStyle w:val="TableParagraph"/>
              <w:spacing w:line="194" w:lineRule="exact"/>
              <w:ind w:left="136" w:right="137"/>
              <w:jc w:val="center"/>
              <w:rPr>
                <w:sz w:val="16"/>
              </w:rPr>
            </w:pPr>
            <w:r>
              <w:rPr>
                <w:sz w:val="16"/>
              </w:rPr>
              <w:t>Pasivo Circulante</w:t>
            </w:r>
          </w:p>
        </w:tc>
        <w:tc>
          <w:tcPr>
            <w:tcW w:w="1040" w:type="dxa"/>
            <w:tcBorders>
              <w:top w:val="single" w:sz="12" w:space="0" w:color="92CDDC"/>
            </w:tcBorders>
            <w:shd w:val="clear" w:color="auto" w:fill="DAEDF3"/>
          </w:tcPr>
          <w:p>
            <w:pPr/>
          </w:p>
        </w:tc>
        <w:tc>
          <w:tcPr>
            <w:tcW w:w="850" w:type="dxa"/>
            <w:tcBorders>
              <w:top w:val="single" w:sz="12" w:space="0" w:color="92CDDC"/>
              <w:right w:val="nil"/>
            </w:tcBorders>
            <w:shd w:val="clear" w:color="auto" w:fill="DAEDF3"/>
          </w:tcPr>
          <w:p>
            <w:pPr/>
          </w:p>
        </w:tc>
      </w:tr>
      <w:tr>
        <w:trPr>
          <w:trHeight w:val="202" w:hRule="exact"/>
        </w:trPr>
        <w:tc>
          <w:tcPr>
            <w:tcW w:w="2206" w:type="dxa"/>
            <w:tcBorders>
              <w:left w:val="nil"/>
            </w:tcBorders>
          </w:tcPr>
          <w:p>
            <w:pPr>
              <w:pStyle w:val="TableParagraph"/>
              <w:spacing w:before="1"/>
              <w:ind w:left="232" w:right="229"/>
              <w:jc w:val="center"/>
              <w:rPr>
                <w:b/>
                <w:sz w:val="16"/>
              </w:rPr>
            </w:pPr>
            <w:r>
              <w:rPr>
                <w:b/>
                <w:sz w:val="16"/>
              </w:rPr>
              <w:t>Disponible (Caja /Bancos)</w:t>
            </w:r>
          </w:p>
        </w:tc>
        <w:tc>
          <w:tcPr>
            <w:tcW w:w="1142" w:type="dxa"/>
          </w:tcPr>
          <w:p>
            <w:pPr>
              <w:pStyle w:val="TableParagraph"/>
              <w:spacing w:before="1"/>
              <w:ind w:left="249"/>
              <w:rPr>
                <w:sz w:val="16"/>
              </w:rPr>
            </w:pPr>
            <w:r>
              <w:rPr>
                <w:sz w:val="16"/>
              </w:rPr>
              <w:t>$   275,00</w:t>
            </w:r>
          </w:p>
        </w:tc>
        <w:tc>
          <w:tcPr>
            <w:tcW w:w="850" w:type="dxa"/>
          </w:tcPr>
          <w:p>
            <w:pPr>
              <w:pStyle w:val="TableParagraph"/>
              <w:spacing w:before="1"/>
              <w:ind w:left="120" w:right="120"/>
              <w:jc w:val="center"/>
              <w:rPr>
                <w:sz w:val="16"/>
              </w:rPr>
            </w:pPr>
            <w:r>
              <w:rPr>
                <w:sz w:val="16"/>
              </w:rPr>
              <w:t>0,16%</w:t>
            </w:r>
          </w:p>
        </w:tc>
        <w:tc>
          <w:tcPr>
            <w:tcW w:w="1997" w:type="dxa"/>
          </w:tcPr>
          <w:p>
            <w:pPr>
              <w:pStyle w:val="TableParagraph"/>
              <w:spacing w:before="1"/>
              <w:ind w:left="136" w:right="137"/>
              <w:jc w:val="center"/>
              <w:rPr>
                <w:sz w:val="16"/>
              </w:rPr>
            </w:pPr>
            <w:r>
              <w:rPr>
                <w:sz w:val="16"/>
              </w:rPr>
              <w:t>Proveedores</w:t>
            </w:r>
          </w:p>
        </w:tc>
        <w:tc>
          <w:tcPr>
            <w:tcW w:w="1040" w:type="dxa"/>
          </w:tcPr>
          <w:p>
            <w:pPr>
              <w:pStyle w:val="TableParagraph"/>
              <w:spacing w:before="1"/>
              <w:ind w:left="175"/>
              <w:rPr>
                <w:sz w:val="16"/>
              </w:rPr>
            </w:pPr>
            <w:r>
              <w:rPr>
                <w:sz w:val="16"/>
              </w:rPr>
              <w:t>$ 5.875,00</w:t>
            </w:r>
          </w:p>
        </w:tc>
        <w:tc>
          <w:tcPr>
            <w:tcW w:w="850" w:type="dxa"/>
            <w:tcBorders>
              <w:right w:val="nil"/>
            </w:tcBorders>
          </w:tcPr>
          <w:p>
            <w:pPr>
              <w:pStyle w:val="TableParagraph"/>
              <w:spacing w:before="1"/>
              <w:ind w:left="120" w:right="120"/>
              <w:jc w:val="center"/>
              <w:rPr>
                <w:sz w:val="16"/>
              </w:rPr>
            </w:pPr>
            <w:r>
              <w:rPr>
                <w:sz w:val="16"/>
              </w:rPr>
              <w:t>3,33%</w:t>
            </w:r>
          </w:p>
        </w:tc>
      </w:tr>
      <w:tr>
        <w:trPr>
          <w:trHeight w:val="199" w:hRule="exact"/>
        </w:trPr>
        <w:tc>
          <w:tcPr>
            <w:tcW w:w="2206" w:type="dxa"/>
            <w:tcBorders>
              <w:left w:val="nil"/>
            </w:tcBorders>
            <w:shd w:val="clear" w:color="auto" w:fill="DAEDF3"/>
          </w:tcPr>
          <w:p>
            <w:pPr>
              <w:pStyle w:val="TableParagraph"/>
              <w:spacing w:line="194" w:lineRule="exact"/>
              <w:ind w:left="229" w:right="229"/>
              <w:jc w:val="center"/>
              <w:rPr>
                <w:b/>
                <w:sz w:val="16"/>
              </w:rPr>
            </w:pPr>
            <w:r>
              <w:rPr>
                <w:b/>
                <w:sz w:val="16"/>
              </w:rPr>
              <w:t>Cuentas por cobrar</w:t>
            </w:r>
          </w:p>
        </w:tc>
        <w:tc>
          <w:tcPr>
            <w:tcW w:w="1142" w:type="dxa"/>
            <w:shd w:val="clear" w:color="auto" w:fill="DAEDF3"/>
          </w:tcPr>
          <w:p>
            <w:pPr>
              <w:pStyle w:val="TableParagraph"/>
              <w:spacing w:line="194" w:lineRule="exact"/>
              <w:ind w:left="184"/>
              <w:rPr>
                <w:sz w:val="16"/>
              </w:rPr>
            </w:pPr>
            <w:r>
              <w:rPr>
                <w:sz w:val="16"/>
              </w:rPr>
              <w:t>$ 24.800,00</w:t>
            </w:r>
          </w:p>
        </w:tc>
        <w:tc>
          <w:tcPr>
            <w:tcW w:w="850" w:type="dxa"/>
            <w:shd w:val="clear" w:color="auto" w:fill="DAEDF3"/>
          </w:tcPr>
          <w:p>
            <w:pPr>
              <w:pStyle w:val="TableParagraph"/>
              <w:spacing w:line="194" w:lineRule="exact"/>
              <w:ind w:left="120" w:right="120"/>
              <w:jc w:val="center"/>
              <w:rPr>
                <w:sz w:val="16"/>
              </w:rPr>
            </w:pPr>
            <w:r>
              <w:rPr>
                <w:sz w:val="16"/>
              </w:rPr>
              <w:t>14,07%</w:t>
            </w:r>
          </w:p>
        </w:tc>
        <w:tc>
          <w:tcPr>
            <w:tcW w:w="1997" w:type="dxa"/>
            <w:shd w:val="clear" w:color="auto" w:fill="DAEDF3"/>
          </w:tcPr>
          <w:p>
            <w:pPr>
              <w:pStyle w:val="TableParagraph"/>
              <w:spacing w:line="194" w:lineRule="exact"/>
              <w:ind w:left="135" w:right="137"/>
              <w:jc w:val="center"/>
              <w:rPr>
                <w:sz w:val="16"/>
              </w:rPr>
            </w:pPr>
            <w:r>
              <w:rPr>
                <w:sz w:val="16"/>
              </w:rPr>
              <w:t>Otros Pasivos</w:t>
            </w:r>
          </w:p>
        </w:tc>
        <w:tc>
          <w:tcPr>
            <w:tcW w:w="1040" w:type="dxa"/>
            <w:shd w:val="clear" w:color="auto" w:fill="DAEDF3"/>
          </w:tcPr>
          <w:p>
            <w:pPr>
              <w:pStyle w:val="TableParagraph"/>
              <w:spacing w:line="194" w:lineRule="exact"/>
              <w:ind w:left="134"/>
              <w:rPr>
                <w:sz w:val="16"/>
              </w:rPr>
            </w:pPr>
            <w:r>
              <w:rPr>
                <w:sz w:val="16"/>
              </w:rPr>
              <w:t>$ 29.600,00</w:t>
            </w:r>
          </w:p>
        </w:tc>
        <w:tc>
          <w:tcPr>
            <w:tcW w:w="850" w:type="dxa"/>
            <w:tcBorders>
              <w:right w:val="nil"/>
            </w:tcBorders>
            <w:shd w:val="clear" w:color="auto" w:fill="DAEDF3"/>
          </w:tcPr>
          <w:p>
            <w:pPr>
              <w:pStyle w:val="TableParagraph"/>
              <w:spacing w:line="194" w:lineRule="exact"/>
              <w:ind w:left="122" w:right="120"/>
              <w:jc w:val="center"/>
              <w:rPr>
                <w:sz w:val="16"/>
              </w:rPr>
            </w:pPr>
            <w:r>
              <w:rPr>
                <w:sz w:val="16"/>
              </w:rPr>
              <w:t>16,80%</w:t>
            </w:r>
          </w:p>
        </w:tc>
      </w:tr>
      <w:tr>
        <w:trPr>
          <w:trHeight w:val="202" w:hRule="exact"/>
        </w:trPr>
        <w:tc>
          <w:tcPr>
            <w:tcW w:w="2206" w:type="dxa"/>
            <w:tcBorders>
              <w:left w:val="nil"/>
            </w:tcBorders>
          </w:tcPr>
          <w:p>
            <w:pPr>
              <w:pStyle w:val="TableParagraph"/>
              <w:spacing w:line="194" w:lineRule="exact"/>
              <w:ind w:left="232" w:right="229"/>
              <w:jc w:val="center"/>
              <w:rPr>
                <w:b/>
                <w:sz w:val="16"/>
              </w:rPr>
            </w:pPr>
            <w:r>
              <w:rPr>
                <w:b/>
                <w:sz w:val="16"/>
              </w:rPr>
              <w:t>Inventarios</w:t>
            </w:r>
          </w:p>
        </w:tc>
        <w:tc>
          <w:tcPr>
            <w:tcW w:w="1142" w:type="dxa"/>
          </w:tcPr>
          <w:p>
            <w:pPr>
              <w:pStyle w:val="TableParagraph"/>
              <w:spacing w:line="194" w:lineRule="exact"/>
              <w:ind w:left="184"/>
              <w:rPr>
                <w:sz w:val="16"/>
              </w:rPr>
            </w:pPr>
            <w:r>
              <w:rPr>
                <w:sz w:val="16"/>
              </w:rPr>
              <w:t>$ 37.150,00</w:t>
            </w:r>
          </w:p>
        </w:tc>
        <w:tc>
          <w:tcPr>
            <w:tcW w:w="850" w:type="dxa"/>
          </w:tcPr>
          <w:p>
            <w:pPr>
              <w:pStyle w:val="TableParagraph"/>
              <w:spacing w:line="194" w:lineRule="exact"/>
              <w:ind w:left="120" w:right="120"/>
              <w:jc w:val="center"/>
              <w:rPr>
                <w:sz w:val="16"/>
              </w:rPr>
            </w:pPr>
            <w:r>
              <w:rPr>
                <w:sz w:val="16"/>
              </w:rPr>
              <w:t>21,08%</w:t>
            </w:r>
          </w:p>
        </w:tc>
        <w:tc>
          <w:tcPr>
            <w:tcW w:w="1997" w:type="dxa"/>
          </w:tcPr>
          <w:p>
            <w:pPr/>
          </w:p>
        </w:tc>
        <w:tc>
          <w:tcPr>
            <w:tcW w:w="1040" w:type="dxa"/>
          </w:tcPr>
          <w:p>
            <w:pPr/>
          </w:p>
        </w:tc>
        <w:tc>
          <w:tcPr>
            <w:tcW w:w="850" w:type="dxa"/>
            <w:tcBorders>
              <w:right w:val="nil"/>
            </w:tcBorders>
          </w:tcPr>
          <w:p>
            <w:pPr/>
          </w:p>
        </w:tc>
      </w:tr>
      <w:tr>
        <w:trPr>
          <w:trHeight w:val="158" w:hRule="exact"/>
        </w:trPr>
        <w:tc>
          <w:tcPr>
            <w:tcW w:w="2206" w:type="dxa"/>
            <w:tcBorders>
              <w:left w:val="nil"/>
            </w:tcBorders>
            <w:shd w:val="clear" w:color="auto" w:fill="DAEDF3"/>
          </w:tcPr>
          <w:p>
            <w:pPr/>
          </w:p>
        </w:tc>
        <w:tc>
          <w:tcPr>
            <w:tcW w:w="1142" w:type="dxa"/>
            <w:shd w:val="clear" w:color="auto" w:fill="DAEDF3"/>
          </w:tcPr>
          <w:p>
            <w:pPr/>
          </w:p>
        </w:tc>
        <w:tc>
          <w:tcPr>
            <w:tcW w:w="850" w:type="dxa"/>
            <w:shd w:val="clear" w:color="auto" w:fill="DAEDF3"/>
          </w:tcPr>
          <w:p>
            <w:pPr/>
          </w:p>
        </w:tc>
        <w:tc>
          <w:tcPr>
            <w:tcW w:w="1997" w:type="dxa"/>
            <w:shd w:val="clear" w:color="auto" w:fill="DAEDF3"/>
          </w:tcPr>
          <w:p>
            <w:pPr/>
          </w:p>
        </w:tc>
        <w:tc>
          <w:tcPr>
            <w:tcW w:w="1040" w:type="dxa"/>
            <w:shd w:val="clear" w:color="auto" w:fill="DAEDF3"/>
          </w:tcPr>
          <w:p>
            <w:pPr/>
          </w:p>
        </w:tc>
        <w:tc>
          <w:tcPr>
            <w:tcW w:w="850" w:type="dxa"/>
            <w:tcBorders>
              <w:right w:val="nil"/>
            </w:tcBorders>
            <w:shd w:val="clear" w:color="auto" w:fill="DAEDF3"/>
          </w:tcPr>
          <w:p>
            <w:pPr/>
          </w:p>
        </w:tc>
      </w:tr>
      <w:tr>
        <w:trPr>
          <w:trHeight w:val="199" w:hRule="exact"/>
        </w:trPr>
        <w:tc>
          <w:tcPr>
            <w:tcW w:w="2206" w:type="dxa"/>
            <w:tcBorders>
              <w:left w:val="nil"/>
            </w:tcBorders>
          </w:tcPr>
          <w:p>
            <w:pPr>
              <w:pStyle w:val="TableParagraph"/>
              <w:spacing w:line="194" w:lineRule="exact"/>
              <w:ind w:left="228" w:right="229"/>
              <w:jc w:val="center"/>
              <w:rPr>
                <w:b/>
                <w:sz w:val="16"/>
              </w:rPr>
            </w:pPr>
            <w:r>
              <w:rPr>
                <w:b/>
                <w:sz w:val="16"/>
              </w:rPr>
              <w:t>Total activo Circulante</w:t>
            </w:r>
          </w:p>
        </w:tc>
        <w:tc>
          <w:tcPr>
            <w:tcW w:w="1142" w:type="dxa"/>
          </w:tcPr>
          <w:p>
            <w:pPr>
              <w:pStyle w:val="TableParagraph"/>
              <w:spacing w:line="194" w:lineRule="exact"/>
              <w:ind w:left="184"/>
              <w:rPr>
                <w:b/>
                <w:sz w:val="16"/>
              </w:rPr>
            </w:pPr>
            <w:r>
              <w:rPr>
                <w:b/>
                <w:sz w:val="16"/>
              </w:rPr>
              <w:t>$ 62.225,00</w:t>
            </w:r>
          </w:p>
        </w:tc>
        <w:tc>
          <w:tcPr>
            <w:tcW w:w="850" w:type="dxa"/>
          </w:tcPr>
          <w:p>
            <w:pPr>
              <w:pStyle w:val="TableParagraph"/>
              <w:spacing w:line="194" w:lineRule="exact"/>
              <w:ind w:left="120" w:right="120"/>
              <w:jc w:val="center"/>
              <w:rPr>
                <w:b/>
                <w:sz w:val="16"/>
              </w:rPr>
            </w:pPr>
            <w:r>
              <w:rPr>
                <w:b/>
                <w:sz w:val="16"/>
              </w:rPr>
              <w:t>35,31%</w:t>
            </w:r>
          </w:p>
        </w:tc>
        <w:tc>
          <w:tcPr>
            <w:tcW w:w="1997" w:type="dxa"/>
          </w:tcPr>
          <w:p>
            <w:pPr>
              <w:pStyle w:val="TableParagraph"/>
              <w:spacing w:line="194" w:lineRule="exact"/>
              <w:ind w:left="137" w:right="137"/>
              <w:jc w:val="center"/>
              <w:rPr>
                <w:b/>
                <w:sz w:val="16"/>
              </w:rPr>
            </w:pPr>
            <w:r>
              <w:rPr>
                <w:b/>
                <w:sz w:val="16"/>
              </w:rPr>
              <w:t>Total Pasivo Circulante</w:t>
            </w:r>
          </w:p>
        </w:tc>
        <w:tc>
          <w:tcPr>
            <w:tcW w:w="1040" w:type="dxa"/>
          </w:tcPr>
          <w:p>
            <w:pPr>
              <w:pStyle w:val="TableParagraph"/>
              <w:spacing w:line="194" w:lineRule="exact"/>
              <w:ind w:left="132"/>
              <w:rPr>
                <w:b/>
                <w:sz w:val="16"/>
              </w:rPr>
            </w:pPr>
            <w:r>
              <w:rPr>
                <w:b/>
                <w:sz w:val="16"/>
              </w:rPr>
              <w:t>$ 35.475,00</w:t>
            </w:r>
          </w:p>
        </w:tc>
        <w:tc>
          <w:tcPr>
            <w:tcW w:w="850" w:type="dxa"/>
            <w:tcBorders>
              <w:right w:val="nil"/>
            </w:tcBorders>
          </w:tcPr>
          <w:p>
            <w:pPr>
              <w:pStyle w:val="TableParagraph"/>
              <w:spacing w:line="194" w:lineRule="exact"/>
              <w:ind w:left="121" w:right="120"/>
              <w:jc w:val="center"/>
              <w:rPr>
                <w:b/>
                <w:sz w:val="16"/>
              </w:rPr>
            </w:pPr>
            <w:r>
              <w:rPr>
                <w:b/>
                <w:sz w:val="16"/>
              </w:rPr>
              <w:t>20,13%</w:t>
            </w:r>
          </w:p>
        </w:tc>
      </w:tr>
      <w:tr>
        <w:trPr>
          <w:trHeight w:val="158" w:hRule="exact"/>
        </w:trPr>
        <w:tc>
          <w:tcPr>
            <w:tcW w:w="2206" w:type="dxa"/>
            <w:tcBorders>
              <w:left w:val="nil"/>
            </w:tcBorders>
            <w:shd w:val="clear" w:color="auto" w:fill="DAEDF3"/>
          </w:tcPr>
          <w:p>
            <w:pPr/>
          </w:p>
        </w:tc>
        <w:tc>
          <w:tcPr>
            <w:tcW w:w="1142" w:type="dxa"/>
            <w:shd w:val="clear" w:color="auto" w:fill="DAEDF3"/>
          </w:tcPr>
          <w:p>
            <w:pPr/>
          </w:p>
        </w:tc>
        <w:tc>
          <w:tcPr>
            <w:tcW w:w="850" w:type="dxa"/>
            <w:shd w:val="clear" w:color="auto" w:fill="DAEDF3"/>
          </w:tcPr>
          <w:p>
            <w:pPr/>
          </w:p>
        </w:tc>
        <w:tc>
          <w:tcPr>
            <w:tcW w:w="1997" w:type="dxa"/>
            <w:shd w:val="clear" w:color="auto" w:fill="DAEDF3"/>
          </w:tcPr>
          <w:p>
            <w:pPr/>
          </w:p>
        </w:tc>
        <w:tc>
          <w:tcPr>
            <w:tcW w:w="1040" w:type="dxa"/>
            <w:shd w:val="clear" w:color="auto" w:fill="DAEDF3"/>
          </w:tcPr>
          <w:p>
            <w:pPr/>
          </w:p>
        </w:tc>
        <w:tc>
          <w:tcPr>
            <w:tcW w:w="850" w:type="dxa"/>
            <w:tcBorders>
              <w:right w:val="nil"/>
            </w:tcBorders>
            <w:shd w:val="clear" w:color="auto" w:fill="DAEDF3"/>
          </w:tcPr>
          <w:p>
            <w:pPr/>
          </w:p>
        </w:tc>
      </w:tr>
      <w:tr>
        <w:trPr>
          <w:trHeight w:val="274" w:hRule="exact"/>
        </w:trPr>
        <w:tc>
          <w:tcPr>
            <w:tcW w:w="2206" w:type="dxa"/>
            <w:tcBorders>
              <w:left w:val="nil"/>
            </w:tcBorders>
          </w:tcPr>
          <w:p>
            <w:pPr>
              <w:pStyle w:val="TableParagraph"/>
              <w:spacing w:line="194" w:lineRule="exact"/>
              <w:ind w:left="230" w:right="229"/>
              <w:jc w:val="center"/>
              <w:rPr>
                <w:b/>
                <w:sz w:val="16"/>
              </w:rPr>
            </w:pPr>
            <w:r>
              <w:rPr>
                <w:b/>
                <w:sz w:val="16"/>
              </w:rPr>
              <w:t>Activo Fijo</w:t>
            </w:r>
          </w:p>
        </w:tc>
        <w:tc>
          <w:tcPr>
            <w:tcW w:w="1142" w:type="dxa"/>
          </w:tcPr>
          <w:p>
            <w:pPr/>
          </w:p>
        </w:tc>
        <w:tc>
          <w:tcPr>
            <w:tcW w:w="850" w:type="dxa"/>
          </w:tcPr>
          <w:p>
            <w:pPr/>
          </w:p>
        </w:tc>
        <w:tc>
          <w:tcPr>
            <w:tcW w:w="3887" w:type="dxa"/>
            <w:gridSpan w:val="3"/>
            <w:tcBorders>
              <w:right w:val="nil"/>
            </w:tcBorders>
          </w:tcPr>
          <w:p>
            <w:pPr>
              <w:pStyle w:val="TableParagraph"/>
              <w:spacing w:line="265" w:lineRule="exact"/>
              <w:ind w:left="1603" w:right="1604"/>
              <w:jc w:val="center"/>
              <w:rPr>
                <w:b/>
                <w:sz w:val="22"/>
              </w:rPr>
            </w:pPr>
            <w:r>
              <w:rPr>
                <w:b/>
                <w:sz w:val="22"/>
              </w:rPr>
              <w:t>Capital</w:t>
            </w:r>
          </w:p>
        </w:tc>
      </w:tr>
      <w:tr>
        <w:trPr>
          <w:trHeight w:val="199" w:hRule="exact"/>
        </w:trPr>
        <w:tc>
          <w:tcPr>
            <w:tcW w:w="2206" w:type="dxa"/>
            <w:tcBorders>
              <w:left w:val="nil"/>
            </w:tcBorders>
            <w:shd w:val="clear" w:color="auto" w:fill="DAEDF3"/>
          </w:tcPr>
          <w:p>
            <w:pPr>
              <w:pStyle w:val="TableParagraph"/>
              <w:spacing w:line="194" w:lineRule="exact"/>
              <w:ind w:left="229" w:right="229"/>
              <w:jc w:val="center"/>
              <w:rPr>
                <w:b/>
                <w:sz w:val="16"/>
              </w:rPr>
            </w:pPr>
            <w:r>
              <w:rPr>
                <w:b/>
                <w:sz w:val="16"/>
              </w:rPr>
              <w:t>Terrenos</w:t>
            </w:r>
          </w:p>
        </w:tc>
        <w:tc>
          <w:tcPr>
            <w:tcW w:w="1142" w:type="dxa"/>
            <w:shd w:val="clear" w:color="auto" w:fill="DAEDF3"/>
          </w:tcPr>
          <w:p>
            <w:pPr>
              <w:pStyle w:val="TableParagraph"/>
              <w:spacing w:line="194" w:lineRule="exact"/>
              <w:ind w:left="144"/>
              <w:rPr>
                <w:sz w:val="16"/>
              </w:rPr>
            </w:pPr>
            <w:r>
              <w:rPr>
                <w:sz w:val="16"/>
              </w:rPr>
              <w:t>$ 114.000,00</w:t>
            </w:r>
          </w:p>
        </w:tc>
        <w:tc>
          <w:tcPr>
            <w:tcW w:w="850" w:type="dxa"/>
            <w:shd w:val="clear" w:color="auto" w:fill="DAEDF3"/>
          </w:tcPr>
          <w:p>
            <w:pPr>
              <w:pStyle w:val="TableParagraph"/>
              <w:spacing w:line="194" w:lineRule="exact"/>
              <w:ind w:left="120" w:right="120"/>
              <w:jc w:val="center"/>
              <w:rPr>
                <w:sz w:val="16"/>
              </w:rPr>
            </w:pPr>
            <w:r>
              <w:rPr>
                <w:sz w:val="16"/>
              </w:rPr>
              <w:t>64,69%</w:t>
            </w:r>
          </w:p>
        </w:tc>
        <w:tc>
          <w:tcPr>
            <w:tcW w:w="1997" w:type="dxa"/>
            <w:shd w:val="clear" w:color="auto" w:fill="DAEDF3"/>
          </w:tcPr>
          <w:p>
            <w:pPr/>
          </w:p>
        </w:tc>
        <w:tc>
          <w:tcPr>
            <w:tcW w:w="1040" w:type="dxa"/>
            <w:shd w:val="clear" w:color="auto" w:fill="DAEDF3"/>
          </w:tcPr>
          <w:p>
            <w:pPr/>
          </w:p>
        </w:tc>
        <w:tc>
          <w:tcPr>
            <w:tcW w:w="850" w:type="dxa"/>
            <w:tcBorders>
              <w:right w:val="nil"/>
            </w:tcBorders>
            <w:shd w:val="clear" w:color="auto" w:fill="DAEDF3"/>
          </w:tcPr>
          <w:p>
            <w:pPr/>
          </w:p>
        </w:tc>
      </w:tr>
      <w:tr>
        <w:trPr>
          <w:trHeight w:val="202" w:hRule="exact"/>
        </w:trPr>
        <w:tc>
          <w:tcPr>
            <w:tcW w:w="2206" w:type="dxa"/>
            <w:tcBorders>
              <w:left w:val="nil"/>
            </w:tcBorders>
          </w:tcPr>
          <w:p>
            <w:pPr/>
          </w:p>
        </w:tc>
        <w:tc>
          <w:tcPr>
            <w:tcW w:w="1142" w:type="dxa"/>
          </w:tcPr>
          <w:p>
            <w:pPr/>
          </w:p>
        </w:tc>
        <w:tc>
          <w:tcPr>
            <w:tcW w:w="850" w:type="dxa"/>
          </w:tcPr>
          <w:p>
            <w:pPr/>
          </w:p>
        </w:tc>
        <w:tc>
          <w:tcPr>
            <w:tcW w:w="1997" w:type="dxa"/>
          </w:tcPr>
          <w:p>
            <w:pPr>
              <w:pStyle w:val="TableParagraph"/>
              <w:spacing w:before="1"/>
              <w:ind w:left="136" w:right="137"/>
              <w:jc w:val="center"/>
              <w:rPr>
                <w:sz w:val="16"/>
              </w:rPr>
            </w:pPr>
            <w:r>
              <w:rPr>
                <w:sz w:val="16"/>
              </w:rPr>
              <w:t>Capital Social</w:t>
            </w:r>
          </w:p>
        </w:tc>
        <w:tc>
          <w:tcPr>
            <w:tcW w:w="1040" w:type="dxa"/>
          </w:tcPr>
          <w:p>
            <w:pPr>
              <w:pStyle w:val="TableParagraph"/>
              <w:spacing w:before="1"/>
              <w:ind w:left="151"/>
              <w:rPr>
                <w:sz w:val="16"/>
              </w:rPr>
            </w:pPr>
            <w:r>
              <w:rPr>
                <w:sz w:val="16"/>
              </w:rPr>
              <w:t>$50.000,00</w:t>
            </w:r>
          </w:p>
        </w:tc>
        <w:tc>
          <w:tcPr>
            <w:tcW w:w="850" w:type="dxa"/>
            <w:tcBorders>
              <w:right w:val="nil"/>
            </w:tcBorders>
          </w:tcPr>
          <w:p>
            <w:pPr>
              <w:pStyle w:val="TableParagraph"/>
              <w:spacing w:before="1"/>
              <w:ind w:left="122" w:right="120"/>
              <w:jc w:val="center"/>
              <w:rPr>
                <w:sz w:val="16"/>
              </w:rPr>
            </w:pPr>
            <w:r>
              <w:rPr>
                <w:sz w:val="16"/>
              </w:rPr>
              <w:t>28,37%</w:t>
            </w:r>
          </w:p>
        </w:tc>
      </w:tr>
      <w:tr>
        <w:trPr>
          <w:trHeight w:val="200" w:hRule="exact"/>
        </w:trPr>
        <w:tc>
          <w:tcPr>
            <w:tcW w:w="2206" w:type="dxa"/>
            <w:tcBorders>
              <w:left w:val="nil"/>
            </w:tcBorders>
            <w:shd w:val="clear" w:color="auto" w:fill="DAEDF3"/>
          </w:tcPr>
          <w:p>
            <w:pPr>
              <w:pStyle w:val="TableParagraph"/>
              <w:spacing w:line="195" w:lineRule="exact"/>
              <w:ind w:left="230" w:right="229"/>
              <w:jc w:val="center"/>
              <w:rPr>
                <w:b/>
                <w:sz w:val="16"/>
              </w:rPr>
            </w:pPr>
            <w:r>
              <w:rPr>
                <w:b/>
                <w:sz w:val="16"/>
              </w:rPr>
              <w:t>Total Activo Fijo</w:t>
            </w:r>
          </w:p>
        </w:tc>
        <w:tc>
          <w:tcPr>
            <w:tcW w:w="1142" w:type="dxa"/>
            <w:shd w:val="clear" w:color="auto" w:fill="DAEDF3"/>
          </w:tcPr>
          <w:p>
            <w:pPr>
              <w:pStyle w:val="TableParagraph"/>
              <w:spacing w:line="195" w:lineRule="exact"/>
              <w:ind w:left="144"/>
              <w:rPr>
                <w:b/>
                <w:sz w:val="16"/>
              </w:rPr>
            </w:pPr>
            <w:r>
              <w:rPr>
                <w:b/>
                <w:sz w:val="16"/>
              </w:rPr>
              <w:t>$ 114.000,00</w:t>
            </w:r>
          </w:p>
        </w:tc>
        <w:tc>
          <w:tcPr>
            <w:tcW w:w="850" w:type="dxa"/>
            <w:shd w:val="clear" w:color="auto" w:fill="DAEDF3"/>
          </w:tcPr>
          <w:p>
            <w:pPr>
              <w:pStyle w:val="TableParagraph"/>
              <w:spacing w:line="195" w:lineRule="exact"/>
              <w:ind w:left="120" w:right="120"/>
              <w:jc w:val="center"/>
              <w:rPr>
                <w:b/>
                <w:sz w:val="16"/>
              </w:rPr>
            </w:pPr>
            <w:r>
              <w:rPr>
                <w:b/>
                <w:sz w:val="16"/>
              </w:rPr>
              <w:t>64,69%</w:t>
            </w:r>
          </w:p>
        </w:tc>
        <w:tc>
          <w:tcPr>
            <w:tcW w:w="1997" w:type="dxa"/>
            <w:shd w:val="clear" w:color="auto" w:fill="DAEDF3"/>
          </w:tcPr>
          <w:p>
            <w:pPr>
              <w:pStyle w:val="TableParagraph"/>
              <w:spacing w:line="195" w:lineRule="exact"/>
              <w:ind w:left="133" w:right="137"/>
              <w:jc w:val="center"/>
              <w:rPr>
                <w:sz w:val="16"/>
              </w:rPr>
            </w:pPr>
            <w:r>
              <w:rPr>
                <w:sz w:val="16"/>
              </w:rPr>
              <w:t>Utilidad ejercicios ant.</w:t>
            </w:r>
          </w:p>
        </w:tc>
        <w:tc>
          <w:tcPr>
            <w:tcW w:w="1040" w:type="dxa"/>
            <w:shd w:val="clear" w:color="auto" w:fill="DAEDF3"/>
          </w:tcPr>
          <w:p>
            <w:pPr>
              <w:pStyle w:val="TableParagraph"/>
              <w:spacing w:line="195" w:lineRule="exact"/>
              <w:ind w:left="134"/>
              <w:rPr>
                <w:sz w:val="16"/>
              </w:rPr>
            </w:pPr>
            <w:r>
              <w:rPr>
                <w:sz w:val="16"/>
              </w:rPr>
              <w:t>$ 27.514,00</w:t>
            </w:r>
          </w:p>
        </w:tc>
        <w:tc>
          <w:tcPr>
            <w:tcW w:w="850" w:type="dxa"/>
            <w:tcBorders>
              <w:right w:val="nil"/>
            </w:tcBorders>
            <w:shd w:val="clear" w:color="auto" w:fill="DAEDF3"/>
          </w:tcPr>
          <w:p>
            <w:pPr>
              <w:pStyle w:val="TableParagraph"/>
              <w:spacing w:line="195" w:lineRule="exact"/>
              <w:ind w:left="122" w:right="120"/>
              <w:jc w:val="center"/>
              <w:rPr>
                <w:sz w:val="16"/>
              </w:rPr>
            </w:pPr>
            <w:r>
              <w:rPr>
                <w:sz w:val="16"/>
              </w:rPr>
              <w:t>15,61%</w:t>
            </w:r>
          </w:p>
        </w:tc>
      </w:tr>
      <w:tr>
        <w:trPr>
          <w:trHeight w:val="202" w:hRule="exact"/>
        </w:trPr>
        <w:tc>
          <w:tcPr>
            <w:tcW w:w="2206" w:type="dxa"/>
            <w:tcBorders>
              <w:left w:val="nil"/>
            </w:tcBorders>
          </w:tcPr>
          <w:p>
            <w:pPr/>
          </w:p>
        </w:tc>
        <w:tc>
          <w:tcPr>
            <w:tcW w:w="1142" w:type="dxa"/>
          </w:tcPr>
          <w:p>
            <w:pPr/>
          </w:p>
        </w:tc>
        <w:tc>
          <w:tcPr>
            <w:tcW w:w="850" w:type="dxa"/>
          </w:tcPr>
          <w:p>
            <w:pPr/>
          </w:p>
        </w:tc>
        <w:tc>
          <w:tcPr>
            <w:tcW w:w="1997" w:type="dxa"/>
          </w:tcPr>
          <w:p>
            <w:pPr>
              <w:pStyle w:val="TableParagraph"/>
              <w:spacing w:line="194" w:lineRule="exact"/>
              <w:ind w:left="136" w:right="137"/>
              <w:jc w:val="center"/>
              <w:rPr>
                <w:sz w:val="16"/>
              </w:rPr>
            </w:pPr>
            <w:r>
              <w:rPr>
                <w:sz w:val="16"/>
              </w:rPr>
              <w:t>Utilidad del ejercicio</w:t>
            </w:r>
          </w:p>
        </w:tc>
        <w:tc>
          <w:tcPr>
            <w:tcW w:w="1040" w:type="dxa"/>
          </w:tcPr>
          <w:p>
            <w:pPr>
              <w:pStyle w:val="TableParagraph"/>
              <w:spacing w:line="194" w:lineRule="exact"/>
              <w:ind w:left="134"/>
              <w:rPr>
                <w:sz w:val="16"/>
              </w:rPr>
            </w:pPr>
            <w:r>
              <w:rPr>
                <w:sz w:val="16"/>
              </w:rPr>
              <w:t>$ 63.236,00</w:t>
            </w:r>
          </w:p>
        </w:tc>
        <w:tc>
          <w:tcPr>
            <w:tcW w:w="850" w:type="dxa"/>
            <w:tcBorders>
              <w:right w:val="nil"/>
            </w:tcBorders>
          </w:tcPr>
          <w:p>
            <w:pPr>
              <w:pStyle w:val="TableParagraph"/>
              <w:spacing w:line="194" w:lineRule="exact"/>
              <w:ind w:left="122" w:right="120"/>
              <w:jc w:val="center"/>
              <w:rPr>
                <w:sz w:val="16"/>
              </w:rPr>
            </w:pPr>
            <w:r>
              <w:rPr>
                <w:sz w:val="16"/>
              </w:rPr>
              <w:t>35,88%</w:t>
            </w:r>
          </w:p>
        </w:tc>
      </w:tr>
      <w:tr>
        <w:trPr>
          <w:trHeight w:val="158" w:hRule="exact"/>
        </w:trPr>
        <w:tc>
          <w:tcPr>
            <w:tcW w:w="2206" w:type="dxa"/>
            <w:tcBorders>
              <w:left w:val="nil"/>
            </w:tcBorders>
            <w:shd w:val="clear" w:color="auto" w:fill="DAEDF3"/>
          </w:tcPr>
          <w:p>
            <w:pPr/>
          </w:p>
        </w:tc>
        <w:tc>
          <w:tcPr>
            <w:tcW w:w="1142" w:type="dxa"/>
            <w:shd w:val="clear" w:color="auto" w:fill="DAEDF3"/>
          </w:tcPr>
          <w:p>
            <w:pPr/>
          </w:p>
        </w:tc>
        <w:tc>
          <w:tcPr>
            <w:tcW w:w="850" w:type="dxa"/>
            <w:shd w:val="clear" w:color="auto" w:fill="DAEDF3"/>
          </w:tcPr>
          <w:p>
            <w:pPr/>
          </w:p>
        </w:tc>
        <w:tc>
          <w:tcPr>
            <w:tcW w:w="1997" w:type="dxa"/>
            <w:shd w:val="clear" w:color="auto" w:fill="DAEDF3"/>
          </w:tcPr>
          <w:p>
            <w:pPr/>
          </w:p>
        </w:tc>
        <w:tc>
          <w:tcPr>
            <w:tcW w:w="1040" w:type="dxa"/>
            <w:shd w:val="clear" w:color="auto" w:fill="DAEDF3"/>
          </w:tcPr>
          <w:p>
            <w:pPr/>
          </w:p>
        </w:tc>
        <w:tc>
          <w:tcPr>
            <w:tcW w:w="850" w:type="dxa"/>
            <w:tcBorders>
              <w:right w:val="nil"/>
            </w:tcBorders>
            <w:shd w:val="clear" w:color="auto" w:fill="DAEDF3"/>
          </w:tcPr>
          <w:p>
            <w:pPr/>
          </w:p>
        </w:tc>
      </w:tr>
      <w:tr>
        <w:trPr>
          <w:trHeight w:val="199" w:hRule="exact"/>
        </w:trPr>
        <w:tc>
          <w:tcPr>
            <w:tcW w:w="2206" w:type="dxa"/>
            <w:tcBorders>
              <w:left w:val="nil"/>
            </w:tcBorders>
          </w:tcPr>
          <w:p>
            <w:pPr/>
          </w:p>
        </w:tc>
        <w:tc>
          <w:tcPr>
            <w:tcW w:w="1142" w:type="dxa"/>
          </w:tcPr>
          <w:p>
            <w:pPr/>
          </w:p>
        </w:tc>
        <w:tc>
          <w:tcPr>
            <w:tcW w:w="850" w:type="dxa"/>
          </w:tcPr>
          <w:p>
            <w:pPr/>
          </w:p>
        </w:tc>
        <w:tc>
          <w:tcPr>
            <w:tcW w:w="1997" w:type="dxa"/>
          </w:tcPr>
          <w:p>
            <w:pPr>
              <w:pStyle w:val="TableParagraph"/>
              <w:spacing w:line="194" w:lineRule="exact"/>
              <w:ind w:left="137" w:right="137"/>
              <w:jc w:val="center"/>
              <w:rPr>
                <w:b/>
                <w:sz w:val="16"/>
              </w:rPr>
            </w:pPr>
            <w:r>
              <w:rPr>
                <w:b/>
                <w:sz w:val="16"/>
              </w:rPr>
              <w:t>Capital Contable</w:t>
            </w:r>
          </w:p>
        </w:tc>
        <w:tc>
          <w:tcPr>
            <w:tcW w:w="1040" w:type="dxa"/>
          </w:tcPr>
          <w:p>
            <w:pPr>
              <w:pStyle w:val="TableParagraph"/>
              <w:spacing w:line="194" w:lineRule="exact"/>
              <w:ind w:left="110"/>
              <w:rPr>
                <w:b/>
                <w:sz w:val="16"/>
              </w:rPr>
            </w:pPr>
            <w:r>
              <w:rPr>
                <w:b/>
                <w:sz w:val="16"/>
              </w:rPr>
              <w:t>$140.750,00</w:t>
            </w:r>
          </w:p>
        </w:tc>
        <w:tc>
          <w:tcPr>
            <w:tcW w:w="850" w:type="dxa"/>
            <w:tcBorders>
              <w:right w:val="nil"/>
            </w:tcBorders>
          </w:tcPr>
          <w:p>
            <w:pPr>
              <w:pStyle w:val="TableParagraph"/>
              <w:spacing w:line="194" w:lineRule="exact"/>
              <w:ind w:left="121" w:right="120"/>
              <w:jc w:val="center"/>
              <w:rPr>
                <w:b/>
                <w:sz w:val="16"/>
              </w:rPr>
            </w:pPr>
            <w:r>
              <w:rPr>
                <w:b/>
                <w:sz w:val="16"/>
              </w:rPr>
              <w:t>79,87%</w:t>
            </w:r>
          </w:p>
        </w:tc>
      </w:tr>
      <w:tr>
        <w:trPr>
          <w:trHeight w:val="158" w:hRule="exact"/>
        </w:trPr>
        <w:tc>
          <w:tcPr>
            <w:tcW w:w="2206" w:type="dxa"/>
            <w:tcBorders>
              <w:left w:val="nil"/>
            </w:tcBorders>
            <w:shd w:val="clear" w:color="auto" w:fill="DAEDF3"/>
          </w:tcPr>
          <w:p>
            <w:pPr/>
          </w:p>
        </w:tc>
        <w:tc>
          <w:tcPr>
            <w:tcW w:w="1142" w:type="dxa"/>
            <w:shd w:val="clear" w:color="auto" w:fill="DAEDF3"/>
          </w:tcPr>
          <w:p>
            <w:pPr/>
          </w:p>
        </w:tc>
        <w:tc>
          <w:tcPr>
            <w:tcW w:w="850" w:type="dxa"/>
            <w:shd w:val="clear" w:color="auto" w:fill="DAEDF3"/>
          </w:tcPr>
          <w:p>
            <w:pPr/>
          </w:p>
        </w:tc>
        <w:tc>
          <w:tcPr>
            <w:tcW w:w="1997" w:type="dxa"/>
            <w:shd w:val="clear" w:color="auto" w:fill="DAEDF3"/>
          </w:tcPr>
          <w:p>
            <w:pPr/>
          </w:p>
        </w:tc>
        <w:tc>
          <w:tcPr>
            <w:tcW w:w="1040" w:type="dxa"/>
            <w:shd w:val="clear" w:color="auto" w:fill="DAEDF3"/>
          </w:tcPr>
          <w:p>
            <w:pPr/>
          </w:p>
        </w:tc>
        <w:tc>
          <w:tcPr>
            <w:tcW w:w="850" w:type="dxa"/>
            <w:tcBorders>
              <w:right w:val="nil"/>
            </w:tcBorders>
            <w:shd w:val="clear" w:color="auto" w:fill="DAEDF3"/>
          </w:tcPr>
          <w:p>
            <w:pPr/>
          </w:p>
        </w:tc>
      </w:tr>
      <w:tr>
        <w:trPr>
          <w:trHeight w:val="202" w:hRule="exact"/>
        </w:trPr>
        <w:tc>
          <w:tcPr>
            <w:tcW w:w="2206" w:type="dxa"/>
            <w:tcBorders>
              <w:left w:val="nil"/>
            </w:tcBorders>
          </w:tcPr>
          <w:p>
            <w:pPr>
              <w:pStyle w:val="TableParagraph"/>
              <w:spacing w:line="194" w:lineRule="exact"/>
              <w:ind w:left="231" w:right="229"/>
              <w:jc w:val="center"/>
              <w:rPr>
                <w:b/>
                <w:sz w:val="16"/>
              </w:rPr>
            </w:pPr>
            <w:r>
              <w:rPr>
                <w:b/>
                <w:sz w:val="16"/>
              </w:rPr>
              <w:t>TOTAL ACTIVOS</w:t>
            </w:r>
          </w:p>
        </w:tc>
        <w:tc>
          <w:tcPr>
            <w:tcW w:w="1142" w:type="dxa"/>
          </w:tcPr>
          <w:p>
            <w:pPr>
              <w:pStyle w:val="TableParagraph"/>
              <w:spacing w:line="194" w:lineRule="exact"/>
              <w:ind w:left="124"/>
              <w:rPr>
                <w:b/>
                <w:sz w:val="16"/>
              </w:rPr>
            </w:pPr>
            <w:r>
              <w:rPr>
                <w:b/>
                <w:sz w:val="16"/>
              </w:rPr>
              <w:t>$ 176.225,00</w:t>
            </w:r>
          </w:p>
        </w:tc>
        <w:tc>
          <w:tcPr>
            <w:tcW w:w="850" w:type="dxa"/>
          </w:tcPr>
          <w:p>
            <w:pPr>
              <w:pStyle w:val="TableParagraph"/>
              <w:spacing w:line="194" w:lineRule="exact"/>
              <w:ind w:left="120" w:right="120"/>
              <w:jc w:val="center"/>
              <w:rPr>
                <w:b/>
                <w:sz w:val="16"/>
              </w:rPr>
            </w:pPr>
            <w:r>
              <w:rPr>
                <w:b/>
                <w:sz w:val="16"/>
              </w:rPr>
              <w:t>100,00%</w:t>
            </w:r>
          </w:p>
        </w:tc>
        <w:tc>
          <w:tcPr>
            <w:tcW w:w="1997" w:type="dxa"/>
          </w:tcPr>
          <w:p>
            <w:pPr>
              <w:pStyle w:val="TableParagraph"/>
              <w:spacing w:line="194" w:lineRule="exact"/>
              <w:ind w:left="138" w:right="137"/>
              <w:jc w:val="center"/>
              <w:rPr>
                <w:b/>
                <w:sz w:val="16"/>
              </w:rPr>
            </w:pPr>
            <w:r>
              <w:rPr>
                <w:b/>
                <w:sz w:val="16"/>
              </w:rPr>
              <w:t>TOTAL PASIVO + CAPITAL</w:t>
            </w:r>
          </w:p>
        </w:tc>
        <w:tc>
          <w:tcPr>
            <w:tcW w:w="1040" w:type="dxa"/>
          </w:tcPr>
          <w:p>
            <w:pPr>
              <w:pStyle w:val="TableParagraph"/>
              <w:spacing w:line="194" w:lineRule="exact"/>
              <w:ind w:left="110"/>
              <w:rPr>
                <w:b/>
                <w:sz w:val="16"/>
              </w:rPr>
            </w:pPr>
            <w:r>
              <w:rPr>
                <w:b/>
                <w:sz w:val="16"/>
              </w:rPr>
              <w:t>$176.225,00</w:t>
            </w:r>
          </w:p>
        </w:tc>
        <w:tc>
          <w:tcPr>
            <w:tcW w:w="850" w:type="dxa"/>
            <w:tcBorders>
              <w:right w:val="nil"/>
            </w:tcBorders>
          </w:tcPr>
          <w:p>
            <w:pPr>
              <w:pStyle w:val="TableParagraph"/>
              <w:spacing w:line="194" w:lineRule="exact"/>
              <w:ind w:left="122" w:right="120"/>
              <w:jc w:val="center"/>
              <w:rPr>
                <w:b/>
                <w:sz w:val="16"/>
              </w:rPr>
            </w:pPr>
            <w:r>
              <w:rPr>
                <w:b/>
                <w:sz w:val="16"/>
              </w:rPr>
              <w:t>100,00%</w:t>
            </w:r>
          </w:p>
        </w:tc>
      </w:tr>
    </w:tbl>
    <w:p>
      <w:pPr>
        <w:spacing w:after="0" w:line="194" w:lineRule="exact"/>
        <w:jc w:val="center"/>
        <w:rPr>
          <w:sz w:val="16"/>
        </w:rPr>
        <w:sectPr>
          <w:type w:val="continuous"/>
          <w:pgSz w:w="12240" w:h="15840"/>
          <w:pgMar w:top="880" w:bottom="960" w:left="1600" w:right="1580"/>
        </w:sectPr>
      </w:pPr>
    </w:p>
    <w:p>
      <w:pPr>
        <w:pStyle w:val="BodyText"/>
        <w:spacing w:before="38"/>
        <w:ind w:left="3359" w:right="2521" w:hanging="819"/>
        <w:rPr>
          <w:rFonts w:ascii="Calibri" w:hAnsi="Calibri"/>
        </w:rPr>
      </w:pPr>
      <w:r>
        <w:rPr>
          <w:rFonts w:ascii="Calibri" w:hAnsi="Calibri"/>
        </w:rPr>
        <w:t>Fábrica de Muñecas “La Coqueta S.A.” Estado de Resultados</w:t>
      </w:r>
    </w:p>
    <w:p>
      <w:pPr>
        <w:pStyle w:val="BodyText"/>
        <w:ind w:left="2524"/>
        <w:rPr>
          <w:rFonts w:ascii="Calibri"/>
        </w:rPr>
      </w:pPr>
      <w:r>
        <w:rPr>
          <w:rFonts w:ascii="Calibri"/>
        </w:rPr>
        <w:t>Del 1 de enero al 31 de diciembre xxxx</w:t>
      </w:r>
    </w:p>
    <w:p>
      <w:pPr>
        <w:pStyle w:val="BodyText"/>
        <w:rPr>
          <w:rFonts w:ascii="Calibri"/>
          <w:sz w:val="20"/>
        </w:rPr>
      </w:pPr>
    </w:p>
    <w:p>
      <w:pPr>
        <w:pStyle w:val="BodyText"/>
        <w:spacing w:before="6"/>
        <w:rPr>
          <w:rFonts w:ascii="Calibri"/>
          <w:sz w:val="16"/>
        </w:rPr>
      </w:pPr>
    </w:p>
    <w:tbl>
      <w:tblPr>
        <w:tblW w:w="0" w:type="auto"/>
        <w:jc w:val="left"/>
        <w:tblInd w:w="2062" w:type="dxa"/>
        <w:tblBorders>
          <w:top w:val="single" w:sz="2" w:space="0" w:color="92CDDC"/>
          <w:left w:val="single" w:sz="2" w:space="0" w:color="92CDDC"/>
          <w:bottom w:val="single" w:sz="2" w:space="0" w:color="92CDDC"/>
          <w:right w:val="single" w:sz="2" w:space="0" w:color="92CDDC"/>
          <w:insideH w:val="single" w:sz="2" w:space="0" w:color="92CDDC"/>
          <w:insideV w:val="single" w:sz="2" w:space="0" w:color="92CDDC"/>
        </w:tblBorders>
        <w:tblLayout w:type="fixed"/>
        <w:tblCellMar>
          <w:top w:w="0" w:type="dxa"/>
          <w:left w:w="0" w:type="dxa"/>
          <w:bottom w:w="0" w:type="dxa"/>
          <w:right w:w="0" w:type="dxa"/>
        </w:tblCellMar>
        <w:tblLook w:val="01E0"/>
      </w:tblPr>
      <w:tblGrid>
        <w:gridCol w:w="2497"/>
        <w:gridCol w:w="1287"/>
        <w:gridCol w:w="888"/>
      </w:tblGrid>
      <w:tr>
        <w:trPr>
          <w:trHeight w:val="345" w:hRule="exact"/>
        </w:trPr>
        <w:tc>
          <w:tcPr>
            <w:tcW w:w="2497" w:type="dxa"/>
            <w:tcBorders>
              <w:top w:val="nil"/>
              <w:left w:val="nil"/>
              <w:bottom w:val="single" w:sz="12" w:space="0" w:color="92CDDC"/>
              <w:right w:val="nil"/>
            </w:tcBorders>
          </w:tcPr>
          <w:p>
            <w:pPr>
              <w:pStyle w:val="TableParagraph"/>
              <w:spacing w:line="213" w:lineRule="exact"/>
              <w:ind w:left="690" w:right="691"/>
              <w:jc w:val="center"/>
              <w:rPr>
                <w:sz w:val="20"/>
              </w:rPr>
            </w:pPr>
            <w:r>
              <w:rPr>
                <w:sz w:val="20"/>
              </w:rPr>
              <w:t>Ventas Netas</w:t>
            </w:r>
          </w:p>
        </w:tc>
        <w:tc>
          <w:tcPr>
            <w:tcW w:w="1287" w:type="dxa"/>
            <w:tcBorders>
              <w:top w:val="nil"/>
              <w:left w:val="nil"/>
              <w:bottom w:val="single" w:sz="12" w:space="0" w:color="92CDDC"/>
              <w:right w:val="nil"/>
            </w:tcBorders>
          </w:tcPr>
          <w:p>
            <w:pPr>
              <w:pStyle w:val="TableParagraph"/>
              <w:spacing w:line="164" w:lineRule="exact"/>
              <w:ind w:right="332"/>
              <w:jc w:val="right"/>
              <w:rPr>
                <w:b/>
                <w:sz w:val="16"/>
              </w:rPr>
            </w:pPr>
            <w:r>
              <w:rPr>
                <w:b/>
                <w:sz w:val="16"/>
              </w:rPr>
              <w:t>267.000,00</w:t>
            </w:r>
          </w:p>
        </w:tc>
        <w:tc>
          <w:tcPr>
            <w:tcW w:w="888" w:type="dxa"/>
            <w:tcBorders>
              <w:top w:val="nil"/>
              <w:left w:val="nil"/>
              <w:bottom w:val="single" w:sz="12" w:space="0" w:color="92CDDC"/>
              <w:right w:val="nil"/>
            </w:tcBorders>
          </w:tcPr>
          <w:p>
            <w:pPr>
              <w:pStyle w:val="TableParagraph"/>
              <w:spacing w:line="213" w:lineRule="exact"/>
              <w:ind w:right="110"/>
              <w:jc w:val="right"/>
              <w:rPr>
                <w:sz w:val="20"/>
              </w:rPr>
            </w:pPr>
            <w:r>
              <w:rPr>
                <w:sz w:val="20"/>
              </w:rPr>
              <w:t>100%</w:t>
            </w:r>
          </w:p>
        </w:tc>
      </w:tr>
      <w:tr>
        <w:trPr>
          <w:trHeight w:val="380" w:hRule="exact"/>
        </w:trPr>
        <w:tc>
          <w:tcPr>
            <w:tcW w:w="2497" w:type="dxa"/>
            <w:tcBorders>
              <w:top w:val="single" w:sz="12" w:space="0" w:color="92CDDC"/>
              <w:left w:val="nil"/>
            </w:tcBorders>
            <w:shd w:val="clear" w:color="auto" w:fill="DAEDF3"/>
          </w:tcPr>
          <w:p>
            <w:pPr>
              <w:pStyle w:val="TableParagraph"/>
              <w:ind w:left="237" w:right="238"/>
              <w:jc w:val="center"/>
              <w:rPr>
                <w:sz w:val="20"/>
              </w:rPr>
            </w:pPr>
            <w:r>
              <w:rPr>
                <w:sz w:val="20"/>
              </w:rPr>
              <w:t>Costo de Ventas</w:t>
            </w:r>
          </w:p>
        </w:tc>
        <w:tc>
          <w:tcPr>
            <w:tcW w:w="1287" w:type="dxa"/>
            <w:tcBorders>
              <w:top w:val="single" w:sz="12" w:space="0" w:color="92CDDC"/>
            </w:tcBorders>
            <w:shd w:val="clear" w:color="auto" w:fill="DAEDF3"/>
          </w:tcPr>
          <w:p>
            <w:pPr>
              <w:pStyle w:val="TableParagraph"/>
              <w:ind w:right="334"/>
              <w:jc w:val="right"/>
              <w:rPr>
                <w:sz w:val="16"/>
              </w:rPr>
            </w:pPr>
            <w:r>
              <w:rPr>
                <w:sz w:val="16"/>
              </w:rPr>
              <w:t>189.570,00</w:t>
            </w:r>
          </w:p>
        </w:tc>
        <w:tc>
          <w:tcPr>
            <w:tcW w:w="888" w:type="dxa"/>
            <w:tcBorders>
              <w:top w:val="single" w:sz="12" w:space="0" w:color="92CDDC"/>
              <w:right w:val="nil"/>
            </w:tcBorders>
            <w:shd w:val="clear" w:color="auto" w:fill="DAEDF3"/>
          </w:tcPr>
          <w:p>
            <w:pPr>
              <w:pStyle w:val="TableParagraph"/>
              <w:ind w:right="107"/>
              <w:jc w:val="right"/>
              <w:rPr>
                <w:sz w:val="20"/>
              </w:rPr>
            </w:pPr>
            <w:r>
              <w:rPr>
                <w:sz w:val="20"/>
              </w:rPr>
              <w:t>71%</w:t>
            </w:r>
          </w:p>
        </w:tc>
      </w:tr>
      <w:tr>
        <w:trPr>
          <w:trHeight w:val="367" w:hRule="exact"/>
        </w:trPr>
        <w:tc>
          <w:tcPr>
            <w:tcW w:w="2497" w:type="dxa"/>
            <w:tcBorders>
              <w:left w:val="nil"/>
            </w:tcBorders>
          </w:tcPr>
          <w:p>
            <w:pPr>
              <w:pStyle w:val="TableParagraph"/>
              <w:spacing w:line="243" w:lineRule="exact"/>
              <w:ind w:left="237" w:right="237"/>
              <w:jc w:val="center"/>
              <w:rPr>
                <w:sz w:val="20"/>
              </w:rPr>
            </w:pPr>
            <w:r>
              <w:rPr>
                <w:sz w:val="20"/>
              </w:rPr>
              <w:t>Utilidad Bruta</w:t>
            </w:r>
          </w:p>
        </w:tc>
        <w:tc>
          <w:tcPr>
            <w:tcW w:w="1287" w:type="dxa"/>
          </w:tcPr>
          <w:p>
            <w:pPr>
              <w:pStyle w:val="TableParagraph"/>
              <w:spacing w:line="194" w:lineRule="exact"/>
              <w:ind w:right="343"/>
              <w:jc w:val="right"/>
              <w:rPr>
                <w:sz w:val="16"/>
              </w:rPr>
            </w:pPr>
            <w:r>
              <w:rPr>
                <w:sz w:val="16"/>
              </w:rPr>
              <w:t>77.430,00</w:t>
            </w:r>
          </w:p>
        </w:tc>
        <w:tc>
          <w:tcPr>
            <w:tcW w:w="888" w:type="dxa"/>
            <w:tcBorders>
              <w:right w:val="nil"/>
            </w:tcBorders>
          </w:tcPr>
          <w:p>
            <w:pPr>
              <w:pStyle w:val="TableParagraph"/>
              <w:spacing w:line="243" w:lineRule="exact"/>
              <w:ind w:right="107"/>
              <w:jc w:val="right"/>
              <w:rPr>
                <w:sz w:val="20"/>
              </w:rPr>
            </w:pPr>
            <w:r>
              <w:rPr>
                <w:sz w:val="20"/>
              </w:rPr>
              <w:t>29%</w:t>
            </w:r>
          </w:p>
        </w:tc>
      </w:tr>
      <w:tr>
        <w:trPr>
          <w:trHeight w:val="367" w:hRule="exact"/>
        </w:trPr>
        <w:tc>
          <w:tcPr>
            <w:tcW w:w="2497" w:type="dxa"/>
            <w:tcBorders>
              <w:left w:val="nil"/>
            </w:tcBorders>
            <w:shd w:val="clear" w:color="auto" w:fill="DAEDF3"/>
          </w:tcPr>
          <w:p>
            <w:pPr>
              <w:pStyle w:val="TableParagraph"/>
              <w:spacing w:line="243" w:lineRule="exact"/>
              <w:ind w:left="237" w:right="238"/>
              <w:jc w:val="center"/>
              <w:rPr>
                <w:sz w:val="20"/>
              </w:rPr>
            </w:pPr>
            <w:r>
              <w:rPr>
                <w:sz w:val="20"/>
              </w:rPr>
              <w:t>Gastos de Admon-Venta</w:t>
            </w:r>
          </w:p>
        </w:tc>
        <w:tc>
          <w:tcPr>
            <w:tcW w:w="1287" w:type="dxa"/>
            <w:shd w:val="clear" w:color="auto" w:fill="DAEDF3"/>
          </w:tcPr>
          <w:p>
            <w:pPr>
              <w:pStyle w:val="TableParagraph"/>
              <w:spacing w:line="194" w:lineRule="exact"/>
              <w:ind w:right="315"/>
              <w:jc w:val="right"/>
              <w:rPr>
                <w:sz w:val="16"/>
              </w:rPr>
            </w:pPr>
            <w:r>
              <w:rPr>
                <w:sz w:val="16"/>
              </w:rPr>
              <w:t>6.194,00</w:t>
            </w:r>
          </w:p>
        </w:tc>
        <w:tc>
          <w:tcPr>
            <w:tcW w:w="888" w:type="dxa"/>
            <w:tcBorders>
              <w:right w:val="nil"/>
            </w:tcBorders>
            <w:shd w:val="clear" w:color="auto" w:fill="DAEDF3"/>
          </w:tcPr>
          <w:p>
            <w:pPr>
              <w:pStyle w:val="TableParagraph"/>
              <w:spacing w:line="243" w:lineRule="exact"/>
              <w:ind w:right="107"/>
              <w:jc w:val="right"/>
              <w:rPr>
                <w:sz w:val="20"/>
              </w:rPr>
            </w:pPr>
            <w:r>
              <w:rPr>
                <w:sz w:val="20"/>
              </w:rPr>
              <w:t>2%</w:t>
            </w:r>
          </w:p>
        </w:tc>
      </w:tr>
      <w:tr>
        <w:trPr>
          <w:trHeight w:val="366" w:hRule="exact"/>
        </w:trPr>
        <w:tc>
          <w:tcPr>
            <w:tcW w:w="2497" w:type="dxa"/>
            <w:tcBorders>
              <w:left w:val="nil"/>
            </w:tcBorders>
          </w:tcPr>
          <w:p>
            <w:pPr>
              <w:pStyle w:val="TableParagraph"/>
              <w:spacing w:line="243" w:lineRule="exact"/>
              <w:ind w:left="235" w:right="238"/>
              <w:jc w:val="center"/>
              <w:rPr>
                <w:sz w:val="20"/>
              </w:rPr>
            </w:pPr>
            <w:r>
              <w:rPr>
                <w:sz w:val="20"/>
              </w:rPr>
              <w:t>Utilidad de Operación</w:t>
            </w:r>
          </w:p>
        </w:tc>
        <w:tc>
          <w:tcPr>
            <w:tcW w:w="1287" w:type="dxa"/>
          </w:tcPr>
          <w:p>
            <w:pPr>
              <w:pStyle w:val="TableParagraph"/>
              <w:spacing w:line="194" w:lineRule="exact"/>
              <w:ind w:right="343"/>
              <w:jc w:val="right"/>
              <w:rPr>
                <w:sz w:val="16"/>
              </w:rPr>
            </w:pPr>
            <w:r>
              <w:rPr>
                <w:sz w:val="16"/>
              </w:rPr>
              <w:t>71.236,00</w:t>
            </w:r>
          </w:p>
        </w:tc>
        <w:tc>
          <w:tcPr>
            <w:tcW w:w="888" w:type="dxa"/>
            <w:tcBorders>
              <w:right w:val="nil"/>
            </w:tcBorders>
          </w:tcPr>
          <w:p>
            <w:pPr>
              <w:pStyle w:val="TableParagraph"/>
              <w:spacing w:line="243" w:lineRule="exact"/>
              <w:ind w:right="107"/>
              <w:jc w:val="right"/>
              <w:rPr>
                <w:sz w:val="20"/>
              </w:rPr>
            </w:pPr>
            <w:r>
              <w:rPr>
                <w:sz w:val="20"/>
              </w:rPr>
              <w:t>27%</w:t>
            </w:r>
          </w:p>
        </w:tc>
      </w:tr>
      <w:tr>
        <w:trPr>
          <w:trHeight w:val="366" w:hRule="exact"/>
        </w:trPr>
        <w:tc>
          <w:tcPr>
            <w:tcW w:w="2497" w:type="dxa"/>
            <w:tcBorders>
              <w:left w:val="nil"/>
            </w:tcBorders>
            <w:shd w:val="clear" w:color="auto" w:fill="DAEDF3"/>
          </w:tcPr>
          <w:p>
            <w:pPr>
              <w:pStyle w:val="TableParagraph"/>
              <w:ind w:left="237" w:right="238"/>
              <w:jc w:val="center"/>
              <w:rPr>
                <w:sz w:val="20"/>
              </w:rPr>
            </w:pPr>
            <w:r>
              <w:rPr>
                <w:sz w:val="20"/>
              </w:rPr>
              <w:t>Gastos Financieros</w:t>
            </w:r>
          </w:p>
        </w:tc>
        <w:tc>
          <w:tcPr>
            <w:tcW w:w="1287" w:type="dxa"/>
            <w:shd w:val="clear" w:color="auto" w:fill="DAEDF3"/>
          </w:tcPr>
          <w:p>
            <w:pPr>
              <w:pStyle w:val="TableParagraph"/>
              <w:ind w:right="315"/>
              <w:jc w:val="right"/>
              <w:rPr>
                <w:sz w:val="16"/>
              </w:rPr>
            </w:pPr>
            <w:r>
              <w:rPr>
                <w:sz w:val="16"/>
              </w:rPr>
              <w:t>8.000,00</w:t>
            </w:r>
          </w:p>
        </w:tc>
        <w:tc>
          <w:tcPr>
            <w:tcW w:w="888" w:type="dxa"/>
            <w:tcBorders>
              <w:right w:val="nil"/>
            </w:tcBorders>
            <w:shd w:val="clear" w:color="auto" w:fill="DAEDF3"/>
          </w:tcPr>
          <w:p>
            <w:pPr>
              <w:pStyle w:val="TableParagraph"/>
              <w:ind w:right="107"/>
              <w:jc w:val="right"/>
              <w:rPr>
                <w:sz w:val="20"/>
              </w:rPr>
            </w:pPr>
            <w:r>
              <w:rPr>
                <w:sz w:val="20"/>
              </w:rPr>
              <w:t>3%</w:t>
            </w:r>
          </w:p>
        </w:tc>
      </w:tr>
      <w:tr>
        <w:trPr>
          <w:trHeight w:val="369" w:hRule="exact"/>
        </w:trPr>
        <w:tc>
          <w:tcPr>
            <w:tcW w:w="2497" w:type="dxa"/>
            <w:tcBorders>
              <w:left w:val="nil"/>
            </w:tcBorders>
          </w:tcPr>
          <w:p>
            <w:pPr>
              <w:pStyle w:val="TableParagraph"/>
              <w:spacing w:line="244" w:lineRule="exact"/>
              <w:ind w:left="236" w:right="238"/>
              <w:jc w:val="center"/>
              <w:rPr>
                <w:b/>
                <w:sz w:val="20"/>
              </w:rPr>
            </w:pPr>
            <w:r>
              <w:rPr>
                <w:b/>
                <w:sz w:val="20"/>
              </w:rPr>
              <w:t>Utilidad del Ejercicio</w:t>
            </w:r>
          </w:p>
        </w:tc>
        <w:tc>
          <w:tcPr>
            <w:tcW w:w="1287" w:type="dxa"/>
          </w:tcPr>
          <w:p>
            <w:pPr>
              <w:pStyle w:val="TableParagraph"/>
              <w:spacing w:line="195" w:lineRule="exact"/>
              <w:ind w:right="339"/>
              <w:jc w:val="right"/>
              <w:rPr>
                <w:b/>
                <w:sz w:val="16"/>
              </w:rPr>
            </w:pPr>
            <w:r>
              <w:rPr>
                <w:b/>
                <w:sz w:val="16"/>
              </w:rPr>
              <w:t>63.236,00</w:t>
            </w:r>
          </w:p>
        </w:tc>
        <w:tc>
          <w:tcPr>
            <w:tcW w:w="888" w:type="dxa"/>
            <w:tcBorders>
              <w:right w:val="nil"/>
            </w:tcBorders>
          </w:tcPr>
          <w:p>
            <w:pPr>
              <w:pStyle w:val="TableParagraph"/>
              <w:spacing w:line="244" w:lineRule="exact"/>
              <w:ind w:right="107"/>
              <w:jc w:val="right"/>
              <w:rPr>
                <w:b/>
                <w:sz w:val="20"/>
              </w:rPr>
            </w:pPr>
            <w:r>
              <w:rPr>
                <w:b/>
                <w:sz w:val="20"/>
              </w:rPr>
              <w:t>24%</w:t>
            </w:r>
          </w:p>
        </w:tc>
      </w:tr>
    </w:tbl>
    <w:p>
      <w:pPr>
        <w:spacing w:after="0" w:line="244" w:lineRule="exact"/>
        <w:jc w:val="right"/>
        <w:rPr>
          <w:sz w:val="20"/>
        </w:rPr>
        <w:sectPr>
          <w:pgSz w:w="12240" w:h="15840"/>
          <w:pgMar w:header="0" w:footer="779" w:top="1380" w:bottom="960" w:left="1720" w:right="1720"/>
        </w:sectPr>
      </w:pPr>
    </w:p>
    <w:p>
      <w:pPr>
        <w:pStyle w:val="Heading2"/>
        <w:spacing w:before="56"/>
        <w:ind w:left="1832" w:right="1708"/>
        <w:jc w:val="center"/>
      </w:pPr>
      <w:bookmarkStart w:name="_bookmark30" w:id="49"/>
      <w:bookmarkEnd w:id="49"/>
      <w:r>
        <w:rPr>
          <w:b w:val="0"/>
        </w:rPr>
      </w:r>
      <w:r>
        <w:rPr/>
        <w:t>BIBLIOGRAFÍA</w:t>
      </w:r>
    </w:p>
    <w:p>
      <w:pPr>
        <w:pStyle w:val="BodyText"/>
        <w:rPr>
          <w:b/>
          <w:sz w:val="20"/>
        </w:rPr>
      </w:pPr>
    </w:p>
    <w:p>
      <w:pPr>
        <w:pStyle w:val="BodyText"/>
        <w:spacing w:before="4"/>
        <w:rPr>
          <w:b/>
          <w:sz w:val="29"/>
        </w:rPr>
      </w:pPr>
    </w:p>
    <w:p>
      <w:pPr>
        <w:spacing w:before="66"/>
        <w:ind w:left="102" w:right="0" w:firstLine="0"/>
        <w:jc w:val="left"/>
        <w:rPr>
          <w:b/>
          <w:sz w:val="24"/>
        </w:rPr>
      </w:pPr>
      <w:r>
        <w:rPr>
          <w:b/>
          <w:sz w:val="24"/>
        </w:rPr>
        <w:t>Básica</w:t>
      </w:r>
    </w:p>
    <w:p>
      <w:pPr>
        <w:pStyle w:val="BodyText"/>
        <w:spacing w:before="7"/>
        <w:rPr>
          <w:b/>
          <w:sz w:val="33"/>
        </w:rPr>
      </w:pPr>
    </w:p>
    <w:p>
      <w:pPr>
        <w:pStyle w:val="ListParagraph"/>
        <w:numPr>
          <w:ilvl w:val="0"/>
          <w:numId w:val="9"/>
        </w:numPr>
        <w:tabs>
          <w:tab w:pos="331" w:val="left" w:leader="none"/>
        </w:tabs>
        <w:spacing w:line="240" w:lineRule="auto" w:before="0" w:after="0"/>
        <w:ind w:left="330" w:right="0" w:hanging="228"/>
        <w:jc w:val="left"/>
        <w:rPr>
          <w:rFonts w:ascii="Symbol" w:hAnsi="Symbol"/>
          <w:sz w:val="24"/>
        </w:rPr>
      </w:pPr>
      <w:r>
        <w:rPr>
          <w:sz w:val="24"/>
        </w:rPr>
        <w:t>CINIF. (2015). Normas de Información Financiera. México:</w:t>
      </w:r>
      <w:r>
        <w:rPr>
          <w:spacing w:val="-20"/>
          <w:sz w:val="24"/>
        </w:rPr>
        <w:t> </w:t>
      </w:r>
      <w:r>
        <w:rPr>
          <w:sz w:val="24"/>
        </w:rPr>
        <w:t>IMCP.</w:t>
      </w:r>
    </w:p>
    <w:p>
      <w:pPr>
        <w:pStyle w:val="ListParagraph"/>
        <w:numPr>
          <w:ilvl w:val="0"/>
          <w:numId w:val="9"/>
        </w:numPr>
        <w:tabs>
          <w:tab w:pos="331" w:val="left" w:leader="none"/>
        </w:tabs>
        <w:spacing w:line="240" w:lineRule="auto" w:before="126" w:after="0"/>
        <w:ind w:left="330" w:right="0" w:hanging="228"/>
        <w:jc w:val="left"/>
        <w:rPr>
          <w:rFonts w:ascii="Symbol" w:hAnsi="Symbol"/>
          <w:sz w:val="24"/>
        </w:rPr>
      </w:pPr>
      <w:r>
        <w:rPr>
          <w:sz w:val="24"/>
        </w:rPr>
        <w:t>Ley de Sociedades Mercantiles. (2015). México:</w:t>
      </w:r>
      <w:r>
        <w:rPr>
          <w:spacing w:val="-17"/>
          <w:sz w:val="24"/>
        </w:rPr>
        <w:t> </w:t>
      </w:r>
      <w:r>
        <w:rPr>
          <w:sz w:val="24"/>
        </w:rPr>
        <w:t>ISEF.</w:t>
      </w:r>
    </w:p>
    <w:p>
      <w:pPr>
        <w:pStyle w:val="ListParagraph"/>
        <w:numPr>
          <w:ilvl w:val="0"/>
          <w:numId w:val="9"/>
        </w:numPr>
        <w:tabs>
          <w:tab w:pos="331" w:val="left" w:leader="none"/>
        </w:tabs>
        <w:spacing w:line="240" w:lineRule="auto" w:before="123" w:after="0"/>
        <w:ind w:left="330" w:right="0" w:hanging="228"/>
        <w:jc w:val="left"/>
        <w:rPr>
          <w:rFonts w:ascii="Symbol" w:hAnsi="Symbol"/>
          <w:sz w:val="24"/>
        </w:rPr>
      </w:pPr>
      <w:r>
        <w:rPr>
          <w:sz w:val="24"/>
        </w:rPr>
        <w:t>Ley del Impuesto Sobre la Renta. (2015). México:</w:t>
      </w:r>
      <w:r>
        <w:rPr>
          <w:spacing w:val="-13"/>
          <w:sz w:val="24"/>
        </w:rPr>
        <w:t> </w:t>
      </w:r>
      <w:r>
        <w:rPr>
          <w:sz w:val="24"/>
        </w:rPr>
        <w:t>ISEF.</w:t>
      </w:r>
    </w:p>
    <w:p>
      <w:pPr>
        <w:pStyle w:val="ListParagraph"/>
        <w:numPr>
          <w:ilvl w:val="0"/>
          <w:numId w:val="9"/>
        </w:numPr>
        <w:tabs>
          <w:tab w:pos="331" w:val="left" w:leader="none"/>
        </w:tabs>
        <w:spacing w:line="240" w:lineRule="auto" w:before="123" w:after="0"/>
        <w:ind w:left="330" w:right="0" w:hanging="228"/>
        <w:jc w:val="left"/>
        <w:rPr>
          <w:rFonts w:ascii="Symbol" w:hAnsi="Symbol"/>
          <w:sz w:val="24"/>
        </w:rPr>
      </w:pPr>
      <w:r>
        <w:rPr>
          <w:sz w:val="24"/>
        </w:rPr>
        <w:t>Ley Federal del Trabajo. (2015). México.</w:t>
      </w:r>
      <w:r>
        <w:rPr>
          <w:spacing w:val="-16"/>
          <w:sz w:val="24"/>
        </w:rPr>
        <w:t> </w:t>
      </w:r>
      <w:r>
        <w:rPr>
          <w:sz w:val="24"/>
        </w:rPr>
        <w:t>ISEF.</w:t>
      </w:r>
    </w:p>
    <w:p>
      <w:pPr>
        <w:pStyle w:val="ListParagraph"/>
        <w:numPr>
          <w:ilvl w:val="0"/>
          <w:numId w:val="9"/>
        </w:numPr>
        <w:tabs>
          <w:tab w:pos="331" w:val="left" w:leader="none"/>
        </w:tabs>
        <w:spacing w:line="240" w:lineRule="auto" w:before="123" w:after="0"/>
        <w:ind w:left="330" w:right="0" w:hanging="228"/>
        <w:jc w:val="left"/>
        <w:rPr>
          <w:rFonts w:ascii="Symbol" w:hAnsi="Symbol"/>
          <w:sz w:val="24"/>
        </w:rPr>
      </w:pPr>
      <w:r>
        <w:rPr>
          <w:sz w:val="24"/>
        </w:rPr>
        <w:t>Código Fiscal de la Federación. (2015). México:</w:t>
      </w:r>
      <w:r>
        <w:rPr>
          <w:spacing w:val="-15"/>
          <w:sz w:val="24"/>
        </w:rPr>
        <w:t> </w:t>
      </w:r>
      <w:r>
        <w:rPr>
          <w:sz w:val="24"/>
        </w:rPr>
        <w:t>ISEF.</w:t>
      </w:r>
    </w:p>
    <w:p>
      <w:pPr>
        <w:pStyle w:val="ListParagraph"/>
        <w:numPr>
          <w:ilvl w:val="0"/>
          <w:numId w:val="9"/>
        </w:numPr>
        <w:tabs>
          <w:tab w:pos="331" w:val="left" w:leader="none"/>
        </w:tabs>
        <w:spacing w:line="240" w:lineRule="auto" w:before="126" w:after="0"/>
        <w:ind w:left="330" w:right="0" w:hanging="228"/>
        <w:jc w:val="left"/>
        <w:rPr>
          <w:rFonts w:ascii="Symbol" w:hAnsi="Symbol"/>
          <w:sz w:val="24"/>
        </w:rPr>
      </w:pPr>
      <w:r>
        <w:rPr>
          <w:sz w:val="24"/>
        </w:rPr>
        <w:t>Moreno, J. (2008). Contabilidad Intermedia II. México:</w:t>
      </w:r>
      <w:r>
        <w:rPr>
          <w:spacing w:val="-19"/>
          <w:sz w:val="24"/>
        </w:rPr>
        <w:t> </w:t>
      </w:r>
      <w:r>
        <w:rPr>
          <w:sz w:val="24"/>
        </w:rPr>
        <w:t>CECSA.</w:t>
      </w:r>
    </w:p>
    <w:p>
      <w:pPr>
        <w:pStyle w:val="ListParagraph"/>
        <w:numPr>
          <w:ilvl w:val="0"/>
          <w:numId w:val="9"/>
        </w:numPr>
        <w:tabs>
          <w:tab w:pos="331" w:val="left" w:leader="none"/>
        </w:tabs>
        <w:spacing w:line="240" w:lineRule="auto" w:before="123" w:after="0"/>
        <w:ind w:left="330" w:right="0" w:hanging="228"/>
        <w:jc w:val="left"/>
        <w:rPr>
          <w:rFonts w:ascii="Symbol" w:hAnsi="Symbol"/>
          <w:sz w:val="24"/>
        </w:rPr>
      </w:pPr>
      <w:r>
        <w:rPr>
          <w:sz w:val="24"/>
        </w:rPr>
        <w:t>Romero, J. (2012).  Contabilidad Intermedia. México: Mc Graw</w:t>
      </w:r>
      <w:r>
        <w:rPr>
          <w:spacing w:val="-22"/>
          <w:sz w:val="24"/>
        </w:rPr>
        <w:t> </w:t>
      </w:r>
      <w:r>
        <w:rPr>
          <w:sz w:val="24"/>
        </w:rPr>
        <w:t>Hill.</w:t>
      </w:r>
    </w:p>
    <w:p>
      <w:pPr>
        <w:pStyle w:val="ListParagraph"/>
        <w:numPr>
          <w:ilvl w:val="0"/>
          <w:numId w:val="9"/>
        </w:numPr>
        <w:tabs>
          <w:tab w:pos="331" w:val="left" w:leader="none"/>
        </w:tabs>
        <w:spacing w:line="240" w:lineRule="auto" w:before="123" w:after="0"/>
        <w:ind w:left="330" w:right="0" w:hanging="228"/>
        <w:jc w:val="left"/>
        <w:rPr>
          <w:rFonts w:ascii="Symbol" w:hAnsi="Symbol"/>
          <w:sz w:val="24"/>
        </w:rPr>
      </w:pPr>
      <w:r>
        <w:rPr>
          <w:sz w:val="24"/>
        </w:rPr>
        <w:t>Romero, J. (2003). Contabilidad Superior. México: Mc Graw</w:t>
      </w:r>
      <w:r>
        <w:rPr>
          <w:spacing w:val="-19"/>
          <w:sz w:val="24"/>
        </w:rPr>
        <w:t> </w:t>
      </w:r>
      <w:r>
        <w:rPr>
          <w:sz w:val="24"/>
        </w:rPr>
        <w:t>Hill.</w:t>
      </w:r>
    </w:p>
    <w:p>
      <w:pPr>
        <w:pStyle w:val="BodyText"/>
      </w:pPr>
    </w:p>
    <w:p>
      <w:pPr>
        <w:pStyle w:val="BodyText"/>
      </w:pPr>
    </w:p>
    <w:p>
      <w:pPr>
        <w:pStyle w:val="Heading2"/>
        <w:spacing w:before="190"/>
        <w:jc w:val="left"/>
      </w:pPr>
      <w:r>
        <w:rPr/>
        <w:t>Complementaria</w:t>
      </w:r>
    </w:p>
    <w:p>
      <w:pPr>
        <w:pStyle w:val="BodyText"/>
        <w:spacing w:before="8"/>
        <w:rPr>
          <w:b/>
          <w:sz w:val="26"/>
        </w:rPr>
      </w:pPr>
    </w:p>
    <w:p>
      <w:pPr>
        <w:pStyle w:val="ListParagraph"/>
        <w:numPr>
          <w:ilvl w:val="0"/>
          <w:numId w:val="9"/>
        </w:numPr>
        <w:tabs>
          <w:tab w:pos="331" w:val="left" w:leader="none"/>
        </w:tabs>
        <w:spacing w:line="240" w:lineRule="auto" w:before="1" w:after="0"/>
        <w:ind w:left="330" w:right="0" w:hanging="228"/>
        <w:jc w:val="left"/>
        <w:rPr>
          <w:rFonts w:ascii="Symbol" w:hAnsi="Symbol"/>
          <w:sz w:val="24"/>
        </w:rPr>
      </w:pPr>
      <w:r>
        <w:rPr>
          <w:sz w:val="24"/>
        </w:rPr>
        <w:t>Guajardo, G. (2008). Contabilidad Financiera. México: Mc Graw</w:t>
      </w:r>
      <w:r>
        <w:rPr>
          <w:spacing w:val="-20"/>
          <w:sz w:val="24"/>
        </w:rPr>
        <w:t> </w:t>
      </w:r>
      <w:r>
        <w:rPr>
          <w:sz w:val="24"/>
        </w:rPr>
        <w:t>Hill.</w:t>
      </w:r>
    </w:p>
    <w:p>
      <w:pPr>
        <w:pStyle w:val="ListParagraph"/>
        <w:numPr>
          <w:ilvl w:val="0"/>
          <w:numId w:val="9"/>
        </w:numPr>
        <w:tabs>
          <w:tab w:pos="331" w:val="left" w:leader="none"/>
        </w:tabs>
        <w:spacing w:line="355" w:lineRule="auto" w:before="123" w:after="0"/>
        <w:ind w:left="330" w:right="547" w:hanging="228"/>
        <w:jc w:val="left"/>
        <w:rPr>
          <w:rFonts w:ascii="Symbol" w:hAnsi="Symbol"/>
          <w:sz w:val="24"/>
        </w:rPr>
      </w:pPr>
      <w:r>
        <w:rPr>
          <w:sz w:val="24"/>
        </w:rPr>
        <w:t>Besley, S. &amp; Brigham, E. (2008) Fundamentos de administración</w:t>
      </w:r>
      <w:r>
        <w:rPr>
          <w:spacing w:val="-26"/>
          <w:sz w:val="24"/>
        </w:rPr>
        <w:t> </w:t>
      </w:r>
      <w:r>
        <w:rPr>
          <w:sz w:val="24"/>
        </w:rPr>
        <w:t>financiera, México:</w:t>
      </w:r>
      <w:r>
        <w:rPr>
          <w:spacing w:val="-3"/>
          <w:sz w:val="24"/>
        </w:rPr>
        <w:t> </w:t>
      </w:r>
      <w:r>
        <w:rPr>
          <w:sz w:val="24"/>
        </w:rPr>
        <w:t>CENCAGE.</w:t>
      </w:r>
    </w:p>
    <w:p>
      <w:pPr>
        <w:pStyle w:val="ListParagraph"/>
        <w:numPr>
          <w:ilvl w:val="0"/>
          <w:numId w:val="9"/>
        </w:numPr>
        <w:tabs>
          <w:tab w:pos="331" w:val="left" w:leader="none"/>
        </w:tabs>
        <w:spacing w:line="355" w:lineRule="auto" w:before="0" w:after="0"/>
        <w:ind w:left="330" w:right="1054" w:hanging="228"/>
        <w:jc w:val="left"/>
        <w:rPr>
          <w:rFonts w:ascii="Symbol" w:hAnsi="Symbol"/>
          <w:sz w:val="24"/>
        </w:rPr>
      </w:pPr>
      <w:r>
        <w:rPr>
          <w:sz w:val="24"/>
        </w:rPr>
        <w:t>Van Horne, J. &amp; Wachowicz, J. (2010) Fundamentos de</w:t>
      </w:r>
      <w:r>
        <w:rPr>
          <w:spacing w:val="-24"/>
          <w:sz w:val="24"/>
        </w:rPr>
        <w:t> </w:t>
      </w:r>
      <w:r>
        <w:rPr>
          <w:sz w:val="24"/>
        </w:rPr>
        <w:t>administración financiera, México:</w:t>
      </w:r>
      <w:r>
        <w:rPr>
          <w:spacing w:val="-8"/>
          <w:sz w:val="24"/>
        </w:rPr>
        <w:t> </w:t>
      </w:r>
      <w:r>
        <w:rPr>
          <w:sz w:val="24"/>
        </w:rPr>
        <w:t>Pearson.</w:t>
      </w:r>
    </w:p>
    <w:sectPr>
      <w:footerReference w:type="default" r:id="rId58"/>
      <w:pgSz w:w="12240" w:h="15840"/>
      <w:pgMar w:footer="779" w:header="0" w:top="1360" w:bottom="960" w:left="160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Courier New">
    <w:altName w:val="Courier New"/>
    <w:charset w:val="0"/>
    <w:family w:val="modern"/>
    <w:pitch w:val="fixed"/>
  </w:font>
  <w:font w:name="Symbol">
    <w:altName w:val="Symbol"/>
    <w:charset w:val="2"/>
    <w:family w:val="roman"/>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105640"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type id="_x0000_t202" o:spt="202" coordsize="21600,21600" path="m,l,21600r21600,l21600,xe">
          <v:stroke joinstyle="miter"/>
          <v:path gradientshapeok="t" o:connecttype="rect"/>
        </v:shapetype>
        <v:shape style="position:absolute;margin-left:301.529999pt;margin-top:753.559998pt;width:9.6pt;height:13.05pt;mso-position-horizontal-relative:page;mso-position-vertical-relative:page;z-index:-1056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4F81BC"/>
                    <w:w w:val="100"/>
                    <w:sz w:val="2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105208"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9.649994pt;margin-top:753.559998pt;width:13.3pt;height:13.05pt;mso-position-horizontal-relative:page;mso-position-vertical-relative:page;z-index:-105184" type="#_x0000_t202" filled="false" stroked="false">
          <v:textbox inset="0,0,0,0">
            <w:txbxContent>
              <w:p>
                <w:pPr>
                  <w:spacing w:line="245" w:lineRule="exact" w:before="0"/>
                  <w:ind w:left="20" w:right="0" w:firstLine="0"/>
                  <w:jc w:val="left"/>
                  <w:rPr>
                    <w:rFonts w:ascii="Calibri"/>
                    <w:sz w:val="22"/>
                  </w:rPr>
                </w:pPr>
                <w:r>
                  <w:rPr>
                    <w:rFonts w:ascii="Calibri"/>
                    <w:color w:val="4F81BC"/>
                    <w:sz w:val="22"/>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105160"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8.649994pt;margin-top:753.559998pt;width:15.3pt;height:13.05pt;mso-position-horizontal-relative:page;mso-position-vertical-relative:page;z-index:-1051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4F81BC"/>
                    <w:sz w:val="22"/>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105112"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9.649994pt;margin-top:753.559998pt;width:13.3pt;height:13.05pt;mso-position-horizontal-relative:page;mso-position-vertical-relative:page;z-index:-105088" type="#_x0000_t202" filled="false" stroked="false">
          <v:textbox inset="0,0,0,0">
            <w:txbxContent>
              <w:p>
                <w:pPr>
                  <w:spacing w:line="245" w:lineRule="exact" w:before="0"/>
                  <w:ind w:left="20" w:right="0" w:firstLine="0"/>
                  <w:jc w:val="left"/>
                  <w:rPr>
                    <w:rFonts w:ascii="Calibri"/>
                    <w:sz w:val="22"/>
                  </w:rPr>
                </w:pPr>
                <w:r>
                  <w:rPr>
                    <w:rFonts w:ascii="Calibri"/>
                    <w:color w:val="4F81BC"/>
                    <w:sz w:val="22"/>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105064"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8.649994pt;margin-top:753.559998pt;width:15.3pt;height:13.05pt;mso-position-horizontal-relative:page;mso-position-vertical-relative:page;z-index:-1050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4F81BC"/>
                    <w:sz w:val="22"/>
                  </w:rPr>
                  <w:instrText> PAGE </w:instrText>
                </w:r>
                <w:r>
                  <w:rPr/>
                  <w:fldChar w:fldCharType="separate"/>
                </w:r>
                <w:r>
                  <w:rPr/>
                  <w:t>61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105016"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9.649994pt;margin-top:753.559998pt;width:13.3pt;height:13.05pt;mso-position-horizontal-relative:page;mso-position-vertical-relative:page;z-index:-104992" type="#_x0000_t202" filled="false" stroked="false">
          <v:textbox inset="0,0,0,0">
            <w:txbxContent>
              <w:p>
                <w:pPr>
                  <w:spacing w:line="245" w:lineRule="exact" w:before="0"/>
                  <w:ind w:left="20" w:right="0" w:firstLine="0"/>
                  <w:jc w:val="left"/>
                  <w:rPr>
                    <w:rFonts w:ascii="Calibri"/>
                    <w:sz w:val="22"/>
                  </w:rPr>
                </w:pPr>
                <w:r>
                  <w:rPr>
                    <w:rFonts w:ascii="Calibri"/>
                    <w:color w:val="4F81BC"/>
                    <w:sz w:val="22"/>
                  </w:rPr>
                  <w:t>70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105592"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9.649994pt;margin-top:753.559998pt;width:13.3pt;height:13.05pt;mso-position-horizontal-relative:page;mso-position-vertical-relative:page;z-index:-105568" type="#_x0000_t202" filled="false" stroked="false">
          <v:textbox inset="0,0,0,0">
            <w:txbxContent>
              <w:p>
                <w:pPr>
                  <w:spacing w:line="245" w:lineRule="exact" w:before="0"/>
                  <w:ind w:left="20" w:right="0" w:firstLine="0"/>
                  <w:jc w:val="left"/>
                  <w:rPr>
                    <w:rFonts w:ascii="Calibri"/>
                    <w:sz w:val="22"/>
                  </w:rPr>
                </w:pPr>
                <w:r>
                  <w:rPr>
                    <w:rFonts w:ascii="Calibri"/>
                    <w:color w:val="4F81BC"/>
                    <w:sz w:val="22"/>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105544"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8.649994pt;margin-top:753.559998pt;width:15.3pt;height:13.05pt;mso-position-horizontal-relative:page;mso-position-vertical-relative:page;z-index:-1055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4F81BC"/>
                    <w:sz w:val="22"/>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105496"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9.649994pt;margin-top:753.559998pt;width:13.3pt;height:13.05pt;mso-position-horizontal-relative:page;mso-position-vertical-relative:page;z-index:-105472" type="#_x0000_t202" filled="false" stroked="false">
          <v:textbox inset="0,0,0,0">
            <w:txbxContent>
              <w:p>
                <w:pPr>
                  <w:spacing w:line="245" w:lineRule="exact" w:before="0"/>
                  <w:ind w:left="20" w:right="0" w:firstLine="0"/>
                  <w:jc w:val="left"/>
                  <w:rPr>
                    <w:rFonts w:ascii="Calibri"/>
                    <w:sz w:val="22"/>
                  </w:rPr>
                </w:pPr>
                <w:r>
                  <w:rPr>
                    <w:rFonts w:ascii="Calibri"/>
                    <w:color w:val="4F81BC"/>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105448"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8.649994pt;margin-top:753.559998pt;width:15.3pt;height:13.05pt;mso-position-horizontal-relative:page;mso-position-vertical-relative:page;z-index:-1054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4F81BC"/>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105400"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9.649994pt;margin-top:753.559998pt;width:13.3pt;height:13.05pt;mso-position-horizontal-relative:page;mso-position-vertical-relative:page;z-index:-105376" type="#_x0000_t202" filled="false" stroked="false">
          <v:textbox inset="0,0,0,0">
            <w:txbxContent>
              <w:p>
                <w:pPr>
                  <w:spacing w:line="245" w:lineRule="exact" w:before="0"/>
                  <w:ind w:left="20" w:right="0" w:firstLine="0"/>
                  <w:jc w:val="left"/>
                  <w:rPr>
                    <w:rFonts w:ascii="Calibri"/>
                    <w:sz w:val="22"/>
                  </w:rPr>
                </w:pPr>
                <w:r>
                  <w:rPr>
                    <w:rFonts w:ascii="Calibri"/>
                    <w:color w:val="4F81BC"/>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105352"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8.649994pt;margin-top:753.559998pt;width:15.3pt;height:13.05pt;mso-position-horizontal-relative:page;mso-position-vertical-relative:page;z-index:-1053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4F81BC"/>
                    <w:sz w:val="22"/>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105304"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9.649994pt;margin-top:753.559998pt;width:13.3pt;height:13.05pt;mso-position-horizontal-relative:page;mso-position-vertical-relative:page;z-index:-105280" type="#_x0000_t202" filled="false" stroked="false">
          <v:textbox inset="0,0,0,0">
            <w:txbxContent>
              <w:p>
                <w:pPr>
                  <w:spacing w:line="245" w:lineRule="exact" w:before="0"/>
                  <w:ind w:left="20" w:right="0" w:firstLine="0"/>
                  <w:jc w:val="left"/>
                  <w:rPr>
                    <w:rFonts w:ascii="Calibri"/>
                    <w:sz w:val="22"/>
                  </w:rPr>
                </w:pPr>
                <w:r>
                  <w:rPr>
                    <w:rFonts w:ascii="Calibri"/>
                    <w:color w:val="4F81BC"/>
                    <w:sz w:val="22"/>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105256"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8.649994pt;margin-top:753.559998pt;width:15.3pt;height:13.05pt;mso-position-horizontal-relative:page;mso-position-vertical-relative:page;z-index:-1052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4F81BC"/>
                    <w:sz w:val="22"/>
                  </w:rPr>
                  <w:instrText> PAGE </w:instrText>
                </w:r>
                <w:r>
                  <w:rPr/>
                  <w:fldChar w:fldCharType="separate"/>
                </w:r>
                <w:r>
                  <w:rPr/>
                  <w:t>42</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1">
    <w:multiLevelType w:val="hybridMultilevel"/>
    <w:lvl w:ilvl="0">
      <w:start w:val="1"/>
      <w:numFmt w:val="decimal"/>
      <w:lvlText w:val="%1."/>
      <w:lvlJc w:val="left"/>
      <w:pPr>
        <w:ind w:left="1518" w:hanging="423"/>
        <w:jc w:val="right"/>
      </w:pPr>
      <w:rPr>
        <w:rFonts w:hint="default" w:ascii="Arial" w:hAnsi="Arial" w:eastAsia="Arial" w:cs="Arial"/>
        <w:spacing w:val="-3"/>
        <w:w w:val="99"/>
        <w:sz w:val="24"/>
        <w:szCs w:val="24"/>
      </w:rPr>
    </w:lvl>
    <w:lvl w:ilvl="1">
      <w:start w:val="1"/>
      <w:numFmt w:val="bullet"/>
      <w:lvlText w:val="•"/>
      <w:lvlJc w:val="left"/>
      <w:pPr>
        <w:ind w:left="2274" w:hanging="423"/>
      </w:pPr>
      <w:rPr>
        <w:rFonts w:hint="default"/>
      </w:rPr>
    </w:lvl>
    <w:lvl w:ilvl="2">
      <w:start w:val="1"/>
      <w:numFmt w:val="bullet"/>
      <w:lvlText w:val="•"/>
      <w:lvlJc w:val="left"/>
      <w:pPr>
        <w:ind w:left="3028" w:hanging="423"/>
      </w:pPr>
      <w:rPr>
        <w:rFonts w:hint="default"/>
      </w:rPr>
    </w:lvl>
    <w:lvl w:ilvl="3">
      <w:start w:val="1"/>
      <w:numFmt w:val="bullet"/>
      <w:lvlText w:val="•"/>
      <w:lvlJc w:val="left"/>
      <w:pPr>
        <w:ind w:left="3782" w:hanging="423"/>
      </w:pPr>
      <w:rPr>
        <w:rFonts w:hint="default"/>
      </w:rPr>
    </w:lvl>
    <w:lvl w:ilvl="4">
      <w:start w:val="1"/>
      <w:numFmt w:val="bullet"/>
      <w:lvlText w:val="•"/>
      <w:lvlJc w:val="left"/>
      <w:pPr>
        <w:ind w:left="4536" w:hanging="423"/>
      </w:pPr>
      <w:rPr>
        <w:rFonts w:hint="default"/>
      </w:rPr>
    </w:lvl>
    <w:lvl w:ilvl="5">
      <w:start w:val="1"/>
      <w:numFmt w:val="bullet"/>
      <w:lvlText w:val="•"/>
      <w:lvlJc w:val="left"/>
      <w:pPr>
        <w:ind w:left="5290" w:hanging="423"/>
      </w:pPr>
      <w:rPr>
        <w:rFonts w:hint="default"/>
      </w:rPr>
    </w:lvl>
    <w:lvl w:ilvl="6">
      <w:start w:val="1"/>
      <w:numFmt w:val="bullet"/>
      <w:lvlText w:val="•"/>
      <w:lvlJc w:val="left"/>
      <w:pPr>
        <w:ind w:left="6044" w:hanging="423"/>
      </w:pPr>
      <w:rPr>
        <w:rFonts w:hint="default"/>
      </w:rPr>
    </w:lvl>
    <w:lvl w:ilvl="7">
      <w:start w:val="1"/>
      <w:numFmt w:val="bullet"/>
      <w:lvlText w:val="•"/>
      <w:lvlJc w:val="left"/>
      <w:pPr>
        <w:ind w:left="6798" w:hanging="423"/>
      </w:pPr>
      <w:rPr>
        <w:rFonts w:hint="default"/>
      </w:rPr>
    </w:lvl>
    <w:lvl w:ilvl="8">
      <w:start w:val="1"/>
      <w:numFmt w:val="bullet"/>
      <w:lvlText w:val="•"/>
      <w:lvlJc w:val="left"/>
      <w:pPr>
        <w:ind w:left="7552" w:hanging="423"/>
      </w:pPr>
      <w:rPr>
        <w:rFonts w:hint="default"/>
      </w:rPr>
    </w:lvl>
  </w:abstractNum>
  <w:abstractNum w:abstractNumId="40">
    <w:multiLevelType w:val="hybridMultilevel"/>
    <w:lvl w:ilvl="0">
      <w:start w:val="1"/>
      <w:numFmt w:val="decimal"/>
      <w:lvlText w:val="%1."/>
      <w:lvlJc w:val="left"/>
      <w:pPr>
        <w:ind w:left="1234" w:hanging="281"/>
        <w:jc w:val="right"/>
      </w:pPr>
      <w:rPr>
        <w:rFonts w:hint="default"/>
        <w:spacing w:val="-1"/>
        <w:w w:val="99"/>
      </w:rPr>
    </w:lvl>
    <w:lvl w:ilvl="1">
      <w:start w:val="1"/>
      <w:numFmt w:val="bullet"/>
      <w:lvlText w:val="•"/>
      <w:lvlJc w:val="left"/>
      <w:pPr>
        <w:ind w:left="2022" w:hanging="281"/>
      </w:pPr>
      <w:rPr>
        <w:rFonts w:hint="default"/>
      </w:rPr>
    </w:lvl>
    <w:lvl w:ilvl="2">
      <w:start w:val="1"/>
      <w:numFmt w:val="bullet"/>
      <w:lvlText w:val="•"/>
      <w:lvlJc w:val="left"/>
      <w:pPr>
        <w:ind w:left="2804" w:hanging="281"/>
      </w:pPr>
      <w:rPr>
        <w:rFonts w:hint="default"/>
      </w:rPr>
    </w:lvl>
    <w:lvl w:ilvl="3">
      <w:start w:val="1"/>
      <w:numFmt w:val="bullet"/>
      <w:lvlText w:val="•"/>
      <w:lvlJc w:val="left"/>
      <w:pPr>
        <w:ind w:left="3586" w:hanging="281"/>
      </w:pPr>
      <w:rPr>
        <w:rFonts w:hint="default"/>
      </w:rPr>
    </w:lvl>
    <w:lvl w:ilvl="4">
      <w:start w:val="1"/>
      <w:numFmt w:val="bullet"/>
      <w:lvlText w:val="•"/>
      <w:lvlJc w:val="left"/>
      <w:pPr>
        <w:ind w:left="4368" w:hanging="281"/>
      </w:pPr>
      <w:rPr>
        <w:rFonts w:hint="default"/>
      </w:rPr>
    </w:lvl>
    <w:lvl w:ilvl="5">
      <w:start w:val="1"/>
      <w:numFmt w:val="bullet"/>
      <w:lvlText w:val="•"/>
      <w:lvlJc w:val="left"/>
      <w:pPr>
        <w:ind w:left="5150" w:hanging="281"/>
      </w:pPr>
      <w:rPr>
        <w:rFonts w:hint="default"/>
      </w:rPr>
    </w:lvl>
    <w:lvl w:ilvl="6">
      <w:start w:val="1"/>
      <w:numFmt w:val="bullet"/>
      <w:lvlText w:val="•"/>
      <w:lvlJc w:val="left"/>
      <w:pPr>
        <w:ind w:left="5932" w:hanging="281"/>
      </w:pPr>
      <w:rPr>
        <w:rFonts w:hint="default"/>
      </w:rPr>
    </w:lvl>
    <w:lvl w:ilvl="7">
      <w:start w:val="1"/>
      <w:numFmt w:val="bullet"/>
      <w:lvlText w:val="•"/>
      <w:lvlJc w:val="left"/>
      <w:pPr>
        <w:ind w:left="6714" w:hanging="281"/>
      </w:pPr>
      <w:rPr>
        <w:rFonts w:hint="default"/>
      </w:rPr>
    </w:lvl>
    <w:lvl w:ilvl="8">
      <w:start w:val="1"/>
      <w:numFmt w:val="bullet"/>
      <w:lvlText w:val="•"/>
      <w:lvlJc w:val="left"/>
      <w:pPr>
        <w:ind w:left="7496" w:hanging="281"/>
      </w:pPr>
      <w:rPr>
        <w:rFonts w:hint="default"/>
      </w:rPr>
    </w:lvl>
  </w:abstractNum>
  <w:abstractNum w:abstractNumId="39">
    <w:multiLevelType w:val="hybridMultilevel"/>
    <w:lvl w:ilvl="0">
      <w:start w:val="5"/>
      <w:numFmt w:val="decimal"/>
      <w:lvlText w:val="%1"/>
      <w:lvlJc w:val="left"/>
      <w:pPr>
        <w:ind w:left="668" w:hanging="567"/>
        <w:jc w:val="left"/>
      </w:pPr>
      <w:rPr>
        <w:rFonts w:hint="default"/>
      </w:rPr>
    </w:lvl>
    <w:lvl w:ilvl="1">
      <w:start w:val="1"/>
      <w:numFmt w:val="decimal"/>
      <w:lvlText w:val="%1.%2."/>
      <w:lvlJc w:val="left"/>
      <w:pPr>
        <w:ind w:left="668" w:hanging="567"/>
        <w:jc w:val="left"/>
      </w:pPr>
      <w:rPr>
        <w:rFonts w:hint="default" w:ascii="Arial" w:hAnsi="Arial" w:eastAsia="Arial" w:cs="Arial"/>
        <w:b/>
        <w:bCs/>
        <w:spacing w:val="-3"/>
        <w:w w:val="99"/>
        <w:sz w:val="24"/>
        <w:szCs w:val="24"/>
      </w:rPr>
    </w:lvl>
    <w:lvl w:ilvl="2">
      <w:start w:val="1"/>
      <w:numFmt w:val="decimal"/>
      <w:lvlText w:val="%3."/>
      <w:lvlJc w:val="left"/>
      <w:pPr>
        <w:ind w:left="822" w:hanging="360"/>
        <w:jc w:val="left"/>
      </w:pPr>
      <w:rPr>
        <w:rFonts w:hint="default" w:ascii="Arial" w:hAnsi="Arial" w:eastAsia="Arial" w:cs="Arial"/>
        <w:spacing w:val="-1"/>
        <w:w w:val="100"/>
        <w:sz w:val="23"/>
        <w:szCs w:val="23"/>
      </w:rPr>
    </w:lvl>
    <w:lvl w:ilvl="3">
      <w:start w:val="1"/>
      <w:numFmt w:val="decimal"/>
      <w:lvlText w:val="%4."/>
      <w:lvlJc w:val="left"/>
      <w:pPr>
        <w:ind w:left="954" w:hanging="360"/>
        <w:jc w:val="right"/>
      </w:pPr>
      <w:rPr>
        <w:rFonts w:hint="default"/>
        <w:b/>
        <w:bCs/>
        <w:spacing w:val="-1"/>
        <w:w w:val="99"/>
      </w:rPr>
    </w:lvl>
    <w:lvl w:ilvl="4">
      <w:start w:val="1"/>
      <w:numFmt w:val="bullet"/>
      <w:lvlText w:val="•"/>
      <w:lvlJc w:val="left"/>
      <w:pPr>
        <w:ind w:left="2985" w:hanging="360"/>
      </w:pPr>
      <w:rPr>
        <w:rFonts w:hint="default"/>
      </w:rPr>
    </w:lvl>
    <w:lvl w:ilvl="5">
      <w:start w:val="1"/>
      <w:numFmt w:val="bullet"/>
      <w:lvlText w:val="•"/>
      <w:lvlJc w:val="left"/>
      <w:pPr>
        <w:ind w:left="3997" w:hanging="360"/>
      </w:pPr>
      <w:rPr>
        <w:rFonts w:hint="default"/>
      </w:rPr>
    </w:lvl>
    <w:lvl w:ilvl="6">
      <w:start w:val="1"/>
      <w:numFmt w:val="bullet"/>
      <w:lvlText w:val="•"/>
      <w:lvlJc w:val="left"/>
      <w:pPr>
        <w:ind w:left="5010" w:hanging="360"/>
      </w:pPr>
      <w:rPr>
        <w:rFonts w:hint="default"/>
      </w:rPr>
    </w:lvl>
    <w:lvl w:ilvl="7">
      <w:start w:val="1"/>
      <w:numFmt w:val="bullet"/>
      <w:lvlText w:val="•"/>
      <w:lvlJc w:val="left"/>
      <w:pPr>
        <w:ind w:left="6022" w:hanging="360"/>
      </w:pPr>
      <w:rPr>
        <w:rFonts w:hint="default"/>
      </w:rPr>
    </w:lvl>
    <w:lvl w:ilvl="8">
      <w:start w:val="1"/>
      <w:numFmt w:val="bullet"/>
      <w:lvlText w:val="•"/>
      <w:lvlJc w:val="left"/>
      <w:pPr>
        <w:ind w:left="7035" w:hanging="360"/>
      </w:pPr>
      <w:rPr>
        <w:rFonts w:hint="default"/>
      </w:rPr>
    </w:lvl>
  </w:abstractNum>
  <w:abstractNum w:abstractNumId="38">
    <w:multiLevelType w:val="hybridMultilevel"/>
    <w:lvl w:ilvl="0">
      <w:start w:val="5"/>
      <w:numFmt w:val="decimal"/>
      <w:lvlText w:val="%1"/>
      <w:lvlJc w:val="left"/>
      <w:pPr>
        <w:ind w:left="1095" w:hanging="634"/>
        <w:jc w:val="left"/>
      </w:pPr>
      <w:rPr>
        <w:rFonts w:hint="default"/>
      </w:rPr>
    </w:lvl>
    <w:lvl w:ilvl="1">
      <w:start w:val="1"/>
      <w:numFmt w:val="decimal"/>
      <w:lvlText w:val="%1.%2."/>
      <w:lvlJc w:val="left"/>
      <w:pPr>
        <w:ind w:left="1095" w:hanging="634"/>
        <w:jc w:val="left"/>
      </w:pPr>
      <w:rPr>
        <w:rFonts w:hint="default" w:ascii="Arial" w:hAnsi="Arial" w:eastAsia="Arial" w:cs="Arial"/>
        <w:w w:val="99"/>
        <w:sz w:val="24"/>
        <w:szCs w:val="24"/>
      </w:rPr>
    </w:lvl>
    <w:lvl w:ilvl="2">
      <w:start w:val="1"/>
      <w:numFmt w:val="bullet"/>
      <w:lvlText w:val="•"/>
      <w:lvlJc w:val="left"/>
      <w:pPr>
        <w:ind w:left="2692" w:hanging="634"/>
      </w:pPr>
      <w:rPr>
        <w:rFonts w:hint="default"/>
      </w:rPr>
    </w:lvl>
    <w:lvl w:ilvl="3">
      <w:start w:val="1"/>
      <w:numFmt w:val="bullet"/>
      <w:lvlText w:val="•"/>
      <w:lvlJc w:val="left"/>
      <w:pPr>
        <w:ind w:left="3488" w:hanging="634"/>
      </w:pPr>
      <w:rPr>
        <w:rFonts w:hint="default"/>
      </w:rPr>
    </w:lvl>
    <w:lvl w:ilvl="4">
      <w:start w:val="1"/>
      <w:numFmt w:val="bullet"/>
      <w:lvlText w:val="•"/>
      <w:lvlJc w:val="left"/>
      <w:pPr>
        <w:ind w:left="4284" w:hanging="634"/>
      </w:pPr>
      <w:rPr>
        <w:rFonts w:hint="default"/>
      </w:rPr>
    </w:lvl>
    <w:lvl w:ilvl="5">
      <w:start w:val="1"/>
      <w:numFmt w:val="bullet"/>
      <w:lvlText w:val="•"/>
      <w:lvlJc w:val="left"/>
      <w:pPr>
        <w:ind w:left="5080" w:hanging="634"/>
      </w:pPr>
      <w:rPr>
        <w:rFonts w:hint="default"/>
      </w:rPr>
    </w:lvl>
    <w:lvl w:ilvl="6">
      <w:start w:val="1"/>
      <w:numFmt w:val="bullet"/>
      <w:lvlText w:val="•"/>
      <w:lvlJc w:val="left"/>
      <w:pPr>
        <w:ind w:left="5876" w:hanging="634"/>
      </w:pPr>
      <w:rPr>
        <w:rFonts w:hint="default"/>
      </w:rPr>
    </w:lvl>
    <w:lvl w:ilvl="7">
      <w:start w:val="1"/>
      <w:numFmt w:val="bullet"/>
      <w:lvlText w:val="•"/>
      <w:lvlJc w:val="left"/>
      <w:pPr>
        <w:ind w:left="6672" w:hanging="634"/>
      </w:pPr>
      <w:rPr>
        <w:rFonts w:hint="default"/>
      </w:rPr>
    </w:lvl>
    <w:lvl w:ilvl="8">
      <w:start w:val="1"/>
      <w:numFmt w:val="bullet"/>
      <w:lvlText w:val="•"/>
      <w:lvlJc w:val="left"/>
      <w:pPr>
        <w:ind w:left="7468" w:hanging="634"/>
      </w:pPr>
      <w:rPr>
        <w:rFonts w:hint="default"/>
      </w:rPr>
    </w:lvl>
  </w:abstractNum>
  <w:abstractNum w:abstractNumId="37">
    <w:multiLevelType w:val="hybridMultilevel"/>
    <w:lvl w:ilvl="0">
      <w:start w:val="1"/>
      <w:numFmt w:val="lowerLetter"/>
      <w:lvlText w:val="%1)"/>
      <w:lvlJc w:val="left"/>
      <w:pPr>
        <w:ind w:left="810" w:hanging="708"/>
        <w:jc w:val="left"/>
      </w:pPr>
      <w:rPr>
        <w:rFonts w:hint="default" w:ascii="Arial" w:hAnsi="Arial" w:eastAsia="Arial" w:cs="Arial"/>
        <w:w w:val="99"/>
        <w:sz w:val="24"/>
        <w:szCs w:val="24"/>
      </w:rPr>
    </w:lvl>
    <w:lvl w:ilvl="1">
      <w:start w:val="1"/>
      <w:numFmt w:val="bullet"/>
      <w:lvlText w:val="•"/>
      <w:lvlJc w:val="left"/>
      <w:pPr>
        <w:ind w:left="1644" w:hanging="708"/>
      </w:pPr>
      <w:rPr>
        <w:rFonts w:hint="default"/>
      </w:rPr>
    </w:lvl>
    <w:lvl w:ilvl="2">
      <w:start w:val="1"/>
      <w:numFmt w:val="bullet"/>
      <w:lvlText w:val="•"/>
      <w:lvlJc w:val="left"/>
      <w:pPr>
        <w:ind w:left="2468" w:hanging="708"/>
      </w:pPr>
      <w:rPr>
        <w:rFonts w:hint="default"/>
      </w:rPr>
    </w:lvl>
    <w:lvl w:ilvl="3">
      <w:start w:val="1"/>
      <w:numFmt w:val="bullet"/>
      <w:lvlText w:val="•"/>
      <w:lvlJc w:val="left"/>
      <w:pPr>
        <w:ind w:left="3292" w:hanging="708"/>
      </w:pPr>
      <w:rPr>
        <w:rFonts w:hint="default"/>
      </w:rPr>
    </w:lvl>
    <w:lvl w:ilvl="4">
      <w:start w:val="1"/>
      <w:numFmt w:val="bullet"/>
      <w:lvlText w:val="•"/>
      <w:lvlJc w:val="left"/>
      <w:pPr>
        <w:ind w:left="4116" w:hanging="708"/>
      </w:pPr>
      <w:rPr>
        <w:rFonts w:hint="default"/>
      </w:rPr>
    </w:lvl>
    <w:lvl w:ilvl="5">
      <w:start w:val="1"/>
      <w:numFmt w:val="bullet"/>
      <w:lvlText w:val="•"/>
      <w:lvlJc w:val="left"/>
      <w:pPr>
        <w:ind w:left="4940" w:hanging="708"/>
      </w:pPr>
      <w:rPr>
        <w:rFonts w:hint="default"/>
      </w:rPr>
    </w:lvl>
    <w:lvl w:ilvl="6">
      <w:start w:val="1"/>
      <w:numFmt w:val="bullet"/>
      <w:lvlText w:val="•"/>
      <w:lvlJc w:val="left"/>
      <w:pPr>
        <w:ind w:left="5764" w:hanging="708"/>
      </w:pPr>
      <w:rPr>
        <w:rFonts w:hint="default"/>
      </w:rPr>
    </w:lvl>
    <w:lvl w:ilvl="7">
      <w:start w:val="1"/>
      <w:numFmt w:val="bullet"/>
      <w:lvlText w:val="•"/>
      <w:lvlJc w:val="left"/>
      <w:pPr>
        <w:ind w:left="6588" w:hanging="708"/>
      </w:pPr>
      <w:rPr>
        <w:rFonts w:hint="default"/>
      </w:rPr>
    </w:lvl>
    <w:lvl w:ilvl="8">
      <w:start w:val="1"/>
      <w:numFmt w:val="bullet"/>
      <w:lvlText w:val="•"/>
      <w:lvlJc w:val="left"/>
      <w:pPr>
        <w:ind w:left="7412" w:hanging="708"/>
      </w:pPr>
      <w:rPr>
        <w:rFonts w:hint="default"/>
      </w:rPr>
    </w:lvl>
  </w:abstractNum>
  <w:abstractNum w:abstractNumId="36">
    <w:multiLevelType w:val="hybridMultilevel"/>
    <w:lvl w:ilvl="0">
      <w:start w:val="1"/>
      <w:numFmt w:val="lowerLetter"/>
      <w:lvlText w:val="%1)"/>
      <w:lvlJc w:val="left"/>
      <w:pPr>
        <w:ind w:left="810" w:hanging="708"/>
        <w:jc w:val="left"/>
      </w:pPr>
      <w:rPr>
        <w:rFonts w:hint="default" w:ascii="Arial" w:hAnsi="Arial" w:eastAsia="Arial" w:cs="Arial"/>
        <w:w w:val="99"/>
        <w:sz w:val="24"/>
        <w:szCs w:val="24"/>
      </w:rPr>
    </w:lvl>
    <w:lvl w:ilvl="1">
      <w:start w:val="1"/>
      <w:numFmt w:val="bullet"/>
      <w:lvlText w:val="•"/>
      <w:lvlJc w:val="left"/>
      <w:pPr>
        <w:ind w:left="1644" w:hanging="708"/>
      </w:pPr>
      <w:rPr>
        <w:rFonts w:hint="default"/>
      </w:rPr>
    </w:lvl>
    <w:lvl w:ilvl="2">
      <w:start w:val="1"/>
      <w:numFmt w:val="bullet"/>
      <w:lvlText w:val="•"/>
      <w:lvlJc w:val="left"/>
      <w:pPr>
        <w:ind w:left="2468" w:hanging="708"/>
      </w:pPr>
      <w:rPr>
        <w:rFonts w:hint="default"/>
      </w:rPr>
    </w:lvl>
    <w:lvl w:ilvl="3">
      <w:start w:val="1"/>
      <w:numFmt w:val="bullet"/>
      <w:lvlText w:val="•"/>
      <w:lvlJc w:val="left"/>
      <w:pPr>
        <w:ind w:left="3292" w:hanging="708"/>
      </w:pPr>
      <w:rPr>
        <w:rFonts w:hint="default"/>
      </w:rPr>
    </w:lvl>
    <w:lvl w:ilvl="4">
      <w:start w:val="1"/>
      <w:numFmt w:val="bullet"/>
      <w:lvlText w:val="•"/>
      <w:lvlJc w:val="left"/>
      <w:pPr>
        <w:ind w:left="4116" w:hanging="708"/>
      </w:pPr>
      <w:rPr>
        <w:rFonts w:hint="default"/>
      </w:rPr>
    </w:lvl>
    <w:lvl w:ilvl="5">
      <w:start w:val="1"/>
      <w:numFmt w:val="bullet"/>
      <w:lvlText w:val="•"/>
      <w:lvlJc w:val="left"/>
      <w:pPr>
        <w:ind w:left="4940" w:hanging="708"/>
      </w:pPr>
      <w:rPr>
        <w:rFonts w:hint="default"/>
      </w:rPr>
    </w:lvl>
    <w:lvl w:ilvl="6">
      <w:start w:val="1"/>
      <w:numFmt w:val="bullet"/>
      <w:lvlText w:val="•"/>
      <w:lvlJc w:val="left"/>
      <w:pPr>
        <w:ind w:left="5764" w:hanging="708"/>
      </w:pPr>
      <w:rPr>
        <w:rFonts w:hint="default"/>
      </w:rPr>
    </w:lvl>
    <w:lvl w:ilvl="7">
      <w:start w:val="1"/>
      <w:numFmt w:val="bullet"/>
      <w:lvlText w:val="•"/>
      <w:lvlJc w:val="left"/>
      <w:pPr>
        <w:ind w:left="6588" w:hanging="708"/>
      </w:pPr>
      <w:rPr>
        <w:rFonts w:hint="default"/>
      </w:rPr>
    </w:lvl>
    <w:lvl w:ilvl="8">
      <w:start w:val="1"/>
      <w:numFmt w:val="bullet"/>
      <w:lvlText w:val="•"/>
      <w:lvlJc w:val="left"/>
      <w:pPr>
        <w:ind w:left="7412" w:hanging="708"/>
      </w:pPr>
      <w:rPr>
        <w:rFonts w:hint="default"/>
      </w:rPr>
    </w:lvl>
  </w:abstractNum>
  <w:abstractNum w:abstractNumId="35">
    <w:multiLevelType w:val="hybridMultilevel"/>
    <w:lvl w:ilvl="0">
      <w:start w:val="1"/>
      <w:numFmt w:val="lowerLetter"/>
      <w:lvlText w:val="%1)"/>
      <w:lvlJc w:val="left"/>
      <w:pPr>
        <w:ind w:left="822" w:hanging="360"/>
        <w:jc w:val="left"/>
      </w:pPr>
      <w:rPr>
        <w:rFonts w:hint="default" w:ascii="Arial" w:hAnsi="Arial" w:eastAsia="Arial" w:cs="Arial"/>
        <w:w w:val="99"/>
        <w:sz w:val="24"/>
        <w:szCs w:val="24"/>
      </w:rPr>
    </w:lvl>
    <w:lvl w:ilvl="1">
      <w:start w:val="1"/>
      <w:numFmt w:val="lowerLetter"/>
      <w:lvlText w:val="%2)"/>
      <w:lvlJc w:val="left"/>
      <w:pPr>
        <w:ind w:left="810" w:hanging="708"/>
        <w:jc w:val="left"/>
      </w:pPr>
      <w:rPr>
        <w:rFonts w:hint="default" w:ascii="Arial" w:hAnsi="Arial" w:eastAsia="Arial" w:cs="Arial"/>
        <w:w w:val="99"/>
        <w:sz w:val="24"/>
        <w:szCs w:val="24"/>
      </w:rPr>
    </w:lvl>
    <w:lvl w:ilvl="2">
      <w:start w:val="1"/>
      <w:numFmt w:val="bullet"/>
      <w:lvlText w:val="•"/>
      <w:lvlJc w:val="left"/>
      <w:pPr>
        <w:ind w:left="2464" w:hanging="708"/>
      </w:pPr>
      <w:rPr>
        <w:rFonts w:hint="default"/>
      </w:rPr>
    </w:lvl>
    <w:lvl w:ilvl="3">
      <w:start w:val="1"/>
      <w:numFmt w:val="bullet"/>
      <w:lvlText w:val="•"/>
      <w:lvlJc w:val="left"/>
      <w:pPr>
        <w:ind w:left="3286" w:hanging="708"/>
      </w:pPr>
      <w:rPr>
        <w:rFonts w:hint="default"/>
      </w:rPr>
    </w:lvl>
    <w:lvl w:ilvl="4">
      <w:start w:val="1"/>
      <w:numFmt w:val="bullet"/>
      <w:lvlText w:val="•"/>
      <w:lvlJc w:val="left"/>
      <w:pPr>
        <w:ind w:left="4108" w:hanging="708"/>
      </w:pPr>
      <w:rPr>
        <w:rFonts w:hint="default"/>
      </w:rPr>
    </w:lvl>
    <w:lvl w:ilvl="5">
      <w:start w:val="1"/>
      <w:numFmt w:val="bullet"/>
      <w:lvlText w:val="•"/>
      <w:lvlJc w:val="left"/>
      <w:pPr>
        <w:ind w:left="4930" w:hanging="708"/>
      </w:pPr>
      <w:rPr>
        <w:rFonts w:hint="default"/>
      </w:rPr>
    </w:lvl>
    <w:lvl w:ilvl="6">
      <w:start w:val="1"/>
      <w:numFmt w:val="bullet"/>
      <w:lvlText w:val="•"/>
      <w:lvlJc w:val="left"/>
      <w:pPr>
        <w:ind w:left="5752" w:hanging="708"/>
      </w:pPr>
      <w:rPr>
        <w:rFonts w:hint="default"/>
      </w:rPr>
    </w:lvl>
    <w:lvl w:ilvl="7">
      <w:start w:val="1"/>
      <w:numFmt w:val="bullet"/>
      <w:lvlText w:val="•"/>
      <w:lvlJc w:val="left"/>
      <w:pPr>
        <w:ind w:left="6574" w:hanging="708"/>
      </w:pPr>
      <w:rPr>
        <w:rFonts w:hint="default"/>
      </w:rPr>
    </w:lvl>
    <w:lvl w:ilvl="8">
      <w:start w:val="1"/>
      <w:numFmt w:val="bullet"/>
      <w:lvlText w:val="•"/>
      <w:lvlJc w:val="left"/>
      <w:pPr>
        <w:ind w:left="7396" w:hanging="708"/>
      </w:pPr>
      <w:rPr>
        <w:rFonts w:hint="default"/>
      </w:rPr>
    </w:lvl>
  </w:abstractNum>
  <w:abstractNum w:abstractNumId="34">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3">
    <w:multiLevelType w:val="hybridMultilevel"/>
    <w:lvl w:ilvl="0">
      <w:start w:val="1"/>
      <w:numFmt w:val="decimal"/>
      <w:lvlText w:val="%1."/>
      <w:lvlJc w:val="left"/>
      <w:pPr>
        <w:ind w:left="822" w:hanging="360"/>
        <w:jc w:val="left"/>
      </w:pPr>
      <w:rPr>
        <w:rFonts w:hint="default" w:ascii="Arial" w:hAnsi="Arial" w:eastAsia="Arial" w:cs="Arial"/>
        <w:spacing w:val="-3"/>
        <w:w w:val="99"/>
        <w:sz w:val="24"/>
        <w:szCs w:val="24"/>
      </w:rPr>
    </w:lvl>
    <w:lvl w:ilvl="1">
      <w:start w:val="1"/>
      <w:numFmt w:val="bullet"/>
      <w:lvlText w:val="•"/>
      <w:lvlJc w:val="left"/>
      <w:pPr>
        <w:ind w:left="1642" w:hanging="360"/>
      </w:pPr>
      <w:rPr>
        <w:rFonts w:hint="default"/>
      </w:rPr>
    </w:lvl>
    <w:lvl w:ilvl="2">
      <w:start w:val="1"/>
      <w:numFmt w:val="bullet"/>
      <w:lvlText w:val="•"/>
      <w:lvlJc w:val="left"/>
      <w:pPr>
        <w:ind w:left="2464" w:hanging="360"/>
      </w:pPr>
      <w:rPr>
        <w:rFonts w:hint="default"/>
      </w:rPr>
    </w:lvl>
    <w:lvl w:ilvl="3">
      <w:start w:val="1"/>
      <w:numFmt w:val="bullet"/>
      <w:lvlText w:val="•"/>
      <w:lvlJc w:val="left"/>
      <w:pPr>
        <w:ind w:left="3286" w:hanging="360"/>
      </w:pPr>
      <w:rPr>
        <w:rFonts w:hint="default"/>
      </w:rPr>
    </w:lvl>
    <w:lvl w:ilvl="4">
      <w:start w:val="1"/>
      <w:numFmt w:val="bullet"/>
      <w:lvlText w:val="•"/>
      <w:lvlJc w:val="left"/>
      <w:pPr>
        <w:ind w:left="4108" w:hanging="360"/>
      </w:pPr>
      <w:rPr>
        <w:rFonts w:hint="default"/>
      </w:rPr>
    </w:lvl>
    <w:lvl w:ilvl="5">
      <w:start w:val="1"/>
      <w:numFmt w:val="bullet"/>
      <w:lvlText w:val="•"/>
      <w:lvlJc w:val="left"/>
      <w:pPr>
        <w:ind w:left="4930" w:hanging="360"/>
      </w:pPr>
      <w:rPr>
        <w:rFonts w:hint="default"/>
      </w:rPr>
    </w:lvl>
    <w:lvl w:ilvl="6">
      <w:start w:val="1"/>
      <w:numFmt w:val="bullet"/>
      <w:lvlText w:val="•"/>
      <w:lvlJc w:val="left"/>
      <w:pPr>
        <w:ind w:left="5752" w:hanging="360"/>
      </w:pPr>
      <w:rPr>
        <w:rFonts w:hint="default"/>
      </w:rPr>
    </w:lvl>
    <w:lvl w:ilvl="7">
      <w:start w:val="1"/>
      <w:numFmt w:val="bullet"/>
      <w:lvlText w:val="•"/>
      <w:lvlJc w:val="left"/>
      <w:pPr>
        <w:ind w:left="6574" w:hanging="360"/>
      </w:pPr>
      <w:rPr>
        <w:rFonts w:hint="default"/>
      </w:rPr>
    </w:lvl>
    <w:lvl w:ilvl="8">
      <w:start w:val="1"/>
      <w:numFmt w:val="bullet"/>
      <w:lvlText w:val="•"/>
      <w:lvlJc w:val="left"/>
      <w:pPr>
        <w:ind w:left="7396" w:hanging="360"/>
      </w:pPr>
      <w:rPr>
        <w:rFonts w:hint="default"/>
      </w:rPr>
    </w:lvl>
  </w:abstractNum>
  <w:abstractNum w:abstractNumId="32">
    <w:multiLevelType w:val="hybridMultilevel"/>
    <w:lvl w:ilvl="0">
      <w:start w:val="1"/>
      <w:numFmt w:val="decimal"/>
      <w:lvlText w:val="%1."/>
      <w:lvlJc w:val="left"/>
      <w:pPr>
        <w:ind w:left="822" w:hanging="360"/>
        <w:jc w:val="left"/>
      </w:pPr>
      <w:rPr>
        <w:rFonts w:hint="default" w:ascii="Arial" w:hAnsi="Arial" w:eastAsia="Arial" w:cs="Arial"/>
        <w:spacing w:val="-3"/>
        <w:w w:val="99"/>
        <w:sz w:val="24"/>
        <w:szCs w:val="24"/>
      </w:rPr>
    </w:lvl>
    <w:lvl w:ilvl="1">
      <w:start w:val="1"/>
      <w:numFmt w:val="bullet"/>
      <w:lvlText w:val="•"/>
      <w:lvlJc w:val="left"/>
      <w:pPr>
        <w:ind w:left="1642" w:hanging="360"/>
      </w:pPr>
      <w:rPr>
        <w:rFonts w:hint="default"/>
      </w:rPr>
    </w:lvl>
    <w:lvl w:ilvl="2">
      <w:start w:val="1"/>
      <w:numFmt w:val="bullet"/>
      <w:lvlText w:val="•"/>
      <w:lvlJc w:val="left"/>
      <w:pPr>
        <w:ind w:left="2464" w:hanging="360"/>
      </w:pPr>
      <w:rPr>
        <w:rFonts w:hint="default"/>
      </w:rPr>
    </w:lvl>
    <w:lvl w:ilvl="3">
      <w:start w:val="1"/>
      <w:numFmt w:val="bullet"/>
      <w:lvlText w:val="•"/>
      <w:lvlJc w:val="left"/>
      <w:pPr>
        <w:ind w:left="3286" w:hanging="360"/>
      </w:pPr>
      <w:rPr>
        <w:rFonts w:hint="default"/>
      </w:rPr>
    </w:lvl>
    <w:lvl w:ilvl="4">
      <w:start w:val="1"/>
      <w:numFmt w:val="bullet"/>
      <w:lvlText w:val="•"/>
      <w:lvlJc w:val="left"/>
      <w:pPr>
        <w:ind w:left="4108" w:hanging="360"/>
      </w:pPr>
      <w:rPr>
        <w:rFonts w:hint="default"/>
      </w:rPr>
    </w:lvl>
    <w:lvl w:ilvl="5">
      <w:start w:val="1"/>
      <w:numFmt w:val="bullet"/>
      <w:lvlText w:val="•"/>
      <w:lvlJc w:val="left"/>
      <w:pPr>
        <w:ind w:left="4930" w:hanging="360"/>
      </w:pPr>
      <w:rPr>
        <w:rFonts w:hint="default"/>
      </w:rPr>
    </w:lvl>
    <w:lvl w:ilvl="6">
      <w:start w:val="1"/>
      <w:numFmt w:val="bullet"/>
      <w:lvlText w:val="•"/>
      <w:lvlJc w:val="left"/>
      <w:pPr>
        <w:ind w:left="5752" w:hanging="360"/>
      </w:pPr>
      <w:rPr>
        <w:rFonts w:hint="default"/>
      </w:rPr>
    </w:lvl>
    <w:lvl w:ilvl="7">
      <w:start w:val="1"/>
      <w:numFmt w:val="bullet"/>
      <w:lvlText w:val="•"/>
      <w:lvlJc w:val="left"/>
      <w:pPr>
        <w:ind w:left="6574" w:hanging="360"/>
      </w:pPr>
      <w:rPr>
        <w:rFonts w:hint="default"/>
      </w:rPr>
    </w:lvl>
    <w:lvl w:ilvl="8">
      <w:start w:val="1"/>
      <w:numFmt w:val="bullet"/>
      <w:lvlText w:val="•"/>
      <w:lvlJc w:val="left"/>
      <w:pPr>
        <w:ind w:left="7396" w:hanging="360"/>
      </w:pPr>
      <w:rPr>
        <w:rFonts w:hint="default"/>
      </w:rPr>
    </w:lvl>
  </w:abstractNum>
  <w:abstractNum w:abstractNumId="31">
    <w:multiLevelType w:val="hybridMultilevel"/>
    <w:lvl w:ilvl="0">
      <w:start w:val="1"/>
      <w:numFmt w:val="bullet"/>
      <w:lvlText w:val=""/>
      <w:lvlJc w:val="left"/>
      <w:pPr>
        <w:ind w:left="942" w:hanging="360"/>
      </w:pPr>
      <w:rPr>
        <w:rFonts w:hint="default" w:ascii="Symbol" w:hAnsi="Symbol" w:eastAsia="Symbol" w:cs="Symbol"/>
        <w:w w:val="100"/>
        <w:sz w:val="24"/>
        <w:szCs w:val="24"/>
      </w:rPr>
    </w:lvl>
    <w:lvl w:ilvl="1">
      <w:start w:val="1"/>
      <w:numFmt w:val="bullet"/>
      <w:lvlText w:val="•"/>
      <w:lvlJc w:val="left"/>
      <w:pPr>
        <w:ind w:left="1802" w:hanging="360"/>
      </w:pPr>
      <w:rPr>
        <w:rFonts w:hint="default"/>
      </w:rPr>
    </w:lvl>
    <w:lvl w:ilvl="2">
      <w:start w:val="1"/>
      <w:numFmt w:val="bullet"/>
      <w:lvlText w:val="•"/>
      <w:lvlJc w:val="left"/>
      <w:pPr>
        <w:ind w:left="2664" w:hanging="360"/>
      </w:pPr>
      <w:rPr>
        <w:rFonts w:hint="default"/>
      </w:rPr>
    </w:lvl>
    <w:lvl w:ilvl="3">
      <w:start w:val="1"/>
      <w:numFmt w:val="bullet"/>
      <w:lvlText w:val="•"/>
      <w:lvlJc w:val="left"/>
      <w:pPr>
        <w:ind w:left="3526" w:hanging="360"/>
      </w:pPr>
      <w:rPr>
        <w:rFonts w:hint="default"/>
      </w:rPr>
    </w:lvl>
    <w:lvl w:ilvl="4">
      <w:start w:val="1"/>
      <w:numFmt w:val="bullet"/>
      <w:lvlText w:val="•"/>
      <w:lvlJc w:val="left"/>
      <w:pPr>
        <w:ind w:left="4388" w:hanging="360"/>
      </w:pPr>
      <w:rPr>
        <w:rFonts w:hint="default"/>
      </w:rPr>
    </w:lvl>
    <w:lvl w:ilvl="5">
      <w:start w:val="1"/>
      <w:numFmt w:val="bullet"/>
      <w:lvlText w:val="•"/>
      <w:lvlJc w:val="left"/>
      <w:pPr>
        <w:ind w:left="5250" w:hanging="360"/>
      </w:pPr>
      <w:rPr>
        <w:rFonts w:hint="default"/>
      </w:rPr>
    </w:lvl>
    <w:lvl w:ilvl="6">
      <w:start w:val="1"/>
      <w:numFmt w:val="bullet"/>
      <w:lvlText w:val="•"/>
      <w:lvlJc w:val="left"/>
      <w:pPr>
        <w:ind w:left="6112" w:hanging="360"/>
      </w:pPr>
      <w:rPr>
        <w:rFonts w:hint="default"/>
      </w:rPr>
    </w:lvl>
    <w:lvl w:ilvl="7">
      <w:start w:val="1"/>
      <w:numFmt w:val="bullet"/>
      <w:lvlText w:val="•"/>
      <w:lvlJc w:val="left"/>
      <w:pPr>
        <w:ind w:left="6974" w:hanging="360"/>
      </w:pPr>
      <w:rPr>
        <w:rFonts w:hint="default"/>
      </w:rPr>
    </w:lvl>
    <w:lvl w:ilvl="8">
      <w:start w:val="1"/>
      <w:numFmt w:val="bullet"/>
      <w:lvlText w:val="•"/>
      <w:lvlJc w:val="left"/>
      <w:pPr>
        <w:ind w:left="7836" w:hanging="360"/>
      </w:pPr>
      <w:rPr>
        <w:rFonts w:hint="default"/>
      </w:rPr>
    </w:lvl>
  </w:abstractNum>
  <w:abstractNum w:abstractNumId="30">
    <w:multiLevelType w:val="hybridMultilevel"/>
    <w:lvl w:ilvl="0">
      <w:start w:val="1"/>
      <w:numFmt w:val="bullet"/>
      <w:lvlText w:val=""/>
      <w:lvlJc w:val="left"/>
      <w:pPr>
        <w:ind w:left="942" w:hanging="360"/>
      </w:pPr>
      <w:rPr>
        <w:rFonts w:hint="default" w:ascii="Wingdings" w:hAnsi="Wingdings" w:eastAsia="Wingdings" w:cs="Wingdings"/>
        <w:w w:val="99"/>
        <w:sz w:val="24"/>
        <w:szCs w:val="24"/>
      </w:rPr>
    </w:lvl>
    <w:lvl w:ilvl="1">
      <w:start w:val="1"/>
      <w:numFmt w:val="bullet"/>
      <w:lvlText w:val="•"/>
      <w:lvlJc w:val="left"/>
      <w:pPr>
        <w:ind w:left="177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30" w:hanging="360"/>
      </w:pPr>
      <w:rPr>
        <w:rFonts w:hint="default"/>
      </w:rPr>
    </w:lvl>
    <w:lvl w:ilvl="4">
      <w:start w:val="1"/>
      <w:numFmt w:val="bullet"/>
      <w:lvlText w:val="•"/>
      <w:lvlJc w:val="left"/>
      <w:pPr>
        <w:ind w:left="4260" w:hanging="360"/>
      </w:pPr>
      <w:rPr>
        <w:rFonts w:hint="default"/>
      </w:rPr>
    </w:lvl>
    <w:lvl w:ilvl="5">
      <w:start w:val="1"/>
      <w:numFmt w:val="bullet"/>
      <w:lvlText w:val="•"/>
      <w:lvlJc w:val="left"/>
      <w:pPr>
        <w:ind w:left="5090" w:hanging="360"/>
      </w:pPr>
      <w:rPr>
        <w:rFonts w:hint="default"/>
      </w:rPr>
    </w:lvl>
    <w:lvl w:ilvl="6">
      <w:start w:val="1"/>
      <w:numFmt w:val="bullet"/>
      <w:lvlText w:val="•"/>
      <w:lvlJc w:val="left"/>
      <w:pPr>
        <w:ind w:left="5920" w:hanging="360"/>
      </w:pPr>
      <w:rPr>
        <w:rFonts w:hint="default"/>
      </w:rPr>
    </w:lvl>
    <w:lvl w:ilvl="7">
      <w:start w:val="1"/>
      <w:numFmt w:val="bullet"/>
      <w:lvlText w:val="•"/>
      <w:lvlJc w:val="left"/>
      <w:pPr>
        <w:ind w:left="6750" w:hanging="360"/>
      </w:pPr>
      <w:rPr>
        <w:rFonts w:hint="default"/>
      </w:rPr>
    </w:lvl>
    <w:lvl w:ilvl="8">
      <w:start w:val="1"/>
      <w:numFmt w:val="bullet"/>
      <w:lvlText w:val="•"/>
      <w:lvlJc w:val="left"/>
      <w:pPr>
        <w:ind w:left="7580" w:hanging="360"/>
      </w:pPr>
      <w:rPr>
        <w:rFonts w:hint="default"/>
      </w:rPr>
    </w:lvl>
  </w:abstractNum>
  <w:abstractNum w:abstractNumId="29">
    <w:multiLevelType w:val="hybridMultilevel"/>
    <w:lvl w:ilvl="0">
      <w:start w:val="1"/>
      <w:numFmt w:val="lowerLetter"/>
      <w:lvlText w:val="%1)"/>
      <w:lvlJc w:val="left"/>
      <w:pPr>
        <w:ind w:left="1182" w:hanging="360"/>
        <w:jc w:val="left"/>
      </w:pPr>
      <w:rPr>
        <w:rFonts w:hint="default" w:ascii="Arial" w:hAnsi="Arial" w:eastAsia="Arial" w:cs="Arial"/>
        <w:w w:val="99"/>
        <w:sz w:val="24"/>
        <w:szCs w:val="24"/>
      </w:rPr>
    </w:lvl>
    <w:lvl w:ilvl="1">
      <w:start w:val="1"/>
      <w:numFmt w:val="bullet"/>
      <w:lvlText w:val="•"/>
      <w:lvlJc w:val="left"/>
      <w:pPr>
        <w:ind w:left="1968" w:hanging="360"/>
      </w:pPr>
      <w:rPr>
        <w:rFonts w:hint="default"/>
      </w:rPr>
    </w:lvl>
    <w:lvl w:ilvl="2">
      <w:start w:val="1"/>
      <w:numFmt w:val="bullet"/>
      <w:lvlText w:val="•"/>
      <w:lvlJc w:val="left"/>
      <w:pPr>
        <w:ind w:left="2756" w:hanging="360"/>
      </w:pPr>
      <w:rPr>
        <w:rFonts w:hint="default"/>
      </w:rPr>
    </w:lvl>
    <w:lvl w:ilvl="3">
      <w:start w:val="1"/>
      <w:numFmt w:val="bullet"/>
      <w:lvlText w:val="•"/>
      <w:lvlJc w:val="left"/>
      <w:pPr>
        <w:ind w:left="3544" w:hanging="360"/>
      </w:pPr>
      <w:rPr>
        <w:rFonts w:hint="default"/>
      </w:rPr>
    </w:lvl>
    <w:lvl w:ilvl="4">
      <w:start w:val="1"/>
      <w:numFmt w:val="bullet"/>
      <w:lvlText w:val="•"/>
      <w:lvlJc w:val="left"/>
      <w:pPr>
        <w:ind w:left="4332" w:hanging="360"/>
      </w:pPr>
      <w:rPr>
        <w:rFonts w:hint="default"/>
      </w:rPr>
    </w:lvl>
    <w:lvl w:ilvl="5">
      <w:start w:val="1"/>
      <w:numFmt w:val="bullet"/>
      <w:lvlText w:val="•"/>
      <w:lvlJc w:val="left"/>
      <w:pPr>
        <w:ind w:left="5120" w:hanging="360"/>
      </w:pPr>
      <w:rPr>
        <w:rFonts w:hint="default"/>
      </w:rPr>
    </w:lvl>
    <w:lvl w:ilvl="6">
      <w:start w:val="1"/>
      <w:numFmt w:val="bullet"/>
      <w:lvlText w:val="•"/>
      <w:lvlJc w:val="left"/>
      <w:pPr>
        <w:ind w:left="5908" w:hanging="360"/>
      </w:pPr>
      <w:rPr>
        <w:rFonts w:hint="default"/>
      </w:rPr>
    </w:lvl>
    <w:lvl w:ilvl="7">
      <w:start w:val="1"/>
      <w:numFmt w:val="bullet"/>
      <w:lvlText w:val="•"/>
      <w:lvlJc w:val="left"/>
      <w:pPr>
        <w:ind w:left="6696" w:hanging="360"/>
      </w:pPr>
      <w:rPr>
        <w:rFonts w:hint="default"/>
      </w:rPr>
    </w:lvl>
    <w:lvl w:ilvl="8">
      <w:start w:val="1"/>
      <w:numFmt w:val="bullet"/>
      <w:lvlText w:val="•"/>
      <w:lvlJc w:val="left"/>
      <w:pPr>
        <w:ind w:left="7484" w:hanging="360"/>
      </w:pPr>
      <w:rPr>
        <w:rFonts w:hint="default"/>
      </w:rPr>
    </w:lvl>
  </w:abstractNum>
  <w:abstractNum w:abstractNumId="28">
    <w:multiLevelType w:val="hybridMultilevel"/>
    <w:lvl w:ilvl="0">
      <w:start w:val="1"/>
      <w:numFmt w:val="decimal"/>
      <w:lvlText w:val="%1)"/>
      <w:lvlJc w:val="left"/>
      <w:pPr>
        <w:ind w:left="516" w:hanging="415"/>
        <w:jc w:val="right"/>
      </w:pPr>
      <w:rPr>
        <w:rFonts w:hint="default" w:ascii="Arial" w:hAnsi="Arial" w:eastAsia="Arial" w:cs="Arial"/>
        <w:spacing w:val="-3"/>
        <w:w w:val="99"/>
        <w:sz w:val="24"/>
        <w:szCs w:val="24"/>
      </w:rPr>
    </w:lvl>
    <w:lvl w:ilvl="1">
      <w:start w:val="1"/>
      <w:numFmt w:val="bullet"/>
      <w:lvlText w:val=""/>
      <w:lvlJc w:val="left"/>
      <w:pPr>
        <w:ind w:left="954" w:hanging="286"/>
      </w:pPr>
      <w:rPr>
        <w:rFonts w:hint="default" w:ascii="Symbol" w:hAnsi="Symbol" w:eastAsia="Symbol" w:cs="Symbol"/>
        <w:w w:val="100"/>
        <w:sz w:val="24"/>
        <w:szCs w:val="24"/>
      </w:rPr>
    </w:lvl>
    <w:lvl w:ilvl="2">
      <w:start w:val="1"/>
      <w:numFmt w:val="bullet"/>
      <w:lvlText w:val="•"/>
      <w:lvlJc w:val="left"/>
      <w:pPr>
        <w:ind w:left="1860" w:hanging="286"/>
      </w:pPr>
      <w:rPr>
        <w:rFonts w:hint="default"/>
      </w:rPr>
    </w:lvl>
    <w:lvl w:ilvl="3">
      <w:start w:val="1"/>
      <w:numFmt w:val="bullet"/>
      <w:lvlText w:val="•"/>
      <w:lvlJc w:val="left"/>
      <w:pPr>
        <w:ind w:left="2760" w:hanging="286"/>
      </w:pPr>
      <w:rPr>
        <w:rFonts w:hint="default"/>
      </w:rPr>
    </w:lvl>
    <w:lvl w:ilvl="4">
      <w:start w:val="1"/>
      <w:numFmt w:val="bullet"/>
      <w:lvlText w:val="•"/>
      <w:lvlJc w:val="left"/>
      <w:pPr>
        <w:ind w:left="3660" w:hanging="286"/>
      </w:pPr>
      <w:rPr>
        <w:rFonts w:hint="default"/>
      </w:rPr>
    </w:lvl>
    <w:lvl w:ilvl="5">
      <w:start w:val="1"/>
      <w:numFmt w:val="bullet"/>
      <w:lvlText w:val="•"/>
      <w:lvlJc w:val="left"/>
      <w:pPr>
        <w:ind w:left="4560" w:hanging="286"/>
      </w:pPr>
      <w:rPr>
        <w:rFonts w:hint="default"/>
      </w:rPr>
    </w:lvl>
    <w:lvl w:ilvl="6">
      <w:start w:val="1"/>
      <w:numFmt w:val="bullet"/>
      <w:lvlText w:val="•"/>
      <w:lvlJc w:val="left"/>
      <w:pPr>
        <w:ind w:left="5460" w:hanging="286"/>
      </w:pPr>
      <w:rPr>
        <w:rFonts w:hint="default"/>
      </w:rPr>
    </w:lvl>
    <w:lvl w:ilvl="7">
      <w:start w:val="1"/>
      <w:numFmt w:val="bullet"/>
      <w:lvlText w:val="•"/>
      <w:lvlJc w:val="left"/>
      <w:pPr>
        <w:ind w:left="6360" w:hanging="286"/>
      </w:pPr>
      <w:rPr>
        <w:rFonts w:hint="default"/>
      </w:rPr>
    </w:lvl>
    <w:lvl w:ilvl="8">
      <w:start w:val="1"/>
      <w:numFmt w:val="bullet"/>
      <w:lvlText w:val="•"/>
      <w:lvlJc w:val="left"/>
      <w:pPr>
        <w:ind w:left="7260" w:hanging="286"/>
      </w:pPr>
      <w:rPr>
        <w:rFonts w:hint="default"/>
      </w:rPr>
    </w:lvl>
  </w:abstractNum>
  <w:abstractNum w:abstractNumId="27">
    <w:multiLevelType w:val="hybridMultilevel"/>
    <w:lvl w:ilvl="0">
      <w:start w:val="1"/>
      <w:numFmt w:val="lowerLetter"/>
      <w:lvlText w:val="%1."/>
      <w:lvlJc w:val="left"/>
      <w:pPr>
        <w:ind w:left="822" w:hanging="360"/>
        <w:jc w:val="left"/>
      </w:pPr>
      <w:rPr>
        <w:rFonts w:hint="default" w:ascii="Arial" w:hAnsi="Arial" w:eastAsia="Arial" w:cs="Arial"/>
        <w:spacing w:val="-4"/>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6">
    <w:multiLevelType w:val="hybridMultilevel"/>
    <w:lvl w:ilvl="0">
      <w:start w:val="4"/>
      <w:numFmt w:val="decimal"/>
      <w:lvlText w:val="%1"/>
      <w:lvlJc w:val="left"/>
      <w:pPr>
        <w:ind w:left="668" w:hanging="567"/>
        <w:jc w:val="left"/>
      </w:pPr>
      <w:rPr>
        <w:rFonts w:hint="default"/>
      </w:rPr>
    </w:lvl>
    <w:lvl w:ilvl="1">
      <w:start w:val="1"/>
      <w:numFmt w:val="decimal"/>
      <w:lvlText w:val="%1.%2."/>
      <w:lvlJc w:val="left"/>
      <w:pPr>
        <w:ind w:left="668" w:hanging="567"/>
        <w:jc w:val="left"/>
      </w:pPr>
      <w:rPr>
        <w:rFonts w:hint="default" w:ascii="Arial" w:hAnsi="Arial" w:eastAsia="Arial" w:cs="Arial"/>
        <w:b/>
        <w:bCs/>
        <w:spacing w:val="-2"/>
        <w:w w:val="99"/>
        <w:sz w:val="24"/>
        <w:szCs w:val="24"/>
      </w:rPr>
    </w:lvl>
    <w:lvl w:ilvl="2">
      <w:start w:val="1"/>
      <w:numFmt w:val="bullet"/>
      <w:lvlText w:val=""/>
      <w:lvlJc w:val="left"/>
      <w:pPr>
        <w:ind w:left="822" w:hanging="360"/>
      </w:pPr>
      <w:rPr>
        <w:rFonts w:hint="default" w:ascii="Symbol" w:hAnsi="Symbol" w:eastAsia="Symbol" w:cs="Symbol"/>
        <w:w w:val="100"/>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25">
    <w:multiLevelType w:val="hybridMultilevel"/>
    <w:lvl w:ilvl="0">
      <w:start w:val="4"/>
      <w:numFmt w:val="decimal"/>
      <w:lvlText w:val="%1"/>
      <w:lvlJc w:val="left"/>
      <w:pPr>
        <w:ind w:left="1095" w:hanging="634"/>
        <w:jc w:val="left"/>
      </w:pPr>
      <w:rPr>
        <w:rFonts w:hint="default"/>
      </w:rPr>
    </w:lvl>
    <w:lvl w:ilvl="1">
      <w:start w:val="1"/>
      <w:numFmt w:val="decimal"/>
      <w:lvlText w:val="%1.%2."/>
      <w:lvlJc w:val="left"/>
      <w:pPr>
        <w:ind w:left="1095" w:hanging="634"/>
        <w:jc w:val="left"/>
      </w:pPr>
      <w:rPr>
        <w:rFonts w:hint="default" w:ascii="Arial" w:hAnsi="Arial" w:eastAsia="Arial" w:cs="Arial"/>
        <w:w w:val="99"/>
        <w:sz w:val="24"/>
        <w:szCs w:val="24"/>
      </w:rPr>
    </w:lvl>
    <w:lvl w:ilvl="2">
      <w:start w:val="1"/>
      <w:numFmt w:val="bullet"/>
      <w:lvlText w:val="•"/>
      <w:lvlJc w:val="left"/>
      <w:pPr>
        <w:ind w:left="2692" w:hanging="634"/>
      </w:pPr>
      <w:rPr>
        <w:rFonts w:hint="default"/>
      </w:rPr>
    </w:lvl>
    <w:lvl w:ilvl="3">
      <w:start w:val="1"/>
      <w:numFmt w:val="bullet"/>
      <w:lvlText w:val="•"/>
      <w:lvlJc w:val="left"/>
      <w:pPr>
        <w:ind w:left="3488" w:hanging="634"/>
      </w:pPr>
      <w:rPr>
        <w:rFonts w:hint="default"/>
      </w:rPr>
    </w:lvl>
    <w:lvl w:ilvl="4">
      <w:start w:val="1"/>
      <w:numFmt w:val="bullet"/>
      <w:lvlText w:val="•"/>
      <w:lvlJc w:val="left"/>
      <w:pPr>
        <w:ind w:left="4284" w:hanging="634"/>
      </w:pPr>
      <w:rPr>
        <w:rFonts w:hint="default"/>
      </w:rPr>
    </w:lvl>
    <w:lvl w:ilvl="5">
      <w:start w:val="1"/>
      <w:numFmt w:val="bullet"/>
      <w:lvlText w:val="•"/>
      <w:lvlJc w:val="left"/>
      <w:pPr>
        <w:ind w:left="5080" w:hanging="634"/>
      </w:pPr>
      <w:rPr>
        <w:rFonts w:hint="default"/>
      </w:rPr>
    </w:lvl>
    <w:lvl w:ilvl="6">
      <w:start w:val="1"/>
      <w:numFmt w:val="bullet"/>
      <w:lvlText w:val="•"/>
      <w:lvlJc w:val="left"/>
      <w:pPr>
        <w:ind w:left="5876" w:hanging="634"/>
      </w:pPr>
      <w:rPr>
        <w:rFonts w:hint="default"/>
      </w:rPr>
    </w:lvl>
    <w:lvl w:ilvl="7">
      <w:start w:val="1"/>
      <w:numFmt w:val="bullet"/>
      <w:lvlText w:val="•"/>
      <w:lvlJc w:val="left"/>
      <w:pPr>
        <w:ind w:left="6672" w:hanging="634"/>
      </w:pPr>
      <w:rPr>
        <w:rFonts w:hint="default"/>
      </w:rPr>
    </w:lvl>
    <w:lvl w:ilvl="8">
      <w:start w:val="1"/>
      <w:numFmt w:val="bullet"/>
      <w:lvlText w:val="•"/>
      <w:lvlJc w:val="left"/>
      <w:pPr>
        <w:ind w:left="7468" w:hanging="634"/>
      </w:pPr>
      <w:rPr>
        <w:rFonts w:hint="default"/>
      </w:rPr>
    </w:lvl>
  </w:abstractNum>
  <w:abstractNum w:abstractNumId="24">
    <w:multiLevelType w:val="hybridMultilevel"/>
    <w:lvl w:ilvl="0">
      <w:start w:val="1"/>
      <w:numFmt w:val="lowerLetter"/>
      <w:lvlText w:val="%1)"/>
      <w:lvlJc w:val="left"/>
      <w:pPr>
        <w:ind w:left="1157" w:hanging="348"/>
        <w:jc w:val="left"/>
      </w:pPr>
      <w:rPr>
        <w:rFonts w:hint="default" w:ascii="Arial" w:hAnsi="Arial" w:eastAsia="Arial" w:cs="Arial"/>
        <w:spacing w:val="-4"/>
        <w:w w:val="99"/>
        <w:sz w:val="24"/>
        <w:szCs w:val="24"/>
      </w:rPr>
    </w:lvl>
    <w:lvl w:ilvl="1">
      <w:start w:val="1"/>
      <w:numFmt w:val="bullet"/>
      <w:lvlText w:val="*"/>
      <w:lvlJc w:val="left"/>
      <w:pPr>
        <w:ind w:left="1745" w:hanging="228"/>
      </w:pPr>
      <w:rPr>
        <w:rFonts w:hint="default" w:ascii="Arial" w:hAnsi="Arial" w:eastAsia="Arial" w:cs="Arial"/>
        <w:w w:val="99"/>
        <w:sz w:val="24"/>
        <w:szCs w:val="24"/>
      </w:rPr>
    </w:lvl>
    <w:lvl w:ilvl="2">
      <w:start w:val="1"/>
      <w:numFmt w:val="bullet"/>
      <w:lvlText w:val="•"/>
      <w:lvlJc w:val="left"/>
      <w:pPr>
        <w:ind w:left="2551" w:hanging="228"/>
      </w:pPr>
      <w:rPr>
        <w:rFonts w:hint="default"/>
      </w:rPr>
    </w:lvl>
    <w:lvl w:ilvl="3">
      <w:start w:val="1"/>
      <w:numFmt w:val="bullet"/>
      <w:lvlText w:val="•"/>
      <w:lvlJc w:val="left"/>
      <w:pPr>
        <w:ind w:left="3362" w:hanging="228"/>
      </w:pPr>
      <w:rPr>
        <w:rFonts w:hint="default"/>
      </w:rPr>
    </w:lvl>
    <w:lvl w:ilvl="4">
      <w:start w:val="1"/>
      <w:numFmt w:val="bullet"/>
      <w:lvlText w:val="•"/>
      <w:lvlJc w:val="left"/>
      <w:pPr>
        <w:ind w:left="4173" w:hanging="228"/>
      </w:pPr>
      <w:rPr>
        <w:rFonts w:hint="default"/>
      </w:rPr>
    </w:lvl>
    <w:lvl w:ilvl="5">
      <w:start w:val="1"/>
      <w:numFmt w:val="bullet"/>
      <w:lvlText w:val="•"/>
      <w:lvlJc w:val="left"/>
      <w:pPr>
        <w:ind w:left="4984" w:hanging="228"/>
      </w:pPr>
      <w:rPr>
        <w:rFonts w:hint="default"/>
      </w:rPr>
    </w:lvl>
    <w:lvl w:ilvl="6">
      <w:start w:val="1"/>
      <w:numFmt w:val="bullet"/>
      <w:lvlText w:val="•"/>
      <w:lvlJc w:val="left"/>
      <w:pPr>
        <w:ind w:left="5795" w:hanging="228"/>
      </w:pPr>
      <w:rPr>
        <w:rFonts w:hint="default"/>
      </w:rPr>
    </w:lvl>
    <w:lvl w:ilvl="7">
      <w:start w:val="1"/>
      <w:numFmt w:val="bullet"/>
      <w:lvlText w:val="•"/>
      <w:lvlJc w:val="left"/>
      <w:pPr>
        <w:ind w:left="6606" w:hanging="228"/>
      </w:pPr>
      <w:rPr>
        <w:rFonts w:hint="default"/>
      </w:rPr>
    </w:lvl>
    <w:lvl w:ilvl="8">
      <w:start w:val="1"/>
      <w:numFmt w:val="bullet"/>
      <w:lvlText w:val="•"/>
      <w:lvlJc w:val="left"/>
      <w:pPr>
        <w:ind w:left="7417" w:hanging="228"/>
      </w:pPr>
      <w:rPr>
        <w:rFonts w:hint="default"/>
      </w:rPr>
    </w:lvl>
  </w:abstractNum>
  <w:abstractNum w:abstractNumId="23">
    <w:multiLevelType w:val="hybridMultilevel"/>
    <w:lvl w:ilvl="0">
      <w:start w:val="1"/>
      <w:numFmt w:val="lowerLetter"/>
      <w:lvlText w:val="%1)"/>
      <w:lvlJc w:val="left"/>
      <w:pPr>
        <w:ind w:left="668" w:hanging="288"/>
        <w:jc w:val="left"/>
      </w:pPr>
      <w:rPr>
        <w:rFonts w:hint="default" w:ascii="Arial" w:hAnsi="Arial" w:eastAsia="Arial" w:cs="Arial"/>
        <w:w w:val="99"/>
        <w:sz w:val="24"/>
        <w:szCs w:val="24"/>
      </w:rPr>
    </w:lvl>
    <w:lvl w:ilvl="1">
      <w:start w:val="1"/>
      <w:numFmt w:val="bullet"/>
      <w:lvlText w:val="•"/>
      <w:lvlJc w:val="left"/>
      <w:pPr>
        <w:ind w:left="1498" w:hanging="288"/>
      </w:pPr>
      <w:rPr>
        <w:rFonts w:hint="default"/>
      </w:rPr>
    </w:lvl>
    <w:lvl w:ilvl="2">
      <w:start w:val="1"/>
      <w:numFmt w:val="bullet"/>
      <w:lvlText w:val="•"/>
      <w:lvlJc w:val="left"/>
      <w:pPr>
        <w:ind w:left="2336" w:hanging="288"/>
      </w:pPr>
      <w:rPr>
        <w:rFonts w:hint="default"/>
      </w:rPr>
    </w:lvl>
    <w:lvl w:ilvl="3">
      <w:start w:val="1"/>
      <w:numFmt w:val="bullet"/>
      <w:lvlText w:val="•"/>
      <w:lvlJc w:val="left"/>
      <w:pPr>
        <w:ind w:left="3174" w:hanging="288"/>
      </w:pPr>
      <w:rPr>
        <w:rFonts w:hint="default"/>
      </w:rPr>
    </w:lvl>
    <w:lvl w:ilvl="4">
      <w:start w:val="1"/>
      <w:numFmt w:val="bullet"/>
      <w:lvlText w:val="•"/>
      <w:lvlJc w:val="left"/>
      <w:pPr>
        <w:ind w:left="4012" w:hanging="288"/>
      </w:pPr>
      <w:rPr>
        <w:rFonts w:hint="default"/>
      </w:rPr>
    </w:lvl>
    <w:lvl w:ilvl="5">
      <w:start w:val="1"/>
      <w:numFmt w:val="bullet"/>
      <w:lvlText w:val="•"/>
      <w:lvlJc w:val="left"/>
      <w:pPr>
        <w:ind w:left="4850" w:hanging="288"/>
      </w:pPr>
      <w:rPr>
        <w:rFonts w:hint="default"/>
      </w:rPr>
    </w:lvl>
    <w:lvl w:ilvl="6">
      <w:start w:val="1"/>
      <w:numFmt w:val="bullet"/>
      <w:lvlText w:val="•"/>
      <w:lvlJc w:val="left"/>
      <w:pPr>
        <w:ind w:left="5688" w:hanging="288"/>
      </w:pPr>
      <w:rPr>
        <w:rFonts w:hint="default"/>
      </w:rPr>
    </w:lvl>
    <w:lvl w:ilvl="7">
      <w:start w:val="1"/>
      <w:numFmt w:val="bullet"/>
      <w:lvlText w:val="•"/>
      <w:lvlJc w:val="left"/>
      <w:pPr>
        <w:ind w:left="6526" w:hanging="288"/>
      </w:pPr>
      <w:rPr>
        <w:rFonts w:hint="default"/>
      </w:rPr>
    </w:lvl>
    <w:lvl w:ilvl="8">
      <w:start w:val="1"/>
      <w:numFmt w:val="bullet"/>
      <w:lvlText w:val="•"/>
      <w:lvlJc w:val="left"/>
      <w:pPr>
        <w:ind w:left="7364" w:hanging="288"/>
      </w:pPr>
      <w:rPr>
        <w:rFonts w:hint="default"/>
      </w:rPr>
    </w:lvl>
  </w:abstractNum>
  <w:abstractNum w:abstractNumId="22">
    <w:multiLevelType w:val="hybridMultilevel"/>
    <w:lvl w:ilvl="0">
      <w:start w:val="1"/>
      <w:numFmt w:val="lowerLetter"/>
      <w:lvlText w:val="%1)"/>
      <w:lvlJc w:val="left"/>
      <w:pPr>
        <w:ind w:left="102" w:hanging="300"/>
        <w:jc w:val="left"/>
      </w:pPr>
      <w:rPr>
        <w:rFonts w:hint="default" w:ascii="Arial" w:hAnsi="Arial" w:eastAsia="Arial" w:cs="Arial"/>
        <w:w w:val="99"/>
        <w:sz w:val="24"/>
        <w:szCs w:val="24"/>
      </w:rPr>
    </w:lvl>
    <w:lvl w:ilvl="1">
      <w:start w:val="1"/>
      <w:numFmt w:val="lowerLetter"/>
      <w:lvlText w:val="%2)"/>
      <w:lvlJc w:val="left"/>
      <w:pPr>
        <w:ind w:left="688" w:hanging="298"/>
        <w:jc w:val="left"/>
      </w:pPr>
      <w:rPr>
        <w:rFonts w:hint="default" w:ascii="Arial" w:hAnsi="Arial" w:eastAsia="Arial" w:cs="Arial"/>
        <w:w w:val="99"/>
        <w:sz w:val="24"/>
        <w:szCs w:val="24"/>
      </w:rPr>
    </w:lvl>
    <w:lvl w:ilvl="2">
      <w:start w:val="1"/>
      <w:numFmt w:val="bullet"/>
      <w:lvlText w:val="•"/>
      <w:lvlJc w:val="left"/>
      <w:pPr>
        <w:ind w:left="1608" w:hanging="298"/>
      </w:pPr>
      <w:rPr>
        <w:rFonts w:hint="default"/>
      </w:rPr>
    </w:lvl>
    <w:lvl w:ilvl="3">
      <w:start w:val="1"/>
      <w:numFmt w:val="bullet"/>
      <w:lvlText w:val="•"/>
      <w:lvlJc w:val="left"/>
      <w:pPr>
        <w:ind w:left="2537" w:hanging="298"/>
      </w:pPr>
      <w:rPr>
        <w:rFonts w:hint="default"/>
      </w:rPr>
    </w:lvl>
    <w:lvl w:ilvl="4">
      <w:start w:val="1"/>
      <w:numFmt w:val="bullet"/>
      <w:lvlText w:val="•"/>
      <w:lvlJc w:val="left"/>
      <w:pPr>
        <w:ind w:left="3466" w:hanging="298"/>
      </w:pPr>
      <w:rPr>
        <w:rFonts w:hint="default"/>
      </w:rPr>
    </w:lvl>
    <w:lvl w:ilvl="5">
      <w:start w:val="1"/>
      <w:numFmt w:val="bullet"/>
      <w:lvlText w:val="•"/>
      <w:lvlJc w:val="left"/>
      <w:pPr>
        <w:ind w:left="4395" w:hanging="298"/>
      </w:pPr>
      <w:rPr>
        <w:rFonts w:hint="default"/>
      </w:rPr>
    </w:lvl>
    <w:lvl w:ilvl="6">
      <w:start w:val="1"/>
      <w:numFmt w:val="bullet"/>
      <w:lvlText w:val="•"/>
      <w:lvlJc w:val="left"/>
      <w:pPr>
        <w:ind w:left="5324" w:hanging="298"/>
      </w:pPr>
      <w:rPr>
        <w:rFonts w:hint="default"/>
      </w:rPr>
    </w:lvl>
    <w:lvl w:ilvl="7">
      <w:start w:val="1"/>
      <w:numFmt w:val="bullet"/>
      <w:lvlText w:val="•"/>
      <w:lvlJc w:val="left"/>
      <w:pPr>
        <w:ind w:left="6253" w:hanging="298"/>
      </w:pPr>
      <w:rPr>
        <w:rFonts w:hint="default"/>
      </w:rPr>
    </w:lvl>
    <w:lvl w:ilvl="8">
      <w:start w:val="1"/>
      <w:numFmt w:val="bullet"/>
      <w:lvlText w:val="•"/>
      <w:lvlJc w:val="left"/>
      <w:pPr>
        <w:ind w:left="7182" w:hanging="298"/>
      </w:pPr>
      <w:rPr>
        <w:rFonts w:hint="default"/>
      </w:rPr>
    </w:lvl>
  </w:abstractNum>
  <w:abstractNum w:abstractNumId="21">
    <w:multiLevelType w:val="hybridMultilevel"/>
    <w:lvl w:ilvl="0">
      <w:start w:val="1"/>
      <w:numFmt w:val="decimal"/>
      <w:lvlText w:val="%1."/>
      <w:lvlJc w:val="left"/>
      <w:pPr>
        <w:ind w:left="102" w:hanging="708"/>
        <w:jc w:val="left"/>
      </w:pPr>
      <w:rPr>
        <w:rFonts w:hint="default" w:ascii="Arial" w:hAnsi="Arial" w:eastAsia="Arial" w:cs="Arial"/>
        <w:spacing w:val="-33"/>
        <w:w w:val="99"/>
        <w:sz w:val="24"/>
        <w:szCs w:val="24"/>
      </w:rPr>
    </w:lvl>
    <w:lvl w:ilvl="1">
      <w:start w:val="1"/>
      <w:numFmt w:val="bullet"/>
      <w:lvlText w:val="•"/>
      <w:lvlJc w:val="left"/>
      <w:pPr>
        <w:ind w:left="996" w:hanging="708"/>
      </w:pPr>
      <w:rPr>
        <w:rFonts w:hint="default"/>
      </w:rPr>
    </w:lvl>
    <w:lvl w:ilvl="2">
      <w:start w:val="1"/>
      <w:numFmt w:val="bullet"/>
      <w:lvlText w:val="•"/>
      <w:lvlJc w:val="left"/>
      <w:pPr>
        <w:ind w:left="1892" w:hanging="708"/>
      </w:pPr>
      <w:rPr>
        <w:rFonts w:hint="default"/>
      </w:rPr>
    </w:lvl>
    <w:lvl w:ilvl="3">
      <w:start w:val="1"/>
      <w:numFmt w:val="bullet"/>
      <w:lvlText w:val="•"/>
      <w:lvlJc w:val="left"/>
      <w:pPr>
        <w:ind w:left="2788" w:hanging="708"/>
      </w:pPr>
      <w:rPr>
        <w:rFonts w:hint="default"/>
      </w:rPr>
    </w:lvl>
    <w:lvl w:ilvl="4">
      <w:start w:val="1"/>
      <w:numFmt w:val="bullet"/>
      <w:lvlText w:val="•"/>
      <w:lvlJc w:val="left"/>
      <w:pPr>
        <w:ind w:left="3684" w:hanging="708"/>
      </w:pPr>
      <w:rPr>
        <w:rFonts w:hint="default"/>
      </w:rPr>
    </w:lvl>
    <w:lvl w:ilvl="5">
      <w:start w:val="1"/>
      <w:numFmt w:val="bullet"/>
      <w:lvlText w:val="•"/>
      <w:lvlJc w:val="left"/>
      <w:pPr>
        <w:ind w:left="4580" w:hanging="708"/>
      </w:pPr>
      <w:rPr>
        <w:rFonts w:hint="default"/>
      </w:rPr>
    </w:lvl>
    <w:lvl w:ilvl="6">
      <w:start w:val="1"/>
      <w:numFmt w:val="bullet"/>
      <w:lvlText w:val="•"/>
      <w:lvlJc w:val="left"/>
      <w:pPr>
        <w:ind w:left="5476" w:hanging="708"/>
      </w:pPr>
      <w:rPr>
        <w:rFonts w:hint="default"/>
      </w:rPr>
    </w:lvl>
    <w:lvl w:ilvl="7">
      <w:start w:val="1"/>
      <w:numFmt w:val="bullet"/>
      <w:lvlText w:val="•"/>
      <w:lvlJc w:val="left"/>
      <w:pPr>
        <w:ind w:left="6372" w:hanging="708"/>
      </w:pPr>
      <w:rPr>
        <w:rFonts w:hint="default"/>
      </w:rPr>
    </w:lvl>
    <w:lvl w:ilvl="8">
      <w:start w:val="1"/>
      <w:numFmt w:val="bullet"/>
      <w:lvlText w:val="•"/>
      <w:lvlJc w:val="left"/>
      <w:pPr>
        <w:ind w:left="7268" w:hanging="708"/>
      </w:pPr>
      <w:rPr>
        <w:rFonts w:hint="default"/>
      </w:rPr>
    </w:lvl>
  </w:abstractNum>
  <w:abstractNum w:abstractNumId="20">
    <w:multiLevelType w:val="hybridMultilevel"/>
    <w:lvl w:ilvl="0">
      <w:start w:val="3"/>
      <w:numFmt w:val="decimal"/>
      <w:lvlText w:val="%1"/>
      <w:lvlJc w:val="left"/>
      <w:pPr>
        <w:ind w:left="668" w:hanging="567"/>
        <w:jc w:val="left"/>
      </w:pPr>
      <w:rPr>
        <w:rFonts w:hint="default"/>
      </w:rPr>
    </w:lvl>
    <w:lvl w:ilvl="1">
      <w:start w:val="1"/>
      <w:numFmt w:val="decimal"/>
      <w:lvlText w:val="%1.%2."/>
      <w:lvlJc w:val="left"/>
      <w:pPr>
        <w:ind w:left="668" w:hanging="567"/>
        <w:jc w:val="right"/>
      </w:pPr>
      <w:rPr>
        <w:rFonts w:hint="default" w:ascii="Arial" w:hAnsi="Arial" w:eastAsia="Arial" w:cs="Arial"/>
        <w:b/>
        <w:bCs/>
        <w:spacing w:val="-3"/>
        <w:w w:val="99"/>
        <w:sz w:val="24"/>
        <w:szCs w:val="24"/>
      </w:rPr>
    </w:lvl>
    <w:lvl w:ilvl="2">
      <w:start w:val="1"/>
      <w:numFmt w:val="bullet"/>
      <w:lvlText w:val=""/>
      <w:lvlJc w:val="left"/>
      <w:pPr>
        <w:ind w:left="954" w:hanging="286"/>
      </w:pPr>
      <w:rPr>
        <w:rFonts w:hint="default" w:ascii="Symbol" w:hAnsi="Symbol" w:eastAsia="Symbol" w:cs="Symbol"/>
        <w:w w:val="100"/>
        <w:sz w:val="24"/>
        <w:szCs w:val="24"/>
      </w:rPr>
    </w:lvl>
    <w:lvl w:ilvl="3">
      <w:start w:val="1"/>
      <w:numFmt w:val="bullet"/>
      <w:lvlText w:val="•"/>
      <w:lvlJc w:val="left"/>
      <w:pPr>
        <w:ind w:left="1972" w:hanging="286"/>
      </w:pPr>
      <w:rPr>
        <w:rFonts w:hint="default"/>
      </w:rPr>
    </w:lvl>
    <w:lvl w:ilvl="4">
      <w:start w:val="1"/>
      <w:numFmt w:val="bullet"/>
      <w:lvlText w:val="•"/>
      <w:lvlJc w:val="left"/>
      <w:pPr>
        <w:ind w:left="2985" w:hanging="286"/>
      </w:pPr>
      <w:rPr>
        <w:rFonts w:hint="default"/>
      </w:rPr>
    </w:lvl>
    <w:lvl w:ilvl="5">
      <w:start w:val="1"/>
      <w:numFmt w:val="bullet"/>
      <w:lvlText w:val="•"/>
      <w:lvlJc w:val="left"/>
      <w:pPr>
        <w:ind w:left="3997" w:hanging="286"/>
      </w:pPr>
      <w:rPr>
        <w:rFonts w:hint="default"/>
      </w:rPr>
    </w:lvl>
    <w:lvl w:ilvl="6">
      <w:start w:val="1"/>
      <w:numFmt w:val="bullet"/>
      <w:lvlText w:val="•"/>
      <w:lvlJc w:val="left"/>
      <w:pPr>
        <w:ind w:left="5010" w:hanging="286"/>
      </w:pPr>
      <w:rPr>
        <w:rFonts w:hint="default"/>
      </w:rPr>
    </w:lvl>
    <w:lvl w:ilvl="7">
      <w:start w:val="1"/>
      <w:numFmt w:val="bullet"/>
      <w:lvlText w:val="•"/>
      <w:lvlJc w:val="left"/>
      <w:pPr>
        <w:ind w:left="6022" w:hanging="286"/>
      </w:pPr>
      <w:rPr>
        <w:rFonts w:hint="default"/>
      </w:rPr>
    </w:lvl>
    <w:lvl w:ilvl="8">
      <w:start w:val="1"/>
      <w:numFmt w:val="bullet"/>
      <w:lvlText w:val="•"/>
      <w:lvlJc w:val="left"/>
      <w:pPr>
        <w:ind w:left="7035" w:hanging="286"/>
      </w:pPr>
      <w:rPr>
        <w:rFonts w:hint="default"/>
      </w:rPr>
    </w:lvl>
  </w:abstractNum>
  <w:abstractNum w:abstractNumId="19">
    <w:multiLevelType w:val="hybridMultilevel"/>
    <w:lvl w:ilvl="0">
      <w:start w:val="3"/>
      <w:numFmt w:val="decimal"/>
      <w:lvlText w:val="%1"/>
      <w:lvlJc w:val="left"/>
      <w:pPr>
        <w:ind w:left="1095" w:hanging="634"/>
        <w:jc w:val="left"/>
      </w:pPr>
      <w:rPr>
        <w:rFonts w:hint="default"/>
      </w:rPr>
    </w:lvl>
    <w:lvl w:ilvl="1">
      <w:start w:val="1"/>
      <w:numFmt w:val="decimal"/>
      <w:lvlText w:val="%1.%2."/>
      <w:lvlJc w:val="left"/>
      <w:pPr>
        <w:ind w:left="1095" w:hanging="634"/>
        <w:jc w:val="left"/>
      </w:pPr>
      <w:rPr>
        <w:rFonts w:hint="default" w:ascii="Arial" w:hAnsi="Arial" w:eastAsia="Arial" w:cs="Arial"/>
        <w:w w:val="99"/>
        <w:sz w:val="24"/>
        <w:szCs w:val="24"/>
      </w:rPr>
    </w:lvl>
    <w:lvl w:ilvl="2">
      <w:start w:val="1"/>
      <w:numFmt w:val="bullet"/>
      <w:lvlText w:val="•"/>
      <w:lvlJc w:val="left"/>
      <w:pPr>
        <w:ind w:left="2692" w:hanging="634"/>
      </w:pPr>
      <w:rPr>
        <w:rFonts w:hint="default"/>
      </w:rPr>
    </w:lvl>
    <w:lvl w:ilvl="3">
      <w:start w:val="1"/>
      <w:numFmt w:val="bullet"/>
      <w:lvlText w:val="•"/>
      <w:lvlJc w:val="left"/>
      <w:pPr>
        <w:ind w:left="3488" w:hanging="634"/>
      </w:pPr>
      <w:rPr>
        <w:rFonts w:hint="default"/>
      </w:rPr>
    </w:lvl>
    <w:lvl w:ilvl="4">
      <w:start w:val="1"/>
      <w:numFmt w:val="bullet"/>
      <w:lvlText w:val="•"/>
      <w:lvlJc w:val="left"/>
      <w:pPr>
        <w:ind w:left="4284" w:hanging="634"/>
      </w:pPr>
      <w:rPr>
        <w:rFonts w:hint="default"/>
      </w:rPr>
    </w:lvl>
    <w:lvl w:ilvl="5">
      <w:start w:val="1"/>
      <w:numFmt w:val="bullet"/>
      <w:lvlText w:val="•"/>
      <w:lvlJc w:val="left"/>
      <w:pPr>
        <w:ind w:left="5080" w:hanging="634"/>
      </w:pPr>
      <w:rPr>
        <w:rFonts w:hint="default"/>
      </w:rPr>
    </w:lvl>
    <w:lvl w:ilvl="6">
      <w:start w:val="1"/>
      <w:numFmt w:val="bullet"/>
      <w:lvlText w:val="•"/>
      <w:lvlJc w:val="left"/>
      <w:pPr>
        <w:ind w:left="5876" w:hanging="634"/>
      </w:pPr>
      <w:rPr>
        <w:rFonts w:hint="default"/>
      </w:rPr>
    </w:lvl>
    <w:lvl w:ilvl="7">
      <w:start w:val="1"/>
      <w:numFmt w:val="bullet"/>
      <w:lvlText w:val="•"/>
      <w:lvlJc w:val="left"/>
      <w:pPr>
        <w:ind w:left="6672" w:hanging="634"/>
      </w:pPr>
      <w:rPr>
        <w:rFonts w:hint="default"/>
      </w:rPr>
    </w:lvl>
    <w:lvl w:ilvl="8">
      <w:start w:val="1"/>
      <w:numFmt w:val="bullet"/>
      <w:lvlText w:val="•"/>
      <w:lvlJc w:val="left"/>
      <w:pPr>
        <w:ind w:left="7468" w:hanging="634"/>
      </w:pPr>
      <w:rPr>
        <w:rFonts w:hint="default"/>
      </w:rPr>
    </w:lvl>
  </w:abstractNum>
  <w:abstractNum w:abstractNumId="18">
    <w:multiLevelType w:val="hybridMultilevel"/>
    <w:lvl w:ilvl="0">
      <w:start w:val="1"/>
      <w:numFmt w:val="decimal"/>
      <w:lvlText w:val="%1."/>
      <w:lvlJc w:val="left"/>
      <w:pPr>
        <w:ind w:left="370" w:hanging="269"/>
        <w:jc w:val="left"/>
      </w:pPr>
      <w:rPr>
        <w:rFonts w:hint="default" w:ascii="Arial" w:hAnsi="Arial" w:eastAsia="Arial" w:cs="Arial"/>
        <w:w w:val="99"/>
        <w:sz w:val="24"/>
        <w:szCs w:val="24"/>
      </w:rPr>
    </w:lvl>
    <w:lvl w:ilvl="1">
      <w:start w:val="1"/>
      <w:numFmt w:val="bullet"/>
      <w:lvlText w:val="•"/>
      <w:lvlJc w:val="left"/>
      <w:pPr>
        <w:ind w:left="1248" w:hanging="269"/>
      </w:pPr>
      <w:rPr>
        <w:rFonts w:hint="default"/>
      </w:rPr>
    </w:lvl>
    <w:lvl w:ilvl="2">
      <w:start w:val="1"/>
      <w:numFmt w:val="bullet"/>
      <w:lvlText w:val="•"/>
      <w:lvlJc w:val="left"/>
      <w:pPr>
        <w:ind w:left="2116" w:hanging="269"/>
      </w:pPr>
      <w:rPr>
        <w:rFonts w:hint="default"/>
      </w:rPr>
    </w:lvl>
    <w:lvl w:ilvl="3">
      <w:start w:val="1"/>
      <w:numFmt w:val="bullet"/>
      <w:lvlText w:val="•"/>
      <w:lvlJc w:val="left"/>
      <w:pPr>
        <w:ind w:left="2984" w:hanging="269"/>
      </w:pPr>
      <w:rPr>
        <w:rFonts w:hint="default"/>
      </w:rPr>
    </w:lvl>
    <w:lvl w:ilvl="4">
      <w:start w:val="1"/>
      <w:numFmt w:val="bullet"/>
      <w:lvlText w:val="•"/>
      <w:lvlJc w:val="left"/>
      <w:pPr>
        <w:ind w:left="3852" w:hanging="269"/>
      </w:pPr>
      <w:rPr>
        <w:rFonts w:hint="default"/>
      </w:rPr>
    </w:lvl>
    <w:lvl w:ilvl="5">
      <w:start w:val="1"/>
      <w:numFmt w:val="bullet"/>
      <w:lvlText w:val="•"/>
      <w:lvlJc w:val="left"/>
      <w:pPr>
        <w:ind w:left="4720" w:hanging="269"/>
      </w:pPr>
      <w:rPr>
        <w:rFonts w:hint="default"/>
      </w:rPr>
    </w:lvl>
    <w:lvl w:ilvl="6">
      <w:start w:val="1"/>
      <w:numFmt w:val="bullet"/>
      <w:lvlText w:val="•"/>
      <w:lvlJc w:val="left"/>
      <w:pPr>
        <w:ind w:left="5588" w:hanging="269"/>
      </w:pPr>
      <w:rPr>
        <w:rFonts w:hint="default"/>
      </w:rPr>
    </w:lvl>
    <w:lvl w:ilvl="7">
      <w:start w:val="1"/>
      <w:numFmt w:val="bullet"/>
      <w:lvlText w:val="•"/>
      <w:lvlJc w:val="left"/>
      <w:pPr>
        <w:ind w:left="6456" w:hanging="269"/>
      </w:pPr>
      <w:rPr>
        <w:rFonts w:hint="default"/>
      </w:rPr>
    </w:lvl>
    <w:lvl w:ilvl="8">
      <w:start w:val="1"/>
      <w:numFmt w:val="bullet"/>
      <w:lvlText w:val="•"/>
      <w:lvlJc w:val="left"/>
      <w:pPr>
        <w:ind w:left="7324" w:hanging="269"/>
      </w:pPr>
      <w:rPr>
        <w:rFonts w:hint="default"/>
      </w:rPr>
    </w:lvl>
  </w:abstractNum>
  <w:abstractNum w:abstractNumId="17">
    <w:multiLevelType w:val="hybridMultilevel"/>
    <w:lvl w:ilvl="0">
      <w:start w:val="2"/>
      <w:numFmt w:val="decimal"/>
      <w:lvlText w:val="%1"/>
      <w:lvlJc w:val="left"/>
      <w:pPr>
        <w:ind w:left="810" w:hanging="708"/>
        <w:jc w:val="left"/>
      </w:pPr>
      <w:rPr>
        <w:rFonts w:hint="default"/>
      </w:rPr>
    </w:lvl>
    <w:lvl w:ilvl="1">
      <w:start w:val="4"/>
      <w:numFmt w:val="decimal"/>
      <w:lvlText w:val="%1.%2"/>
      <w:lvlJc w:val="left"/>
      <w:pPr>
        <w:ind w:left="810" w:hanging="708"/>
        <w:jc w:val="left"/>
      </w:pPr>
      <w:rPr>
        <w:rFonts w:hint="default"/>
      </w:rPr>
    </w:lvl>
    <w:lvl w:ilvl="2">
      <w:start w:val="3"/>
      <w:numFmt w:val="decimal"/>
      <w:lvlText w:val="%1.%2.%3."/>
      <w:lvlJc w:val="left"/>
      <w:pPr>
        <w:ind w:left="810" w:hanging="708"/>
        <w:jc w:val="left"/>
      </w:pPr>
      <w:rPr>
        <w:rFonts w:hint="default" w:ascii="Arial" w:hAnsi="Arial" w:eastAsia="Arial" w:cs="Arial"/>
        <w:b/>
        <w:bCs/>
        <w:spacing w:val="-27"/>
        <w:w w:val="99"/>
        <w:sz w:val="24"/>
        <w:szCs w:val="24"/>
      </w:rPr>
    </w:lvl>
    <w:lvl w:ilvl="3">
      <w:start w:val="1"/>
      <w:numFmt w:val="bullet"/>
      <w:lvlText w:val="•"/>
      <w:lvlJc w:val="left"/>
      <w:pPr>
        <w:ind w:left="3292" w:hanging="708"/>
      </w:pPr>
      <w:rPr>
        <w:rFonts w:hint="default"/>
      </w:rPr>
    </w:lvl>
    <w:lvl w:ilvl="4">
      <w:start w:val="1"/>
      <w:numFmt w:val="bullet"/>
      <w:lvlText w:val="•"/>
      <w:lvlJc w:val="left"/>
      <w:pPr>
        <w:ind w:left="4116" w:hanging="708"/>
      </w:pPr>
      <w:rPr>
        <w:rFonts w:hint="default"/>
      </w:rPr>
    </w:lvl>
    <w:lvl w:ilvl="5">
      <w:start w:val="1"/>
      <w:numFmt w:val="bullet"/>
      <w:lvlText w:val="•"/>
      <w:lvlJc w:val="left"/>
      <w:pPr>
        <w:ind w:left="4940" w:hanging="708"/>
      </w:pPr>
      <w:rPr>
        <w:rFonts w:hint="default"/>
      </w:rPr>
    </w:lvl>
    <w:lvl w:ilvl="6">
      <w:start w:val="1"/>
      <w:numFmt w:val="bullet"/>
      <w:lvlText w:val="•"/>
      <w:lvlJc w:val="left"/>
      <w:pPr>
        <w:ind w:left="5764" w:hanging="708"/>
      </w:pPr>
      <w:rPr>
        <w:rFonts w:hint="default"/>
      </w:rPr>
    </w:lvl>
    <w:lvl w:ilvl="7">
      <w:start w:val="1"/>
      <w:numFmt w:val="bullet"/>
      <w:lvlText w:val="•"/>
      <w:lvlJc w:val="left"/>
      <w:pPr>
        <w:ind w:left="6588" w:hanging="708"/>
      </w:pPr>
      <w:rPr>
        <w:rFonts w:hint="default"/>
      </w:rPr>
    </w:lvl>
    <w:lvl w:ilvl="8">
      <w:start w:val="1"/>
      <w:numFmt w:val="bullet"/>
      <w:lvlText w:val="•"/>
      <w:lvlJc w:val="left"/>
      <w:pPr>
        <w:ind w:left="7412" w:hanging="708"/>
      </w:pPr>
      <w:rPr>
        <w:rFonts w:hint="default"/>
      </w:rPr>
    </w:lvl>
  </w:abstractNum>
  <w:abstractNum w:abstractNumId="16">
    <w:multiLevelType w:val="hybridMultilevel"/>
    <w:lvl w:ilvl="0">
      <w:start w:val="1"/>
      <w:numFmt w:val="decimal"/>
      <w:lvlText w:val="%1."/>
      <w:lvlJc w:val="left"/>
      <w:pPr>
        <w:ind w:left="822" w:hanging="360"/>
        <w:jc w:val="left"/>
      </w:pPr>
      <w:rPr>
        <w:rFonts w:hint="default" w:ascii="Arial" w:hAnsi="Arial" w:eastAsia="Arial" w:cs="Arial"/>
        <w:spacing w:val="-24"/>
        <w:w w:val="99"/>
        <w:sz w:val="24"/>
        <w:szCs w:val="24"/>
      </w:rPr>
    </w:lvl>
    <w:lvl w:ilvl="1">
      <w:start w:val="1"/>
      <w:numFmt w:val="bullet"/>
      <w:lvlText w:val="•"/>
      <w:lvlJc w:val="left"/>
      <w:pPr>
        <w:ind w:left="1642" w:hanging="360"/>
      </w:pPr>
      <w:rPr>
        <w:rFonts w:hint="default"/>
      </w:rPr>
    </w:lvl>
    <w:lvl w:ilvl="2">
      <w:start w:val="1"/>
      <w:numFmt w:val="bullet"/>
      <w:lvlText w:val="•"/>
      <w:lvlJc w:val="left"/>
      <w:pPr>
        <w:ind w:left="2464" w:hanging="360"/>
      </w:pPr>
      <w:rPr>
        <w:rFonts w:hint="default"/>
      </w:rPr>
    </w:lvl>
    <w:lvl w:ilvl="3">
      <w:start w:val="1"/>
      <w:numFmt w:val="bullet"/>
      <w:lvlText w:val="•"/>
      <w:lvlJc w:val="left"/>
      <w:pPr>
        <w:ind w:left="3286" w:hanging="360"/>
      </w:pPr>
      <w:rPr>
        <w:rFonts w:hint="default"/>
      </w:rPr>
    </w:lvl>
    <w:lvl w:ilvl="4">
      <w:start w:val="1"/>
      <w:numFmt w:val="bullet"/>
      <w:lvlText w:val="•"/>
      <w:lvlJc w:val="left"/>
      <w:pPr>
        <w:ind w:left="4108" w:hanging="360"/>
      </w:pPr>
      <w:rPr>
        <w:rFonts w:hint="default"/>
      </w:rPr>
    </w:lvl>
    <w:lvl w:ilvl="5">
      <w:start w:val="1"/>
      <w:numFmt w:val="bullet"/>
      <w:lvlText w:val="•"/>
      <w:lvlJc w:val="left"/>
      <w:pPr>
        <w:ind w:left="4930" w:hanging="360"/>
      </w:pPr>
      <w:rPr>
        <w:rFonts w:hint="default"/>
      </w:rPr>
    </w:lvl>
    <w:lvl w:ilvl="6">
      <w:start w:val="1"/>
      <w:numFmt w:val="bullet"/>
      <w:lvlText w:val="•"/>
      <w:lvlJc w:val="left"/>
      <w:pPr>
        <w:ind w:left="5752" w:hanging="360"/>
      </w:pPr>
      <w:rPr>
        <w:rFonts w:hint="default"/>
      </w:rPr>
    </w:lvl>
    <w:lvl w:ilvl="7">
      <w:start w:val="1"/>
      <w:numFmt w:val="bullet"/>
      <w:lvlText w:val="•"/>
      <w:lvlJc w:val="left"/>
      <w:pPr>
        <w:ind w:left="6574" w:hanging="360"/>
      </w:pPr>
      <w:rPr>
        <w:rFonts w:hint="default"/>
      </w:rPr>
    </w:lvl>
    <w:lvl w:ilvl="8">
      <w:start w:val="1"/>
      <w:numFmt w:val="bullet"/>
      <w:lvlText w:val="•"/>
      <w:lvlJc w:val="left"/>
      <w:pPr>
        <w:ind w:left="7396" w:hanging="360"/>
      </w:pPr>
      <w:rPr>
        <w:rFonts w:hint="default"/>
      </w:rPr>
    </w:lvl>
  </w:abstractNum>
  <w:abstractNum w:abstractNumId="15">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182" w:hanging="360"/>
      </w:pPr>
      <w:rPr>
        <w:rFonts w:hint="default" w:ascii="Symbol" w:hAnsi="Symbol" w:eastAsia="Symbol" w:cs="Symbol"/>
        <w:w w:val="100"/>
        <w:sz w:val="24"/>
        <w:szCs w:val="24"/>
      </w:rPr>
    </w:lvl>
    <w:lvl w:ilvl="2">
      <w:start w:val="1"/>
      <w:numFmt w:val="bullet"/>
      <w:lvlText w:val="•"/>
      <w:lvlJc w:val="left"/>
      <w:pPr>
        <w:ind w:left="2055" w:hanging="360"/>
      </w:pPr>
      <w:rPr>
        <w:rFonts w:hint="default"/>
      </w:rPr>
    </w:lvl>
    <w:lvl w:ilvl="3">
      <w:start w:val="1"/>
      <w:numFmt w:val="bullet"/>
      <w:lvlText w:val="•"/>
      <w:lvlJc w:val="left"/>
      <w:pPr>
        <w:ind w:left="2931" w:hanging="360"/>
      </w:pPr>
      <w:rPr>
        <w:rFonts w:hint="default"/>
      </w:rPr>
    </w:lvl>
    <w:lvl w:ilvl="4">
      <w:start w:val="1"/>
      <w:numFmt w:val="bullet"/>
      <w:lvlText w:val="•"/>
      <w:lvlJc w:val="left"/>
      <w:pPr>
        <w:ind w:left="3806" w:hanging="360"/>
      </w:pPr>
      <w:rPr>
        <w:rFonts w:hint="default"/>
      </w:rPr>
    </w:lvl>
    <w:lvl w:ilvl="5">
      <w:start w:val="1"/>
      <w:numFmt w:val="bullet"/>
      <w:lvlText w:val="•"/>
      <w:lvlJc w:val="left"/>
      <w:pPr>
        <w:ind w:left="4682" w:hanging="360"/>
      </w:pPr>
      <w:rPr>
        <w:rFonts w:hint="default"/>
      </w:rPr>
    </w:lvl>
    <w:lvl w:ilvl="6">
      <w:start w:val="1"/>
      <w:numFmt w:val="bullet"/>
      <w:lvlText w:val="•"/>
      <w:lvlJc w:val="left"/>
      <w:pPr>
        <w:ind w:left="5557" w:hanging="360"/>
      </w:pPr>
      <w:rPr>
        <w:rFonts w:hint="default"/>
      </w:rPr>
    </w:lvl>
    <w:lvl w:ilvl="7">
      <w:start w:val="1"/>
      <w:numFmt w:val="bullet"/>
      <w:lvlText w:val="•"/>
      <w:lvlJc w:val="left"/>
      <w:pPr>
        <w:ind w:left="6433" w:hanging="360"/>
      </w:pPr>
      <w:rPr>
        <w:rFonts w:hint="default"/>
      </w:rPr>
    </w:lvl>
    <w:lvl w:ilvl="8">
      <w:start w:val="1"/>
      <w:numFmt w:val="bullet"/>
      <w:lvlText w:val="•"/>
      <w:lvlJc w:val="left"/>
      <w:pPr>
        <w:ind w:left="7308" w:hanging="360"/>
      </w:pPr>
      <w:rPr>
        <w:rFonts w:hint="default"/>
      </w:rPr>
    </w:lvl>
  </w:abstractNum>
  <w:abstractNum w:abstractNumId="14">
    <w:multiLevelType w:val="hybridMultilevel"/>
    <w:lvl w:ilvl="0">
      <w:start w:val="1"/>
      <w:numFmt w:val="bullet"/>
      <w:lvlText w:val=""/>
      <w:lvlJc w:val="left"/>
      <w:pPr>
        <w:ind w:left="822" w:hanging="360"/>
      </w:pPr>
      <w:rPr>
        <w:rFonts w:hint="default" w:ascii="Symbol" w:hAnsi="Symbol" w:eastAsia="Symbol" w:cs="Symbol"/>
        <w:w w:val="99"/>
        <w:sz w:val="20"/>
        <w:szCs w:val="20"/>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3">
    <w:multiLevelType w:val="hybridMultilevel"/>
    <w:lvl w:ilvl="0">
      <w:start w:val="2"/>
      <w:numFmt w:val="decimal"/>
      <w:lvlText w:val="%1"/>
      <w:lvlJc w:val="left"/>
      <w:pPr>
        <w:ind w:left="810" w:hanging="708"/>
        <w:jc w:val="left"/>
      </w:pPr>
      <w:rPr>
        <w:rFonts w:hint="default"/>
      </w:rPr>
    </w:lvl>
    <w:lvl w:ilvl="1">
      <w:start w:val="1"/>
      <w:numFmt w:val="decimal"/>
      <w:lvlText w:val="%1.%2."/>
      <w:lvlJc w:val="left"/>
      <w:pPr>
        <w:ind w:left="810" w:hanging="708"/>
        <w:jc w:val="left"/>
      </w:pPr>
      <w:rPr>
        <w:rFonts w:hint="default" w:ascii="Arial" w:hAnsi="Arial" w:eastAsia="Arial" w:cs="Arial"/>
        <w:b/>
        <w:bCs/>
        <w:spacing w:val="-4"/>
        <w:w w:val="99"/>
        <w:sz w:val="24"/>
        <w:szCs w:val="24"/>
      </w:rPr>
    </w:lvl>
    <w:lvl w:ilvl="2">
      <w:start w:val="1"/>
      <w:numFmt w:val="decimal"/>
      <w:lvlText w:val="%1.%2.%3."/>
      <w:lvlJc w:val="left"/>
      <w:pPr>
        <w:ind w:left="810" w:hanging="708"/>
        <w:jc w:val="left"/>
      </w:pPr>
      <w:rPr>
        <w:rFonts w:hint="default" w:ascii="Arial" w:hAnsi="Arial" w:eastAsia="Arial" w:cs="Arial"/>
        <w:b/>
        <w:bCs/>
        <w:spacing w:val="-27"/>
        <w:w w:val="99"/>
        <w:sz w:val="24"/>
        <w:szCs w:val="24"/>
      </w:rPr>
    </w:lvl>
    <w:lvl w:ilvl="3">
      <w:start w:val="1"/>
      <w:numFmt w:val="bullet"/>
      <w:lvlText w:val=""/>
      <w:lvlJc w:val="left"/>
      <w:pPr>
        <w:ind w:left="102" w:hanging="356"/>
      </w:pPr>
      <w:rPr>
        <w:rFonts w:hint="default" w:ascii="Symbol" w:hAnsi="Symbol" w:eastAsia="Symbol" w:cs="Symbol"/>
        <w:w w:val="99"/>
        <w:sz w:val="20"/>
        <w:szCs w:val="20"/>
      </w:rPr>
    </w:lvl>
    <w:lvl w:ilvl="4">
      <w:start w:val="1"/>
      <w:numFmt w:val="bullet"/>
      <w:lvlText w:val="•"/>
      <w:lvlJc w:val="left"/>
      <w:pPr>
        <w:ind w:left="3566" w:hanging="356"/>
      </w:pPr>
      <w:rPr>
        <w:rFonts w:hint="default"/>
      </w:rPr>
    </w:lvl>
    <w:lvl w:ilvl="5">
      <w:start w:val="1"/>
      <w:numFmt w:val="bullet"/>
      <w:lvlText w:val="•"/>
      <w:lvlJc w:val="left"/>
      <w:pPr>
        <w:ind w:left="4482" w:hanging="356"/>
      </w:pPr>
      <w:rPr>
        <w:rFonts w:hint="default"/>
      </w:rPr>
    </w:lvl>
    <w:lvl w:ilvl="6">
      <w:start w:val="1"/>
      <w:numFmt w:val="bullet"/>
      <w:lvlText w:val="•"/>
      <w:lvlJc w:val="left"/>
      <w:pPr>
        <w:ind w:left="5397" w:hanging="356"/>
      </w:pPr>
      <w:rPr>
        <w:rFonts w:hint="default"/>
      </w:rPr>
    </w:lvl>
    <w:lvl w:ilvl="7">
      <w:start w:val="1"/>
      <w:numFmt w:val="bullet"/>
      <w:lvlText w:val="•"/>
      <w:lvlJc w:val="left"/>
      <w:pPr>
        <w:ind w:left="6313" w:hanging="356"/>
      </w:pPr>
      <w:rPr>
        <w:rFonts w:hint="default"/>
      </w:rPr>
    </w:lvl>
    <w:lvl w:ilvl="8">
      <w:start w:val="1"/>
      <w:numFmt w:val="bullet"/>
      <w:lvlText w:val="•"/>
      <w:lvlJc w:val="left"/>
      <w:pPr>
        <w:ind w:left="7228" w:hanging="356"/>
      </w:pPr>
      <w:rPr>
        <w:rFonts w:hint="default"/>
      </w:rPr>
    </w:lvl>
  </w:abstractNum>
  <w:abstractNum w:abstractNumId="12">
    <w:multiLevelType w:val="hybridMultilevel"/>
    <w:lvl w:ilvl="0">
      <w:start w:val="2"/>
      <w:numFmt w:val="decimal"/>
      <w:lvlText w:val="%1"/>
      <w:lvlJc w:val="left"/>
      <w:pPr>
        <w:ind w:left="1095" w:hanging="634"/>
        <w:jc w:val="left"/>
      </w:pPr>
      <w:rPr>
        <w:rFonts w:hint="default"/>
      </w:rPr>
    </w:lvl>
    <w:lvl w:ilvl="1">
      <w:start w:val="1"/>
      <w:numFmt w:val="decimal"/>
      <w:lvlText w:val="%1.%2."/>
      <w:lvlJc w:val="left"/>
      <w:pPr>
        <w:ind w:left="1095" w:hanging="634"/>
        <w:jc w:val="left"/>
      </w:pPr>
      <w:rPr>
        <w:rFonts w:hint="default" w:ascii="Arial" w:hAnsi="Arial" w:eastAsia="Arial" w:cs="Arial"/>
        <w:w w:val="99"/>
        <w:sz w:val="24"/>
        <w:szCs w:val="24"/>
      </w:rPr>
    </w:lvl>
    <w:lvl w:ilvl="2">
      <w:start w:val="1"/>
      <w:numFmt w:val="decimal"/>
      <w:lvlText w:val="%1.%2.%3."/>
      <w:lvlJc w:val="left"/>
      <w:pPr>
        <w:ind w:left="1902" w:hanging="720"/>
        <w:jc w:val="left"/>
      </w:pPr>
      <w:rPr>
        <w:rFonts w:hint="default" w:ascii="Arial" w:hAnsi="Arial" w:eastAsia="Arial" w:cs="Arial"/>
        <w:spacing w:val="-2"/>
        <w:w w:val="99"/>
        <w:sz w:val="24"/>
        <w:szCs w:val="24"/>
      </w:rPr>
    </w:lvl>
    <w:lvl w:ilvl="3">
      <w:start w:val="1"/>
      <w:numFmt w:val="bullet"/>
      <w:lvlText w:val="•"/>
      <w:lvlJc w:val="left"/>
      <w:pPr>
        <w:ind w:left="3491" w:hanging="720"/>
      </w:pPr>
      <w:rPr>
        <w:rFonts w:hint="default"/>
      </w:rPr>
    </w:lvl>
    <w:lvl w:ilvl="4">
      <w:start w:val="1"/>
      <w:numFmt w:val="bullet"/>
      <w:lvlText w:val="•"/>
      <w:lvlJc w:val="left"/>
      <w:pPr>
        <w:ind w:left="4286" w:hanging="720"/>
      </w:pPr>
      <w:rPr>
        <w:rFonts w:hint="default"/>
      </w:rPr>
    </w:lvl>
    <w:lvl w:ilvl="5">
      <w:start w:val="1"/>
      <w:numFmt w:val="bullet"/>
      <w:lvlText w:val="•"/>
      <w:lvlJc w:val="left"/>
      <w:pPr>
        <w:ind w:left="5082" w:hanging="720"/>
      </w:pPr>
      <w:rPr>
        <w:rFonts w:hint="default"/>
      </w:rPr>
    </w:lvl>
    <w:lvl w:ilvl="6">
      <w:start w:val="1"/>
      <w:numFmt w:val="bullet"/>
      <w:lvlText w:val="•"/>
      <w:lvlJc w:val="left"/>
      <w:pPr>
        <w:ind w:left="5877" w:hanging="720"/>
      </w:pPr>
      <w:rPr>
        <w:rFonts w:hint="default"/>
      </w:rPr>
    </w:lvl>
    <w:lvl w:ilvl="7">
      <w:start w:val="1"/>
      <w:numFmt w:val="bullet"/>
      <w:lvlText w:val="•"/>
      <w:lvlJc w:val="left"/>
      <w:pPr>
        <w:ind w:left="6673" w:hanging="720"/>
      </w:pPr>
      <w:rPr>
        <w:rFonts w:hint="default"/>
      </w:rPr>
    </w:lvl>
    <w:lvl w:ilvl="8">
      <w:start w:val="1"/>
      <w:numFmt w:val="bullet"/>
      <w:lvlText w:val="•"/>
      <w:lvlJc w:val="left"/>
      <w:pPr>
        <w:ind w:left="7468" w:hanging="720"/>
      </w:pPr>
      <w:rPr>
        <w:rFonts w:hint="default"/>
      </w:rPr>
    </w:lvl>
  </w:abstractNum>
  <w:abstractNum w:abstractNumId="11">
    <w:multiLevelType w:val="hybridMultilevel"/>
    <w:lvl w:ilvl="0">
      <w:start w:val="1"/>
      <w:numFmt w:val="upperRoman"/>
      <w:lvlText w:val="%1."/>
      <w:lvlJc w:val="left"/>
      <w:pPr>
        <w:ind w:left="822" w:hanging="720"/>
        <w:jc w:val="left"/>
      </w:pPr>
      <w:rPr>
        <w:rFonts w:hint="default" w:ascii="Arial" w:hAnsi="Arial" w:eastAsia="Arial" w:cs="Arial"/>
        <w:w w:val="100"/>
        <w:sz w:val="24"/>
        <w:szCs w:val="24"/>
      </w:rPr>
    </w:lvl>
    <w:lvl w:ilvl="1">
      <w:start w:val="1"/>
      <w:numFmt w:val="bullet"/>
      <w:lvlText w:val=""/>
      <w:lvlJc w:val="left"/>
      <w:pPr>
        <w:ind w:left="954" w:hanging="286"/>
      </w:pPr>
      <w:rPr>
        <w:rFonts w:hint="default" w:ascii="Symbol" w:hAnsi="Symbol" w:eastAsia="Symbol" w:cs="Symbol"/>
        <w:w w:val="100"/>
        <w:sz w:val="24"/>
        <w:szCs w:val="24"/>
      </w:rPr>
    </w:lvl>
    <w:lvl w:ilvl="2">
      <w:start w:val="1"/>
      <w:numFmt w:val="bullet"/>
      <w:lvlText w:val="•"/>
      <w:lvlJc w:val="left"/>
      <w:pPr>
        <w:ind w:left="1857" w:hanging="286"/>
      </w:pPr>
      <w:rPr>
        <w:rFonts w:hint="default"/>
      </w:rPr>
    </w:lvl>
    <w:lvl w:ilvl="3">
      <w:start w:val="1"/>
      <w:numFmt w:val="bullet"/>
      <w:lvlText w:val="•"/>
      <w:lvlJc w:val="left"/>
      <w:pPr>
        <w:ind w:left="2755" w:hanging="286"/>
      </w:pPr>
      <w:rPr>
        <w:rFonts w:hint="default"/>
      </w:rPr>
    </w:lvl>
    <w:lvl w:ilvl="4">
      <w:start w:val="1"/>
      <w:numFmt w:val="bullet"/>
      <w:lvlText w:val="•"/>
      <w:lvlJc w:val="left"/>
      <w:pPr>
        <w:ind w:left="3653" w:hanging="286"/>
      </w:pPr>
      <w:rPr>
        <w:rFonts w:hint="default"/>
      </w:rPr>
    </w:lvl>
    <w:lvl w:ilvl="5">
      <w:start w:val="1"/>
      <w:numFmt w:val="bullet"/>
      <w:lvlText w:val="•"/>
      <w:lvlJc w:val="left"/>
      <w:pPr>
        <w:ind w:left="4551" w:hanging="286"/>
      </w:pPr>
      <w:rPr>
        <w:rFonts w:hint="default"/>
      </w:rPr>
    </w:lvl>
    <w:lvl w:ilvl="6">
      <w:start w:val="1"/>
      <w:numFmt w:val="bullet"/>
      <w:lvlText w:val="•"/>
      <w:lvlJc w:val="left"/>
      <w:pPr>
        <w:ind w:left="5448" w:hanging="286"/>
      </w:pPr>
      <w:rPr>
        <w:rFonts w:hint="default"/>
      </w:rPr>
    </w:lvl>
    <w:lvl w:ilvl="7">
      <w:start w:val="1"/>
      <w:numFmt w:val="bullet"/>
      <w:lvlText w:val="•"/>
      <w:lvlJc w:val="left"/>
      <w:pPr>
        <w:ind w:left="6346" w:hanging="286"/>
      </w:pPr>
      <w:rPr>
        <w:rFonts w:hint="default"/>
      </w:rPr>
    </w:lvl>
    <w:lvl w:ilvl="8">
      <w:start w:val="1"/>
      <w:numFmt w:val="bullet"/>
      <w:lvlText w:val="•"/>
      <w:lvlJc w:val="left"/>
      <w:pPr>
        <w:ind w:left="7244" w:hanging="286"/>
      </w:pPr>
      <w:rPr>
        <w:rFonts w:hint="default"/>
      </w:rPr>
    </w:lvl>
  </w:abstractNum>
  <w:abstractNum w:abstractNumId="10">
    <w:multiLevelType w:val="hybridMultilevel"/>
    <w:lvl w:ilvl="0">
      <w:start w:val="1"/>
      <w:numFmt w:val="decimal"/>
      <w:lvlText w:val="%1."/>
      <w:lvlJc w:val="left"/>
      <w:pPr>
        <w:ind w:left="462" w:hanging="360"/>
        <w:jc w:val="left"/>
      </w:pPr>
      <w:rPr>
        <w:rFonts w:hint="default" w:ascii="Arial" w:hAnsi="Arial" w:eastAsia="Arial" w:cs="Arial"/>
        <w:spacing w:val="-4"/>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9">
    <w:multiLevelType w:val="hybridMultilevel"/>
    <w:lvl w:ilvl="0">
      <w:start w:val="1"/>
      <w:numFmt w:val="bullet"/>
      <w:lvlText w:val=""/>
      <w:lvlJc w:val="left"/>
      <w:pPr>
        <w:ind w:left="702" w:hanging="360"/>
      </w:pPr>
      <w:rPr>
        <w:rFonts w:hint="default" w:ascii="Symbol" w:hAnsi="Symbol" w:eastAsia="Symbol" w:cs="Symbol"/>
        <w:w w:val="99"/>
        <w:sz w:val="20"/>
        <w:szCs w:val="20"/>
      </w:rPr>
    </w:lvl>
    <w:lvl w:ilvl="1">
      <w:start w:val="1"/>
      <w:numFmt w:val="bullet"/>
      <w:lvlText w:val=""/>
      <w:lvlJc w:val="left"/>
      <w:pPr>
        <w:ind w:left="822" w:hanging="360"/>
      </w:pPr>
      <w:rPr>
        <w:rFonts w:hint="default" w:ascii="Symbol" w:hAnsi="Symbol" w:eastAsia="Symbol" w:cs="Symbol"/>
        <w:w w:val="99"/>
        <w:sz w:val="20"/>
        <w:szCs w:val="20"/>
      </w:rPr>
    </w:lvl>
    <w:lvl w:ilvl="2">
      <w:start w:val="1"/>
      <w:numFmt w:val="bullet"/>
      <w:lvlText w:val="o"/>
      <w:lvlJc w:val="left"/>
      <w:pPr>
        <w:ind w:left="1542" w:hanging="360"/>
      </w:pPr>
      <w:rPr>
        <w:rFonts w:hint="default" w:ascii="Courier New" w:hAnsi="Courier New" w:eastAsia="Courier New" w:cs="Courier New"/>
        <w:w w:val="99"/>
        <w:sz w:val="20"/>
        <w:szCs w:val="20"/>
      </w:rPr>
    </w:lvl>
    <w:lvl w:ilvl="3">
      <w:start w:val="1"/>
      <w:numFmt w:val="bullet"/>
      <w:lvlText w:val="•"/>
      <w:lvlJc w:val="left"/>
      <w:pPr>
        <w:ind w:left="2462" w:hanging="360"/>
      </w:pPr>
      <w:rPr>
        <w:rFonts w:hint="default"/>
      </w:rPr>
    </w:lvl>
    <w:lvl w:ilvl="4">
      <w:start w:val="1"/>
      <w:numFmt w:val="bullet"/>
      <w:lvlText w:val="•"/>
      <w:lvlJc w:val="left"/>
      <w:pPr>
        <w:ind w:left="3385" w:hanging="360"/>
      </w:pPr>
      <w:rPr>
        <w:rFonts w:hint="default"/>
      </w:rPr>
    </w:lvl>
    <w:lvl w:ilvl="5">
      <w:start w:val="1"/>
      <w:numFmt w:val="bullet"/>
      <w:lvlText w:val="•"/>
      <w:lvlJc w:val="left"/>
      <w:pPr>
        <w:ind w:left="4307" w:hanging="360"/>
      </w:pPr>
      <w:rPr>
        <w:rFonts w:hint="default"/>
      </w:rPr>
    </w:lvl>
    <w:lvl w:ilvl="6">
      <w:start w:val="1"/>
      <w:numFmt w:val="bullet"/>
      <w:lvlText w:val="•"/>
      <w:lvlJc w:val="left"/>
      <w:pPr>
        <w:ind w:left="5230" w:hanging="360"/>
      </w:pPr>
      <w:rPr>
        <w:rFonts w:hint="default"/>
      </w:rPr>
    </w:lvl>
    <w:lvl w:ilvl="7">
      <w:start w:val="1"/>
      <w:numFmt w:val="bullet"/>
      <w:lvlText w:val="•"/>
      <w:lvlJc w:val="left"/>
      <w:pPr>
        <w:ind w:left="6152" w:hanging="360"/>
      </w:pPr>
      <w:rPr>
        <w:rFonts w:hint="default"/>
      </w:rPr>
    </w:lvl>
    <w:lvl w:ilvl="8">
      <w:start w:val="1"/>
      <w:numFmt w:val="bullet"/>
      <w:lvlText w:val="•"/>
      <w:lvlJc w:val="left"/>
      <w:pPr>
        <w:ind w:left="7075" w:hanging="360"/>
      </w:pPr>
      <w:rPr>
        <w:rFonts w:hint="default"/>
      </w:rPr>
    </w:lvl>
  </w:abstractNum>
  <w:abstractNum w:abstractNumId="8">
    <w:multiLevelType w:val="hybridMultilevel"/>
    <w:lvl w:ilvl="0">
      <w:start w:val="1"/>
      <w:numFmt w:val="bullet"/>
      <w:lvlText w:val=""/>
      <w:lvlJc w:val="left"/>
      <w:pPr>
        <w:ind w:left="462" w:hanging="360"/>
      </w:pPr>
      <w:rPr>
        <w:rFonts w:hint="default"/>
        <w:w w:val="100"/>
      </w:rPr>
    </w:lvl>
    <w:lvl w:ilvl="1">
      <w:start w:val="1"/>
      <w:numFmt w:val="bullet"/>
      <w:lvlText w:val=""/>
      <w:lvlJc w:val="left"/>
      <w:pPr>
        <w:ind w:left="810" w:hanging="425"/>
      </w:pPr>
      <w:rPr>
        <w:rFonts w:hint="default" w:ascii="Symbol" w:hAnsi="Symbol" w:eastAsia="Symbol" w:cs="Symbol"/>
        <w:w w:val="100"/>
        <w:sz w:val="24"/>
        <w:szCs w:val="24"/>
      </w:rPr>
    </w:lvl>
    <w:lvl w:ilvl="2">
      <w:start w:val="1"/>
      <w:numFmt w:val="bullet"/>
      <w:lvlText w:val="•"/>
      <w:lvlJc w:val="left"/>
      <w:pPr>
        <w:ind w:left="1733" w:hanging="425"/>
      </w:pPr>
      <w:rPr>
        <w:rFonts w:hint="default"/>
      </w:rPr>
    </w:lvl>
    <w:lvl w:ilvl="3">
      <w:start w:val="1"/>
      <w:numFmt w:val="bullet"/>
      <w:lvlText w:val="•"/>
      <w:lvlJc w:val="left"/>
      <w:pPr>
        <w:ind w:left="2646" w:hanging="425"/>
      </w:pPr>
      <w:rPr>
        <w:rFonts w:hint="default"/>
      </w:rPr>
    </w:lvl>
    <w:lvl w:ilvl="4">
      <w:start w:val="1"/>
      <w:numFmt w:val="bullet"/>
      <w:lvlText w:val="•"/>
      <w:lvlJc w:val="left"/>
      <w:pPr>
        <w:ind w:left="3560" w:hanging="425"/>
      </w:pPr>
      <w:rPr>
        <w:rFonts w:hint="default"/>
      </w:rPr>
    </w:lvl>
    <w:lvl w:ilvl="5">
      <w:start w:val="1"/>
      <w:numFmt w:val="bullet"/>
      <w:lvlText w:val="•"/>
      <w:lvlJc w:val="left"/>
      <w:pPr>
        <w:ind w:left="4473" w:hanging="425"/>
      </w:pPr>
      <w:rPr>
        <w:rFonts w:hint="default"/>
      </w:rPr>
    </w:lvl>
    <w:lvl w:ilvl="6">
      <w:start w:val="1"/>
      <w:numFmt w:val="bullet"/>
      <w:lvlText w:val="•"/>
      <w:lvlJc w:val="left"/>
      <w:pPr>
        <w:ind w:left="5386" w:hanging="425"/>
      </w:pPr>
      <w:rPr>
        <w:rFonts w:hint="default"/>
      </w:rPr>
    </w:lvl>
    <w:lvl w:ilvl="7">
      <w:start w:val="1"/>
      <w:numFmt w:val="bullet"/>
      <w:lvlText w:val="•"/>
      <w:lvlJc w:val="left"/>
      <w:pPr>
        <w:ind w:left="6300" w:hanging="425"/>
      </w:pPr>
      <w:rPr>
        <w:rFonts w:hint="default"/>
      </w:rPr>
    </w:lvl>
    <w:lvl w:ilvl="8">
      <w:start w:val="1"/>
      <w:numFmt w:val="bullet"/>
      <w:lvlText w:val="•"/>
      <w:lvlJc w:val="left"/>
      <w:pPr>
        <w:ind w:left="7213" w:hanging="425"/>
      </w:pPr>
      <w:rPr>
        <w:rFonts w:hint="default"/>
      </w:rPr>
    </w:lvl>
  </w:abstractNum>
  <w:abstractNum w:abstractNumId="7">
    <w:multiLevelType w:val="hybridMultilevel"/>
    <w:lvl w:ilvl="0">
      <w:start w:val="1"/>
      <w:numFmt w:val="decimal"/>
      <w:lvlText w:val="%1"/>
      <w:lvlJc w:val="left"/>
      <w:pPr>
        <w:ind w:left="596" w:hanging="495"/>
        <w:jc w:val="left"/>
      </w:pPr>
      <w:rPr>
        <w:rFonts w:hint="default"/>
      </w:rPr>
    </w:lvl>
    <w:lvl w:ilvl="1">
      <w:start w:val="1"/>
      <w:numFmt w:val="decimal"/>
      <w:lvlText w:val="%1.%2."/>
      <w:lvlJc w:val="left"/>
      <w:pPr>
        <w:ind w:left="596" w:hanging="495"/>
        <w:jc w:val="left"/>
      </w:pPr>
      <w:rPr>
        <w:rFonts w:hint="default" w:ascii="Arial" w:hAnsi="Arial" w:eastAsia="Arial" w:cs="Arial"/>
        <w:b/>
        <w:bCs/>
        <w:w w:val="99"/>
        <w:sz w:val="24"/>
        <w:szCs w:val="24"/>
      </w:rPr>
    </w:lvl>
    <w:lvl w:ilvl="2">
      <w:start w:val="1"/>
      <w:numFmt w:val="bullet"/>
      <w:lvlText w:val=""/>
      <w:lvlJc w:val="left"/>
      <w:pPr>
        <w:ind w:left="822" w:hanging="360"/>
      </w:pPr>
      <w:rPr>
        <w:rFonts w:hint="default" w:ascii="Symbol" w:hAnsi="Symbol" w:eastAsia="Symbol" w:cs="Symbol"/>
        <w:w w:val="99"/>
        <w:sz w:val="20"/>
        <w:szCs w:val="20"/>
      </w:rPr>
    </w:lvl>
    <w:lvl w:ilvl="3">
      <w:start w:val="1"/>
      <w:numFmt w:val="bullet"/>
      <w:lvlText w:val="•"/>
      <w:lvlJc w:val="left"/>
      <w:pPr>
        <w:ind w:left="2646" w:hanging="360"/>
      </w:pPr>
      <w:rPr>
        <w:rFonts w:hint="default"/>
      </w:rPr>
    </w:lvl>
    <w:lvl w:ilvl="4">
      <w:start w:val="1"/>
      <w:numFmt w:val="bullet"/>
      <w:lvlText w:val="•"/>
      <w:lvlJc w:val="left"/>
      <w:pPr>
        <w:ind w:left="3560" w:hanging="360"/>
      </w:pPr>
      <w:rPr>
        <w:rFonts w:hint="default"/>
      </w:rPr>
    </w:lvl>
    <w:lvl w:ilvl="5">
      <w:start w:val="1"/>
      <w:numFmt w:val="bullet"/>
      <w:lvlText w:val="•"/>
      <w:lvlJc w:val="left"/>
      <w:pPr>
        <w:ind w:left="4473" w:hanging="360"/>
      </w:pPr>
      <w:rPr>
        <w:rFonts w:hint="default"/>
      </w:rPr>
    </w:lvl>
    <w:lvl w:ilvl="6">
      <w:start w:val="1"/>
      <w:numFmt w:val="bullet"/>
      <w:lvlText w:val="•"/>
      <w:lvlJc w:val="left"/>
      <w:pPr>
        <w:ind w:left="5386" w:hanging="360"/>
      </w:pPr>
      <w:rPr>
        <w:rFonts w:hint="default"/>
      </w:rPr>
    </w:lvl>
    <w:lvl w:ilvl="7">
      <w:start w:val="1"/>
      <w:numFmt w:val="bullet"/>
      <w:lvlText w:val="•"/>
      <w:lvlJc w:val="left"/>
      <w:pPr>
        <w:ind w:left="6300" w:hanging="360"/>
      </w:pPr>
      <w:rPr>
        <w:rFonts w:hint="default"/>
      </w:rPr>
    </w:lvl>
    <w:lvl w:ilvl="8">
      <w:start w:val="1"/>
      <w:numFmt w:val="bullet"/>
      <w:lvlText w:val="•"/>
      <w:lvlJc w:val="left"/>
      <w:pPr>
        <w:ind w:left="7213" w:hanging="360"/>
      </w:pPr>
      <w:rPr>
        <w:rFonts w:hint="default"/>
      </w:rPr>
    </w:lvl>
  </w:abstractNum>
  <w:abstractNum w:abstractNumId="6">
    <w:multiLevelType w:val="hybridMultilevel"/>
    <w:lvl w:ilvl="0">
      <w:start w:val="1"/>
      <w:numFmt w:val="decimal"/>
      <w:lvlText w:val="%1"/>
      <w:lvlJc w:val="left"/>
      <w:pPr>
        <w:ind w:left="1095" w:hanging="634"/>
        <w:jc w:val="left"/>
      </w:pPr>
      <w:rPr>
        <w:rFonts w:hint="default"/>
      </w:rPr>
    </w:lvl>
    <w:lvl w:ilvl="1">
      <w:start w:val="1"/>
      <w:numFmt w:val="decimal"/>
      <w:lvlText w:val="%1.%2."/>
      <w:lvlJc w:val="left"/>
      <w:pPr>
        <w:ind w:left="1095" w:hanging="634"/>
        <w:jc w:val="left"/>
      </w:pPr>
      <w:rPr>
        <w:rFonts w:hint="default" w:ascii="Arial" w:hAnsi="Arial" w:eastAsia="Arial" w:cs="Arial"/>
        <w:w w:val="99"/>
        <w:sz w:val="24"/>
        <w:szCs w:val="24"/>
      </w:rPr>
    </w:lvl>
    <w:lvl w:ilvl="2">
      <w:start w:val="1"/>
      <w:numFmt w:val="bullet"/>
      <w:lvlText w:val="•"/>
      <w:lvlJc w:val="left"/>
      <w:pPr>
        <w:ind w:left="2688" w:hanging="634"/>
      </w:pPr>
      <w:rPr>
        <w:rFonts w:hint="default"/>
      </w:rPr>
    </w:lvl>
    <w:lvl w:ilvl="3">
      <w:start w:val="1"/>
      <w:numFmt w:val="bullet"/>
      <w:lvlText w:val="•"/>
      <w:lvlJc w:val="left"/>
      <w:pPr>
        <w:ind w:left="3482" w:hanging="634"/>
      </w:pPr>
      <w:rPr>
        <w:rFonts w:hint="default"/>
      </w:rPr>
    </w:lvl>
    <w:lvl w:ilvl="4">
      <w:start w:val="1"/>
      <w:numFmt w:val="bullet"/>
      <w:lvlText w:val="•"/>
      <w:lvlJc w:val="left"/>
      <w:pPr>
        <w:ind w:left="4276" w:hanging="634"/>
      </w:pPr>
      <w:rPr>
        <w:rFonts w:hint="default"/>
      </w:rPr>
    </w:lvl>
    <w:lvl w:ilvl="5">
      <w:start w:val="1"/>
      <w:numFmt w:val="bullet"/>
      <w:lvlText w:val="•"/>
      <w:lvlJc w:val="left"/>
      <w:pPr>
        <w:ind w:left="5070" w:hanging="634"/>
      </w:pPr>
      <w:rPr>
        <w:rFonts w:hint="default"/>
      </w:rPr>
    </w:lvl>
    <w:lvl w:ilvl="6">
      <w:start w:val="1"/>
      <w:numFmt w:val="bullet"/>
      <w:lvlText w:val="•"/>
      <w:lvlJc w:val="left"/>
      <w:pPr>
        <w:ind w:left="5864" w:hanging="634"/>
      </w:pPr>
      <w:rPr>
        <w:rFonts w:hint="default"/>
      </w:rPr>
    </w:lvl>
    <w:lvl w:ilvl="7">
      <w:start w:val="1"/>
      <w:numFmt w:val="bullet"/>
      <w:lvlText w:val="•"/>
      <w:lvlJc w:val="left"/>
      <w:pPr>
        <w:ind w:left="6658" w:hanging="634"/>
      </w:pPr>
      <w:rPr>
        <w:rFonts w:hint="default"/>
      </w:rPr>
    </w:lvl>
    <w:lvl w:ilvl="8">
      <w:start w:val="1"/>
      <w:numFmt w:val="bullet"/>
      <w:lvlText w:val="•"/>
      <w:lvlJc w:val="left"/>
      <w:pPr>
        <w:ind w:left="7452" w:hanging="634"/>
      </w:pPr>
      <w:rPr>
        <w:rFonts w:hint="default"/>
      </w:rPr>
    </w:lvl>
  </w:abstractNum>
  <w:abstractNum w:abstractNumId="5">
    <w:multiLevelType w:val="hybridMultilevel"/>
    <w:lvl w:ilvl="0">
      <w:start w:val="5"/>
      <w:numFmt w:val="decimal"/>
      <w:lvlText w:val="%1"/>
      <w:lvlJc w:val="left"/>
      <w:pPr>
        <w:ind w:left="982" w:hanging="660"/>
        <w:jc w:val="left"/>
      </w:pPr>
      <w:rPr>
        <w:rFonts w:hint="default"/>
      </w:rPr>
    </w:lvl>
    <w:lvl w:ilvl="1">
      <w:start w:val="1"/>
      <w:numFmt w:val="decimal"/>
      <w:lvlText w:val="%1.%2."/>
      <w:lvlJc w:val="left"/>
      <w:pPr>
        <w:ind w:left="982" w:hanging="660"/>
        <w:jc w:val="left"/>
      </w:pPr>
      <w:rPr>
        <w:rFonts w:hint="default" w:ascii="Arial" w:hAnsi="Arial" w:eastAsia="Arial" w:cs="Arial"/>
        <w:w w:val="99"/>
        <w:sz w:val="24"/>
        <w:szCs w:val="24"/>
      </w:rPr>
    </w:lvl>
    <w:lvl w:ilvl="2">
      <w:start w:val="1"/>
      <w:numFmt w:val="bullet"/>
      <w:lvlText w:val="•"/>
      <w:lvlJc w:val="left"/>
      <w:pPr>
        <w:ind w:left="2592" w:hanging="660"/>
      </w:pPr>
      <w:rPr>
        <w:rFonts w:hint="default"/>
      </w:rPr>
    </w:lvl>
    <w:lvl w:ilvl="3">
      <w:start w:val="1"/>
      <w:numFmt w:val="bullet"/>
      <w:lvlText w:val="•"/>
      <w:lvlJc w:val="left"/>
      <w:pPr>
        <w:ind w:left="3398" w:hanging="660"/>
      </w:pPr>
      <w:rPr>
        <w:rFonts w:hint="default"/>
      </w:rPr>
    </w:lvl>
    <w:lvl w:ilvl="4">
      <w:start w:val="1"/>
      <w:numFmt w:val="bullet"/>
      <w:lvlText w:val="•"/>
      <w:lvlJc w:val="left"/>
      <w:pPr>
        <w:ind w:left="4204" w:hanging="660"/>
      </w:pPr>
      <w:rPr>
        <w:rFonts w:hint="default"/>
      </w:rPr>
    </w:lvl>
    <w:lvl w:ilvl="5">
      <w:start w:val="1"/>
      <w:numFmt w:val="bullet"/>
      <w:lvlText w:val="•"/>
      <w:lvlJc w:val="left"/>
      <w:pPr>
        <w:ind w:left="5010" w:hanging="660"/>
      </w:pPr>
      <w:rPr>
        <w:rFonts w:hint="default"/>
      </w:rPr>
    </w:lvl>
    <w:lvl w:ilvl="6">
      <w:start w:val="1"/>
      <w:numFmt w:val="bullet"/>
      <w:lvlText w:val="•"/>
      <w:lvlJc w:val="left"/>
      <w:pPr>
        <w:ind w:left="5816" w:hanging="660"/>
      </w:pPr>
      <w:rPr>
        <w:rFonts w:hint="default"/>
      </w:rPr>
    </w:lvl>
    <w:lvl w:ilvl="7">
      <w:start w:val="1"/>
      <w:numFmt w:val="bullet"/>
      <w:lvlText w:val="•"/>
      <w:lvlJc w:val="left"/>
      <w:pPr>
        <w:ind w:left="6622" w:hanging="660"/>
      </w:pPr>
      <w:rPr>
        <w:rFonts w:hint="default"/>
      </w:rPr>
    </w:lvl>
    <w:lvl w:ilvl="8">
      <w:start w:val="1"/>
      <w:numFmt w:val="bullet"/>
      <w:lvlText w:val="•"/>
      <w:lvlJc w:val="left"/>
      <w:pPr>
        <w:ind w:left="7428" w:hanging="660"/>
      </w:pPr>
      <w:rPr>
        <w:rFonts w:hint="default"/>
      </w:rPr>
    </w:lvl>
  </w:abstractNum>
  <w:abstractNum w:abstractNumId="4">
    <w:multiLevelType w:val="hybridMultilevel"/>
    <w:lvl w:ilvl="0">
      <w:start w:val="4"/>
      <w:numFmt w:val="decimal"/>
      <w:lvlText w:val="%1"/>
      <w:lvlJc w:val="left"/>
      <w:pPr>
        <w:ind w:left="982" w:hanging="660"/>
        <w:jc w:val="left"/>
      </w:pPr>
      <w:rPr>
        <w:rFonts w:hint="default"/>
      </w:rPr>
    </w:lvl>
    <w:lvl w:ilvl="1">
      <w:start w:val="1"/>
      <w:numFmt w:val="decimal"/>
      <w:lvlText w:val="%1.%2."/>
      <w:lvlJc w:val="left"/>
      <w:pPr>
        <w:ind w:left="982" w:hanging="660"/>
        <w:jc w:val="left"/>
      </w:pPr>
      <w:rPr>
        <w:rFonts w:hint="default" w:ascii="Arial" w:hAnsi="Arial" w:eastAsia="Arial" w:cs="Arial"/>
        <w:w w:val="99"/>
        <w:sz w:val="24"/>
        <w:szCs w:val="24"/>
      </w:rPr>
    </w:lvl>
    <w:lvl w:ilvl="2">
      <w:start w:val="1"/>
      <w:numFmt w:val="bullet"/>
      <w:lvlText w:val="•"/>
      <w:lvlJc w:val="left"/>
      <w:pPr>
        <w:ind w:left="2592" w:hanging="660"/>
      </w:pPr>
      <w:rPr>
        <w:rFonts w:hint="default"/>
      </w:rPr>
    </w:lvl>
    <w:lvl w:ilvl="3">
      <w:start w:val="1"/>
      <w:numFmt w:val="bullet"/>
      <w:lvlText w:val="•"/>
      <w:lvlJc w:val="left"/>
      <w:pPr>
        <w:ind w:left="3398" w:hanging="660"/>
      </w:pPr>
      <w:rPr>
        <w:rFonts w:hint="default"/>
      </w:rPr>
    </w:lvl>
    <w:lvl w:ilvl="4">
      <w:start w:val="1"/>
      <w:numFmt w:val="bullet"/>
      <w:lvlText w:val="•"/>
      <w:lvlJc w:val="left"/>
      <w:pPr>
        <w:ind w:left="4204" w:hanging="660"/>
      </w:pPr>
      <w:rPr>
        <w:rFonts w:hint="default"/>
      </w:rPr>
    </w:lvl>
    <w:lvl w:ilvl="5">
      <w:start w:val="1"/>
      <w:numFmt w:val="bullet"/>
      <w:lvlText w:val="•"/>
      <w:lvlJc w:val="left"/>
      <w:pPr>
        <w:ind w:left="5010" w:hanging="660"/>
      </w:pPr>
      <w:rPr>
        <w:rFonts w:hint="default"/>
      </w:rPr>
    </w:lvl>
    <w:lvl w:ilvl="6">
      <w:start w:val="1"/>
      <w:numFmt w:val="bullet"/>
      <w:lvlText w:val="•"/>
      <w:lvlJc w:val="left"/>
      <w:pPr>
        <w:ind w:left="5816" w:hanging="660"/>
      </w:pPr>
      <w:rPr>
        <w:rFonts w:hint="default"/>
      </w:rPr>
    </w:lvl>
    <w:lvl w:ilvl="7">
      <w:start w:val="1"/>
      <w:numFmt w:val="bullet"/>
      <w:lvlText w:val="•"/>
      <w:lvlJc w:val="left"/>
      <w:pPr>
        <w:ind w:left="6622" w:hanging="660"/>
      </w:pPr>
      <w:rPr>
        <w:rFonts w:hint="default"/>
      </w:rPr>
    </w:lvl>
    <w:lvl w:ilvl="8">
      <w:start w:val="1"/>
      <w:numFmt w:val="bullet"/>
      <w:lvlText w:val="•"/>
      <w:lvlJc w:val="left"/>
      <w:pPr>
        <w:ind w:left="7428" w:hanging="660"/>
      </w:pPr>
      <w:rPr>
        <w:rFonts w:hint="default"/>
      </w:rPr>
    </w:lvl>
  </w:abstractNum>
  <w:abstractNum w:abstractNumId="3">
    <w:multiLevelType w:val="hybridMultilevel"/>
    <w:lvl w:ilvl="0">
      <w:start w:val="3"/>
      <w:numFmt w:val="decimal"/>
      <w:lvlText w:val="%1"/>
      <w:lvlJc w:val="left"/>
      <w:pPr>
        <w:ind w:left="982" w:hanging="660"/>
        <w:jc w:val="left"/>
      </w:pPr>
      <w:rPr>
        <w:rFonts w:hint="default"/>
      </w:rPr>
    </w:lvl>
    <w:lvl w:ilvl="1">
      <w:start w:val="1"/>
      <w:numFmt w:val="decimal"/>
      <w:lvlText w:val="%1.%2."/>
      <w:lvlJc w:val="left"/>
      <w:pPr>
        <w:ind w:left="982" w:hanging="660"/>
        <w:jc w:val="left"/>
      </w:pPr>
      <w:rPr>
        <w:rFonts w:hint="default" w:ascii="Arial" w:hAnsi="Arial" w:eastAsia="Arial" w:cs="Arial"/>
        <w:w w:val="99"/>
        <w:sz w:val="24"/>
        <w:szCs w:val="24"/>
      </w:rPr>
    </w:lvl>
    <w:lvl w:ilvl="2">
      <w:start w:val="1"/>
      <w:numFmt w:val="bullet"/>
      <w:lvlText w:val="•"/>
      <w:lvlJc w:val="left"/>
      <w:pPr>
        <w:ind w:left="2592" w:hanging="660"/>
      </w:pPr>
      <w:rPr>
        <w:rFonts w:hint="default"/>
      </w:rPr>
    </w:lvl>
    <w:lvl w:ilvl="3">
      <w:start w:val="1"/>
      <w:numFmt w:val="bullet"/>
      <w:lvlText w:val="•"/>
      <w:lvlJc w:val="left"/>
      <w:pPr>
        <w:ind w:left="3398" w:hanging="660"/>
      </w:pPr>
      <w:rPr>
        <w:rFonts w:hint="default"/>
      </w:rPr>
    </w:lvl>
    <w:lvl w:ilvl="4">
      <w:start w:val="1"/>
      <w:numFmt w:val="bullet"/>
      <w:lvlText w:val="•"/>
      <w:lvlJc w:val="left"/>
      <w:pPr>
        <w:ind w:left="4204" w:hanging="660"/>
      </w:pPr>
      <w:rPr>
        <w:rFonts w:hint="default"/>
      </w:rPr>
    </w:lvl>
    <w:lvl w:ilvl="5">
      <w:start w:val="1"/>
      <w:numFmt w:val="bullet"/>
      <w:lvlText w:val="•"/>
      <w:lvlJc w:val="left"/>
      <w:pPr>
        <w:ind w:left="5010" w:hanging="660"/>
      </w:pPr>
      <w:rPr>
        <w:rFonts w:hint="default"/>
      </w:rPr>
    </w:lvl>
    <w:lvl w:ilvl="6">
      <w:start w:val="1"/>
      <w:numFmt w:val="bullet"/>
      <w:lvlText w:val="•"/>
      <w:lvlJc w:val="left"/>
      <w:pPr>
        <w:ind w:left="5816" w:hanging="660"/>
      </w:pPr>
      <w:rPr>
        <w:rFonts w:hint="default"/>
      </w:rPr>
    </w:lvl>
    <w:lvl w:ilvl="7">
      <w:start w:val="1"/>
      <w:numFmt w:val="bullet"/>
      <w:lvlText w:val="•"/>
      <w:lvlJc w:val="left"/>
      <w:pPr>
        <w:ind w:left="6622" w:hanging="660"/>
      </w:pPr>
      <w:rPr>
        <w:rFonts w:hint="default"/>
      </w:rPr>
    </w:lvl>
    <w:lvl w:ilvl="8">
      <w:start w:val="1"/>
      <w:numFmt w:val="bullet"/>
      <w:lvlText w:val="•"/>
      <w:lvlJc w:val="left"/>
      <w:pPr>
        <w:ind w:left="7428" w:hanging="660"/>
      </w:pPr>
      <w:rPr>
        <w:rFonts w:hint="default"/>
      </w:rPr>
    </w:lvl>
  </w:abstractNum>
  <w:abstractNum w:abstractNumId="2">
    <w:multiLevelType w:val="hybridMultilevel"/>
    <w:lvl w:ilvl="0">
      <w:start w:val="2"/>
      <w:numFmt w:val="decimal"/>
      <w:lvlText w:val="%1"/>
      <w:lvlJc w:val="left"/>
      <w:pPr>
        <w:ind w:left="1422" w:hanging="881"/>
        <w:jc w:val="left"/>
      </w:pPr>
      <w:rPr>
        <w:rFonts w:hint="default"/>
      </w:rPr>
    </w:lvl>
    <w:lvl w:ilvl="1">
      <w:start w:val="4"/>
      <w:numFmt w:val="decimal"/>
      <w:lvlText w:val="%1.%2"/>
      <w:lvlJc w:val="left"/>
      <w:pPr>
        <w:ind w:left="1422" w:hanging="881"/>
        <w:jc w:val="left"/>
      </w:pPr>
      <w:rPr>
        <w:rFonts w:hint="default"/>
      </w:rPr>
    </w:lvl>
    <w:lvl w:ilvl="2">
      <w:start w:val="3"/>
      <w:numFmt w:val="decimal"/>
      <w:lvlText w:val="%1.%2.%3."/>
      <w:lvlJc w:val="left"/>
      <w:pPr>
        <w:ind w:left="1422" w:hanging="881"/>
        <w:jc w:val="left"/>
      </w:pPr>
      <w:rPr>
        <w:rFonts w:hint="default" w:ascii="Arial" w:hAnsi="Arial" w:eastAsia="Arial" w:cs="Arial"/>
        <w:spacing w:val="-2"/>
        <w:w w:val="99"/>
        <w:sz w:val="24"/>
        <w:szCs w:val="24"/>
      </w:rPr>
    </w:lvl>
    <w:lvl w:ilvl="3">
      <w:start w:val="1"/>
      <w:numFmt w:val="bullet"/>
      <w:lvlText w:val="•"/>
      <w:lvlJc w:val="left"/>
      <w:pPr>
        <w:ind w:left="3706" w:hanging="881"/>
      </w:pPr>
      <w:rPr>
        <w:rFonts w:hint="default"/>
      </w:rPr>
    </w:lvl>
    <w:lvl w:ilvl="4">
      <w:start w:val="1"/>
      <w:numFmt w:val="bullet"/>
      <w:lvlText w:val="•"/>
      <w:lvlJc w:val="left"/>
      <w:pPr>
        <w:ind w:left="4468" w:hanging="881"/>
      </w:pPr>
      <w:rPr>
        <w:rFonts w:hint="default"/>
      </w:rPr>
    </w:lvl>
    <w:lvl w:ilvl="5">
      <w:start w:val="1"/>
      <w:numFmt w:val="bullet"/>
      <w:lvlText w:val="•"/>
      <w:lvlJc w:val="left"/>
      <w:pPr>
        <w:ind w:left="5230" w:hanging="881"/>
      </w:pPr>
      <w:rPr>
        <w:rFonts w:hint="default"/>
      </w:rPr>
    </w:lvl>
    <w:lvl w:ilvl="6">
      <w:start w:val="1"/>
      <w:numFmt w:val="bullet"/>
      <w:lvlText w:val="•"/>
      <w:lvlJc w:val="left"/>
      <w:pPr>
        <w:ind w:left="5992" w:hanging="881"/>
      </w:pPr>
      <w:rPr>
        <w:rFonts w:hint="default"/>
      </w:rPr>
    </w:lvl>
    <w:lvl w:ilvl="7">
      <w:start w:val="1"/>
      <w:numFmt w:val="bullet"/>
      <w:lvlText w:val="•"/>
      <w:lvlJc w:val="left"/>
      <w:pPr>
        <w:ind w:left="6754" w:hanging="881"/>
      </w:pPr>
      <w:rPr>
        <w:rFonts w:hint="default"/>
      </w:rPr>
    </w:lvl>
    <w:lvl w:ilvl="8">
      <w:start w:val="1"/>
      <w:numFmt w:val="bullet"/>
      <w:lvlText w:val="•"/>
      <w:lvlJc w:val="left"/>
      <w:pPr>
        <w:ind w:left="7516" w:hanging="881"/>
      </w:pPr>
      <w:rPr>
        <w:rFonts w:hint="default"/>
      </w:rPr>
    </w:lvl>
  </w:abstractNum>
  <w:abstractNum w:abstractNumId="1">
    <w:multiLevelType w:val="hybridMultilevel"/>
    <w:lvl w:ilvl="0">
      <w:start w:val="2"/>
      <w:numFmt w:val="decimal"/>
      <w:lvlText w:val="%1"/>
      <w:lvlJc w:val="left"/>
      <w:pPr>
        <w:ind w:left="982" w:hanging="660"/>
        <w:jc w:val="left"/>
      </w:pPr>
      <w:rPr>
        <w:rFonts w:hint="default"/>
      </w:rPr>
    </w:lvl>
    <w:lvl w:ilvl="1">
      <w:start w:val="1"/>
      <w:numFmt w:val="decimal"/>
      <w:lvlText w:val="%1.%2."/>
      <w:lvlJc w:val="left"/>
      <w:pPr>
        <w:ind w:left="982" w:hanging="660"/>
        <w:jc w:val="left"/>
      </w:pPr>
      <w:rPr>
        <w:rFonts w:hint="default" w:ascii="Arial" w:hAnsi="Arial" w:eastAsia="Arial" w:cs="Arial"/>
        <w:w w:val="99"/>
        <w:sz w:val="24"/>
        <w:szCs w:val="24"/>
      </w:rPr>
    </w:lvl>
    <w:lvl w:ilvl="2">
      <w:start w:val="1"/>
      <w:numFmt w:val="decimal"/>
      <w:lvlText w:val="%1.%2.%3."/>
      <w:lvlJc w:val="left"/>
      <w:pPr>
        <w:ind w:left="1422" w:hanging="881"/>
        <w:jc w:val="left"/>
      </w:pPr>
      <w:rPr>
        <w:rFonts w:hint="default" w:ascii="Arial" w:hAnsi="Arial" w:eastAsia="Arial" w:cs="Arial"/>
        <w:spacing w:val="-2"/>
        <w:w w:val="99"/>
        <w:sz w:val="24"/>
        <w:szCs w:val="24"/>
      </w:rPr>
    </w:lvl>
    <w:lvl w:ilvl="3">
      <w:start w:val="1"/>
      <w:numFmt w:val="bullet"/>
      <w:lvlText w:val="•"/>
      <w:lvlJc w:val="left"/>
      <w:pPr>
        <w:ind w:left="3113" w:hanging="881"/>
      </w:pPr>
      <w:rPr>
        <w:rFonts w:hint="default"/>
      </w:rPr>
    </w:lvl>
    <w:lvl w:ilvl="4">
      <w:start w:val="1"/>
      <w:numFmt w:val="bullet"/>
      <w:lvlText w:val="•"/>
      <w:lvlJc w:val="left"/>
      <w:pPr>
        <w:ind w:left="3960" w:hanging="881"/>
      </w:pPr>
      <w:rPr>
        <w:rFonts w:hint="default"/>
      </w:rPr>
    </w:lvl>
    <w:lvl w:ilvl="5">
      <w:start w:val="1"/>
      <w:numFmt w:val="bullet"/>
      <w:lvlText w:val="•"/>
      <w:lvlJc w:val="left"/>
      <w:pPr>
        <w:ind w:left="4806" w:hanging="881"/>
      </w:pPr>
      <w:rPr>
        <w:rFonts w:hint="default"/>
      </w:rPr>
    </w:lvl>
    <w:lvl w:ilvl="6">
      <w:start w:val="1"/>
      <w:numFmt w:val="bullet"/>
      <w:lvlText w:val="•"/>
      <w:lvlJc w:val="left"/>
      <w:pPr>
        <w:ind w:left="5653" w:hanging="881"/>
      </w:pPr>
      <w:rPr>
        <w:rFonts w:hint="default"/>
      </w:rPr>
    </w:lvl>
    <w:lvl w:ilvl="7">
      <w:start w:val="1"/>
      <w:numFmt w:val="bullet"/>
      <w:lvlText w:val="•"/>
      <w:lvlJc w:val="left"/>
      <w:pPr>
        <w:ind w:left="6500" w:hanging="881"/>
      </w:pPr>
      <w:rPr>
        <w:rFonts w:hint="default"/>
      </w:rPr>
    </w:lvl>
    <w:lvl w:ilvl="8">
      <w:start w:val="1"/>
      <w:numFmt w:val="bullet"/>
      <w:lvlText w:val="•"/>
      <w:lvlJc w:val="left"/>
      <w:pPr>
        <w:ind w:left="7346" w:hanging="881"/>
      </w:pPr>
      <w:rPr>
        <w:rFonts w:hint="default"/>
      </w:rPr>
    </w:lvl>
  </w:abstractNum>
  <w:abstractNum w:abstractNumId="0">
    <w:multiLevelType w:val="hybridMultilevel"/>
    <w:lvl w:ilvl="0">
      <w:start w:val="1"/>
      <w:numFmt w:val="decimal"/>
      <w:lvlText w:val="%1"/>
      <w:lvlJc w:val="left"/>
      <w:pPr>
        <w:ind w:left="982" w:hanging="660"/>
        <w:jc w:val="left"/>
      </w:pPr>
      <w:rPr>
        <w:rFonts w:hint="default"/>
      </w:rPr>
    </w:lvl>
    <w:lvl w:ilvl="1">
      <w:start w:val="1"/>
      <w:numFmt w:val="decimal"/>
      <w:lvlText w:val="%1.%2."/>
      <w:lvlJc w:val="left"/>
      <w:pPr>
        <w:ind w:left="982" w:hanging="660"/>
        <w:jc w:val="left"/>
      </w:pPr>
      <w:rPr>
        <w:rFonts w:hint="default" w:ascii="Arial" w:hAnsi="Arial" w:eastAsia="Arial" w:cs="Arial"/>
        <w:w w:val="99"/>
        <w:sz w:val="24"/>
        <w:szCs w:val="24"/>
      </w:rPr>
    </w:lvl>
    <w:lvl w:ilvl="2">
      <w:start w:val="1"/>
      <w:numFmt w:val="bullet"/>
      <w:lvlText w:val="•"/>
      <w:lvlJc w:val="left"/>
      <w:pPr>
        <w:ind w:left="2592" w:hanging="660"/>
      </w:pPr>
      <w:rPr>
        <w:rFonts w:hint="default"/>
      </w:rPr>
    </w:lvl>
    <w:lvl w:ilvl="3">
      <w:start w:val="1"/>
      <w:numFmt w:val="bullet"/>
      <w:lvlText w:val="•"/>
      <w:lvlJc w:val="left"/>
      <w:pPr>
        <w:ind w:left="3398" w:hanging="660"/>
      </w:pPr>
      <w:rPr>
        <w:rFonts w:hint="default"/>
      </w:rPr>
    </w:lvl>
    <w:lvl w:ilvl="4">
      <w:start w:val="1"/>
      <w:numFmt w:val="bullet"/>
      <w:lvlText w:val="•"/>
      <w:lvlJc w:val="left"/>
      <w:pPr>
        <w:ind w:left="4204" w:hanging="660"/>
      </w:pPr>
      <w:rPr>
        <w:rFonts w:hint="default"/>
      </w:rPr>
    </w:lvl>
    <w:lvl w:ilvl="5">
      <w:start w:val="1"/>
      <w:numFmt w:val="bullet"/>
      <w:lvlText w:val="•"/>
      <w:lvlJc w:val="left"/>
      <w:pPr>
        <w:ind w:left="5010" w:hanging="660"/>
      </w:pPr>
      <w:rPr>
        <w:rFonts w:hint="default"/>
      </w:rPr>
    </w:lvl>
    <w:lvl w:ilvl="6">
      <w:start w:val="1"/>
      <w:numFmt w:val="bullet"/>
      <w:lvlText w:val="•"/>
      <w:lvlJc w:val="left"/>
      <w:pPr>
        <w:ind w:left="5816" w:hanging="660"/>
      </w:pPr>
      <w:rPr>
        <w:rFonts w:hint="default"/>
      </w:rPr>
    </w:lvl>
    <w:lvl w:ilvl="7">
      <w:start w:val="1"/>
      <w:numFmt w:val="bullet"/>
      <w:lvlText w:val="•"/>
      <w:lvlJc w:val="left"/>
      <w:pPr>
        <w:ind w:left="6622" w:hanging="660"/>
      </w:pPr>
      <w:rPr>
        <w:rFonts w:hint="default"/>
      </w:rPr>
    </w:lvl>
    <w:lvl w:ilvl="8">
      <w:start w:val="1"/>
      <w:numFmt w:val="bullet"/>
      <w:lvlText w:val="•"/>
      <w:lvlJc w:val="left"/>
      <w:pPr>
        <w:ind w:left="7428" w:hanging="660"/>
      </w:pPr>
      <w:rPr>
        <w:rFonts w:hint="default"/>
      </w:rPr>
    </w:lvl>
  </w:abstract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552"/>
      <w:ind w:left="102"/>
    </w:pPr>
    <w:rPr>
      <w:rFonts w:ascii="Arial" w:hAnsi="Arial" w:eastAsia="Arial" w:cs="Arial"/>
      <w:b/>
      <w:bCs/>
      <w:sz w:val="24"/>
      <w:szCs w:val="24"/>
    </w:rPr>
  </w:style>
  <w:style w:styleId="TOC2" w:type="paragraph">
    <w:name w:val="TOC 2"/>
    <w:basedOn w:val="Normal"/>
    <w:uiPriority w:val="1"/>
    <w:qFormat/>
    <w:pPr>
      <w:spacing w:before="137"/>
      <w:ind w:left="982" w:hanging="660"/>
    </w:pPr>
    <w:rPr>
      <w:rFonts w:ascii="Arial" w:hAnsi="Arial" w:eastAsia="Arial" w:cs="Arial"/>
      <w:sz w:val="24"/>
      <w:szCs w:val="24"/>
    </w:rPr>
  </w:style>
  <w:style w:styleId="TOC3" w:type="paragraph">
    <w:name w:val="TOC 3"/>
    <w:basedOn w:val="Normal"/>
    <w:uiPriority w:val="1"/>
    <w:qFormat/>
    <w:pPr>
      <w:spacing w:before="139"/>
      <w:ind w:left="1422" w:hanging="881"/>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outlineLvl w:val="1"/>
    </w:pPr>
    <w:rPr>
      <w:rFonts w:ascii="Arial" w:hAnsi="Arial" w:eastAsia="Arial" w:cs="Arial"/>
      <w:b/>
      <w:bCs/>
      <w:sz w:val="28"/>
      <w:szCs w:val="28"/>
    </w:rPr>
  </w:style>
  <w:style w:styleId="Heading2" w:type="paragraph">
    <w:name w:val="Heading 2"/>
    <w:basedOn w:val="Normal"/>
    <w:uiPriority w:val="1"/>
    <w:qFormat/>
    <w:pPr>
      <w:ind w:left="102"/>
      <w:jc w:val="both"/>
      <w:outlineLvl w:val="2"/>
    </w:pPr>
    <w:rPr>
      <w:rFonts w:ascii="Arial" w:hAnsi="Arial" w:eastAsia="Arial" w:cs="Arial"/>
      <w:b/>
      <w:bCs/>
      <w:sz w:val="24"/>
      <w:szCs w:val="24"/>
    </w:rPr>
  </w:style>
  <w:style w:styleId="ListParagraph" w:type="paragraph">
    <w:name w:val="List Paragraph"/>
    <w:basedOn w:val="Normal"/>
    <w:uiPriority w:val="1"/>
    <w:qFormat/>
    <w:pPr>
      <w:spacing w:before="137"/>
      <w:ind w:left="822" w:hanging="360"/>
    </w:pPr>
    <w:rPr>
      <w:rFonts w:ascii="Arial" w:hAnsi="Arial" w:eastAsia="Arial" w:cs="Arial"/>
    </w:rPr>
  </w:style>
  <w:style w:styleId="TableParagraph" w:type="paragraph">
    <w:name w:val="Table Paragraph"/>
    <w:basedOn w:val="Normal"/>
    <w:uiPriority w:val="1"/>
    <w:qFormat/>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hyperlink" Target="http://www.sat.gob.mx/" TargetMode="External"/><Relationship Id="rId10" Type="http://schemas.openxmlformats.org/officeDocument/2006/relationships/image" Target="media/image2.png"/><Relationship Id="rId11" Type="http://schemas.openxmlformats.org/officeDocument/2006/relationships/image" Target="media/image3.png"/><Relationship Id="rId12" Type="http://schemas.openxmlformats.org/officeDocument/2006/relationships/footer" Target="footer4.xml"/><Relationship Id="rId13" Type="http://schemas.openxmlformats.org/officeDocument/2006/relationships/image" Target="media/image4.png"/><Relationship Id="rId14" Type="http://schemas.openxmlformats.org/officeDocument/2006/relationships/footer" Target="footer5.xml"/><Relationship Id="rId15" Type="http://schemas.openxmlformats.org/officeDocument/2006/relationships/hyperlink" Target="http://www.monografias.com/trabajos7/regi/regi.shtml" TargetMode="External"/><Relationship Id="rId16" Type="http://schemas.openxmlformats.org/officeDocument/2006/relationships/hyperlink" Target="http://www.monografias.com/trabajos11/teosis/teosis.shtml" TargetMode="External"/><Relationship Id="rId17" Type="http://schemas.openxmlformats.org/officeDocument/2006/relationships/hyperlink" Target="http://www.monografias.com/trabajos11/empre/empre.shtml" TargetMode="External"/><Relationship Id="rId18" Type="http://schemas.openxmlformats.org/officeDocument/2006/relationships/hyperlink" Target="http://www.monografias.com/trabajos13/librylec/librylec.shtml" TargetMode="External"/><Relationship Id="rId19" Type="http://schemas.openxmlformats.org/officeDocument/2006/relationships/hyperlink" Target="http://www.monografias.com/trabajos12/evintven/evintven.shtml" TargetMode="External"/><Relationship Id="rId20" Type="http://schemas.openxmlformats.org/officeDocument/2006/relationships/hyperlink" Target="http://www.monografias.com/trabajos5/elciclo/elciclo.shtml" TargetMode="External"/><Relationship Id="rId21" Type="http://schemas.openxmlformats.org/officeDocument/2006/relationships/hyperlink" Target="http://www.monografias.com/trabajos6/diop/diop.shtml" TargetMode="External"/><Relationship Id="rId22" Type="http://schemas.openxmlformats.org/officeDocument/2006/relationships/hyperlink" Target="http://www.monografias.com/trabajos16/contabilidad-mercantil/contabilidad-mercantil.shtml#libros" TargetMode="External"/><Relationship Id="rId23" Type="http://schemas.openxmlformats.org/officeDocument/2006/relationships/hyperlink" Target="http://www.monografias.com/trabajos4/leyes/leyes.shtml" TargetMode="External"/><Relationship Id="rId24" Type="http://schemas.openxmlformats.org/officeDocument/2006/relationships/hyperlink" Target="http://www.monografias.com/trabajos16/finanzas-operativas/finanzas-operativas.shtml" TargetMode="External"/><Relationship Id="rId25" Type="http://schemas.openxmlformats.org/officeDocument/2006/relationships/hyperlink" Target="http://www.monografias.com/trabajos15/plan-negocio/plan-negocio.shtml" TargetMode="External"/><Relationship Id="rId26" Type="http://schemas.openxmlformats.org/officeDocument/2006/relationships/hyperlink" Target="http://www.monografias.com/trabajos12/desorgan/desorgan.shtml" TargetMode="External"/><Relationship Id="rId27" Type="http://schemas.openxmlformats.org/officeDocument/2006/relationships/hyperlink" Target="http://www.monografias.com/trabajos14/dinamica-grupos/dinamica-grupos.shtml" TargetMode="External"/><Relationship Id="rId28" Type="http://schemas.openxmlformats.org/officeDocument/2006/relationships/hyperlink" Target="http://www.monografias.com/trabajos12/elorigest/elorigest.shtml" TargetMode="External"/><Relationship Id="rId29" Type="http://schemas.openxmlformats.org/officeDocument/2006/relationships/hyperlink" Target="http://www.monografias.com/trabajos15/kinesiologia-biomecanica/kinesiologia-biomecanica.shtml" TargetMode="External"/><Relationship Id="rId30" Type="http://schemas.openxmlformats.org/officeDocument/2006/relationships/hyperlink" Target="http://www.monografias.com/trabajos11/fuper/fuper.shtml" TargetMode="External"/><Relationship Id="rId31" Type="http://schemas.openxmlformats.org/officeDocument/2006/relationships/hyperlink" Target="http://www.monografias.com/trabajos/epistemologia2/epistemologia2.shtml" TargetMode="External"/><Relationship Id="rId32" Type="http://schemas.openxmlformats.org/officeDocument/2006/relationships/hyperlink" Target="http://www.monografias.com/trabajos36/naturaleza/naturaleza.shtml" TargetMode="External"/><Relationship Id="rId33" Type="http://schemas.openxmlformats.org/officeDocument/2006/relationships/hyperlink" Target="http://www.monografias.com/trabajos7/polec/polec.shtml" TargetMode="External"/><Relationship Id="rId34" Type="http://schemas.openxmlformats.org/officeDocument/2006/relationships/hyperlink" Target="http://www.monografias.com/trabajos7/coad/coad.shtml#costo" TargetMode="External"/><Relationship Id="rId35" Type="http://schemas.openxmlformats.org/officeDocument/2006/relationships/hyperlink" Target="http://www.monografias.com/trabajos10/rega/rega.shtml#ga" TargetMode="External"/><Relationship Id="rId36" Type="http://schemas.openxmlformats.org/officeDocument/2006/relationships/hyperlink" Target="http://www.monografias.com/trabajos15/calidad-serv/calidad-serv.shtml#PLANT" TargetMode="External"/><Relationship Id="rId37" Type="http://schemas.openxmlformats.org/officeDocument/2006/relationships/footer" Target="footer6.xml"/><Relationship Id="rId38" Type="http://schemas.openxmlformats.org/officeDocument/2006/relationships/footer" Target="footer7.xml"/><Relationship Id="rId39" Type="http://schemas.openxmlformats.org/officeDocument/2006/relationships/image" Target="media/image5.jpeg"/><Relationship Id="rId40" Type="http://schemas.openxmlformats.org/officeDocument/2006/relationships/image" Target="media/image6.jpeg"/><Relationship Id="rId41" Type="http://schemas.openxmlformats.org/officeDocument/2006/relationships/image" Target="media/image7.jpeg"/><Relationship Id="rId42" Type="http://schemas.openxmlformats.org/officeDocument/2006/relationships/image" Target="media/image8.jpeg"/><Relationship Id="rId43" Type="http://schemas.openxmlformats.org/officeDocument/2006/relationships/footer" Target="footer8.xml"/><Relationship Id="rId44" Type="http://schemas.openxmlformats.org/officeDocument/2006/relationships/footer" Target="footer9.xml"/><Relationship Id="rId45" Type="http://schemas.openxmlformats.org/officeDocument/2006/relationships/image" Target="media/image9.png"/><Relationship Id="rId46" Type="http://schemas.openxmlformats.org/officeDocument/2006/relationships/footer" Target="footer10.xml"/><Relationship Id="rId47" Type="http://schemas.openxmlformats.org/officeDocument/2006/relationships/footer" Target="footer11.xml"/><Relationship Id="rId48" Type="http://schemas.openxmlformats.org/officeDocument/2006/relationships/hyperlink" Target="http://www.monografias.com/trabajos12/cntbtres/cntbtres.shtml" TargetMode="External"/><Relationship Id="rId49" Type="http://schemas.openxmlformats.org/officeDocument/2006/relationships/footer" Target="footer12.xml"/><Relationship Id="rId50" Type="http://schemas.openxmlformats.org/officeDocument/2006/relationships/footer" Target="footer13.xml"/><Relationship Id="rId51" Type="http://schemas.openxmlformats.org/officeDocument/2006/relationships/hyperlink" Target="http://www.monografias.com/trabajos11/conce/conce.shtml" TargetMode="External"/><Relationship Id="rId52" Type="http://schemas.openxmlformats.org/officeDocument/2006/relationships/hyperlink" Target="http://www.monografias.com/Politica/index.shtml" TargetMode="External"/><Relationship Id="rId53" Type="http://schemas.openxmlformats.org/officeDocument/2006/relationships/hyperlink" Target="http://www.monografias.com/trabajos15/financiamiento/financiamiento.shtml" TargetMode="External"/><Relationship Id="rId54" Type="http://schemas.openxmlformats.org/officeDocument/2006/relationships/hyperlink" Target="http://www.monografias.com/trabajos14/nuevmicro/nuevmicro.shtml" TargetMode="External"/><Relationship Id="rId55" Type="http://schemas.openxmlformats.org/officeDocument/2006/relationships/hyperlink" Target="http://www.monografias.com/trabajos12/curclin/curclin.shtml" TargetMode="External"/><Relationship Id="rId56" Type="http://schemas.openxmlformats.org/officeDocument/2006/relationships/hyperlink" Target="http://www.monografias.com/trabajos4/costo/costo.shtml" TargetMode="External"/><Relationship Id="rId57" Type="http://schemas.openxmlformats.org/officeDocument/2006/relationships/hyperlink" Target="http://www.monografias.com/trabajos11/veref/veref.shtml" TargetMode="External"/><Relationship Id="rId58" Type="http://schemas.openxmlformats.org/officeDocument/2006/relationships/footer" Target="footer14.xml"/><Relationship Id="rId5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telmex1</dc:creator>
  <dcterms:created xsi:type="dcterms:W3CDTF">2017-05-29T02:58:52Z</dcterms:created>
  <dcterms:modified xsi:type="dcterms:W3CDTF">2017-05-29T02:58:52Z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2015-10-02T00:00:00Z</vt:filetime>
  </property>
  <property fmtid="{D5CDD505-2E9C-101B-9397-08002B2CF9AE}" pid="3" name="Creator">
    <vt:lpwstr>Microsoft® Word 2013</vt:lpwstr>
  </property>
  <property fmtid="{D5CDD505-2E9C-101B-9397-08002B2CF9AE}" pid="4" name="LastSaved">
    <vt:filetime>2017-05-29T00:00:00Z</vt:filetime>
  </property>
</Properties>
</file>