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364" w:lineRule="auto" w:before="34"/>
        <w:ind w:left="4038" w:right="522" w:hanging="3536"/>
        <w:jc w:val="left"/>
        <w:rPr>
          <w:b/>
          <w:sz w:val="36"/>
        </w:rPr>
      </w:pPr>
      <w:r>
        <w:rPr>
          <w:b/>
          <w:color w:val="0066FF"/>
          <w:w w:val="95"/>
          <w:sz w:val="36"/>
        </w:rPr>
        <w:t>3.2</w:t>
      </w:r>
      <w:r>
        <w:rPr>
          <w:b/>
          <w:color w:val="0066FF"/>
          <w:spacing w:val="-17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Tasas</w:t>
      </w:r>
      <w:r>
        <w:rPr>
          <w:b/>
          <w:color w:val="0066FF"/>
          <w:spacing w:val="-16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de</w:t>
      </w:r>
      <w:r>
        <w:rPr>
          <w:b/>
          <w:color w:val="0066FF"/>
          <w:spacing w:val="-19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crecimiento,</w:t>
      </w:r>
      <w:r>
        <w:rPr>
          <w:b/>
          <w:color w:val="0066FF"/>
          <w:spacing w:val="-17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deflactores</w:t>
      </w:r>
      <w:r>
        <w:rPr>
          <w:b/>
          <w:color w:val="0066FF"/>
          <w:spacing w:val="-17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y</w:t>
      </w:r>
      <w:r>
        <w:rPr>
          <w:b/>
          <w:color w:val="0066FF"/>
          <w:spacing w:val="-17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cambio</w:t>
      </w:r>
      <w:r>
        <w:rPr>
          <w:b/>
          <w:color w:val="0066FF"/>
          <w:spacing w:val="-17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de </w:t>
      </w:r>
      <w:r>
        <w:rPr>
          <w:b/>
          <w:color w:val="0066FF"/>
          <w:sz w:val="36"/>
        </w:rPr>
        <w:t>bases</w:t>
      </w:r>
    </w:p>
    <w:p>
      <w:pPr>
        <w:pStyle w:val="BodyText"/>
        <w:spacing w:before="122"/>
        <w:ind w:right="114"/>
      </w:pPr>
      <w:r>
        <w:rPr/>
        <w:t>El conjunto de bienes y servicios considerados en los índices de precios pueden ir perdiendo</w:t>
      </w:r>
      <w:r>
        <w:rPr>
          <w:spacing w:val="-5"/>
        </w:rPr>
        <w:t> </w:t>
      </w:r>
      <w:r>
        <w:rPr/>
        <w:t>representatividad.</w:t>
      </w:r>
      <w:r>
        <w:rPr>
          <w:spacing w:val="-4"/>
        </w:rPr>
        <w:t> </w:t>
      </w:r>
      <w:r>
        <w:rPr/>
        <w:t>Los</w:t>
      </w:r>
      <w:r>
        <w:rPr>
          <w:spacing w:val="-6"/>
        </w:rPr>
        <w:t> </w:t>
      </w:r>
      <w:r>
        <w:rPr/>
        <w:t>hogares</w:t>
      </w:r>
      <w:r>
        <w:rPr>
          <w:spacing w:val="-6"/>
        </w:rPr>
        <w:t> </w:t>
      </w:r>
      <w:r>
        <w:rPr/>
        <w:t>van</w:t>
      </w:r>
      <w:r>
        <w:rPr>
          <w:spacing w:val="-5"/>
        </w:rPr>
        <w:t> </w:t>
      </w:r>
      <w:r>
        <w:rPr/>
        <w:t>cambiando</w:t>
      </w:r>
      <w:r>
        <w:rPr>
          <w:spacing w:val="-5"/>
        </w:rPr>
        <w:t> </w:t>
      </w:r>
      <w:r>
        <w:rPr/>
        <w:t>su</w:t>
      </w:r>
      <w:r>
        <w:rPr>
          <w:spacing w:val="-6"/>
        </w:rPr>
        <w:t> </w:t>
      </w:r>
      <w:r>
        <w:rPr/>
        <w:t>estructura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consumo:</w:t>
      </w:r>
      <w:r>
        <w:rPr>
          <w:spacing w:val="-6"/>
        </w:rPr>
        <w:t> </w:t>
      </w:r>
      <w:r>
        <w:rPr/>
        <w:t>dejan de consumir determinados bienes o servicios o los reemplazan por otros; los productores también modifican el tipo de bienes que ofrecen en el mercado; se presentan cambios en las características de las viviendas que se construyen y en las técnicas de construcción aplicadas, etcétera. En el curso de esos cambios, los números índices van perdiendo su capacidad para representar la realidad y se vuelve necesario modificar su base evaluando la introducción de transformaciones en alguno/s de los siguientes</w:t>
      </w:r>
      <w:r>
        <w:rPr>
          <w:spacing w:val="-22"/>
        </w:rPr>
        <w:t> </w:t>
      </w:r>
      <w:r>
        <w:rPr/>
        <w:t>niveles:</w:t>
      </w:r>
    </w:p>
    <w:p>
      <w:pPr>
        <w:pStyle w:val="BodyText"/>
        <w:spacing w:before="119"/>
      </w:pPr>
      <w:r>
        <w:rPr/>
        <w:t>-los bienes y/o servicios que lo integran y su importancia relativa</w:t>
      </w:r>
    </w:p>
    <w:p>
      <w:pPr>
        <w:pStyle w:val="BodyText"/>
        <w:spacing w:line="252" w:lineRule="exact" w:before="1"/>
      </w:pPr>
      <w:r>
        <w:rPr/>
        <w:t>-la población de referencia</w:t>
      </w:r>
    </w:p>
    <w:p>
      <w:pPr>
        <w:pStyle w:val="BodyText"/>
        <w:spacing w:line="252" w:lineRule="exact"/>
      </w:pPr>
      <w:r>
        <w:rPr/>
        <w:t>-la cobertura geográfica</w:t>
      </w:r>
    </w:p>
    <w:p>
      <w:pPr>
        <w:pStyle w:val="BodyText"/>
        <w:spacing w:line="252" w:lineRule="exact" w:before="1"/>
      </w:pPr>
      <w:r>
        <w:rPr/>
        <w:t>-el sistema de relevamiento de precios</w:t>
      </w:r>
    </w:p>
    <w:p>
      <w:pPr>
        <w:pStyle w:val="BodyText"/>
        <w:spacing w:line="252" w:lineRule="exact"/>
      </w:pPr>
      <w:r>
        <w:rPr/>
        <w:t>-las fórmulas de cálculo</w:t>
      </w:r>
    </w:p>
    <w:p>
      <w:pPr>
        <w:pStyle w:val="BodyText"/>
        <w:spacing w:before="9"/>
        <w:ind w:left="0"/>
        <w:jc w:val="left"/>
        <w:rPr>
          <w:sz w:val="20"/>
        </w:rPr>
      </w:pPr>
    </w:p>
    <w:p>
      <w:pPr>
        <w:pStyle w:val="BodyText"/>
        <w:ind w:right="117"/>
      </w:pPr>
      <w:r>
        <w:rPr/>
        <w:t>Al modificar la base de un índice se produce una ruptura en la continuidad de la serie, que desde el punto de vista teórico no admite solución cuando la modificación responde a alguno de los niveles citados.</w:t>
      </w:r>
    </w:p>
    <w:p>
      <w:pPr>
        <w:pStyle w:val="BodyText"/>
        <w:spacing w:before="11"/>
        <w:ind w:left="0"/>
        <w:jc w:val="left"/>
        <w:rPr>
          <w:sz w:val="20"/>
        </w:rPr>
      </w:pPr>
    </w:p>
    <w:p>
      <w:pPr>
        <w:pStyle w:val="BodyText"/>
        <w:ind w:right="123"/>
      </w:pPr>
      <w:r>
        <w:rPr/>
        <w:t>La “ruptura” significa que el nuevo índice de precios posee una representatividad cualitativamente diferente del anterior.</w:t>
      </w:r>
    </w:p>
    <w:p>
      <w:pPr>
        <w:pStyle w:val="BodyText"/>
        <w:spacing w:before="9"/>
        <w:ind w:left="0"/>
        <w:jc w:val="left"/>
        <w:rPr>
          <w:sz w:val="20"/>
        </w:rPr>
      </w:pPr>
    </w:p>
    <w:p>
      <w:pPr>
        <w:pStyle w:val="BodyText"/>
        <w:ind w:right="116"/>
      </w:pPr>
      <w:r>
        <w:rPr/>
        <w:t>No obstante, como muchas veces es necesario contar con series continuas que permitan medir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variación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precios</w:t>
      </w:r>
      <w:r>
        <w:rPr>
          <w:spacing w:val="-6"/>
        </w:rPr>
        <w:t> </w:t>
      </w:r>
      <w:r>
        <w:rPr/>
        <w:t>en</w:t>
      </w:r>
      <w:r>
        <w:rPr>
          <w:spacing w:val="-8"/>
        </w:rPr>
        <w:t> </w:t>
      </w:r>
      <w:r>
        <w:rPr/>
        <w:t>períodos</w:t>
      </w:r>
      <w:r>
        <w:rPr>
          <w:spacing w:val="-6"/>
        </w:rPr>
        <w:t> </w:t>
      </w:r>
      <w:r>
        <w:rPr/>
        <w:t>en</w:t>
      </w:r>
      <w:r>
        <w:rPr>
          <w:spacing w:val="-8"/>
        </w:rPr>
        <w:t> </w:t>
      </w:r>
      <w:r>
        <w:rPr/>
        <w:t>donde</w:t>
      </w:r>
      <w:r>
        <w:rPr>
          <w:spacing w:val="-6"/>
        </w:rPr>
        <w:t> </w:t>
      </w:r>
      <w:r>
        <w:rPr/>
        <w:t>el</w:t>
      </w:r>
      <w:r>
        <w:rPr>
          <w:spacing w:val="-7"/>
        </w:rPr>
        <w:t> </w:t>
      </w:r>
      <w:r>
        <w:rPr/>
        <w:t>índice</w:t>
      </w:r>
      <w:r>
        <w:rPr>
          <w:spacing w:val="-6"/>
        </w:rPr>
        <w:t> </w:t>
      </w:r>
      <w:r>
        <w:rPr/>
        <w:t>cambia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base,</w:t>
      </w:r>
      <w:r>
        <w:rPr>
          <w:spacing w:val="-7"/>
        </w:rPr>
        <w:t> </w:t>
      </w:r>
      <w:r>
        <w:rPr/>
        <w:t>el</w:t>
      </w:r>
      <w:r>
        <w:rPr>
          <w:spacing w:val="-9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de Estadística y Censos aplican un procedimiento que se denomina “empalme” y que permite unir ambas</w:t>
      </w:r>
      <w:r>
        <w:rPr>
          <w:spacing w:val="-4"/>
        </w:rPr>
        <w:t> </w:t>
      </w:r>
      <w:r>
        <w:rPr/>
        <w:t>series.</w:t>
      </w:r>
    </w:p>
    <w:p>
      <w:pPr>
        <w:pStyle w:val="BodyText"/>
        <w:spacing w:before="9"/>
        <w:ind w:left="0"/>
        <w:jc w:val="left"/>
        <w:rPr>
          <w:sz w:val="20"/>
        </w:rPr>
      </w:pPr>
    </w:p>
    <w:p>
      <w:pPr>
        <w:pStyle w:val="BodyText"/>
        <w:ind w:right="119"/>
      </w:pPr>
      <w:r>
        <w:rPr/>
        <w:t>Los empalmes se desarrollan, habitualmente, para el máximo nivel de agregación de los índices, es decir para el Nivel General y sus principales aperturas.</w:t>
      </w:r>
    </w:p>
    <w:sectPr>
      <w:type w:val="continuous"/>
      <w:pgSz w:w="12240" w:h="15840"/>
      <w:pgMar w:top="1500" w:bottom="280" w:left="160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>
      <w:ind w:left="102"/>
      <w:jc w:val="both"/>
    </w:pPr>
    <w:rPr>
      <w:rFonts w:ascii="Arial" w:hAnsi="Arial" w:eastAsia="Arial" w:cs="Arial"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dcterms:created xsi:type="dcterms:W3CDTF">2017-05-27T23:12:48Z</dcterms:created>
  <dcterms:modified xsi:type="dcterms:W3CDTF">2017-05-27T23:12:48Z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2015-10-02T00:00:00Z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2017-05-27T00:00:00Z</vt:filetime>
  </property>
</Properties>
</file>