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1"/>
        <w:spacing w:line="364" w:lineRule="auto"/>
        <w:ind w:right="123"/>
      </w:pPr>
      <w:r>
        <w:rPr>
          <w:color w:val="0066FF"/>
        </w:rPr>
        <w:t>Unidad 3. Construcción de números índice y </w:t>
      </w:r>
      <w:r>
        <w:rPr>
          <w:color w:val="0066FF"/>
          <w:w w:val="95"/>
        </w:rPr>
        <w:t>aplicaciones</w:t>
      </w:r>
      <w:r>
        <w:rPr>
          <w:color w:val="0066FF"/>
          <w:spacing w:val="-60"/>
          <w:w w:val="95"/>
        </w:rPr>
        <w:t> </w:t>
      </w:r>
      <w:r>
        <w:rPr>
          <w:color w:val="0066FF"/>
          <w:w w:val="95"/>
        </w:rPr>
        <w:t>al</w:t>
      </w:r>
      <w:r>
        <w:rPr>
          <w:color w:val="0066FF"/>
          <w:spacing w:val="-61"/>
          <w:w w:val="95"/>
        </w:rPr>
        <w:t> </w:t>
      </w:r>
      <w:r>
        <w:rPr>
          <w:color w:val="0066FF"/>
          <w:w w:val="95"/>
        </w:rPr>
        <w:t>análisis</w:t>
      </w:r>
      <w:r>
        <w:rPr>
          <w:color w:val="0066FF"/>
          <w:spacing w:val="-61"/>
          <w:w w:val="95"/>
        </w:rPr>
        <w:t> </w:t>
      </w:r>
      <w:r>
        <w:rPr>
          <w:color w:val="0066FF"/>
          <w:w w:val="95"/>
        </w:rPr>
        <w:t>económico</w:t>
      </w:r>
    </w:p>
    <w:p>
      <w:pPr>
        <w:pStyle w:val="BodyText"/>
        <w:spacing w:before="122"/>
        <w:ind w:left="102" w:right="119"/>
        <w:jc w:val="both"/>
      </w:pPr>
      <w:r>
        <w:rPr/>
        <w:t>Los números índices, utilizados con frecuencia en Economía, Demografía y diferentes campos de la estadística aplicada, son valores convenientes para medir variaciones relativas</w:t>
      </w:r>
      <w:r>
        <w:rPr>
          <w:spacing w:val="-5"/>
        </w:rPr>
        <w:t> </w:t>
      </w:r>
      <w:r>
        <w:rPr/>
        <w:t>o</w:t>
      </w:r>
      <w:r>
        <w:rPr>
          <w:spacing w:val="-5"/>
        </w:rPr>
        <w:t> </w:t>
      </w:r>
      <w:r>
        <w:rPr/>
        <w:t>diferencias</w:t>
      </w:r>
      <w:r>
        <w:rPr>
          <w:spacing w:val="-5"/>
        </w:rPr>
        <w:t> </w:t>
      </w:r>
      <w:r>
        <w:rPr/>
        <w:t>de</w:t>
      </w:r>
      <w:r>
        <w:rPr>
          <w:spacing w:val="-8"/>
        </w:rPr>
        <w:t> </w:t>
      </w:r>
      <w:r>
        <w:rPr/>
        <w:t>tiempo</w:t>
      </w:r>
      <w:r>
        <w:rPr>
          <w:spacing w:val="-5"/>
        </w:rPr>
        <w:t> </w:t>
      </w:r>
      <w:r>
        <w:rPr/>
        <w:t>en</w:t>
      </w:r>
      <w:r>
        <w:rPr>
          <w:spacing w:val="-8"/>
        </w:rPr>
        <w:t> </w:t>
      </w:r>
      <w:r>
        <w:rPr/>
        <w:t>tiempo</w:t>
      </w:r>
      <w:r>
        <w:rPr>
          <w:spacing w:val="-8"/>
        </w:rPr>
        <w:t> </w:t>
      </w:r>
      <w:r>
        <w:rPr/>
        <w:t>o</w:t>
      </w:r>
      <w:r>
        <w:rPr>
          <w:spacing w:val="-5"/>
        </w:rPr>
        <w:t> </w:t>
      </w:r>
      <w:r>
        <w:rPr/>
        <w:t>de</w:t>
      </w:r>
      <w:r>
        <w:rPr>
          <w:spacing w:val="-6"/>
        </w:rPr>
        <w:t> </w:t>
      </w:r>
      <w:r>
        <w:rPr/>
        <w:t>lugar</w:t>
      </w:r>
      <w:r>
        <w:rPr>
          <w:spacing w:val="-4"/>
        </w:rPr>
        <w:t> </w:t>
      </w:r>
      <w:r>
        <w:rPr/>
        <w:t>a</w:t>
      </w:r>
      <w:r>
        <w:rPr>
          <w:spacing w:val="-5"/>
        </w:rPr>
        <w:t> </w:t>
      </w:r>
      <w:r>
        <w:rPr/>
        <w:t>lugar.</w:t>
      </w:r>
      <w:r>
        <w:rPr>
          <w:spacing w:val="-4"/>
        </w:rPr>
        <w:t> </w:t>
      </w:r>
      <w:r>
        <w:rPr/>
        <w:t>Así</w:t>
      </w:r>
      <w:r>
        <w:rPr>
          <w:spacing w:val="-9"/>
        </w:rPr>
        <w:t> </w:t>
      </w:r>
      <w:r>
        <w:rPr/>
        <w:t>como</w:t>
      </w:r>
      <w:r>
        <w:rPr>
          <w:spacing w:val="-5"/>
        </w:rPr>
        <w:t> </w:t>
      </w:r>
      <w:r>
        <w:rPr/>
        <w:t>la</w:t>
      </w:r>
      <w:r>
        <w:rPr>
          <w:spacing w:val="-5"/>
        </w:rPr>
        <w:t> </w:t>
      </w:r>
      <w:r>
        <w:rPr/>
        <w:t>media</w:t>
      </w:r>
      <w:r>
        <w:rPr>
          <w:spacing w:val="-5"/>
        </w:rPr>
        <w:t> </w:t>
      </w:r>
      <w:r>
        <w:rPr/>
        <w:t>aritmética se emplea para representar un conjunto de valores, un número índice se utiliza para representar la variación promedio de un conjunto de valores en dos o más períodos diferentes o localidades</w:t>
      </w:r>
      <w:r>
        <w:rPr>
          <w:spacing w:val="-8"/>
        </w:rPr>
        <w:t> </w:t>
      </w:r>
      <w:r>
        <w:rPr/>
        <w:t>distintas.</w:t>
      </w:r>
    </w:p>
    <w:p>
      <w:pPr>
        <w:pStyle w:val="BodyText"/>
        <w:spacing w:before="121"/>
        <w:ind w:left="102" w:right="117"/>
        <w:jc w:val="both"/>
      </w:pPr>
      <w:r>
        <w:rPr/>
        <w:t>En</w:t>
      </w:r>
      <w:r>
        <w:rPr>
          <w:spacing w:val="-13"/>
        </w:rPr>
        <w:t> </w:t>
      </w:r>
      <w:r>
        <w:rPr/>
        <w:t>general,</w:t>
      </w:r>
      <w:r>
        <w:rPr>
          <w:spacing w:val="-12"/>
        </w:rPr>
        <w:t> </w:t>
      </w:r>
      <w:r>
        <w:rPr/>
        <w:t>los</w:t>
      </w:r>
      <w:r>
        <w:rPr>
          <w:spacing w:val="-11"/>
        </w:rPr>
        <w:t> </w:t>
      </w:r>
      <w:r>
        <w:rPr/>
        <w:t>números</w:t>
      </w:r>
      <w:r>
        <w:rPr>
          <w:spacing w:val="-16"/>
        </w:rPr>
        <w:t> </w:t>
      </w:r>
      <w:r>
        <w:rPr/>
        <w:t>índices</w:t>
      </w:r>
      <w:r>
        <w:rPr>
          <w:spacing w:val="-11"/>
        </w:rPr>
        <w:t> </w:t>
      </w:r>
      <w:r>
        <w:rPr/>
        <w:t>se</w:t>
      </w:r>
      <w:r>
        <w:rPr>
          <w:spacing w:val="-14"/>
        </w:rPr>
        <w:t> </w:t>
      </w:r>
      <w:r>
        <w:rPr/>
        <w:t>clasifican</w:t>
      </w:r>
      <w:r>
        <w:rPr>
          <w:spacing w:val="-14"/>
        </w:rPr>
        <w:t> </w:t>
      </w:r>
      <w:r>
        <w:rPr/>
        <w:t>en</w:t>
      </w:r>
      <w:r>
        <w:rPr>
          <w:spacing w:val="-14"/>
        </w:rPr>
        <w:t> </w:t>
      </w:r>
      <w:r>
        <w:rPr/>
        <w:t>dos</w:t>
      </w:r>
      <w:r>
        <w:rPr>
          <w:spacing w:val="-13"/>
        </w:rPr>
        <w:t> </w:t>
      </w:r>
      <w:r>
        <w:rPr/>
        <w:t>tipos:</w:t>
      </w:r>
      <w:r>
        <w:rPr>
          <w:spacing w:val="-12"/>
        </w:rPr>
        <w:t> </w:t>
      </w:r>
      <w:r>
        <w:rPr/>
        <w:t>simples</w:t>
      </w:r>
      <w:r>
        <w:rPr>
          <w:spacing w:val="-14"/>
        </w:rPr>
        <w:t> </w:t>
      </w:r>
      <w:r>
        <w:rPr/>
        <w:t>y</w:t>
      </w:r>
      <w:r>
        <w:rPr>
          <w:spacing w:val="-16"/>
        </w:rPr>
        <w:t> </w:t>
      </w:r>
      <w:r>
        <w:rPr/>
        <w:t>compuestos.</w:t>
      </w:r>
      <w:r>
        <w:rPr>
          <w:spacing w:val="-13"/>
        </w:rPr>
        <w:t> </w:t>
      </w:r>
      <w:r>
        <w:rPr/>
        <w:t>Un</w:t>
      </w:r>
      <w:r>
        <w:rPr>
          <w:spacing w:val="-14"/>
        </w:rPr>
        <w:t> </w:t>
      </w:r>
      <w:r>
        <w:rPr/>
        <w:t>índice simple es el que se calcula para una sola variable, mientras que un índice compuesto se construye para dos o más variables. La mayoría de los números índices son compuestos por</w:t>
      </w:r>
      <w:r>
        <w:rPr>
          <w:spacing w:val="-4"/>
        </w:rPr>
        <w:t> </w:t>
      </w:r>
      <w:r>
        <w:rPr/>
        <w:t>naturaleza.</w:t>
      </w:r>
    </w:p>
    <w:p>
      <w:pPr>
        <w:pStyle w:val="Heading1"/>
        <w:spacing w:line="362" w:lineRule="auto" w:before="119"/>
      </w:pPr>
      <w:r>
        <w:rPr>
          <w:color w:val="0066FF"/>
        </w:rPr>
        <w:t>3.1 índices de precios, de cantidad, de valor, de </w:t>
      </w:r>
      <w:r>
        <w:rPr>
          <w:color w:val="0066FF"/>
          <w:w w:val="90"/>
        </w:rPr>
        <w:t>concentración, de  población</w:t>
      </w:r>
    </w:p>
    <w:p>
      <w:pPr>
        <w:pStyle w:val="Heading4"/>
        <w:spacing w:before="6"/>
        <w:jc w:val="both"/>
      </w:pPr>
      <w:r>
        <w:rPr/>
        <w:t>El Índice de Precios</w:t>
      </w:r>
    </w:p>
    <w:p>
      <w:pPr>
        <w:pStyle w:val="BodyText"/>
        <w:spacing w:before="11"/>
        <w:rPr>
          <w:b/>
          <w:sz w:val="20"/>
        </w:rPr>
      </w:pPr>
    </w:p>
    <w:p>
      <w:pPr>
        <w:pStyle w:val="BodyText"/>
        <w:ind w:left="102" w:right="116"/>
        <w:jc w:val="both"/>
      </w:pPr>
      <w:r>
        <w:rPr/>
        <w:t>El Índice de precios mide la evolución de los precios de un conjunto de bienes y servicios representativos del gasto de consumo de los hogares residentes en un determinado país, ciudad</w:t>
      </w:r>
      <w:r>
        <w:rPr>
          <w:spacing w:val="-9"/>
        </w:rPr>
        <w:t> </w:t>
      </w:r>
      <w:r>
        <w:rPr/>
        <w:t>o</w:t>
      </w:r>
      <w:r>
        <w:rPr>
          <w:spacing w:val="-9"/>
        </w:rPr>
        <w:t> </w:t>
      </w:r>
      <w:r>
        <w:rPr/>
        <w:t>provincia.</w:t>
      </w:r>
      <w:r>
        <w:rPr>
          <w:spacing w:val="-8"/>
        </w:rPr>
        <w:t> </w:t>
      </w:r>
      <w:r>
        <w:rPr/>
        <w:t>El</w:t>
      </w:r>
      <w:r>
        <w:rPr>
          <w:spacing w:val="-12"/>
        </w:rPr>
        <w:t> </w:t>
      </w:r>
      <w:r>
        <w:rPr/>
        <w:t>IP</w:t>
      </w:r>
      <w:r>
        <w:rPr>
          <w:spacing w:val="-12"/>
        </w:rPr>
        <w:t> </w:t>
      </w:r>
      <w:r>
        <w:rPr/>
        <w:t>mide</w:t>
      </w:r>
      <w:r>
        <w:rPr>
          <w:spacing w:val="-9"/>
        </w:rPr>
        <w:t> </w:t>
      </w:r>
      <w:r>
        <w:rPr/>
        <w:t>cómo</w:t>
      </w:r>
      <w:r>
        <w:rPr>
          <w:spacing w:val="-9"/>
        </w:rPr>
        <w:t> </w:t>
      </w:r>
      <w:r>
        <w:rPr/>
        <w:t>evolucionan</w:t>
      </w:r>
      <w:r>
        <w:rPr>
          <w:spacing w:val="-8"/>
        </w:rPr>
        <w:t> </w:t>
      </w:r>
      <w:r>
        <w:rPr/>
        <w:t>–en</w:t>
      </w:r>
      <w:r>
        <w:rPr>
          <w:spacing w:val="-9"/>
        </w:rPr>
        <w:t> </w:t>
      </w:r>
      <w:r>
        <w:rPr/>
        <w:t>promedio-</w:t>
      </w:r>
      <w:r>
        <w:rPr>
          <w:spacing w:val="-8"/>
        </w:rPr>
        <w:t> </w:t>
      </w:r>
      <w:r>
        <w:rPr/>
        <w:t>los</w:t>
      </w:r>
      <w:r>
        <w:rPr>
          <w:spacing w:val="-11"/>
        </w:rPr>
        <w:t> </w:t>
      </w:r>
      <w:r>
        <w:rPr/>
        <w:t>precios</w:t>
      </w:r>
      <w:r>
        <w:rPr>
          <w:spacing w:val="-8"/>
        </w:rPr>
        <w:t> </w:t>
      </w:r>
      <w:r>
        <w:rPr/>
        <w:t>de</w:t>
      </w:r>
      <w:r>
        <w:rPr>
          <w:spacing w:val="-9"/>
        </w:rPr>
        <w:t> </w:t>
      </w:r>
      <w:r>
        <w:rPr/>
        <w:t>esa</w:t>
      </w:r>
      <w:r>
        <w:rPr>
          <w:spacing w:val="-11"/>
        </w:rPr>
        <w:t> </w:t>
      </w:r>
      <w:r>
        <w:rPr/>
        <w:t>canasta, pero no cuánto vale en un momento del tiempo. Cuando el índice sube, refleja una disminución</w:t>
      </w:r>
      <w:r>
        <w:rPr>
          <w:spacing w:val="-3"/>
        </w:rPr>
        <w:t> </w:t>
      </w:r>
      <w:r>
        <w:rPr/>
        <w:t>en</w:t>
      </w:r>
      <w:r>
        <w:rPr>
          <w:spacing w:val="-3"/>
        </w:rPr>
        <w:t> </w:t>
      </w:r>
      <w:r>
        <w:rPr/>
        <w:t>el</w:t>
      </w:r>
      <w:r>
        <w:rPr>
          <w:spacing w:val="-4"/>
        </w:rPr>
        <w:t> </w:t>
      </w:r>
      <w:r>
        <w:rPr/>
        <w:t>poder</w:t>
      </w:r>
      <w:r>
        <w:rPr>
          <w:spacing w:val="-4"/>
        </w:rPr>
        <w:t> </w:t>
      </w:r>
      <w:r>
        <w:rPr/>
        <w:t>de</w:t>
      </w:r>
      <w:r>
        <w:rPr>
          <w:spacing w:val="-3"/>
        </w:rPr>
        <w:t> </w:t>
      </w:r>
      <w:r>
        <w:rPr/>
        <w:t>compra</w:t>
      </w:r>
      <w:r>
        <w:rPr>
          <w:spacing w:val="-3"/>
        </w:rPr>
        <w:t> </w:t>
      </w:r>
      <w:r>
        <w:rPr/>
        <w:t>del</w:t>
      </w:r>
      <w:r>
        <w:rPr>
          <w:spacing w:val="-4"/>
        </w:rPr>
        <w:t> </w:t>
      </w:r>
      <w:r>
        <w:rPr/>
        <w:t>dinero</w:t>
      </w:r>
      <w:r>
        <w:rPr>
          <w:spacing w:val="-3"/>
        </w:rPr>
        <w:t> </w:t>
      </w:r>
      <w:r>
        <w:rPr/>
        <w:t>en</w:t>
      </w:r>
      <w:r>
        <w:rPr>
          <w:spacing w:val="-8"/>
        </w:rPr>
        <w:t> </w:t>
      </w:r>
      <w:r>
        <w:rPr/>
        <w:t>función</w:t>
      </w:r>
      <w:r>
        <w:rPr>
          <w:spacing w:val="-3"/>
        </w:rPr>
        <w:t> </w:t>
      </w:r>
      <w:r>
        <w:rPr/>
        <w:t>de</w:t>
      </w:r>
      <w:r>
        <w:rPr>
          <w:spacing w:val="-3"/>
        </w:rPr>
        <w:t> </w:t>
      </w:r>
      <w:r>
        <w:rPr/>
        <w:t>los</w:t>
      </w:r>
      <w:r>
        <w:rPr>
          <w:spacing w:val="-3"/>
        </w:rPr>
        <w:t> </w:t>
      </w:r>
      <w:r>
        <w:rPr/>
        <w:t>precios</w:t>
      </w:r>
      <w:r>
        <w:rPr>
          <w:spacing w:val="-3"/>
        </w:rPr>
        <w:t> </w:t>
      </w:r>
      <w:r>
        <w:rPr/>
        <w:t>de</w:t>
      </w:r>
      <w:r>
        <w:rPr>
          <w:spacing w:val="-6"/>
        </w:rPr>
        <w:t> </w:t>
      </w:r>
      <w:r>
        <w:rPr/>
        <w:t>ese</w:t>
      </w:r>
      <w:r>
        <w:rPr>
          <w:spacing w:val="-3"/>
        </w:rPr>
        <w:t> </w:t>
      </w:r>
      <w:r>
        <w:rPr/>
        <w:t>conjunto</w:t>
      </w:r>
      <w:r>
        <w:rPr>
          <w:spacing w:val="-3"/>
        </w:rPr>
        <w:t> </w:t>
      </w:r>
      <w:r>
        <w:rPr/>
        <w:t>de bienes y servicios de consumo; cuando baja, refleja un aumento del poder de compra del dinero en esos mismos</w:t>
      </w:r>
      <w:r>
        <w:rPr>
          <w:spacing w:val="-7"/>
        </w:rPr>
        <w:t> </w:t>
      </w:r>
      <w:r>
        <w:rPr/>
        <w:t>términos.</w:t>
      </w:r>
    </w:p>
    <w:p>
      <w:pPr>
        <w:pStyle w:val="BodyText"/>
        <w:spacing w:before="9"/>
        <w:rPr>
          <w:sz w:val="20"/>
        </w:rPr>
      </w:pPr>
    </w:p>
    <w:p>
      <w:pPr>
        <w:pStyle w:val="BodyText"/>
        <w:ind w:left="102" w:right="119"/>
        <w:jc w:val="both"/>
      </w:pPr>
      <w:r>
        <w:rPr/>
        <w:t>En</w:t>
      </w:r>
      <w:r>
        <w:rPr>
          <w:spacing w:val="-13"/>
        </w:rPr>
        <w:t> </w:t>
      </w:r>
      <w:r>
        <w:rPr/>
        <w:t>general,</w:t>
      </w:r>
      <w:r>
        <w:rPr>
          <w:spacing w:val="-12"/>
        </w:rPr>
        <w:t> </w:t>
      </w:r>
      <w:r>
        <w:rPr/>
        <w:t>los</w:t>
      </w:r>
      <w:r>
        <w:rPr>
          <w:spacing w:val="-11"/>
        </w:rPr>
        <w:t> </w:t>
      </w:r>
      <w:r>
        <w:rPr/>
        <w:t>números</w:t>
      </w:r>
      <w:r>
        <w:rPr>
          <w:spacing w:val="-16"/>
        </w:rPr>
        <w:t> </w:t>
      </w:r>
      <w:r>
        <w:rPr/>
        <w:t>índices</w:t>
      </w:r>
      <w:r>
        <w:rPr>
          <w:spacing w:val="-11"/>
        </w:rPr>
        <w:t> </w:t>
      </w:r>
      <w:r>
        <w:rPr/>
        <w:t>se</w:t>
      </w:r>
      <w:r>
        <w:rPr>
          <w:spacing w:val="-14"/>
        </w:rPr>
        <w:t> </w:t>
      </w:r>
      <w:r>
        <w:rPr/>
        <w:t>clasifican</w:t>
      </w:r>
      <w:r>
        <w:rPr>
          <w:spacing w:val="-14"/>
        </w:rPr>
        <w:t> </w:t>
      </w:r>
      <w:r>
        <w:rPr/>
        <w:t>en</w:t>
      </w:r>
      <w:r>
        <w:rPr>
          <w:spacing w:val="-12"/>
        </w:rPr>
        <w:t> </w:t>
      </w:r>
      <w:r>
        <w:rPr/>
        <w:t>dos</w:t>
      </w:r>
      <w:r>
        <w:rPr>
          <w:spacing w:val="-13"/>
        </w:rPr>
        <w:t> </w:t>
      </w:r>
      <w:r>
        <w:rPr/>
        <w:t>tipos:</w:t>
      </w:r>
      <w:r>
        <w:rPr>
          <w:spacing w:val="-12"/>
        </w:rPr>
        <w:t> </w:t>
      </w:r>
      <w:r>
        <w:rPr/>
        <w:t>simples</w:t>
      </w:r>
      <w:r>
        <w:rPr>
          <w:spacing w:val="-14"/>
        </w:rPr>
        <w:t> </w:t>
      </w:r>
      <w:r>
        <w:rPr/>
        <w:t>y</w:t>
      </w:r>
      <w:r>
        <w:rPr>
          <w:spacing w:val="-16"/>
        </w:rPr>
        <w:t> </w:t>
      </w:r>
      <w:r>
        <w:rPr/>
        <w:t>compuestos.</w:t>
      </w:r>
      <w:r>
        <w:rPr>
          <w:spacing w:val="-13"/>
        </w:rPr>
        <w:t> </w:t>
      </w:r>
      <w:r>
        <w:rPr/>
        <w:t>Un</w:t>
      </w:r>
      <w:r>
        <w:rPr>
          <w:spacing w:val="-14"/>
        </w:rPr>
        <w:t> </w:t>
      </w:r>
      <w:r>
        <w:rPr/>
        <w:t>índice simple es el que se calcula para una sola variable, mientras que un índice compuesto se construye para dos o más variables. La mayoría de los números índices son compuestos por naturaleza. Veremos brevemente la construcción de un índice simple a través de dos ejemplos, con el fin de ilustrar el</w:t>
      </w:r>
      <w:r>
        <w:rPr>
          <w:spacing w:val="-11"/>
        </w:rPr>
        <w:t> </w:t>
      </w:r>
      <w:r>
        <w:rPr/>
        <w:t>concepto.</w:t>
      </w:r>
    </w:p>
    <w:p>
      <w:pPr>
        <w:pStyle w:val="BodyText"/>
        <w:spacing w:before="9"/>
        <w:rPr>
          <w:sz w:val="20"/>
        </w:rPr>
      </w:pPr>
    </w:p>
    <w:p>
      <w:pPr>
        <w:pStyle w:val="BodyText"/>
        <w:ind w:left="102"/>
        <w:jc w:val="both"/>
      </w:pPr>
      <w:r>
        <w:rPr/>
        <w:t>Consideraremos los precios promedios del petróleo durante los últimos 13 años.</w:t>
      </w:r>
    </w:p>
    <w:p>
      <w:pPr>
        <w:spacing w:after="0"/>
        <w:jc w:val="both"/>
        <w:sectPr>
          <w:type w:val="continuous"/>
          <w:pgSz w:w="12240" w:h="15840"/>
          <w:pgMar w:top="1500" w:bottom="28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8"/>
        </w:rPr>
      </w:pPr>
    </w:p>
    <w:p>
      <w:pPr>
        <w:spacing w:before="73"/>
        <w:ind w:left="102" w:right="108" w:firstLine="0"/>
        <w:jc w:val="left"/>
        <w:rPr>
          <w:sz w:val="22"/>
        </w:rPr>
      </w:pPr>
      <w:r>
        <w:rPr>
          <w:b/>
          <w:sz w:val="22"/>
        </w:rPr>
        <w:t>Cuadro 1. </w:t>
      </w:r>
      <w:r>
        <w:rPr>
          <w:sz w:val="22"/>
        </w:rPr>
        <w:t>Precio anual del barril de petróleo</w:t>
      </w:r>
    </w:p>
    <w:p>
      <w:pPr>
        <w:pStyle w:val="BodyText"/>
        <w:spacing w:before="10"/>
      </w:pPr>
    </w:p>
    <w:tbl>
      <w:tblPr>
        <w:tblW w:w="0" w:type="auto"/>
        <w:jc w:val="left"/>
        <w:tblInd w:w="9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03"/>
        <w:gridCol w:w="1899"/>
        <w:gridCol w:w="1091"/>
        <w:gridCol w:w="169"/>
        <w:gridCol w:w="1125"/>
        <w:gridCol w:w="259"/>
      </w:tblGrid>
      <w:tr>
        <w:trPr>
          <w:trHeight w:val="768" w:hRule="exact"/>
        </w:trPr>
        <w:tc>
          <w:tcPr>
            <w:tcW w:w="803" w:type="dxa"/>
            <w:tcBorders>
              <w:left w:val="nil"/>
              <w:right w:val="nil"/>
            </w:tcBorders>
          </w:tcPr>
          <w:p>
            <w:pPr>
              <w:pStyle w:val="TableParagraph"/>
              <w:spacing w:line="248" w:lineRule="exact"/>
              <w:ind w:left="107"/>
              <w:rPr>
                <w:b/>
                <w:sz w:val="22"/>
              </w:rPr>
            </w:pPr>
            <w:r>
              <w:rPr>
                <w:b/>
                <w:sz w:val="22"/>
              </w:rPr>
              <w:t>Año</w:t>
            </w:r>
          </w:p>
        </w:tc>
        <w:tc>
          <w:tcPr>
            <w:tcW w:w="1899" w:type="dxa"/>
            <w:tcBorders>
              <w:left w:val="nil"/>
              <w:right w:val="nil"/>
            </w:tcBorders>
          </w:tcPr>
          <w:p>
            <w:pPr>
              <w:pStyle w:val="TableParagraph"/>
              <w:ind w:left="205" w:right="105"/>
              <w:jc w:val="both"/>
              <w:rPr>
                <w:b/>
                <w:sz w:val="22"/>
              </w:rPr>
            </w:pPr>
            <w:r>
              <w:rPr>
                <w:b/>
                <w:sz w:val="22"/>
              </w:rPr>
              <w:t>Precio anual del barril de petróleo</w:t>
            </w:r>
          </w:p>
        </w:tc>
        <w:tc>
          <w:tcPr>
            <w:tcW w:w="1091" w:type="dxa"/>
            <w:tcBorders>
              <w:left w:val="nil"/>
              <w:right w:val="nil"/>
            </w:tcBorders>
          </w:tcPr>
          <w:p>
            <w:pPr>
              <w:pStyle w:val="TableParagraph"/>
              <w:spacing w:before="5"/>
              <w:rPr>
                <w:sz w:val="21"/>
              </w:rPr>
            </w:pPr>
          </w:p>
          <w:p>
            <w:pPr>
              <w:pStyle w:val="TableParagraph"/>
              <w:ind w:left="107" w:right="-14"/>
              <w:rPr>
                <w:b/>
                <w:sz w:val="22"/>
              </w:rPr>
            </w:pPr>
            <w:r>
              <w:rPr>
                <w:b/>
                <w:sz w:val="22"/>
              </w:rPr>
              <w:t>Indice </w:t>
            </w:r>
            <w:r>
              <w:rPr>
                <w:b/>
                <w:spacing w:val="-1"/>
                <w:sz w:val="22"/>
              </w:rPr>
              <w:t>1994=100</w:t>
            </w:r>
          </w:p>
        </w:tc>
        <w:tc>
          <w:tcPr>
            <w:tcW w:w="169" w:type="dxa"/>
            <w:tcBorders>
              <w:left w:val="nil"/>
              <w:right w:val="nil"/>
            </w:tcBorders>
          </w:tcPr>
          <w:p>
            <w:pPr>
              <w:pStyle w:val="TableParagraph"/>
              <w:spacing w:before="5"/>
              <w:rPr>
                <w:sz w:val="21"/>
              </w:rPr>
            </w:pPr>
          </w:p>
          <w:p>
            <w:pPr>
              <w:pStyle w:val="TableParagraph"/>
              <w:rPr>
                <w:b/>
                <w:sz w:val="22"/>
              </w:rPr>
            </w:pPr>
            <w:r>
              <w:rPr>
                <w:b/>
                <w:w w:val="100"/>
                <w:sz w:val="22"/>
              </w:rPr>
              <w:t>I</w:t>
            </w:r>
          </w:p>
        </w:tc>
        <w:tc>
          <w:tcPr>
            <w:tcW w:w="1125" w:type="dxa"/>
            <w:tcBorders>
              <w:left w:val="nil"/>
              <w:right w:val="nil"/>
            </w:tcBorders>
          </w:tcPr>
          <w:p>
            <w:pPr>
              <w:pStyle w:val="TableParagraph"/>
              <w:spacing w:before="5"/>
              <w:rPr>
                <w:sz w:val="21"/>
              </w:rPr>
            </w:pPr>
          </w:p>
          <w:p>
            <w:pPr>
              <w:pStyle w:val="TableParagraph"/>
              <w:ind w:left="107" w:right="13"/>
              <w:rPr>
                <w:b/>
                <w:sz w:val="22"/>
              </w:rPr>
            </w:pPr>
            <w:r>
              <w:rPr>
                <w:b/>
                <w:sz w:val="22"/>
              </w:rPr>
              <w:t>Indice 2006=100</w:t>
            </w:r>
          </w:p>
        </w:tc>
        <w:tc>
          <w:tcPr>
            <w:tcW w:w="259" w:type="dxa"/>
            <w:tcBorders>
              <w:left w:val="nil"/>
              <w:right w:val="nil"/>
            </w:tcBorders>
          </w:tcPr>
          <w:p>
            <w:pPr>
              <w:pStyle w:val="TableParagraph"/>
              <w:spacing w:before="5"/>
              <w:rPr>
                <w:sz w:val="21"/>
              </w:rPr>
            </w:pPr>
          </w:p>
          <w:p>
            <w:pPr>
              <w:pStyle w:val="TableParagraph"/>
              <w:ind w:left="30"/>
              <w:rPr>
                <w:b/>
                <w:sz w:val="22"/>
              </w:rPr>
            </w:pPr>
            <w:r>
              <w:rPr>
                <w:b/>
                <w:sz w:val="22"/>
              </w:rPr>
              <w:t>II</w:t>
            </w:r>
          </w:p>
        </w:tc>
      </w:tr>
      <w:tr>
        <w:trPr>
          <w:trHeight w:val="269" w:hRule="exact"/>
        </w:trPr>
        <w:tc>
          <w:tcPr>
            <w:tcW w:w="803" w:type="dxa"/>
            <w:tcBorders>
              <w:left w:val="nil"/>
              <w:bottom w:val="nil"/>
              <w:right w:val="nil"/>
            </w:tcBorders>
          </w:tcPr>
          <w:p>
            <w:pPr>
              <w:pStyle w:val="TableParagraph"/>
              <w:spacing w:line="251" w:lineRule="exact"/>
              <w:ind w:left="107"/>
              <w:rPr>
                <w:sz w:val="22"/>
              </w:rPr>
            </w:pPr>
            <w:r>
              <w:rPr>
                <w:sz w:val="22"/>
              </w:rPr>
              <w:t>1994</w:t>
            </w:r>
          </w:p>
        </w:tc>
        <w:tc>
          <w:tcPr>
            <w:tcW w:w="1899" w:type="dxa"/>
            <w:tcBorders>
              <w:left w:val="nil"/>
              <w:bottom w:val="nil"/>
              <w:right w:val="nil"/>
            </w:tcBorders>
          </w:tcPr>
          <w:p>
            <w:pPr>
              <w:pStyle w:val="TableParagraph"/>
              <w:spacing w:line="251" w:lineRule="exact"/>
              <w:ind w:left="205"/>
              <w:rPr>
                <w:sz w:val="22"/>
              </w:rPr>
            </w:pPr>
            <w:r>
              <w:rPr>
                <w:sz w:val="22"/>
              </w:rPr>
              <w:t>15,53</w:t>
            </w:r>
          </w:p>
        </w:tc>
        <w:tc>
          <w:tcPr>
            <w:tcW w:w="1091" w:type="dxa"/>
            <w:tcBorders>
              <w:left w:val="nil"/>
              <w:bottom w:val="nil"/>
              <w:right w:val="nil"/>
            </w:tcBorders>
          </w:tcPr>
          <w:p>
            <w:pPr>
              <w:pStyle w:val="TableParagraph"/>
              <w:ind w:left="107" w:right="-14"/>
              <w:rPr>
                <w:sz w:val="22"/>
              </w:rPr>
            </w:pPr>
            <w:r>
              <w:rPr>
                <w:sz w:val="22"/>
              </w:rPr>
              <w:t>100,00</w:t>
            </w:r>
          </w:p>
        </w:tc>
        <w:tc>
          <w:tcPr>
            <w:tcW w:w="169" w:type="dxa"/>
            <w:tcBorders>
              <w:left w:val="nil"/>
              <w:bottom w:val="nil"/>
              <w:right w:val="nil"/>
            </w:tcBorders>
          </w:tcPr>
          <w:p>
            <w:pPr/>
          </w:p>
        </w:tc>
        <w:tc>
          <w:tcPr>
            <w:tcW w:w="1125" w:type="dxa"/>
            <w:tcBorders>
              <w:left w:val="nil"/>
              <w:bottom w:val="nil"/>
              <w:right w:val="nil"/>
            </w:tcBorders>
          </w:tcPr>
          <w:p>
            <w:pPr>
              <w:pStyle w:val="TableParagraph"/>
              <w:ind w:left="107" w:right="13"/>
              <w:rPr>
                <w:sz w:val="22"/>
              </w:rPr>
            </w:pPr>
            <w:r>
              <w:rPr>
                <w:sz w:val="22"/>
              </w:rPr>
              <w:t>25,43</w:t>
            </w:r>
          </w:p>
        </w:tc>
        <w:tc>
          <w:tcPr>
            <w:tcW w:w="259" w:type="dxa"/>
            <w:tcBorders>
              <w:left w:val="nil"/>
              <w:bottom w:val="nil"/>
              <w:right w:val="nil"/>
            </w:tcBorders>
          </w:tcPr>
          <w:p>
            <w:pPr/>
          </w:p>
        </w:tc>
      </w:tr>
      <w:tr>
        <w:trPr>
          <w:trHeight w:val="256" w:hRule="exact"/>
        </w:trPr>
        <w:tc>
          <w:tcPr>
            <w:tcW w:w="803" w:type="dxa"/>
            <w:tcBorders>
              <w:top w:val="nil"/>
              <w:left w:val="nil"/>
              <w:bottom w:val="nil"/>
              <w:right w:val="nil"/>
            </w:tcBorders>
          </w:tcPr>
          <w:p>
            <w:pPr>
              <w:pStyle w:val="TableParagraph"/>
              <w:spacing w:line="241" w:lineRule="exact"/>
              <w:ind w:left="107"/>
              <w:rPr>
                <w:sz w:val="22"/>
              </w:rPr>
            </w:pPr>
            <w:r>
              <w:rPr>
                <w:sz w:val="22"/>
              </w:rPr>
              <w:t>1995</w:t>
            </w:r>
          </w:p>
        </w:tc>
        <w:tc>
          <w:tcPr>
            <w:tcW w:w="1899" w:type="dxa"/>
            <w:tcBorders>
              <w:top w:val="nil"/>
              <w:left w:val="nil"/>
              <w:bottom w:val="nil"/>
              <w:right w:val="nil"/>
            </w:tcBorders>
          </w:tcPr>
          <w:p>
            <w:pPr>
              <w:pStyle w:val="TableParagraph"/>
              <w:spacing w:line="241" w:lineRule="exact"/>
              <w:ind w:left="205"/>
              <w:rPr>
                <w:sz w:val="22"/>
              </w:rPr>
            </w:pPr>
            <w:r>
              <w:rPr>
                <w:sz w:val="22"/>
              </w:rPr>
              <w:t>16,86</w:t>
            </w:r>
          </w:p>
        </w:tc>
        <w:tc>
          <w:tcPr>
            <w:tcW w:w="1091" w:type="dxa"/>
            <w:tcBorders>
              <w:top w:val="nil"/>
              <w:left w:val="nil"/>
              <w:bottom w:val="nil"/>
              <w:right w:val="nil"/>
            </w:tcBorders>
          </w:tcPr>
          <w:p>
            <w:pPr>
              <w:pStyle w:val="TableParagraph"/>
              <w:spacing w:line="244" w:lineRule="exact"/>
              <w:ind w:left="107" w:right="-14"/>
              <w:rPr>
                <w:sz w:val="22"/>
              </w:rPr>
            </w:pPr>
            <w:r>
              <w:rPr>
                <w:sz w:val="22"/>
              </w:rPr>
              <w:t>108,56</w:t>
            </w:r>
          </w:p>
        </w:tc>
        <w:tc>
          <w:tcPr>
            <w:tcW w:w="169" w:type="dxa"/>
            <w:tcBorders>
              <w:top w:val="nil"/>
              <w:left w:val="nil"/>
              <w:bottom w:val="nil"/>
              <w:right w:val="nil"/>
            </w:tcBorders>
          </w:tcPr>
          <w:p>
            <w:pPr/>
          </w:p>
        </w:tc>
        <w:tc>
          <w:tcPr>
            <w:tcW w:w="1125" w:type="dxa"/>
            <w:tcBorders>
              <w:top w:val="nil"/>
              <w:left w:val="nil"/>
              <w:bottom w:val="nil"/>
              <w:right w:val="nil"/>
            </w:tcBorders>
          </w:tcPr>
          <w:p>
            <w:pPr>
              <w:pStyle w:val="TableParagraph"/>
              <w:spacing w:line="244" w:lineRule="exact"/>
              <w:ind w:left="107" w:right="13"/>
              <w:rPr>
                <w:sz w:val="22"/>
              </w:rPr>
            </w:pPr>
            <w:r>
              <w:rPr>
                <w:sz w:val="22"/>
              </w:rPr>
              <w:t>27,60</w:t>
            </w:r>
          </w:p>
        </w:tc>
        <w:tc>
          <w:tcPr>
            <w:tcW w:w="259" w:type="dxa"/>
            <w:tcBorders>
              <w:top w:val="nil"/>
              <w:left w:val="nil"/>
              <w:bottom w:val="nil"/>
              <w:right w:val="nil"/>
            </w:tcBorders>
          </w:tcPr>
          <w:p>
            <w:pPr/>
          </w:p>
        </w:tc>
      </w:tr>
      <w:tr>
        <w:trPr>
          <w:trHeight w:val="256" w:hRule="exact"/>
        </w:trPr>
        <w:tc>
          <w:tcPr>
            <w:tcW w:w="803" w:type="dxa"/>
            <w:tcBorders>
              <w:top w:val="nil"/>
              <w:left w:val="nil"/>
              <w:bottom w:val="nil"/>
              <w:right w:val="nil"/>
            </w:tcBorders>
          </w:tcPr>
          <w:p>
            <w:pPr>
              <w:pStyle w:val="TableParagraph"/>
              <w:spacing w:line="242" w:lineRule="exact"/>
              <w:ind w:left="107"/>
              <w:rPr>
                <w:sz w:val="22"/>
              </w:rPr>
            </w:pPr>
            <w:r>
              <w:rPr>
                <w:sz w:val="22"/>
              </w:rPr>
              <w:t>1996</w:t>
            </w:r>
          </w:p>
        </w:tc>
        <w:tc>
          <w:tcPr>
            <w:tcW w:w="1899" w:type="dxa"/>
            <w:tcBorders>
              <w:top w:val="nil"/>
              <w:left w:val="nil"/>
              <w:bottom w:val="nil"/>
              <w:right w:val="nil"/>
            </w:tcBorders>
          </w:tcPr>
          <w:p>
            <w:pPr>
              <w:pStyle w:val="TableParagraph"/>
              <w:spacing w:line="242" w:lineRule="exact"/>
              <w:ind w:left="205"/>
              <w:rPr>
                <w:sz w:val="22"/>
              </w:rPr>
            </w:pPr>
            <w:r>
              <w:rPr>
                <w:sz w:val="22"/>
              </w:rPr>
              <w:t>20,29</w:t>
            </w:r>
          </w:p>
        </w:tc>
        <w:tc>
          <w:tcPr>
            <w:tcW w:w="1091" w:type="dxa"/>
            <w:tcBorders>
              <w:top w:val="nil"/>
              <w:left w:val="nil"/>
              <w:bottom w:val="nil"/>
              <w:right w:val="nil"/>
            </w:tcBorders>
          </w:tcPr>
          <w:p>
            <w:pPr>
              <w:pStyle w:val="TableParagraph"/>
              <w:spacing w:line="245" w:lineRule="exact"/>
              <w:ind w:left="107" w:right="-14"/>
              <w:rPr>
                <w:sz w:val="22"/>
              </w:rPr>
            </w:pPr>
            <w:r>
              <w:rPr>
                <w:sz w:val="22"/>
              </w:rPr>
              <w:t>130,65</w:t>
            </w:r>
          </w:p>
        </w:tc>
        <w:tc>
          <w:tcPr>
            <w:tcW w:w="169" w:type="dxa"/>
            <w:tcBorders>
              <w:top w:val="nil"/>
              <w:left w:val="nil"/>
              <w:bottom w:val="nil"/>
              <w:right w:val="nil"/>
            </w:tcBorders>
          </w:tcPr>
          <w:p>
            <w:pPr/>
          </w:p>
        </w:tc>
        <w:tc>
          <w:tcPr>
            <w:tcW w:w="1125" w:type="dxa"/>
            <w:tcBorders>
              <w:top w:val="nil"/>
              <w:left w:val="nil"/>
              <w:bottom w:val="nil"/>
              <w:right w:val="nil"/>
            </w:tcBorders>
          </w:tcPr>
          <w:p>
            <w:pPr>
              <w:pStyle w:val="TableParagraph"/>
              <w:spacing w:line="245" w:lineRule="exact"/>
              <w:ind w:left="107" w:right="13"/>
              <w:rPr>
                <w:sz w:val="22"/>
              </w:rPr>
            </w:pPr>
            <w:r>
              <w:rPr>
                <w:sz w:val="22"/>
              </w:rPr>
              <w:t>33,22</w:t>
            </w:r>
          </w:p>
        </w:tc>
        <w:tc>
          <w:tcPr>
            <w:tcW w:w="259" w:type="dxa"/>
            <w:tcBorders>
              <w:top w:val="nil"/>
              <w:left w:val="nil"/>
              <w:bottom w:val="nil"/>
              <w:right w:val="nil"/>
            </w:tcBorders>
          </w:tcPr>
          <w:p>
            <w:pPr/>
          </w:p>
        </w:tc>
      </w:tr>
      <w:tr>
        <w:trPr>
          <w:trHeight w:val="255" w:hRule="exact"/>
        </w:trPr>
        <w:tc>
          <w:tcPr>
            <w:tcW w:w="803" w:type="dxa"/>
            <w:tcBorders>
              <w:top w:val="nil"/>
              <w:left w:val="nil"/>
              <w:bottom w:val="nil"/>
              <w:right w:val="nil"/>
            </w:tcBorders>
          </w:tcPr>
          <w:p>
            <w:pPr>
              <w:pStyle w:val="TableParagraph"/>
              <w:spacing w:line="241" w:lineRule="exact"/>
              <w:ind w:left="107"/>
              <w:rPr>
                <w:sz w:val="22"/>
              </w:rPr>
            </w:pPr>
            <w:r>
              <w:rPr>
                <w:sz w:val="22"/>
              </w:rPr>
              <w:t>1997</w:t>
            </w:r>
          </w:p>
        </w:tc>
        <w:tc>
          <w:tcPr>
            <w:tcW w:w="1899" w:type="dxa"/>
            <w:tcBorders>
              <w:top w:val="nil"/>
              <w:left w:val="nil"/>
              <w:bottom w:val="nil"/>
              <w:right w:val="nil"/>
            </w:tcBorders>
          </w:tcPr>
          <w:p>
            <w:pPr>
              <w:pStyle w:val="TableParagraph"/>
              <w:spacing w:line="241" w:lineRule="exact"/>
              <w:ind w:left="205"/>
              <w:rPr>
                <w:sz w:val="22"/>
              </w:rPr>
            </w:pPr>
            <w:r>
              <w:rPr>
                <w:sz w:val="22"/>
              </w:rPr>
              <w:t>18,68</w:t>
            </w:r>
          </w:p>
        </w:tc>
        <w:tc>
          <w:tcPr>
            <w:tcW w:w="1091" w:type="dxa"/>
            <w:tcBorders>
              <w:top w:val="nil"/>
              <w:left w:val="nil"/>
              <w:bottom w:val="nil"/>
              <w:right w:val="nil"/>
            </w:tcBorders>
          </w:tcPr>
          <w:p>
            <w:pPr>
              <w:pStyle w:val="TableParagraph"/>
              <w:spacing w:line="244" w:lineRule="exact"/>
              <w:ind w:left="107" w:right="-14"/>
              <w:rPr>
                <w:sz w:val="22"/>
              </w:rPr>
            </w:pPr>
            <w:r>
              <w:rPr>
                <w:sz w:val="22"/>
              </w:rPr>
              <w:t>120,28</w:t>
            </w:r>
          </w:p>
        </w:tc>
        <w:tc>
          <w:tcPr>
            <w:tcW w:w="169" w:type="dxa"/>
            <w:tcBorders>
              <w:top w:val="nil"/>
              <w:left w:val="nil"/>
              <w:bottom w:val="nil"/>
              <w:right w:val="nil"/>
            </w:tcBorders>
          </w:tcPr>
          <w:p>
            <w:pPr/>
          </w:p>
        </w:tc>
        <w:tc>
          <w:tcPr>
            <w:tcW w:w="1125" w:type="dxa"/>
            <w:tcBorders>
              <w:top w:val="nil"/>
              <w:left w:val="nil"/>
              <w:bottom w:val="nil"/>
              <w:right w:val="nil"/>
            </w:tcBorders>
          </w:tcPr>
          <w:p>
            <w:pPr>
              <w:pStyle w:val="TableParagraph"/>
              <w:spacing w:line="244" w:lineRule="exact"/>
              <w:ind w:left="107" w:right="13"/>
              <w:rPr>
                <w:sz w:val="22"/>
              </w:rPr>
            </w:pPr>
            <w:r>
              <w:rPr>
                <w:sz w:val="22"/>
              </w:rPr>
              <w:t>30,58</w:t>
            </w:r>
          </w:p>
        </w:tc>
        <w:tc>
          <w:tcPr>
            <w:tcW w:w="259" w:type="dxa"/>
            <w:tcBorders>
              <w:top w:val="nil"/>
              <w:left w:val="nil"/>
              <w:bottom w:val="nil"/>
              <w:right w:val="nil"/>
            </w:tcBorders>
          </w:tcPr>
          <w:p>
            <w:pPr/>
          </w:p>
        </w:tc>
      </w:tr>
      <w:tr>
        <w:trPr>
          <w:trHeight w:val="254" w:hRule="exact"/>
        </w:trPr>
        <w:tc>
          <w:tcPr>
            <w:tcW w:w="803" w:type="dxa"/>
            <w:tcBorders>
              <w:top w:val="nil"/>
              <w:left w:val="nil"/>
              <w:bottom w:val="nil"/>
              <w:right w:val="nil"/>
            </w:tcBorders>
          </w:tcPr>
          <w:p>
            <w:pPr>
              <w:pStyle w:val="TableParagraph"/>
              <w:spacing w:line="241" w:lineRule="exact"/>
              <w:ind w:left="107"/>
              <w:rPr>
                <w:sz w:val="22"/>
              </w:rPr>
            </w:pPr>
            <w:r>
              <w:rPr>
                <w:sz w:val="22"/>
              </w:rPr>
              <w:t>1998</w:t>
            </w:r>
          </w:p>
        </w:tc>
        <w:tc>
          <w:tcPr>
            <w:tcW w:w="1899" w:type="dxa"/>
            <w:tcBorders>
              <w:top w:val="nil"/>
              <w:left w:val="nil"/>
              <w:bottom w:val="nil"/>
              <w:right w:val="nil"/>
            </w:tcBorders>
          </w:tcPr>
          <w:p>
            <w:pPr>
              <w:pStyle w:val="TableParagraph"/>
              <w:spacing w:line="241" w:lineRule="exact"/>
              <w:ind w:left="205"/>
              <w:rPr>
                <w:sz w:val="22"/>
              </w:rPr>
            </w:pPr>
            <w:r>
              <w:rPr>
                <w:sz w:val="22"/>
              </w:rPr>
              <w:t>12,28</w:t>
            </w:r>
          </w:p>
        </w:tc>
        <w:tc>
          <w:tcPr>
            <w:tcW w:w="1091" w:type="dxa"/>
            <w:tcBorders>
              <w:top w:val="nil"/>
              <w:left w:val="nil"/>
              <w:bottom w:val="nil"/>
              <w:right w:val="nil"/>
            </w:tcBorders>
          </w:tcPr>
          <w:p>
            <w:pPr>
              <w:pStyle w:val="TableParagraph"/>
              <w:spacing w:line="244" w:lineRule="exact"/>
              <w:ind w:left="107" w:right="-14"/>
              <w:rPr>
                <w:sz w:val="22"/>
              </w:rPr>
            </w:pPr>
            <w:r>
              <w:rPr>
                <w:sz w:val="22"/>
              </w:rPr>
              <w:t>79,07</w:t>
            </w:r>
          </w:p>
        </w:tc>
        <w:tc>
          <w:tcPr>
            <w:tcW w:w="169" w:type="dxa"/>
            <w:tcBorders>
              <w:top w:val="nil"/>
              <w:left w:val="nil"/>
              <w:bottom w:val="nil"/>
              <w:right w:val="nil"/>
            </w:tcBorders>
          </w:tcPr>
          <w:p>
            <w:pPr/>
          </w:p>
        </w:tc>
        <w:tc>
          <w:tcPr>
            <w:tcW w:w="1125" w:type="dxa"/>
            <w:tcBorders>
              <w:top w:val="nil"/>
              <w:left w:val="nil"/>
              <w:bottom w:val="nil"/>
              <w:right w:val="nil"/>
            </w:tcBorders>
          </w:tcPr>
          <w:p>
            <w:pPr>
              <w:pStyle w:val="TableParagraph"/>
              <w:spacing w:line="244" w:lineRule="exact"/>
              <w:ind w:left="107" w:right="13"/>
              <w:rPr>
                <w:sz w:val="22"/>
              </w:rPr>
            </w:pPr>
            <w:r>
              <w:rPr>
                <w:sz w:val="22"/>
              </w:rPr>
              <w:t>20,10</w:t>
            </w:r>
          </w:p>
        </w:tc>
        <w:tc>
          <w:tcPr>
            <w:tcW w:w="259" w:type="dxa"/>
            <w:tcBorders>
              <w:top w:val="nil"/>
              <w:left w:val="nil"/>
              <w:bottom w:val="nil"/>
              <w:right w:val="nil"/>
            </w:tcBorders>
          </w:tcPr>
          <w:p>
            <w:pPr/>
          </w:p>
        </w:tc>
      </w:tr>
      <w:tr>
        <w:trPr>
          <w:trHeight w:val="256" w:hRule="exact"/>
        </w:trPr>
        <w:tc>
          <w:tcPr>
            <w:tcW w:w="803" w:type="dxa"/>
            <w:tcBorders>
              <w:top w:val="nil"/>
              <w:left w:val="nil"/>
              <w:bottom w:val="nil"/>
              <w:right w:val="nil"/>
            </w:tcBorders>
          </w:tcPr>
          <w:p>
            <w:pPr>
              <w:pStyle w:val="TableParagraph"/>
              <w:spacing w:line="241" w:lineRule="exact"/>
              <w:ind w:left="107"/>
              <w:rPr>
                <w:sz w:val="22"/>
              </w:rPr>
            </w:pPr>
            <w:r>
              <w:rPr>
                <w:sz w:val="22"/>
              </w:rPr>
              <w:t>1999</w:t>
            </w:r>
          </w:p>
        </w:tc>
        <w:tc>
          <w:tcPr>
            <w:tcW w:w="1899" w:type="dxa"/>
            <w:tcBorders>
              <w:top w:val="nil"/>
              <w:left w:val="nil"/>
              <w:bottom w:val="nil"/>
              <w:right w:val="nil"/>
            </w:tcBorders>
          </w:tcPr>
          <w:p>
            <w:pPr>
              <w:pStyle w:val="TableParagraph"/>
              <w:spacing w:line="241" w:lineRule="exact"/>
              <w:ind w:left="205"/>
              <w:rPr>
                <w:sz w:val="22"/>
              </w:rPr>
            </w:pPr>
            <w:r>
              <w:rPr>
                <w:sz w:val="22"/>
              </w:rPr>
              <w:t>17,48</w:t>
            </w:r>
          </w:p>
        </w:tc>
        <w:tc>
          <w:tcPr>
            <w:tcW w:w="1091" w:type="dxa"/>
            <w:tcBorders>
              <w:top w:val="nil"/>
              <w:left w:val="nil"/>
              <w:bottom w:val="nil"/>
              <w:right w:val="nil"/>
            </w:tcBorders>
          </w:tcPr>
          <w:p>
            <w:pPr>
              <w:pStyle w:val="TableParagraph"/>
              <w:spacing w:line="244" w:lineRule="exact"/>
              <w:ind w:left="107" w:right="-14"/>
              <w:rPr>
                <w:sz w:val="22"/>
              </w:rPr>
            </w:pPr>
            <w:r>
              <w:rPr>
                <w:sz w:val="22"/>
              </w:rPr>
              <w:t>112,56</w:t>
            </w:r>
          </w:p>
        </w:tc>
        <w:tc>
          <w:tcPr>
            <w:tcW w:w="169" w:type="dxa"/>
            <w:tcBorders>
              <w:top w:val="nil"/>
              <w:left w:val="nil"/>
              <w:bottom w:val="nil"/>
              <w:right w:val="nil"/>
            </w:tcBorders>
          </w:tcPr>
          <w:p>
            <w:pPr/>
          </w:p>
        </w:tc>
        <w:tc>
          <w:tcPr>
            <w:tcW w:w="1125" w:type="dxa"/>
            <w:tcBorders>
              <w:top w:val="nil"/>
              <w:left w:val="nil"/>
              <w:bottom w:val="nil"/>
              <w:right w:val="nil"/>
            </w:tcBorders>
          </w:tcPr>
          <w:p>
            <w:pPr>
              <w:pStyle w:val="TableParagraph"/>
              <w:spacing w:line="244" w:lineRule="exact"/>
              <w:ind w:left="107" w:right="13"/>
              <w:rPr>
                <w:sz w:val="22"/>
              </w:rPr>
            </w:pPr>
            <w:r>
              <w:rPr>
                <w:sz w:val="22"/>
              </w:rPr>
              <w:t>28,62</w:t>
            </w:r>
          </w:p>
        </w:tc>
        <w:tc>
          <w:tcPr>
            <w:tcW w:w="259" w:type="dxa"/>
            <w:tcBorders>
              <w:top w:val="nil"/>
              <w:left w:val="nil"/>
              <w:bottom w:val="nil"/>
              <w:right w:val="nil"/>
            </w:tcBorders>
          </w:tcPr>
          <w:p>
            <w:pPr/>
          </w:p>
        </w:tc>
      </w:tr>
      <w:tr>
        <w:trPr>
          <w:trHeight w:val="256" w:hRule="exact"/>
        </w:trPr>
        <w:tc>
          <w:tcPr>
            <w:tcW w:w="803" w:type="dxa"/>
            <w:tcBorders>
              <w:top w:val="nil"/>
              <w:left w:val="nil"/>
              <w:bottom w:val="nil"/>
              <w:right w:val="nil"/>
            </w:tcBorders>
          </w:tcPr>
          <w:p>
            <w:pPr>
              <w:pStyle w:val="TableParagraph"/>
              <w:spacing w:line="242" w:lineRule="exact"/>
              <w:ind w:left="107"/>
              <w:rPr>
                <w:sz w:val="22"/>
              </w:rPr>
            </w:pPr>
            <w:r>
              <w:rPr>
                <w:sz w:val="22"/>
              </w:rPr>
              <w:t>2000</w:t>
            </w:r>
          </w:p>
        </w:tc>
        <w:tc>
          <w:tcPr>
            <w:tcW w:w="1899" w:type="dxa"/>
            <w:tcBorders>
              <w:top w:val="nil"/>
              <w:left w:val="nil"/>
              <w:bottom w:val="nil"/>
              <w:right w:val="nil"/>
            </w:tcBorders>
          </w:tcPr>
          <w:p>
            <w:pPr>
              <w:pStyle w:val="TableParagraph"/>
              <w:spacing w:line="242" w:lineRule="exact"/>
              <w:ind w:left="205"/>
              <w:rPr>
                <w:sz w:val="22"/>
              </w:rPr>
            </w:pPr>
            <w:r>
              <w:rPr>
                <w:sz w:val="22"/>
              </w:rPr>
              <w:t>27,6</w:t>
            </w:r>
          </w:p>
        </w:tc>
        <w:tc>
          <w:tcPr>
            <w:tcW w:w="1091" w:type="dxa"/>
            <w:tcBorders>
              <w:top w:val="nil"/>
              <w:left w:val="nil"/>
              <w:bottom w:val="nil"/>
              <w:right w:val="nil"/>
            </w:tcBorders>
          </w:tcPr>
          <w:p>
            <w:pPr>
              <w:pStyle w:val="TableParagraph"/>
              <w:spacing w:line="245" w:lineRule="exact"/>
              <w:ind w:left="107" w:right="-14"/>
              <w:rPr>
                <w:sz w:val="22"/>
              </w:rPr>
            </w:pPr>
            <w:r>
              <w:rPr>
                <w:sz w:val="22"/>
              </w:rPr>
              <w:t>177,72</w:t>
            </w:r>
          </w:p>
        </w:tc>
        <w:tc>
          <w:tcPr>
            <w:tcW w:w="169" w:type="dxa"/>
            <w:tcBorders>
              <w:top w:val="nil"/>
              <w:left w:val="nil"/>
              <w:bottom w:val="nil"/>
              <w:right w:val="nil"/>
            </w:tcBorders>
          </w:tcPr>
          <w:p>
            <w:pPr/>
          </w:p>
        </w:tc>
        <w:tc>
          <w:tcPr>
            <w:tcW w:w="1125" w:type="dxa"/>
            <w:tcBorders>
              <w:top w:val="nil"/>
              <w:left w:val="nil"/>
              <w:bottom w:val="nil"/>
              <w:right w:val="nil"/>
            </w:tcBorders>
          </w:tcPr>
          <w:p>
            <w:pPr>
              <w:pStyle w:val="TableParagraph"/>
              <w:spacing w:line="245" w:lineRule="exact"/>
              <w:ind w:left="107" w:right="13"/>
              <w:rPr>
                <w:sz w:val="22"/>
              </w:rPr>
            </w:pPr>
            <w:r>
              <w:rPr>
                <w:sz w:val="22"/>
              </w:rPr>
              <w:t>45,19</w:t>
            </w:r>
          </w:p>
        </w:tc>
        <w:tc>
          <w:tcPr>
            <w:tcW w:w="259" w:type="dxa"/>
            <w:tcBorders>
              <w:top w:val="nil"/>
              <w:left w:val="nil"/>
              <w:bottom w:val="nil"/>
              <w:right w:val="nil"/>
            </w:tcBorders>
          </w:tcPr>
          <w:p>
            <w:pPr/>
          </w:p>
        </w:tc>
      </w:tr>
      <w:tr>
        <w:trPr>
          <w:trHeight w:val="254" w:hRule="exact"/>
        </w:trPr>
        <w:tc>
          <w:tcPr>
            <w:tcW w:w="803" w:type="dxa"/>
            <w:tcBorders>
              <w:top w:val="nil"/>
              <w:left w:val="nil"/>
              <w:bottom w:val="nil"/>
              <w:right w:val="nil"/>
            </w:tcBorders>
          </w:tcPr>
          <w:p>
            <w:pPr>
              <w:pStyle w:val="TableParagraph"/>
              <w:spacing w:line="241" w:lineRule="exact"/>
              <w:ind w:left="107"/>
              <w:rPr>
                <w:sz w:val="22"/>
              </w:rPr>
            </w:pPr>
            <w:r>
              <w:rPr>
                <w:sz w:val="22"/>
              </w:rPr>
              <w:t>2001</w:t>
            </w:r>
          </w:p>
        </w:tc>
        <w:tc>
          <w:tcPr>
            <w:tcW w:w="1899" w:type="dxa"/>
            <w:tcBorders>
              <w:top w:val="nil"/>
              <w:left w:val="nil"/>
              <w:bottom w:val="nil"/>
              <w:right w:val="nil"/>
            </w:tcBorders>
          </w:tcPr>
          <w:p>
            <w:pPr>
              <w:pStyle w:val="TableParagraph"/>
              <w:spacing w:line="241" w:lineRule="exact"/>
              <w:ind w:left="205"/>
              <w:rPr>
                <w:sz w:val="22"/>
              </w:rPr>
            </w:pPr>
            <w:r>
              <w:rPr>
                <w:sz w:val="22"/>
              </w:rPr>
              <w:t>23,12</w:t>
            </w:r>
          </w:p>
        </w:tc>
        <w:tc>
          <w:tcPr>
            <w:tcW w:w="1091" w:type="dxa"/>
            <w:tcBorders>
              <w:top w:val="nil"/>
              <w:left w:val="nil"/>
              <w:bottom w:val="nil"/>
              <w:right w:val="nil"/>
            </w:tcBorders>
          </w:tcPr>
          <w:p>
            <w:pPr>
              <w:pStyle w:val="TableParagraph"/>
              <w:spacing w:line="244" w:lineRule="exact"/>
              <w:ind w:left="107" w:right="-14"/>
              <w:rPr>
                <w:sz w:val="22"/>
              </w:rPr>
            </w:pPr>
            <w:r>
              <w:rPr>
                <w:sz w:val="22"/>
              </w:rPr>
              <w:t>148,87</w:t>
            </w:r>
          </w:p>
        </w:tc>
        <w:tc>
          <w:tcPr>
            <w:tcW w:w="169" w:type="dxa"/>
            <w:tcBorders>
              <w:top w:val="nil"/>
              <w:left w:val="nil"/>
              <w:bottom w:val="nil"/>
              <w:right w:val="nil"/>
            </w:tcBorders>
          </w:tcPr>
          <w:p>
            <w:pPr/>
          </w:p>
        </w:tc>
        <w:tc>
          <w:tcPr>
            <w:tcW w:w="1125" w:type="dxa"/>
            <w:tcBorders>
              <w:top w:val="nil"/>
              <w:left w:val="nil"/>
              <w:bottom w:val="nil"/>
              <w:right w:val="nil"/>
            </w:tcBorders>
          </w:tcPr>
          <w:p>
            <w:pPr>
              <w:pStyle w:val="TableParagraph"/>
              <w:spacing w:line="244" w:lineRule="exact"/>
              <w:ind w:left="107" w:right="13"/>
              <w:rPr>
                <w:sz w:val="22"/>
              </w:rPr>
            </w:pPr>
            <w:r>
              <w:rPr>
                <w:sz w:val="22"/>
              </w:rPr>
              <w:t>37,85</w:t>
            </w:r>
          </w:p>
        </w:tc>
        <w:tc>
          <w:tcPr>
            <w:tcW w:w="259" w:type="dxa"/>
            <w:tcBorders>
              <w:top w:val="nil"/>
              <w:left w:val="nil"/>
              <w:bottom w:val="nil"/>
              <w:right w:val="nil"/>
            </w:tcBorders>
          </w:tcPr>
          <w:p>
            <w:pPr/>
          </w:p>
        </w:tc>
      </w:tr>
      <w:tr>
        <w:trPr>
          <w:trHeight w:val="254" w:hRule="exact"/>
        </w:trPr>
        <w:tc>
          <w:tcPr>
            <w:tcW w:w="803" w:type="dxa"/>
            <w:tcBorders>
              <w:top w:val="nil"/>
              <w:left w:val="nil"/>
              <w:bottom w:val="nil"/>
              <w:right w:val="nil"/>
            </w:tcBorders>
          </w:tcPr>
          <w:p>
            <w:pPr>
              <w:pStyle w:val="TableParagraph"/>
              <w:spacing w:line="241" w:lineRule="exact"/>
              <w:ind w:left="107"/>
              <w:rPr>
                <w:sz w:val="22"/>
              </w:rPr>
            </w:pPr>
            <w:r>
              <w:rPr>
                <w:sz w:val="22"/>
              </w:rPr>
              <w:t>2002</w:t>
            </w:r>
          </w:p>
        </w:tc>
        <w:tc>
          <w:tcPr>
            <w:tcW w:w="1899" w:type="dxa"/>
            <w:tcBorders>
              <w:top w:val="nil"/>
              <w:left w:val="nil"/>
              <w:bottom w:val="nil"/>
              <w:right w:val="nil"/>
            </w:tcBorders>
          </w:tcPr>
          <w:p>
            <w:pPr>
              <w:pStyle w:val="TableParagraph"/>
              <w:spacing w:line="241" w:lineRule="exact"/>
              <w:ind w:left="205"/>
              <w:rPr>
                <w:sz w:val="22"/>
              </w:rPr>
            </w:pPr>
            <w:r>
              <w:rPr>
                <w:sz w:val="22"/>
              </w:rPr>
              <w:t>24,36</w:t>
            </w:r>
          </w:p>
        </w:tc>
        <w:tc>
          <w:tcPr>
            <w:tcW w:w="1091" w:type="dxa"/>
            <w:tcBorders>
              <w:top w:val="nil"/>
              <w:left w:val="nil"/>
              <w:bottom w:val="nil"/>
              <w:right w:val="nil"/>
            </w:tcBorders>
          </w:tcPr>
          <w:p>
            <w:pPr>
              <w:pStyle w:val="TableParagraph"/>
              <w:spacing w:line="244" w:lineRule="exact"/>
              <w:ind w:left="107" w:right="-14"/>
              <w:rPr>
                <w:sz w:val="22"/>
              </w:rPr>
            </w:pPr>
            <w:r>
              <w:rPr>
                <w:sz w:val="22"/>
              </w:rPr>
              <w:t>156,86</w:t>
            </w:r>
          </w:p>
        </w:tc>
        <w:tc>
          <w:tcPr>
            <w:tcW w:w="169" w:type="dxa"/>
            <w:tcBorders>
              <w:top w:val="nil"/>
              <w:left w:val="nil"/>
              <w:bottom w:val="nil"/>
              <w:right w:val="nil"/>
            </w:tcBorders>
          </w:tcPr>
          <w:p>
            <w:pPr/>
          </w:p>
        </w:tc>
        <w:tc>
          <w:tcPr>
            <w:tcW w:w="1125" w:type="dxa"/>
            <w:tcBorders>
              <w:top w:val="nil"/>
              <w:left w:val="nil"/>
              <w:bottom w:val="nil"/>
              <w:right w:val="nil"/>
            </w:tcBorders>
          </w:tcPr>
          <w:p>
            <w:pPr>
              <w:pStyle w:val="TableParagraph"/>
              <w:spacing w:line="244" w:lineRule="exact"/>
              <w:ind w:left="107" w:right="13"/>
              <w:rPr>
                <w:sz w:val="22"/>
              </w:rPr>
            </w:pPr>
            <w:r>
              <w:rPr>
                <w:sz w:val="22"/>
              </w:rPr>
              <w:t>39,88</w:t>
            </w:r>
          </w:p>
        </w:tc>
        <w:tc>
          <w:tcPr>
            <w:tcW w:w="259" w:type="dxa"/>
            <w:tcBorders>
              <w:top w:val="nil"/>
              <w:left w:val="nil"/>
              <w:bottom w:val="nil"/>
              <w:right w:val="nil"/>
            </w:tcBorders>
          </w:tcPr>
          <w:p>
            <w:pPr/>
          </w:p>
        </w:tc>
      </w:tr>
      <w:tr>
        <w:trPr>
          <w:trHeight w:val="256" w:hRule="exact"/>
        </w:trPr>
        <w:tc>
          <w:tcPr>
            <w:tcW w:w="803" w:type="dxa"/>
            <w:tcBorders>
              <w:top w:val="nil"/>
              <w:left w:val="nil"/>
              <w:bottom w:val="nil"/>
              <w:right w:val="nil"/>
            </w:tcBorders>
          </w:tcPr>
          <w:p>
            <w:pPr>
              <w:pStyle w:val="TableParagraph"/>
              <w:spacing w:line="241" w:lineRule="exact"/>
              <w:ind w:left="107"/>
              <w:rPr>
                <w:sz w:val="22"/>
              </w:rPr>
            </w:pPr>
            <w:r>
              <w:rPr>
                <w:sz w:val="22"/>
              </w:rPr>
              <w:t>2003</w:t>
            </w:r>
          </w:p>
        </w:tc>
        <w:tc>
          <w:tcPr>
            <w:tcW w:w="1899" w:type="dxa"/>
            <w:tcBorders>
              <w:top w:val="nil"/>
              <w:left w:val="nil"/>
              <w:bottom w:val="nil"/>
              <w:right w:val="nil"/>
            </w:tcBorders>
          </w:tcPr>
          <w:p>
            <w:pPr>
              <w:pStyle w:val="TableParagraph"/>
              <w:spacing w:line="241" w:lineRule="exact"/>
              <w:ind w:left="205"/>
              <w:rPr>
                <w:sz w:val="22"/>
              </w:rPr>
            </w:pPr>
            <w:r>
              <w:rPr>
                <w:sz w:val="22"/>
              </w:rPr>
              <w:t>28,1</w:t>
            </w:r>
          </w:p>
        </w:tc>
        <w:tc>
          <w:tcPr>
            <w:tcW w:w="1091" w:type="dxa"/>
            <w:tcBorders>
              <w:top w:val="nil"/>
              <w:left w:val="nil"/>
              <w:bottom w:val="nil"/>
              <w:right w:val="nil"/>
            </w:tcBorders>
          </w:tcPr>
          <w:p>
            <w:pPr>
              <w:pStyle w:val="TableParagraph"/>
              <w:spacing w:line="244" w:lineRule="exact"/>
              <w:ind w:left="107" w:right="-14"/>
              <w:rPr>
                <w:sz w:val="22"/>
              </w:rPr>
            </w:pPr>
            <w:r>
              <w:rPr>
                <w:sz w:val="22"/>
              </w:rPr>
              <w:t>180,94</w:t>
            </w:r>
          </w:p>
        </w:tc>
        <w:tc>
          <w:tcPr>
            <w:tcW w:w="169" w:type="dxa"/>
            <w:tcBorders>
              <w:top w:val="nil"/>
              <w:left w:val="nil"/>
              <w:bottom w:val="nil"/>
              <w:right w:val="nil"/>
            </w:tcBorders>
          </w:tcPr>
          <w:p>
            <w:pPr/>
          </w:p>
        </w:tc>
        <w:tc>
          <w:tcPr>
            <w:tcW w:w="1125" w:type="dxa"/>
            <w:tcBorders>
              <w:top w:val="nil"/>
              <w:left w:val="nil"/>
              <w:bottom w:val="nil"/>
              <w:right w:val="nil"/>
            </w:tcBorders>
          </w:tcPr>
          <w:p>
            <w:pPr>
              <w:pStyle w:val="TableParagraph"/>
              <w:spacing w:line="244" w:lineRule="exact"/>
              <w:ind w:left="107" w:right="13"/>
              <w:rPr>
                <w:sz w:val="22"/>
              </w:rPr>
            </w:pPr>
            <w:r>
              <w:rPr>
                <w:sz w:val="22"/>
              </w:rPr>
              <w:t>46,01</w:t>
            </w:r>
          </w:p>
        </w:tc>
        <w:tc>
          <w:tcPr>
            <w:tcW w:w="259" w:type="dxa"/>
            <w:tcBorders>
              <w:top w:val="nil"/>
              <w:left w:val="nil"/>
              <w:bottom w:val="nil"/>
              <w:right w:val="nil"/>
            </w:tcBorders>
          </w:tcPr>
          <w:p>
            <w:pPr/>
          </w:p>
        </w:tc>
      </w:tr>
      <w:tr>
        <w:trPr>
          <w:trHeight w:val="256" w:hRule="exact"/>
        </w:trPr>
        <w:tc>
          <w:tcPr>
            <w:tcW w:w="803" w:type="dxa"/>
            <w:tcBorders>
              <w:top w:val="nil"/>
              <w:left w:val="nil"/>
              <w:bottom w:val="nil"/>
              <w:right w:val="nil"/>
            </w:tcBorders>
          </w:tcPr>
          <w:p>
            <w:pPr>
              <w:pStyle w:val="TableParagraph"/>
              <w:spacing w:line="242" w:lineRule="exact"/>
              <w:ind w:left="107"/>
              <w:rPr>
                <w:sz w:val="22"/>
              </w:rPr>
            </w:pPr>
            <w:r>
              <w:rPr>
                <w:sz w:val="22"/>
              </w:rPr>
              <w:t>2004</w:t>
            </w:r>
          </w:p>
        </w:tc>
        <w:tc>
          <w:tcPr>
            <w:tcW w:w="1899" w:type="dxa"/>
            <w:tcBorders>
              <w:top w:val="nil"/>
              <w:left w:val="nil"/>
              <w:bottom w:val="nil"/>
              <w:right w:val="nil"/>
            </w:tcBorders>
          </w:tcPr>
          <w:p>
            <w:pPr>
              <w:pStyle w:val="TableParagraph"/>
              <w:spacing w:line="242" w:lineRule="exact"/>
              <w:ind w:left="205"/>
              <w:rPr>
                <w:sz w:val="22"/>
              </w:rPr>
            </w:pPr>
            <w:r>
              <w:rPr>
                <w:sz w:val="22"/>
              </w:rPr>
              <w:t>36,05</w:t>
            </w:r>
          </w:p>
        </w:tc>
        <w:tc>
          <w:tcPr>
            <w:tcW w:w="1091" w:type="dxa"/>
            <w:tcBorders>
              <w:top w:val="nil"/>
              <w:left w:val="nil"/>
              <w:bottom w:val="nil"/>
              <w:right w:val="nil"/>
            </w:tcBorders>
          </w:tcPr>
          <w:p>
            <w:pPr>
              <w:pStyle w:val="TableParagraph"/>
              <w:spacing w:line="245" w:lineRule="exact"/>
              <w:ind w:left="107" w:right="-14"/>
              <w:rPr>
                <w:sz w:val="22"/>
              </w:rPr>
            </w:pPr>
            <w:r>
              <w:rPr>
                <w:sz w:val="22"/>
              </w:rPr>
              <w:t>232,13</w:t>
            </w:r>
          </w:p>
        </w:tc>
        <w:tc>
          <w:tcPr>
            <w:tcW w:w="169" w:type="dxa"/>
            <w:tcBorders>
              <w:top w:val="nil"/>
              <w:left w:val="nil"/>
              <w:bottom w:val="nil"/>
              <w:right w:val="nil"/>
            </w:tcBorders>
          </w:tcPr>
          <w:p>
            <w:pPr/>
          </w:p>
        </w:tc>
        <w:tc>
          <w:tcPr>
            <w:tcW w:w="1125" w:type="dxa"/>
            <w:tcBorders>
              <w:top w:val="nil"/>
              <w:left w:val="nil"/>
              <w:bottom w:val="nil"/>
              <w:right w:val="nil"/>
            </w:tcBorders>
          </w:tcPr>
          <w:p>
            <w:pPr>
              <w:pStyle w:val="TableParagraph"/>
              <w:spacing w:line="245" w:lineRule="exact"/>
              <w:ind w:left="107" w:right="13"/>
              <w:rPr>
                <w:sz w:val="22"/>
              </w:rPr>
            </w:pPr>
            <w:r>
              <w:rPr>
                <w:sz w:val="22"/>
              </w:rPr>
              <w:t>59,02</w:t>
            </w:r>
          </w:p>
        </w:tc>
        <w:tc>
          <w:tcPr>
            <w:tcW w:w="259" w:type="dxa"/>
            <w:tcBorders>
              <w:top w:val="nil"/>
              <w:left w:val="nil"/>
              <w:bottom w:val="nil"/>
              <w:right w:val="nil"/>
            </w:tcBorders>
          </w:tcPr>
          <w:p>
            <w:pPr/>
          </w:p>
        </w:tc>
      </w:tr>
      <w:tr>
        <w:trPr>
          <w:trHeight w:val="239" w:hRule="exact"/>
        </w:trPr>
        <w:tc>
          <w:tcPr>
            <w:tcW w:w="803" w:type="dxa"/>
            <w:tcBorders>
              <w:top w:val="nil"/>
              <w:left w:val="nil"/>
              <w:bottom w:val="nil"/>
              <w:right w:val="nil"/>
            </w:tcBorders>
          </w:tcPr>
          <w:p>
            <w:pPr>
              <w:pStyle w:val="TableParagraph"/>
              <w:spacing w:line="241" w:lineRule="exact"/>
              <w:ind w:left="107"/>
              <w:rPr>
                <w:sz w:val="22"/>
              </w:rPr>
            </w:pPr>
            <w:r>
              <w:rPr>
                <w:sz w:val="22"/>
              </w:rPr>
              <w:t>2005</w:t>
            </w:r>
          </w:p>
        </w:tc>
        <w:tc>
          <w:tcPr>
            <w:tcW w:w="1899" w:type="dxa"/>
            <w:tcBorders>
              <w:top w:val="nil"/>
              <w:left w:val="nil"/>
              <w:bottom w:val="nil"/>
              <w:right w:val="nil"/>
            </w:tcBorders>
          </w:tcPr>
          <w:p>
            <w:pPr>
              <w:pStyle w:val="TableParagraph"/>
              <w:spacing w:line="241" w:lineRule="exact"/>
              <w:ind w:left="205"/>
              <w:rPr>
                <w:sz w:val="22"/>
              </w:rPr>
            </w:pPr>
            <w:r>
              <w:rPr>
                <w:sz w:val="22"/>
              </w:rPr>
              <w:t>50,64</w:t>
            </w:r>
          </w:p>
        </w:tc>
        <w:tc>
          <w:tcPr>
            <w:tcW w:w="1091" w:type="dxa"/>
            <w:tcBorders>
              <w:top w:val="nil"/>
              <w:left w:val="nil"/>
              <w:bottom w:val="nil"/>
              <w:right w:val="nil"/>
            </w:tcBorders>
          </w:tcPr>
          <w:p>
            <w:pPr>
              <w:pStyle w:val="TableParagraph"/>
              <w:spacing w:line="244" w:lineRule="exact"/>
              <w:ind w:left="107" w:right="-14"/>
              <w:rPr>
                <w:sz w:val="22"/>
              </w:rPr>
            </w:pPr>
            <w:r>
              <w:rPr>
                <w:sz w:val="22"/>
              </w:rPr>
              <w:t>326,08</w:t>
            </w:r>
          </w:p>
        </w:tc>
        <w:tc>
          <w:tcPr>
            <w:tcW w:w="169" w:type="dxa"/>
            <w:tcBorders>
              <w:top w:val="nil"/>
              <w:left w:val="nil"/>
              <w:bottom w:val="nil"/>
              <w:right w:val="nil"/>
            </w:tcBorders>
          </w:tcPr>
          <w:p>
            <w:pPr/>
          </w:p>
        </w:tc>
        <w:tc>
          <w:tcPr>
            <w:tcW w:w="1125" w:type="dxa"/>
            <w:tcBorders>
              <w:top w:val="nil"/>
              <w:left w:val="nil"/>
              <w:bottom w:val="nil"/>
              <w:right w:val="nil"/>
            </w:tcBorders>
          </w:tcPr>
          <w:p>
            <w:pPr>
              <w:pStyle w:val="TableParagraph"/>
              <w:spacing w:line="244" w:lineRule="exact"/>
              <w:ind w:left="107" w:right="13"/>
              <w:rPr>
                <w:sz w:val="22"/>
              </w:rPr>
            </w:pPr>
            <w:r>
              <w:rPr>
                <w:sz w:val="22"/>
              </w:rPr>
              <w:t>82,91</w:t>
            </w:r>
          </w:p>
        </w:tc>
        <w:tc>
          <w:tcPr>
            <w:tcW w:w="259" w:type="dxa"/>
            <w:tcBorders>
              <w:top w:val="nil"/>
              <w:left w:val="nil"/>
              <w:bottom w:val="nil"/>
              <w:right w:val="nil"/>
            </w:tcBorders>
          </w:tcPr>
          <w:p>
            <w:pPr/>
          </w:p>
        </w:tc>
      </w:tr>
    </w:tbl>
    <w:p>
      <w:pPr>
        <w:pStyle w:val="BodyText"/>
        <w:tabs>
          <w:tab w:pos="1933" w:val="left" w:leader="none"/>
          <w:tab w:pos="3733" w:val="left" w:leader="none"/>
          <w:tab w:pos="4994" w:val="left" w:leader="none"/>
          <w:tab w:pos="6270" w:val="left" w:leader="none"/>
        </w:tabs>
        <w:spacing w:before="6"/>
        <w:ind w:left="910" w:right="108"/>
      </w:pPr>
      <w:r>
        <w:rPr>
          <w:w w:val="100"/>
          <w:u w:val="single"/>
        </w:rPr>
        <w:t> </w:t>
      </w:r>
      <w:r>
        <w:rPr>
          <w:spacing w:val="-1"/>
          <w:u w:val="single"/>
        </w:rPr>
        <w:t> </w:t>
      </w:r>
      <w:r>
        <w:rPr>
          <w:u w:val="single"/>
        </w:rPr>
        <w:t>2006</w:t>
        <w:tab/>
        <w:t>61,08</w:t>
        <w:tab/>
        <w:t>393,30</w:t>
        <w:tab/>
        <w:t>100,00</w:t>
        <w:tab/>
      </w:r>
    </w:p>
    <w:p>
      <w:pPr>
        <w:pStyle w:val="BodyText"/>
        <w:spacing w:before="5"/>
        <w:rPr>
          <w:sz w:val="15"/>
        </w:rPr>
      </w:pPr>
    </w:p>
    <w:p>
      <w:pPr>
        <w:pStyle w:val="BodyText"/>
        <w:spacing w:before="73"/>
        <w:ind w:left="102" w:right="116"/>
        <w:jc w:val="both"/>
      </w:pPr>
      <w:r>
        <w:rPr/>
        <w:t>Como se ve en el cuadro 1, se pueden construir a partir de los mismos datos diferentes índices, basados en distintos años base. El índice I se obtiene al tomar como año base 1994.</w:t>
      </w:r>
      <w:r>
        <w:rPr>
          <w:spacing w:val="-9"/>
        </w:rPr>
        <w:t> </w:t>
      </w:r>
      <w:r>
        <w:rPr/>
        <w:t>El</w:t>
      </w:r>
      <w:r>
        <w:rPr>
          <w:spacing w:val="-9"/>
        </w:rPr>
        <w:t> </w:t>
      </w:r>
      <w:r>
        <w:rPr/>
        <w:t>índice</w:t>
      </w:r>
      <w:r>
        <w:rPr>
          <w:spacing w:val="-8"/>
        </w:rPr>
        <w:t> </w:t>
      </w:r>
      <w:r>
        <w:rPr/>
        <w:t>se</w:t>
      </w:r>
      <w:r>
        <w:rPr>
          <w:spacing w:val="-10"/>
        </w:rPr>
        <w:t> </w:t>
      </w:r>
      <w:r>
        <w:rPr/>
        <w:t>calcula</w:t>
      </w:r>
      <w:r>
        <w:rPr>
          <w:spacing w:val="-8"/>
        </w:rPr>
        <w:t> </w:t>
      </w:r>
      <w:r>
        <w:rPr/>
        <w:t>dividiendo</w:t>
      </w:r>
      <w:r>
        <w:rPr>
          <w:spacing w:val="-8"/>
        </w:rPr>
        <w:t> </w:t>
      </w:r>
      <w:r>
        <w:rPr/>
        <w:t>el</w:t>
      </w:r>
      <w:r>
        <w:rPr>
          <w:spacing w:val="-9"/>
        </w:rPr>
        <w:t> </w:t>
      </w:r>
      <w:r>
        <w:rPr/>
        <w:t>precio</w:t>
      </w:r>
      <w:r>
        <w:rPr>
          <w:spacing w:val="-10"/>
        </w:rPr>
        <w:t> </w:t>
      </w:r>
      <w:r>
        <w:rPr/>
        <w:t>del</w:t>
      </w:r>
      <w:r>
        <w:rPr>
          <w:spacing w:val="-13"/>
        </w:rPr>
        <w:t> </w:t>
      </w:r>
      <w:r>
        <w:rPr/>
        <w:t>petróleo</w:t>
      </w:r>
      <w:r>
        <w:rPr>
          <w:spacing w:val="-10"/>
        </w:rPr>
        <w:t> </w:t>
      </w:r>
      <w:r>
        <w:rPr/>
        <w:t>de</w:t>
      </w:r>
      <w:r>
        <w:rPr>
          <w:spacing w:val="-10"/>
        </w:rPr>
        <w:t> </w:t>
      </w:r>
      <w:r>
        <w:rPr/>
        <w:t>cada</w:t>
      </w:r>
      <w:r>
        <w:rPr>
          <w:spacing w:val="-10"/>
        </w:rPr>
        <w:t> </w:t>
      </w:r>
      <w:r>
        <w:rPr/>
        <w:t>año</w:t>
      </w:r>
      <w:r>
        <w:rPr>
          <w:spacing w:val="-10"/>
        </w:rPr>
        <w:t> </w:t>
      </w:r>
      <w:r>
        <w:rPr/>
        <w:t>por</w:t>
      </w:r>
      <w:r>
        <w:rPr>
          <w:spacing w:val="-9"/>
        </w:rPr>
        <w:t> </w:t>
      </w:r>
      <w:r>
        <w:rPr/>
        <w:t>el</w:t>
      </w:r>
      <w:r>
        <w:rPr>
          <w:spacing w:val="-11"/>
        </w:rPr>
        <w:t> </w:t>
      </w:r>
      <w:r>
        <w:rPr/>
        <w:t>precio</w:t>
      </w:r>
      <w:r>
        <w:rPr>
          <w:spacing w:val="-10"/>
        </w:rPr>
        <w:t> </w:t>
      </w:r>
      <w:r>
        <w:rPr/>
        <w:t>del</w:t>
      </w:r>
      <w:r>
        <w:rPr>
          <w:spacing w:val="-9"/>
        </w:rPr>
        <w:t> </w:t>
      </w:r>
      <w:r>
        <w:rPr/>
        <w:t>año base, este cociente se multiplica por 100. Siendo entonces en el año 1999 el precio del petróleo 112,56% del correspondiente a 1994. Mediante cualquiera de estos índices (I y II) los valores absolutos de la variable se transforman en valores relativos y así pueden compararse fácilmente las variaciones de los</w:t>
      </w:r>
      <w:r>
        <w:rPr>
          <w:spacing w:val="-15"/>
        </w:rPr>
        <w:t> </w:t>
      </w:r>
      <w:r>
        <w:rPr/>
        <w:t>precios.</w:t>
      </w:r>
    </w:p>
    <w:p>
      <w:pPr>
        <w:pStyle w:val="BodyText"/>
        <w:spacing w:before="11"/>
        <w:rPr>
          <w:sz w:val="20"/>
        </w:rPr>
      </w:pPr>
    </w:p>
    <w:p>
      <w:pPr>
        <w:pStyle w:val="BodyText"/>
        <w:ind w:left="102" w:right="115"/>
        <w:jc w:val="both"/>
      </w:pPr>
      <w:r>
        <w:rPr/>
        <w:t>Según</w:t>
      </w:r>
      <w:r>
        <w:rPr>
          <w:spacing w:val="-8"/>
        </w:rPr>
        <w:t> </w:t>
      </w:r>
      <w:r>
        <w:rPr/>
        <w:t>la</w:t>
      </w:r>
      <w:r>
        <w:rPr>
          <w:spacing w:val="-8"/>
        </w:rPr>
        <w:t> </w:t>
      </w:r>
      <w:r>
        <w:rPr/>
        <w:t>Encuesta</w:t>
      </w:r>
      <w:r>
        <w:rPr>
          <w:spacing w:val="-10"/>
        </w:rPr>
        <w:t> </w:t>
      </w:r>
      <w:r>
        <w:rPr/>
        <w:t>Permanente</w:t>
      </w:r>
      <w:r>
        <w:rPr>
          <w:spacing w:val="-8"/>
        </w:rPr>
        <w:t> </w:t>
      </w:r>
      <w:r>
        <w:rPr/>
        <w:t>de</w:t>
      </w:r>
      <w:r>
        <w:rPr>
          <w:spacing w:val="-8"/>
        </w:rPr>
        <w:t> </w:t>
      </w:r>
      <w:r>
        <w:rPr/>
        <w:t>Hogares</w:t>
      </w:r>
      <w:r>
        <w:rPr>
          <w:spacing w:val="-8"/>
        </w:rPr>
        <w:t> </w:t>
      </w:r>
      <w:r>
        <w:rPr/>
        <w:t>el</w:t>
      </w:r>
      <w:r>
        <w:rPr>
          <w:spacing w:val="-9"/>
        </w:rPr>
        <w:t> </w:t>
      </w:r>
      <w:r>
        <w:rPr/>
        <w:t>número</w:t>
      </w:r>
      <w:r>
        <w:rPr>
          <w:spacing w:val="-10"/>
        </w:rPr>
        <w:t> </w:t>
      </w:r>
      <w:r>
        <w:rPr/>
        <w:t>de</w:t>
      </w:r>
      <w:r>
        <w:rPr>
          <w:spacing w:val="-5"/>
        </w:rPr>
        <w:t> </w:t>
      </w:r>
      <w:r>
        <w:rPr/>
        <w:t>ocupados</w:t>
      </w:r>
      <w:r>
        <w:rPr>
          <w:spacing w:val="-10"/>
        </w:rPr>
        <w:t> </w:t>
      </w:r>
      <w:r>
        <w:rPr/>
        <w:t>urbanos</w:t>
      </w:r>
      <w:r>
        <w:rPr>
          <w:spacing w:val="-8"/>
        </w:rPr>
        <w:t> </w:t>
      </w:r>
      <w:r>
        <w:rPr/>
        <w:t>en</w:t>
      </w:r>
      <w:r>
        <w:rPr>
          <w:spacing w:val="-8"/>
        </w:rPr>
        <w:t> </w:t>
      </w:r>
      <w:r>
        <w:rPr/>
        <w:t>octubre</w:t>
      </w:r>
      <w:r>
        <w:rPr>
          <w:spacing w:val="-10"/>
        </w:rPr>
        <w:t> </w:t>
      </w:r>
      <w:r>
        <w:rPr/>
        <w:t>de 1998 fue de 11.713 miles de trabajadores, siendo 11.485 miles en octubre de 2001 por lo que decimos que el índice de empleo de octubre 2001 con base en octubre de 1998,</w:t>
      </w:r>
      <w:r>
        <w:rPr>
          <w:spacing w:val="-20"/>
        </w:rPr>
        <w:t> </w:t>
      </w:r>
      <w:r>
        <w:rPr/>
        <w:t>fue:</w:t>
      </w:r>
    </w:p>
    <w:p>
      <w:pPr>
        <w:spacing w:after="0"/>
        <w:jc w:val="both"/>
        <w:sectPr>
          <w:pgSz w:w="12240" w:h="15840"/>
          <w:pgMar w:top="1500" w:bottom="280" w:left="1600" w:right="1580"/>
        </w:sectPr>
      </w:pPr>
    </w:p>
    <w:p>
      <w:pPr>
        <w:pStyle w:val="BodyText"/>
        <w:spacing w:before="5"/>
        <w:rPr>
          <w:sz w:val="25"/>
        </w:rPr>
      </w:pPr>
    </w:p>
    <w:p>
      <w:pPr>
        <w:spacing w:line="239" w:lineRule="exact" w:before="0"/>
        <w:ind w:left="0" w:right="0" w:firstLine="0"/>
        <w:jc w:val="right"/>
        <w:rPr>
          <w:rFonts w:ascii="Times New Roman"/>
          <w:sz w:val="15"/>
        </w:rPr>
      </w:pPr>
      <w:r>
        <w:rPr>
          <w:rFonts w:ascii="Times New Roman"/>
          <w:i/>
          <w:w w:val="90"/>
          <w:position w:val="7"/>
          <w:sz w:val="26"/>
        </w:rPr>
        <w:t>I</w:t>
      </w:r>
      <w:r>
        <w:rPr>
          <w:rFonts w:ascii="Times New Roman"/>
          <w:w w:val="90"/>
          <w:sz w:val="15"/>
        </w:rPr>
        <w:t>2001/1998</w:t>
      </w:r>
    </w:p>
    <w:p>
      <w:pPr>
        <w:spacing w:line="406" w:lineRule="exact" w:before="125"/>
        <w:ind w:left="36" w:right="0" w:firstLine="0"/>
        <w:jc w:val="left"/>
        <w:rPr>
          <w:rFonts w:ascii="Times New Roman" w:hAnsi="Times New Roman"/>
          <w:sz w:val="26"/>
        </w:rPr>
      </w:pPr>
      <w:r>
        <w:rPr/>
        <w:br w:type="column"/>
      </w:r>
      <w:r>
        <w:rPr>
          <w:rFonts w:ascii="Symbol" w:hAnsi="Symbol"/>
          <w:w w:val="95"/>
          <w:sz w:val="26"/>
        </w:rPr>
        <w:t></w:t>
      </w:r>
      <w:r>
        <w:rPr>
          <w:rFonts w:ascii="Times New Roman" w:hAnsi="Times New Roman"/>
          <w:w w:val="95"/>
          <w:sz w:val="26"/>
        </w:rPr>
        <w:t> </w:t>
      </w:r>
      <w:r>
        <w:rPr>
          <w:rFonts w:ascii="Times New Roman" w:hAnsi="Times New Roman"/>
          <w:i/>
          <w:w w:val="95"/>
          <w:position w:val="17"/>
          <w:sz w:val="26"/>
        </w:rPr>
        <w:t>E</w:t>
      </w:r>
      <w:r>
        <w:rPr>
          <w:rFonts w:ascii="Times New Roman" w:hAnsi="Times New Roman"/>
          <w:w w:val="95"/>
          <w:position w:val="10"/>
          <w:sz w:val="15"/>
        </w:rPr>
        <w:t>2001 </w:t>
      </w:r>
      <w:r>
        <w:rPr>
          <w:rFonts w:ascii="Symbol" w:hAnsi="Symbol"/>
          <w:w w:val="95"/>
          <w:sz w:val="26"/>
        </w:rPr>
        <w:t></w:t>
      </w:r>
      <w:r>
        <w:rPr>
          <w:rFonts w:ascii="Times New Roman" w:hAnsi="Times New Roman"/>
          <w:w w:val="95"/>
          <w:sz w:val="26"/>
        </w:rPr>
        <w:t> </w:t>
      </w:r>
      <w:r>
        <w:rPr>
          <w:rFonts w:ascii="Times New Roman" w:hAnsi="Times New Roman"/>
          <w:w w:val="95"/>
          <w:position w:val="17"/>
          <w:sz w:val="26"/>
        </w:rPr>
        <w:t>11.485 </w:t>
      </w:r>
      <w:r>
        <w:rPr>
          <w:rFonts w:ascii="Symbol" w:hAnsi="Symbol"/>
          <w:w w:val="95"/>
          <w:sz w:val="26"/>
        </w:rPr>
        <w:t></w:t>
      </w:r>
      <w:r>
        <w:rPr>
          <w:rFonts w:ascii="Times New Roman" w:hAnsi="Times New Roman"/>
          <w:w w:val="95"/>
          <w:sz w:val="26"/>
        </w:rPr>
        <w:t> 0,</w:t>
      </w:r>
      <w:r>
        <w:rPr>
          <w:rFonts w:ascii="Times New Roman" w:hAnsi="Times New Roman"/>
          <w:spacing w:val="-50"/>
          <w:w w:val="95"/>
          <w:sz w:val="26"/>
        </w:rPr>
        <w:t> </w:t>
      </w:r>
      <w:r>
        <w:rPr>
          <w:rFonts w:ascii="Times New Roman" w:hAnsi="Times New Roman"/>
          <w:w w:val="95"/>
          <w:sz w:val="26"/>
        </w:rPr>
        <w:t>9805</w:t>
      </w:r>
    </w:p>
    <w:p>
      <w:pPr>
        <w:spacing w:after="0" w:line="406" w:lineRule="exact"/>
        <w:jc w:val="left"/>
        <w:rPr>
          <w:rFonts w:ascii="Times New Roman" w:hAnsi="Times New Roman"/>
          <w:sz w:val="26"/>
        </w:rPr>
        <w:sectPr>
          <w:type w:val="continuous"/>
          <w:pgSz w:w="12240" w:h="15840"/>
          <w:pgMar w:top="1500" w:bottom="280" w:left="1600" w:right="1580"/>
          <w:cols w:num="2" w:equalWidth="0">
            <w:col w:w="2262" w:space="40"/>
            <w:col w:w="6758"/>
          </w:cols>
        </w:sectPr>
      </w:pPr>
    </w:p>
    <w:p>
      <w:pPr>
        <w:spacing w:line="312" w:lineRule="exact" w:before="0"/>
        <w:ind w:left="0" w:right="0" w:firstLine="0"/>
        <w:jc w:val="right"/>
        <w:rPr>
          <w:rFonts w:ascii="Times New Roman"/>
          <w:sz w:val="15"/>
        </w:rPr>
      </w:pPr>
      <w:r>
        <w:rPr/>
        <w:pict>
          <v:line style="position:absolute;mso-position-horizontal-relative:page;mso-position-vertical-relative:paragraph;z-index:-23392" from="206.177917pt,-2.986805pt" to="228.985107pt,-2.986803pt" stroked="true" strokeweight=".640531pt" strokecolor="#000000">
            <w10:wrap type="none"/>
          </v:line>
        </w:pict>
      </w:r>
      <w:r>
        <w:rPr/>
        <w:pict>
          <v:line style="position:absolute;mso-position-horizontal-relative:page;mso-position-vertical-relative:paragraph;z-index:-23368" from="241.345581pt,-2.986802pt" to="273.017201pt,-2.986799pt" stroked="true" strokeweight=".640531pt" strokecolor="#000000">
            <w10:wrap type="none"/>
          </v:line>
        </w:pict>
      </w:r>
      <w:r>
        <w:rPr>
          <w:rFonts w:ascii="Times New Roman"/>
          <w:i/>
          <w:w w:val="90"/>
          <w:position w:val="7"/>
          <w:sz w:val="26"/>
        </w:rPr>
        <w:t>E</w:t>
      </w:r>
      <w:r>
        <w:rPr>
          <w:rFonts w:ascii="Times New Roman"/>
          <w:w w:val="90"/>
          <w:sz w:val="15"/>
        </w:rPr>
        <w:t>1998</w:t>
      </w:r>
    </w:p>
    <w:p>
      <w:pPr>
        <w:spacing w:line="268" w:lineRule="exact" w:before="0"/>
        <w:ind w:left="233" w:right="0" w:firstLine="0"/>
        <w:jc w:val="left"/>
        <w:rPr>
          <w:rFonts w:ascii="Times New Roman"/>
          <w:sz w:val="26"/>
        </w:rPr>
      </w:pPr>
      <w:r>
        <w:rPr/>
        <w:br w:type="column"/>
      </w:r>
      <w:r>
        <w:rPr>
          <w:rFonts w:ascii="Times New Roman"/>
          <w:sz w:val="26"/>
        </w:rPr>
        <w:t>11.713</w:t>
      </w:r>
    </w:p>
    <w:p>
      <w:pPr>
        <w:spacing w:after="0" w:line="268" w:lineRule="exact"/>
        <w:jc w:val="left"/>
        <w:rPr>
          <w:rFonts w:ascii="Times New Roman"/>
          <w:sz w:val="26"/>
        </w:rPr>
        <w:sectPr>
          <w:type w:val="continuous"/>
          <w:pgSz w:w="12240" w:h="15840"/>
          <w:pgMar w:top="1500" w:bottom="280" w:left="1600" w:right="1580"/>
          <w:cols w:num="2" w:equalWidth="0">
            <w:col w:w="2945" w:space="40"/>
            <w:col w:w="6075"/>
          </w:cols>
        </w:sectPr>
      </w:pPr>
    </w:p>
    <w:p>
      <w:pPr>
        <w:pStyle w:val="BodyText"/>
        <w:spacing w:before="10"/>
        <w:rPr>
          <w:rFonts w:ascii="Times New Roman"/>
          <w:sz w:val="16"/>
        </w:rPr>
      </w:pPr>
    </w:p>
    <w:p>
      <w:pPr>
        <w:pStyle w:val="BodyText"/>
        <w:spacing w:line="242" w:lineRule="auto" w:before="72"/>
        <w:ind w:left="102" w:right="108"/>
      </w:pPr>
      <w:r>
        <w:rPr/>
        <w:t>reflejando un descenso del empleo de 1,0 – 0,9805= 0,015, o, en porcentaje, de un 1,5% entre ambos años. Siendo este un ejemplo de un índice simple de cantidades.</w:t>
      </w:r>
    </w:p>
    <w:p>
      <w:pPr>
        <w:pStyle w:val="BodyText"/>
        <w:rPr>
          <w:sz w:val="32"/>
        </w:rPr>
      </w:pPr>
    </w:p>
    <w:p>
      <w:pPr>
        <w:pStyle w:val="BodyText"/>
        <w:ind w:left="102" w:right="108"/>
      </w:pPr>
      <w:r>
        <w:rPr/>
        <w:t>2.1 Propiedades de los números índices simples</w:t>
      </w:r>
    </w:p>
    <w:p>
      <w:pPr>
        <w:pStyle w:val="BodyText"/>
        <w:spacing w:before="11"/>
        <w:rPr>
          <w:sz w:val="20"/>
        </w:rPr>
      </w:pPr>
    </w:p>
    <w:p>
      <w:pPr>
        <w:pStyle w:val="BodyText"/>
        <w:ind w:left="102" w:right="108"/>
      </w:pPr>
      <w:r>
        <w:rPr>
          <w:i/>
        </w:rPr>
        <w:t>-Identidad </w:t>
      </w:r>
      <w:r>
        <w:rPr/>
        <w:t>El índice del propio periodo base es igual a 1, es decir igual a 100 cuando se expresa en porcentajes.</w:t>
      </w:r>
    </w:p>
    <w:p>
      <w:pPr>
        <w:tabs>
          <w:tab w:pos="4708" w:val="left" w:leader="none"/>
        </w:tabs>
        <w:spacing w:before="134"/>
        <w:ind w:left="1847" w:right="108" w:firstLine="0"/>
        <w:jc w:val="left"/>
        <w:rPr>
          <w:rFonts w:ascii="Times New Roman"/>
          <w:sz w:val="23"/>
        </w:rPr>
      </w:pPr>
      <w:r>
        <w:rPr/>
        <w:pict>
          <v:shapetype id="_x0000_t202" o:spt="202" coordsize="21600,21600" path="m,l,21600r21600,l21600,xe">
            <v:stroke joinstyle="miter"/>
            <v:path gradientshapeok="t" o:connecttype="rect"/>
          </v:shapetype>
          <v:shape style="position:absolute;margin-left:123.358688pt;margin-top:15.173058pt;width:237.15pt;height:12.1pt;mso-position-horizontal-relative:page;mso-position-vertical-relative:paragraph;z-index:-23344" type="#_x0000_t202" filled="false" stroked="false">
            <v:textbox inset="0,0,0,0">
              <w:txbxContent>
                <w:p>
                  <w:pPr>
                    <w:tabs>
                      <w:tab w:pos="773" w:val="left" w:leader="none"/>
                      <w:tab w:pos="3661" w:val="left" w:leader="none"/>
                      <w:tab w:pos="4460" w:val="left" w:leader="none"/>
                    </w:tabs>
                    <w:spacing w:line="242" w:lineRule="exact" w:before="0"/>
                    <w:ind w:left="0" w:right="0" w:firstLine="0"/>
                    <w:jc w:val="left"/>
                    <w:rPr>
                      <w:rFonts w:ascii="Times New Roman" w:hAnsi="Times New Roman"/>
                      <w:sz w:val="23"/>
                    </w:rPr>
                  </w:pPr>
                  <w:r>
                    <w:rPr>
                      <w:rFonts w:ascii="Times New Roman" w:hAnsi="Times New Roman"/>
                      <w:i/>
                      <w:w w:val="105"/>
                      <w:sz w:val="23"/>
                    </w:rPr>
                    <w:t>I</w:t>
                    <w:tab/>
                  </w:r>
                  <w:r>
                    <w:rPr>
                      <w:rFonts w:ascii="Symbol" w:hAnsi="Symbol"/>
                      <w:w w:val="105"/>
                      <w:sz w:val="23"/>
                    </w:rPr>
                    <w:t></w:t>
                  </w:r>
                  <w:r>
                    <w:rPr>
                      <w:rFonts w:ascii="Times New Roman" w:hAnsi="Times New Roman"/>
                      <w:w w:val="105"/>
                      <w:sz w:val="23"/>
                    </w:rPr>
                    <w:tab/>
                  </w:r>
                  <w:r>
                    <w:rPr>
                      <w:rFonts w:ascii="Symbol" w:hAnsi="Symbol"/>
                      <w:w w:val="105"/>
                      <w:sz w:val="23"/>
                    </w:rPr>
                    <w:t></w:t>
                  </w:r>
                  <w:r>
                    <w:rPr>
                      <w:rFonts w:ascii="Times New Roman" w:hAnsi="Times New Roman"/>
                      <w:w w:val="105"/>
                      <w:sz w:val="23"/>
                    </w:rPr>
                    <w:tab/>
                  </w:r>
                  <w:r>
                    <w:rPr>
                      <w:rFonts w:ascii="Symbol" w:hAnsi="Symbol"/>
                      <w:w w:val="105"/>
                      <w:sz w:val="23"/>
                    </w:rPr>
                    <w:t></w:t>
                  </w:r>
                  <w:r>
                    <w:rPr>
                      <w:rFonts w:ascii="Times New Roman" w:hAnsi="Times New Roman"/>
                      <w:spacing w:val="-32"/>
                      <w:w w:val="105"/>
                      <w:sz w:val="23"/>
                    </w:rPr>
                    <w:t> </w:t>
                  </w:r>
                  <w:r>
                    <w:rPr>
                      <w:rFonts w:ascii="Times New Roman" w:hAnsi="Times New Roman"/>
                      <w:w w:val="105"/>
                      <w:sz w:val="23"/>
                    </w:rPr>
                    <w:t>1</w:t>
                  </w:r>
                </w:p>
              </w:txbxContent>
            </v:textbox>
            <w10:wrap type="none"/>
          </v:shape>
        </w:pict>
      </w:r>
      <w:r>
        <w:rPr>
          <w:rFonts w:ascii="Times New Roman"/>
          <w:w w:val="105"/>
          <w:sz w:val="23"/>
        </w:rPr>
        <w:t>Precio barril</w:t>
      </w:r>
      <w:r>
        <w:rPr>
          <w:rFonts w:ascii="Times New Roman"/>
          <w:spacing w:val="-16"/>
          <w:w w:val="105"/>
          <w:sz w:val="23"/>
        </w:rPr>
        <w:t> </w:t>
      </w:r>
      <w:r>
        <w:rPr>
          <w:rFonts w:ascii="Times New Roman"/>
          <w:w w:val="105"/>
          <w:sz w:val="23"/>
        </w:rPr>
        <w:t>de</w:t>
      </w:r>
      <w:r>
        <w:rPr>
          <w:rFonts w:ascii="Times New Roman"/>
          <w:spacing w:val="-9"/>
          <w:w w:val="105"/>
          <w:sz w:val="23"/>
        </w:rPr>
        <w:t> </w:t>
      </w:r>
      <w:r>
        <w:rPr>
          <w:rFonts w:ascii="Times New Roman"/>
          <w:w w:val="105"/>
          <w:sz w:val="23"/>
        </w:rPr>
        <w:t>petroleo</w:t>
      </w:r>
      <w:r>
        <w:rPr>
          <w:rFonts w:ascii="Times New Roman"/>
          <w:w w:val="105"/>
          <w:position w:val="-5"/>
          <w:sz w:val="13"/>
        </w:rPr>
        <w:t>1994</w:t>
        <w:tab/>
      </w:r>
      <w:r>
        <w:rPr>
          <w:rFonts w:ascii="Times New Roman"/>
          <w:spacing w:val="-3"/>
          <w:w w:val="105"/>
          <w:sz w:val="23"/>
        </w:rPr>
        <w:t>15,</w:t>
      </w:r>
      <w:r>
        <w:rPr>
          <w:rFonts w:ascii="Times New Roman"/>
          <w:spacing w:val="-41"/>
          <w:w w:val="105"/>
          <w:sz w:val="23"/>
        </w:rPr>
        <w:t> </w:t>
      </w:r>
      <w:r>
        <w:rPr>
          <w:rFonts w:ascii="Times New Roman"/>
          <w:w w:val="105"/>
          <w:sz w:val="23"/>
        </w:rPr>
        <w:t>53</w:t>
      </w:r>
    </w:p>
    <w:p>
      <w:pPr>
        <w:tabs>
          <w:tab w:pos="4714" w:val="left" w:leader="none"/>
        </w:tabs>
        <w:spacing w:line="20" w:lineRule="exact"/>
        <w:ind w:left="1826" w:right="0" w:firstLine="0"/>
        <w:rPr>
          <w:rFonts w:ascii="Times New Roman"/>
          <w:sz w:val="2"/>
        </w:rPr>
      </w:pPr>
      <w:r>
        <w:rPr>
          <w:rFonts w:ascii="Times New Roman"/>
          <w:sz w:val="2"/>
        </w:rPr>
        <w:pict>
          <v:group style="width:132.3pt;height:.6pt;mso-position-horizontal-relative:char;mso-position-vertical-relative:line" coordorigin="0,0" coordsize="2646,12">
            <v:line style="position:absolute" from="6,6" to="2639,6" stroked="true" strokeweight=".579122pt" strokecolor="#000000"/>
          </v:group>
        </w:pict>
      </w:r>
      <w:r>
        <w:rPr>
          <w:rFonts w:ascii="Times New Roman"/>
          <w:sz w:val="2"/>
        </w:rPr>
      </w:r>
      <w:r>
        <w:rPr>
          <w:rFonts w:ascii="Times New Roman"/>
          <w:sz w:val="2"/>
        </w:rPr>
        <w:tab/>
      </w:r>
      <w:r>
        <w:rPr>
          <w:rFonts w:ascii="Times New Roman"/>
          <w:sz w:val="2"/>
        </w:rPr>
        <w:pict>
          <v:group style="width:27.8pt;height:.6pt;mso-position-horizontal-relative:char;mso-position-vertical-relative:line" coordorigin="0,0" coordsize="556,12">
            <v:line style="position:absolute" from="6,6" to="550,6" stroked="true" strokeweight=".579122pt" strokecolor="#000000"/>
          </v:group>
        </w:pict>
      </w:r>
      <w:r>
        <w:rPr>
          <w:rFonts w:ascii="Times New Roman"/>
          <w:sz w:val="2"/>
        </w:rPr>
      </w:r>
    </w:p>
    <w:p>
      <w:pPr>
        <w:spacing w:line="35" w:lineRule="exact" w:before="0"/>
        <w:ind w:left="945" w:right="108" w:firstLine="0"/>
        <w:jc w:val="left"/>
        <w:rPr>
          <w:rFonts w:ascii="Times New Roman"/>
          <w:sz w:val="13"/>
        </w:rPr>
      </w:pPr>
      <w:r>
        <w:rPr>
          <w:rFonts w:ascii="Times New Roman"/>
          <w:w w:val="105"/>
          <w:sz w:val="13"/>
        </w:rPr>
        <w:t>1994 /1994</w:t>
      </w:r>
    </w:p>
    <w:p>
      <w:pPr>
        <w:pStyle w:val="Heading3"/>
        <w:tabs>
          <w:tab w:pos="4709" w:val="left" w:leader="none"/>
        </w:tabs>
        <w:spacing w:line="280" w:lineRule="exact"/>
      </w:pPr>
      <w:r>
        <w:rPr>
          <w:w w:val="105"/>
        </w:rPr>
        <w:t>Precio barril</w:t>
      </w:r>
      <w:r>
        <w:rPr>
          <w:spacing w:val="-16"/>
          <w:w w:val="105"/>
        </w:rPr>
        <w:t> </w:t>
      </w:r>
      <w:r>
        <w:rPr>
          <w:w w:val="105"/>
        </w:rPr>
        <w:t>de</w:t>
      </w:r>
      <w:r>
        <w:rPr>
          <w:spacing w:val="-9"/>
          <w:w w:val="105"/>
        </w:rPr>
        <w:t> </w:t>
      </w:r>
      <w:r>
        <w:rPr>
          <w:w w:val="105"/>
        </w:rPr>
        <w:t>petroleo</w:t>
      </w:r>
      <w:r>
        <w:rPr>
          <w:w w:val="105"/>
          <w:position w:val="-5"/>
          <w:sz w:val="13"/>
        </w:rPr>
        <w:t>1994</w:t>
        <w:tab/>
      </w:r>
      <w:r>
        <w:rPr>
          <w:spacing w:val="-3"/>
          <w:w w:val="105"/>
        </w:rPr>
        <w:t>15,</w:t>
      </w:r>
      <w:r>
        <w:rPr>
          <w:spacing w:val="-41"/>
          <w:w w:val="105"/>
        </w:rPr>
        <w:t> </w:t>
      </w:r>
      <w:r>
        <w:rPr>
          <w:w w:val="105"/>
        </w:rPr>
        <w:t>53</w:t>
      </w:r>
    </w:p>
    <w:p>
      <w:pPr>
        <w:spacing w:after="0" w:line="280" w:lineRule="exact"/>
        <w:sectPr>
          <w:type w:val="continuous"/>
          <w:pgSz w:w="12240" w:h="15840"/>
          <w:pgMar w:top="1500" w:bottom="280" w:left="1600" w:right="1580"/>
        </w:sectPr>
      </w:pPr>
    </w:p>
    <w:p>
      <w:pPr>
        <w:spacing w:before="53"/>
        <w:ind w:left="102" w:right="108" w:firstLine="0"/>
        <w:jc w:val="left"/>
        <w:rPr>
          <w:sz w:val="22"/>
        </w:rPr>
      </w:pPr>
      <w:r>
        <w:rPr>
          <w:i/>
          <w:sz w:val="22"/>
        </w:rPr>
        <w:t>-Todo índice simple es invertible. </w:t>
      </w:r>
      <w:r>
        <w:rPr>
          <w:sz w:val="22"/>
        </w:rPr>
        <w:t>En el ejemplo de índice de empleo, si tomamos ahora como valor de referencia el que era el valor corriente y como valor corriente la base:</w:t>
      </w:r>
    </w:p>
    <w:p>
      <w:pPr>
        <w:spacing w:after="0"/>
        <w:jc w:val="left"/>
        <w:rPr>
          <w:sz w:val="22"/>
        </w:rPr>
        <w:sectPr>
          <w:pgSz w:w="12240" w:h="15840"/>
          <w:pgMar w:top="1360" w:bottom="280" w:left="1600" w:right="1580"/>
        </w:sectPr>
      </w:pPr>
    </w:p>
    <w:p>
      <w:pPr>
        <w:pStyle w:val="BodyText"/>
        <w:rPr>
          <w:sz w:val="24"/>
        </w:rPr>
      </w:pPr>
    </w:p>
    <w:p>
      <w:pPr>
        <w:spacing w:line="217" w:lineRule="exact" w:before="0"/>
        <w:ind w:left="0" w:right="0" w:firstLine="0"/>
        <w:jc w:val="right"/>
        <w:rPr>
          <w:rFonts w:ascii="Times New Roman"/>
          <w:sz w:val="13"/>
        </w:rPr>
      </w:pPr>
      <w:r>
        <w:rPr>
          <w:rFonts w:ascii="Times New Roman"/>
          <w:i/>
          <w:w w:val="105"/>
          <w:position w:val="6"/>
          <w:sz w:val="24"/>
        </w:rPr>
        <w:t>I</w:t>
      </w:r>
      <w:r>
        <w:rPr>
          <w:rFonts w:ascii="Times New Roman"/>
          <w:w w:val="105"/>
          <w:sz w:val="13"/>
        </w:rPr>
        <w:t>1998 / 2001</w:t>
      </w:r>
    </w:p>
    <w:p>
      <w:pPr>
        <w:spacing w:line="368" w:lineRule="exact" w:before="125"/>
        <w:ind w:left="29" w:right="0" w:firstLine="0"/>
        <w:jc w:val="left"/>
        <w:rPr>
          <w:rFonts w:ascii="Times New Roman" w:hAnsi="Times New Roman"/>
          <w:sz w:val="24"/>
        </w:rPr>
      </w:pPr>
      <w:r>
        <w:rPr/>
        <w:br w:type="column"/>
      </w:r>
      <w:r>
        <w:rPr>
          <w:rFonts w:ascii="Symbol" w:hAnsi="Symbol"/>
          <w:sz w:val="24"/>
        </w:rPr>
        <w:t></w:t>
      </w:r>
      <w:r>
        <w:rPr>
          <w:rFonts w:ascii="Times New Roman" w:hAnsi="Times New Roman"/>
          <w:sz w:val="24"/>
        </w:rPr>
        <w:t> </w:t>
      </w:r>
      <w:r>
        <w:rPr>
          <w:rFonts w:ascii="Times New Roman" w:hAnsi="Times New Roman"/>
          <w:i/>
          <w:position w:val="15"/>
          <w:sz w:val="24"/>
        </w:rPr>
        <w:t>E</w:t>
      </w:r>
      <w:r>
        <w:rPr>
          <w:rFonts w:ascii="Times New Roman" w:hAnsi="Times New Roman"/>
          <w:position w:val="9"/>
          <w:sz w:val="13"/>
        </w:rPr>
        <w:t>1998    </w:t>
      </w:r>
      <w:r>
        <w:rPr>
          <w:rFonts w:ascii="Symbol" w:hAnsi="Symbol"/>
          <w:sz w:val="24"/>
        </w:rPr>
        <w:t></w:t>
      </w:r>
      <w:r>
        <w:rPr>
          <w:rFonts w:ascii="Times New Roman" w:hAnsi="Times New Roman"/>
          <w:sz w:val="24"/>
        </w:rPr>
        <w:t> </w:t>
      </w:r>
      <w:r>
        <w:rPr>
          <w:rFonts w:ascii="Times New Roman" w:hAnsi="Times New Roman"/>
          <w:position w:val="15"/>
          <w:sz w:val="24"/>
        </w:rPr>
        <w:t>11.713 </w:t>
      </w:r>
      <w:r>
        <w:rPr>
          <w:rFonts w:ascii="Symbol" w:hAnsi="Symbol"/>
          <w:sz w:val="24"/>
        </w:rPr>
        <w:t></w:t>
      </w:r>
      <w:r>
        <w:rPr>
          <w:rFonts w:ascii="Times New Roman" w:hAnsi="Times New Roman"/>
          <w:sz w:val="24"/>
        </w:rPr>
        <w:t> 1,01985</w:t>
      </w:r>
    </w:p>
    <w:p>
      <w:pPr>
        <w:spacing w:after="0" w:line="368" w:lineRule="exact"/>
        <w:jc w:val="left"/>
        <w:rPr>
          <w:rFonts w:ascii="Times New Roman" w:hAnsi="Times New Roman"/>
          <w:sz w:val="24"/>
        </w:rPr>
        <w:sectPr>
          <w:type w:val="continuous"/>
          <w:pgSz w:w="12240" w:h="15840"/>
          <w:pgMar w:top="1500" w:bottom="280" w:left="1600" w:right="1580"/>
          <w:cols w:num="2" w:equalWidth="0">
            <w:col w:w="2294" w:space="40"/>
            <w:col w:w="6726"/>
          </w:cols>
        </w:sectPr>
      </w:pPr>
    </w:p>
    <w:p>
      <w:pPr>
        <w:spacing w:line="281" w:lineRule="exact" w:before="0"/>
        <w:ind w:left="0" w:right="0" w:firstLine="0"/>
        <w:jc w:val="right"/>
        <w:rPr>
          <w:rFonts w:ascii="Times New Roman"/>
          <w:sz w:val="13"/>
        </w:rPr>
      </w:pPr>
      <w:r>
        <w:rPr/>
        <w:pict>
          <v:line style="position:absolute;mso-position-horizontal-relative:page;mso-position-vertical-relative:paragraph;z-index:-23320" from="207.719177pt,-2.704406pt" to="231.241303pt,-2.704399pt" stroked="true" strokeweight=".579969pt" strokecolor="#000000">
            <w10:wrap type="none"/>
          </v:line>
        </w:pict>
      </w:r>
      <w:r>
        <w:rPr/>
        <w:pict>
          <v:line style="position:absolute;mso-position-horizontal-relative:page;mso-position-vertical-relative:paragraph;z-index:-23296" from="244.002731pt,-2.704395pt" to="276.655935pt,-2.704384pt" stroked="true" strokeweight=".579969pt" strokecolor="#000000">
            <w10:wrap type="none"/>
          </v:line>
        </w:pict>
      </w:r>
      <w:r>
        <w:rPr>
          <w:rFonts w:ascii="Times New Roman"/>
          <w:i/>
          <w:w w:val="105"/>
          <w:position w:val="6"/>
          <w:sz w:val="24"/>
        </w:rPr>
        <w:t>E</w:t>
      </w:r>
      <w:r>
        <w:rPr>
          <w:rFonts w:ascii="Times New Roman"/>
          <w:w w:val="105"/>
          <w:sz w:val="13"/>
        </w:rPr>
        <w:t>2001</w:t>
      </w:r>
    </w:p>
    <w:p>
      <w:pPr>
        <w:spacing w:line="244" w:lineRule="exact" w:before="0"/>
        <w:ind w:left="228" w:right="0" w:firstLine="0"/>
        <w:jc w:val="left"/>
        <w:rPr>
          <w:rFonts w:ascii="Times New Roman"/>
          <w:sz w:val="24"/>
        </w:rPr>
      </w:pPr>
      <w:r>
        <w:rPr/>
        <w:br w:type="column"/>
      </w:r>
      <w:r>
        <w:rPr>
          <w:rFonts w:ascii="Times New Roman"/>
          <w:sz w:val="24"/>
        </w:rPr>
        <w:t>11.485</w:t>
      </w:r>
    </w:p>
    <w:p>
      <w:pPr>
        <w:spacing w:after="0" w:line="244" w:lineRule="exact"/>
        <w:jc w:val="left"/>
        <w:rPr>
          <w:rFonts w:ascii="Times New Roman"/>
          <w:sz w:val="24"/>
        </w:rPr>
        <w:sectPr>
          <w:type w:val="continuous"/>
          <w:pgSz w:w="12240" w:h="15840"/>
          <w:pgMar w:top="1500" w:bottom="280" w:left="1600" w:right="1580"/>
          <w:cols w:num="2" w:equalWidth="0">
            <w:col w:w="3001" w:space="40"/>
            <w:col w:w="6019"/>
          </w:cols>
        </w:sectPr>
      </w:pPr>
    </w:p>
    <w:p>
      <w:pPr>
        <w:pStyle w:val="BodyText"/>
        <w:spacing w:before="9"/>
        <w:rPr>
          <w:rFonts w:ascii="Times New Roman"/>
          <w:sz w:val="16"/>
        </w:rPr>
      </w:pPr>
    </w:p>
    <w:p>
      <w:pPr>
        <w:pStyle w:val="BodyText"/>
        <w:spacing w:before="73"/>
        <w:ind w:left="102" w:right="117"/>
        <w:jc w:val="both"/>
      </w:pPr>
      <w:r>
        <w:rPr/>
        <w:t>el índice obtenido, 1,01985, es exactamente el </w:t>
      </w:r>
      <w:r>
        <w:rPr>
          <w:i/>
        </w:rPr>
        <w:t>recíproco </w:t>
      </w:r>
      <w:r>
        <w:rPr/>
        <w:t>del índice obtenido previamente; 1,01985 = 1/0,9805.</w:t>
      </w:r>
    </w:p>
    <w:p>
      <w:pPr>
        <w:pStyle w:val="BodyText"/>
        <w:spacing w:before="9"/>
        <w:rPr>
          <w:sz w:val="20"/>
        </w:rPr>
      </w:pPr>
    </w:p>
    <w:p>
      <w:pPr>
        <w:pStyle w:val="BodyText"/>
        <w:ind w:left="102" w:right="114"/>
        <w:jc w:val="both"/>
      </w:pPr>
      <w:r>
        <w:rPr/>
        <w:t>-Un número índice simple satisface la propiedad de </w:t>
      </w:r>
      <w:r>
        <w:rPr>
          <w:i/>
        </w:rPr>
        <w:t>homogeneidad</w:t>
      </w:r>
      <w:r>
        <w:rPr/>
        <w:t>: no queda afectado</w:t>
      </w:r>
      <w:r>
        <w:rPr>
          <w:spacing w:val="-39"/>
        </w:rPr>
        <w:t> </w:t>
      </w:r>
      <w:r>
        <w:rPr/>
        <w:t>por cambios en las unidades de medida de las magnitudes que en él intervienen. Es decir</w:t>
      </w:r>
      <w:r>
        <w:rPr>
          <w:color w:val="FF0000"/>
        </w:rPr>
        <w:t>, </w:t>
      </w:r>
      <w:r>
        <w:rPr/>
        <w:t>si convertimos los datos de dólares o pesos en miles de dólares o pesos, en el caso de precios, o de gramos a kilogramos, en el caso de cantidades, los índices simples que con ellos se construyen no</w:t>
      </w:r>
      <w:r>
        <w:rPr>
          <w:spacing w:val="-11"/>
        </w:rPr>
        <w:t> </w:t>
      </w:r>
      <w:r>
        <w:rPr/>
        <w:t>varían.</w:t>
      </w:r>
    </w:p>
    <w:p>
      <w:pPr>
        <w:pStyle w:val="BodyText"/>
        <w:spacing w:before="9"/>
        <w:rPr>
          <w:sz w:val="20"/>
        </w:rPr>
      </w:pPr>
    </w:p>
    <w:p>
      <w:pPr>
        <w:pStyle w:val="BodyText"/>
        <w:ind w:left="102" w:right="115"/>
        <w:jc w:val="both"/>
      </w:pPr>
      <w:r>
        <w:rPr/>
        <w:t>-Un número índice simple satisface la propiedad de </w:t>
      </w:r>
      <w:r>
        <w:rPr>
          <w:i/>
        </w:rPr>
        <w:t>proporcionalidad</w:t>
      </w:r>
      <w:r>
        <w:rPr/>
        <w:t>: al aumentar la magnitud correspondiente al año base o corriente en una proporción </w:t>
      </w:r>
      <w:r>
        <w:rPr>
          <w:i/>
        </w:rPr>
        <w:t>n</w:t>
      </w:r>
      <w:r>
        <w:rPr/>
        <w:t>, el propio número índice aumenta asimismo en la misma proporción.</w:t>
      </w:r>
    </w:p>
    <w:p>
      <w:pPr>
        <w:pStyle w:val="BodyText"/>
        <w:spacing w:before="1"/>
        <w:rPr>
          <w:sz w:val="21"/>
        </w:rPr>
      </w:pPr>
    </w:p>
    <w:p>
      <w:pPr>
        <w:pStyle w:val="BodyText"/>
        <w:spacing w:line="237" w:lineRule="auto"/>
        <w:ind w:left="102" w:right="115"/>
        <w:jc w:val="both"/>
      </w:pPr>
      <w:r>
        <w:rPr>
          <w:position w:val="2"/>
        </w:rPr>
        <w:t>-Un índice simple es circular. Si hemos calculado un índice simple de precios I</w:t>
      </w:r>
      <w:r>
        <w:rPr>
          <w:sz w:val="14"/>
        </w:rPr>
        <w:t>2006/1999 </w:t>
      </w:r>
      <w:r>
        <w:rPr>
          <w:position w:val="2"/>
        </w:rPr>
        <w:t>y </w:t>
      </w:r>
      <w:r>
        <w:rPr/>
        <w:t>consideramos un año intermedio, por ejemplo 2002 y utilizamos la propiedad de </w:t>
      </w:r>
      <w:r>
        <w:rPr>
          <w:position w:val="2"/>
        </w:rPr>
        <w:t>invertibilidad</w:t>
      </w:r>
      <w:r>
        <w:rPr>
          <w:spacing w:val="-14"/>
          <w:position w:val="2"/>
        </w:rPr>
        <w:t> </w:t>
      </w:r>
      <w:r>
        <w:rPr>
          <w:position w:val="2"/>
        </w:rPr>
        <w:t>de</w:t>
      </w:r>
      <w:r>
        <w:rPr>
          <w:spacing w:val="-15"/>
          <w:position w:val="2"/>
        </w:rPr>
        <w:t> </w:t>
      </w:r>
      <w:r>
        <w:rPr>
          <w:position w:val="2"/>
        </w:rPr>
        <w:t>los</w:t>
      </w:r>
      <w:r>
        <w:rPr>
          <w:spacing w:val="-12"/>
          <w:position w:val="2"/>
        </w:rPr>
        <w:t> </w:t>
      </w:r>
      <w:r>
        <w:rPr>
          <w:position w:val="2"/>
        </w:rPr>
        <w:t>índices</w:t>
      </w:r>
      <w:r>
        <w:rPr>
          <w:spacing w:val="-14"/>
          <w:position w:val="2"/>
        </w:rPr>
        <w:t> </w:t>
      </w:r>
      <w:r>
        <w:rPr>
          <w:position w:val="2"/>
        </w:rPr>
        <w:t>simples</w:t>
      </w:r>
      <w:r>
        <w:rPr>
          <w:spacing w:val="-14"/>
          <w:position w:val="2"/>
        </w:rPr>
        <w:t> </w:t>
      </w:r>
      <w:r>
        <w:rPr>
          <w:position w:val="2"/>
        </w:rPr>
        <w:t>para</w:t>
      </w:r>
      <w:r>
        <w:rPr>
          <w:spacing w:val="-14"/>
          <w:position w:val="2"/>
        </w:rPr>
        <w:t> </w:t>
      </w:r>
      <w:r>
        <w:rPr>
          <w:position w:val="2"/>
        </w:rPr>
        <w:t>escribir</w:t>
      </w:r>
      <w:r>
        <w:rPr>
          <w:spacing w:val="-14"/>
          <w:position w:val="2"/>
        </w:rPr>
        <w:t> </w:t>
      </w:r>
      <w:r>
        <w:rPr>
          <w:position w:val="2"/>
        </w:rPr>
        <w:t>I</w:t>
      </w:r>
      <w:r>
        <w:rPr>
          <w:sz w:val="14"/>
        </w:rPr>
        <w:t>2006/1999</w:t>
      </w:r>
      <w:r>
        <w:rPr>
          <w:position w:val="2"/>
        </w:rPr>
        <w:t>=</w:t>
      </w:r>
      <w:r>
        <w:rPr>
          <w:spacing w:val="-14"/>
          <w:position w:val="2"/>
        </w:rPr>
        <w:t> </w:t>
      </w:r>
      <w:r>
        <w:rPr>
          <w:position w:val="2"/>
        </w:rPr>
        <w:t>1/I</w:t>
      </w:r>
      <w:r>
        <w:rPr>
          <w:sz w:val="14"/>
        </w:rPr>
        <w:t>1999/2006</w:t>
      </w:r>
      <w:r>
        <w:rPr>
          <w:position w:val="2"/>
        </w:rPr>
        <w:t>,</w:t>
      </w:r>
      <w:r>
        <w:rPr>
          <w:spacing w:val="-13"/>
          <w:position w:val="2"/>
        </w:rPr>
        <w:t> </w:t>
      </w:r>
      <w:r>
        <w:rPr>
          <w:position w:val="2"/>
        </w:rPr>
        <w:t>el</w:t>
      </w:r>
      <w:r>
        <w:rPr>
          <w:spacing w:val="-13"/>
          <w:position w:val="2"/>
        </w:rPr>
        <w:t> </w:t>
      </w:r>
      <w:r>
        <w:rPr>
          <w:position w:val="2"/>
        </w:rPr>
        <w:t>índice</w:t>
      </w:r>
      <w:r>
        <w:rPr>
          <w:spacing w:val="-14"/>
          <w:position w:val="2"/>
        </w:rPr>
        <w:t> </w:t>
      </w:r>
      <w:r>
        <w:rPr>
          <w:position w:val="2"/>
        </w:rPr>
        <w:t>I</w:t>
      </w:r>
      <w:r>
        <w:rPr>
          <w:sz w:val="14"/>
        </w:rPr>
        <w:t>2006/1999</w:t>
      </w:r>
      <w:r>
        <w:rPr>
          <w:spacing w:val="-11"/>
          <w:sz w:val="14"/>
        </w:rPr>
        <w:t> </w:t>
      </w:r>
      <w:r>
        <w:rPr>
          <w:position w:val="2"/>
        </w:rPr>
        <w:t>puede </w:t>
      </w:r>
      <w:r>
        <w:rPr/>
        <w:t>representarse:</w:t>
      </w:r>
    </w:p>
    <w:p>
      <w:pPr>
        <w:spacing w:before="118"/>
        <w:ind w:left="1542" w:right="108" w:firstLine="0"/>
        <w:jc w:val="left"/>
        <w:rPr>
          <w:sz w:val="14"/>
        </w:rPr>
      </w:pPr>
      <w:r>
        <w:rPr>
          <w:position w:val="2"/>
          <w:sz w:val="22"/>
        </w:rPr>
        <w:t>I</w:t>
      </w:r>
      <w:r>
        <w:rPr>
          <w:sz w:val="14"/>
        </w:rPr>
        <w:t>2006/1999</w:t>
      </w:r>
      <w:r>
        <w:rPr>
          <w:position w:val="2"/>
          <w:sz w:val="22"/>
        </w:rPr>
        <w:t>= I</w:t>
      </w:r>
      <w:r>
        <w:rPr>
          <w:sz w:val="14"/>
        </w:rPr>
        <w:t>2006/2002 </w:t>
      </w:r>
      <w:r>
        <w:rPr>
          <w:position w:val="2"/>
          <w:sz w:val="22"/>
        </w:rPr>
        <w:t>* I</w:t>
      </w:r>
      <w:r>
        <w:rPr>
          <w:sz w:val="14"/>
        </w:rPr>
        <w:t>2002/1999</w:t>
      </w:r>
    </w:p>
    <w:p>
      <w:pPr>
        <w:pStyle w:val="BodyText"/>
        <w:spacing w:before="9"/>
        <w:rPr>
          <w:sz w:val="20"/>
        </w:rPr>
      </w:pPr>
    </w:p>
    <w:p>
      <w:pPr>
        <w:pStyle w:val="BodyText"/>
        <w:ind w:left="102"/>
        <w:jc w:val="both"/>
      </w:pPr>
      <w:r>
        <w:rPr/>
        <w:t>que suele denominarse, a su vez, propiedad cíclica de los números índice.</w:t>
      </w:r>
    </w:p>
    <w:p>
      <w:pPr>
        <w:pStyle w:val="BodyText"/>
      </w:pPr>
    </w:p>
    <w:p>
      <w:pPr>
        <w:pStyle w:val="BodyText"/>
        <w:spacing w:before="2"/>
        <w:rPr>
          <w:sz w:val="31"/>
        </w:rPr>
      </w:pPr>
    </w:p>
    <w:p>
      <w:pPr>
        <w:pStyle w:val="Heading4"/>
        <w:jc w:val="both"/>
        <w:rPr>
          <w:rFonts w:ascii="Tahoma"/>
        </w:rPr>
      </w:pPr>
      <w:r>
        <w:rPr>
          <w:rFonts w:ascii="Tahoma"/>
        </w:rPr>
        <w:t>Indices compuestos</w:t>
      </w:r>
    </w:p>
    <w:p>
      <w:pPr>
        <w:pStyle w:val="BodyText"/>
        <w:spacing w:before="161"/>
        <w:ind w:left="171"/>
        <w:jc w:val="both"/>
        <w:rPr>
          <w:rFonts w:ascii="Tahoma" w:hAnsi="Tahoma"/>
        </w:rPr>
      </w:pPr>
      <w:r>
        <w:rPr>
          <w:rFonts w:ascii="Tahoma" w:hAnsi="Tahoma"/>
        </w:rPr>
        <w:t>Índices sin ponderar</w:t>
      </w:r>
    </w:p>
    <w:p>
      <w:pPr>
        <w:pStyle w:val="BodyText"/>
        <w:spacing w:before="197"/>
        <w:ind w:left="102" w:right="118"/>
        <w:jc w:val="both"/>
      </w:pPr>
      <w:r>
        <w:rPr/>
        <w:t>El</w:t>
      </w:r>
      <w:r>
        <w:rPr>
          <w:spacing w:val="-10"/>
        </w:rPr>
        <w:t> </w:t>
      </w:r>
      <w:r>
        <w:rPr/>
        <w:t>índice</w:t>
      </w:r>
      <w:r>
        <w:rPr>
          <w:spacing w:val="-11"/>
        </w:rPr>
        <w:t> </w:t>
      </w:r>
      <w:r>
        <w:rPr/>
        <w:t>compuesto</w:t>
      </w:r>
      <w:r>
        <w:rPr>
          <w:spacing w:val="-11"/>
        </w:rPr>
        <w:t> </w:t>
      </w:r>
      <w:r>
        <w:rPr/>
        <w:t>es,</w:t>
      </w:r>
      <w:r>
        <w:rPr>
          <w:spacing w:val="-12"/>
        </w:rPr>
        <w:t> </w:t>
      </w:r>
      <w:r>
        <w:rPr/>
        <w:t>en</w:t>
      </w:r>
      <w:r>
        <w:rPr>
          <w:spacing w:val="-11"/>
        </w:rPr>
        <w:t> </w:t>
      </w:r>
      <w:r>
        <w:rPr/>
        <w:t>realidad,</w:t>
      </w:r>
      <w:r>
        <w:rPr>
          <w:spacing w:val="-10"/>
        </w:rPr>
        <w:t> </w:t>
      </w:r>
      <w:r>
        <w:rPr/>
        <w:t>el</w:t>
      </w:r>
      <w:r>
        <w:rPr>
          <w:spacing w:val="-12"/>
        </w:rPr>
        <w:t> </w:t>
      </w:r>
      <w:r>
        <w:rPr/>
        <w:t>de</w:t>
      </w:r>
      <w:r>
        <w:rPr>
          <w:spacing w:val="-11"/>
        </w:rPr>
        <w:t> </w:t>
      </w:r>
      <w:r>
        <w:rPr/>
        <w:t>mayor</w:t>
      </w:r>
      <w:r>
        <w:rPr>
          <w:spacing w:val="-10"/>
        </w:rPr>
        <w:t> </w:t>
      </w:r>
      <w:r>
        <w:rPr/>
        <w:t>importancia.</w:t>
      </w:r>
      <w:r>
        <w:rPr>
          <w:spacing w:val="-10"/>
        </w:rPr>
        <w:t> </w:t>
      </w:r>
      <w:r>
        <w:rPr/>
        <w:t>Entre</w:t>
      </w:r>
      <w:r>
        <w:rPr>
          <w:spacing w:val="-11"/>
        </w:rPr>
        <w:t> </w:t>
      </w:r>
      <w:r>
        <w:rPr/>
        <w:t>los</w:t>
      </w:r>
      <w:r>
        <w:rPr>
          <w:spacing w:val="-11"/>
        </w:rPr>
        <w:t> </w:t>
      </w:r>
      <w:r>
        <w:rPr/>
        <w:t>índices</w:t>
      </w:r>
      <w:r>
        <w:rPr>
          <w:spacing w:val="-11"/>
        </w:rPr>
        <w:t> </w:t>
      </w:r>
      <w:r>
        <w:rPr/>
        <w:t>compuestos a</w:t>
      </w:r>
      <w:r>
        <w:rPr>
          <w:spacing w:val="-15"/>
        </w:rPr>
        <w:t> </w:t>
      </w:r>
      <w:r>
        <w:rPr/>
        <w:t>los</w:t>
      </w:r>
      <w:r>
        <w:rPr>
          <w:spacing w:val="-15"/>
        </w:rPr>
        <w:t> </w:t>
      </w:r>
      <w:r>
        <w:rPr/>
        <w:t>que</w:t>
      </w:r>
      <w:r>
        <w:rPr>
          <w:spacing w:val="-15"/>
        </w:rPr>
        <w:t> </w:t>
      </w:r>
      <w:r>
        <w:rPr/>
        <w:t>se</w:t>
      </w:r>
      <w:r>
        <w:rPr>
          <w:spacing w:val="-15"/>
        </w:rPr>
        <w:t> </w:t>
      </w:r>
      <w:r>
        <w:rPr/>
        <w:t>les</w:t>
      </w:r>
      <w:r>
        <w:rPr>
          <w:spacing w:val="-15"/>
        </w:rPr>
        <w:t> </w:t>
      </w:r>
      <w:r>
        <w:rPr/>
        <w:t>presta</w:t>
      </w:r>
      <w:r>
        <w:rPr>
          <w:spacing w:val="-15"/>
        </w:rPr>
        <w:t> </w:t>
      </w:r>
      <w:r>
        <w:rPr/>
        <w:t>mayor</w:t>
      </w:r>
      <w:r>
        <w:rPr>
          <w:spacing w:val="-14"/>
        </w:rPr>
        <w:t> </w:t>
      </w:r>
      <w:r>
        <w:rPr/>
        <w:t>atención</w:t>
      </w:r>
      <w:r>
        <w:rPr>
          <w:spacing w:val="-15"/>
        </w:rPr>
        <w:t> </w:t>
      </w:r>
      <w:r>
        <w:rPr/>
        <w:t>están:</w:t>
      </w:r>
      <w:r>
        <w:rPr>
          <w:spacing w:val="-14"/>
        </w:rPr>
        <w:t> </w:t>
      </w:r>
      <w:r>
        <w:rPr/>
        <w:t>El</w:t>
      </w:r>
      <w:r>
        <w:rPr>
          <w:spacing w:val="-16"/>
        </w:rPr>
        <w:t> </w:t>
      </w:r>
      <w:r>
        <w:rPr/>
        <w:t>estimador</w:t>
      </w:r>
      <w:r>
        <w:rPr>
          <w:spacing w:val="-17"/>
        </w:rPr>
        <w:t> </w:t>
      </w:r>
      <w:r>
        <w:rPr/>
        <w:t>mensual</w:t>
      </w:r>
      <w:r>
        <w:rPr>
          <w:spacing w:val="-16"/>
        </w:rPr>
        <w:t> </w:t>
      </w:r>
      <w:r>
        <w:rPr/>
        <w:t>de</w:t>
      </w:r>
      <w:r>
        <w:rPr>
          <w:spacing w:val="-15"/>
        </w:rPr>
        <w:t> </w:t>
      </w:r>
      <w:r>
        <w:rPr/>
        <w:t>actividad</w:t>
      </w:r>
      <w:r>
        <w:rPr>
          <w:spacing w:val="-15"/>
        </w:rPr>
        <w:t> </w:t>
      </w:r>
      <w:r>
        <w:rPr/>
        <w:t>económica; el índice de precios al por mayor; el índice de precios al consumidor. En esta sección se analizarán detalladamente los índices</w:t>
      </w:r>
      <w:r>
        <w:rPr>
          <w:spacing w:val="-12"/>
        </w:rPr>
        <w:t> </w:t>
      </w:r>
      <w:r>
        <w:rPr/>
        <w:t>compuestos.</w:t>
      </w:r>
    </w:p>
    <w:p>
      <w:pPr>
        <w:pStyle w:val="BodyText"/>
        <w:spacing w:before="9"/>
        <w:rPr>
          <w:sz w:val="20"/>
        </w:rPr>
      </w:pPr>
    </w:p>
    <w:p>
      <w:pPr>
        <w:pStyle w:val="BodyText"/>
        <w:ind w:left="102" w:right="118"/>
        <w:jc w:val="both"/>
      </w:pPr>
      <w:r>
        <w:rPr/>
        <w:t>Los índices agregados no ponderados o no pesados significan que todos los valores considerados son de igual importancia. Agregado significa que agregamos o sumamos todos los valores. La principal ventaja de este índice es su simplicidad.</w:t>
      </w:r>
    </w:p>
    <w:p>
      <w:pPr>
        <w:pStyle w:val="BodyText"/>
        <w:rPr>
          <w:sz w:val="21"/>
        </w:rPr>
      </w:pPr>
    </w:p>
    <w:p>
      <w:pPr>
        <w:pStyle w:val="BodyText"/>
        <w:ind w:left="102" w:right="117"/>
        <w:jc w:val="both"/>
      </w:pPr>
      <w:r>
        <w:rPr/>
        <w:t>Para construir un índice de precios agregados sin ponderar, primero debemos obtener la suma de los diversos precios para cada uno de los periodos que se consideran y luego dividirla por la suma de los precios del periodo base.</w:t>
      </w:r>
    </w:p>
    <w:p>
      <w:pPr>
        <w:pStyle w:val="BodyText"/>
        <w:spacing w:before="10"/>
        <w:rPr>
          <w:sz w:val="20"/>
        </w:rPr>
      </w:pPr>
    </w:p>
    <w:p>
      <w:pPr>
        <w:pStyle w:val="BodyText"/>
        <w:ind w:left="102" w:right="116"/>
        <w:jc w:val="both"/>
      </w:pPr>
      <w:r>
        <w:rPr>
          <w:position w:val="2"/>
        </w:rPr>
        <w:t>Sea Σ p</w:t>
      </w:r>
      <w:r>
        <w:rPr>
          <w:sz w:val="14"/>
        </w:rPr>
        <w:t>0 </w:t>
      </w:r>
      <w:r>
        <w:rPr>
          <w:position w:val="2"/>
        </w:rPr>
        <w:t>la suma de los precios del periodo base y sea Σp</w:t>
      </w:r>
      <w:r>
        <w:rPr>
          <w:sz w:val="14"/>
        </w:rPr>
        <w:t>n </w:t>
      </w:r>
      <w:r>
        <w:rPr>
          <w:position w:val="2"/>
        </w:rPr>
        <w:t>la suma de los precios del </w:t>
      </w:r>
      <w:r>
        <w:rPr/>
        <w:t>periodo</w:t>
      </w:r>
      <w:r>
        <w:rPr>
          <w:spacing w:val="-16"/>
        </w:rPr>
        <w:t> </w:t>
      </w:r>
      <w:r>
        <w:rPr/>
        <w:t>dado;</w:t>
      </w:r>
      <w:r>
        <w:rPr>
          <w:spacing w:val="-15"/>
        </w:rPr>
        <w:t> </w:t>
      </w:r>
      <w:r>
        <w:rPr/>
        <w:t>el</w:t>
      </w:r>
      <w:r>
        <w:rPr>
          <w:spacing w:val="-19"/>
        </w:rPr>
        <w:t> </w:t>
      </w:r>
      <w:r>
        <w:rPr/>
        <w:t>cociente</w:t>
      </w:r>
      <w:r>
        <w:rPr>
          <w:spacing w:val="-19"/>
        </w:rPr>
        <w:t> </w:t>
      </w:r>
      <w:r>
        <w:rPr/>
        <w:t>de</w:t>
      </w:r>
      <w:r>
        <w:rPr>
          <w:spacing w:val="-19"/>
        </w:rPr>
        <w:t> </w:t>
      </w:r>
      <w:r>
        <w:rPr/>
        <w:t>las</w:t>
      </w:r>
      <w:r>
        <w:rPr>
          <w:spacing w:val="-16"/>
        </w:rPr>
        <w:t> </w:t>
      </w:r>
      <w:r>
        <w:rPr/>
        <w:t>dos</w:t>
      </w:r>
      <w:r>
        <w:rPr>
          <w:spacing w:val="-18"/>
        </w:rPr>
        <w:t> </w:t>
      </w:r>
      <w:r>
        <w:rPr/>
        <w:t>sumas</w:t>
      </w:r>
      <w:r>
        <w:rPr>
          <w:spacing w:val="-19"/>
        </w:rPr>
        <w:t> </w:t>
      </w:r>
      <w:r>
        <w:rPr/>
        <w:t>multiplicado</w:t>
      </w:r>
      <w:r>
        <w:rPr>
          <w:spacing w:val="-16"/>
        </w:rPr>
        <w:t> </w:t>
      </w:r>
      <w:r>
        <w:rPr/>
        <w:t>por</w:t>
      </w:r>
      <w:r>
        <w:rPr>
          <w:spacing w:val="-17"/>
        </w:rPr>
        <w:t> </w:t>
      </w:r>
      <w:r>
        <w:rPr/>
        <w:t>100</w:t>
      </w:r>
      <w:r>
        <w:rPr>
          <w:spacing w:val="-19"/>
        </w:rPr>
        <w:t> </w:t>
      </w:r>
      <w:r>
        <w:rPr/>
        <w:t>arroja</w:t>
      </w:r>
      <w:r>
        <w:rPr>
          <w:spacing w:val="-16"/>
        </w:rPr>
        <w:t> </w:t>
      </w:r>
      <w:r>
        <w:rPr/>
        <w:t>el</w:t>
      </w:r>
      <w:r>
        <w:rPr>
          <w:spacing w:val="-19"/>
        </w:rPr>
        <w:t> </w:t>
      </w:r>
      <w:r>
        <w:rPr/>
        <w:t>índice</w:t>
      </w:r>
      <w:r>
        <w:rPr>
          <w:spacing w:val="-16"/>
        </w:rPr>
        <w:t> </w:t>
      </w:r>
      <w:r>
        <w:rPr/>
        <w:t>P</w:t>
      </w:r>
      <w:r>
        <w:rPr>
          <w:spacing w:val="-17"/>
        </w:rPr>
        <w:t> </w:t>
      </w:r>
      <w:r>
        <w:rPr/>
        <w:t>expresado en porcentaje; esto</w:t>
      </w:r>
      <w:r>
        <w:rPr>
          <w:spacing w:val="-4"/>
        </w:rPr>
        <w:t> </w:t>
      </w:r>
      <w:r>
        <w:rPr/>
        <w:t>es,</w:t>
      </w:r>
    </w:p>
    <w:p>
      <w:pPr>
        <w:spacing w:after="0"/>
        <w:jc w:val="both"/>
        <w:sectPr>
          <w:type w:val="continuous"/>
          <w:pgSz w:w="12240" w:h="15840"/>
          <w:pgMar w:top="1500" w:bottom="280" w:left="1600" w:right="1580"/>
        </w:sectPr>
      </w:pPr>
    </w:p>
    <w:p>
      <w:pPr>
        <w:spacing w:line="441" w:lineRule="exact" w:before="19"/>
        <w:ind w:left="143" w:right="7444" w:firstLine="0"/>
        <w:jc w:val="center"/>
        <w:rPr>
          <w:rFonts w:ascii="Times New Roman" w:hAnsi="Times New Roman"/>
          <w:sz w:val="24"/>
        </w:rPr>
      </w:pPr>
      <w:r>
        <w:rPr/>
        <w:pict>
          <v:line style="position:absolute;mso-position-horizontal-relative:page;mso-position-vertical-relative:paragraph;z-index:-23272" from="107.14579pt,21.587378pt" to="134.932374pt,21.587397pt" stroked="true" strokeweight=".582066pt" strokecolor="#000000">
            <w10:wrap type="none"/>
          </v:line>
        </w:pict>
      </w:r>
      <w:r>
        <w:rPr>
          <w:rFonts w:ascii="Times New Roman" w:hAnsi="Times New Roman"/>
          <w:i/>
          <w:sz w:val="24"/>
        </w:rPr>
        <w:t>P </w:t>
      </w:r>
      <w:r>
        <w:rPr>
          <w:rFonts w:ascii="Symbol" w:hAnsi="Symbol"/>
          <w:sz w:val="24"/>
        </w:rPr>
        <w:t></w:t>
      </w:r>
      <w:r>
        <w:rPr>
          <w:rFonts w:ascii="Times New Roman" w:hAnsi="Times New Roman"/>
          <w:sz w:val="24"/>
        </w:rPr>
        <w:t> </w:t>
      </w:r>
      <w:r>
        <w:rPr>
          <w:rFonts w:ascii="Symbol" w:hAnsi="Symbol"/>
          <w:position w:val="12"/>
          <w:sz w:val="35"/>
        </w:rPr>
        <w:t></w:t>
      </w:r>
      <w:r>
        <w:rPr>
          <w:rFonts w:ascii="Times New Roman" w:hAnsi="Times New Roman"/>
          <w:position w:val="12"/>
          <w:sz w:val="35"/>
        </w:rPr>
        <w:t> </w:t>
      </w:r>
      <w:r>
        <w:rPr>
          <w:rFonts w:ascii="Times New Roman" w:hAnsi="Times New Roman"/>
          <w:i/>
          <w:position w:val="18"/>
          <w:sz w:val="24"/>
        </w:rPr>
        <w:t>p</w:t>
      </w:r>
      <w:r>
        <w:rPr>
          <w:rFonts w:ascii="Times New Roman" w:hAnsi="Times New Roman"/>
          <w:i/>
          <w:position w:val="12"/>
          <w:sz w:val="13"/>
        </w:rPr>
        <w:t>n </w:t>
      </w:r>
      <w:r>
        <w:rPr>
          <w:rFonts w:ascii="Times New Roman" w:hAnsi="Times New Roman"/>
          <w:sz w:val="24"/>
        </w:rPr>
        <w:t>*100</w:t>
      </w:r>
    </w:p>
    <w:p>
      <w:pPr>
        <w:spacing w:line="345" w:lineRule="exact" w:before="0"/>
        <w:ind w:left="8" w:right="7444" w:firstLine="0"/>
        <w:jc w:val="center"/>
        <w:rPr>
          <w:rFonts w:ascii="Times New Roman" w:hAnsi="Times New Roman"/>
          <w:sz w:val="13"/>
        </w:rPr>
      </w:pPr>
      <w:r>
        <w:rPr>
          <w:rFonts w:ascii="Symbol" w:hAnsi="Symbol"/>
          <w:w w:val="105"/>
          <w:position w:val="1"/>
          <w:sz w:val="35"/>
        </w:rPr>
        <w:t></w:t>
      </w:r>
      <w:r>
        <w:rPr>
          <w:rFonts w:ascii="Times New Roman" w:hAnsi="Times New Roman"/>
          <w:w w:val="105"/>
          <w:position w:val="1"/>
          <w:sz w:val="35"/>
        </w:rPr>
        <w:t> </w:t>
      </w:r>
      <w:r>
        <w:rPr>
          <w:rFonts w:ascii="Times New Roman" w:hAnsi="Times New Roman"/>
          <w:i/>
          <w:w w:val="105"/>
          <w:position w:val="6"/>
          <w:sz w:val="24"/>
        </w:rPr>
        <w:t>p</w:t>
      </w:r>
      <w:r>
        <w:rPr>
          <w:rFonts w:ascii="Times New Roman" w:hAnsi="Times New Roman"/>
          <w:w w:val="105"/>
          <w:sz w:val="13"/>
        </w:rPr>
        <w:t>0</w:t>
      </w:r>
    </w:p>
    <w:p>
      <w:pPr>
        <w:pStyle w:val="BodyText"/>
        <w:spacing w:before="3"/>
        <w:rPr>
          <w:rFonts w:ascii="Times New Roman"/>
          <w:sz w:val="15"/>
        </w:rPr>
      </w:pPr>
    </w:p>
    <w:p>
      <w:pPr>
        <w:pStyle w:val="BodyText"/>
        <w:spacing w:before="73"/>
        <w:ind w:left="102" w:right="108"/>
      </w:pPr>
      <w:r>
        <w:rPr/>
        <w:t>A partir de los datos del siguiente cuadro, se elaborara un índice sin ponderar</w:t>
      </w: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28"/>
        </w:rPr>
      </w:pPr>
    </w:p>
    <w:p>
      <w:pPr>
        <w:pStyle w:val="Heading4"/>
        <w:ind w:right="108"/>
      </w:pPr>
      <w:r>
        <w:rPr/>
        <w:t>Cuadro</w:t>
      </w:r>
    </w:p>
    <w:p>
      <w:pPr>
        <w:pStyle w:val="BodyText"/>
        <w:spacing w:before="10"/>
        <w:rPr>
          <w:b/>
        </w:rPr>
      </w:pPr>
    </w:p>
    <w:tbl>
      <w:tblPr>
        <w:tblW w:w="0" w:type="auto"/>
        <w:jc w:val="left"/>
        <w:tblInd w:w="9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33"/>
        <w:gridCol w:w="973"/>
        <w:gridCol w:w="456"/>
        <w:gridCol w:w="1068"/>
        <w:gridCol w:w="1091"/>
      </w:tblGrid>
      <w:tr>
        <w:trPr>
          <w:trHeight w:val="517" w:hRule="exact"/>
        </w:trPr>
        <w:tc>
          <w:tcPr>
            <w:tcW w:w="1633" w:type="dxa"/>
            <w:tcBorders>
              <w:left w:val="nil"/>
              <w:right w:val="nil"/>
            </w:tcBorders>
          </w:tcPr>
          <w:p>
            <w:pPr>
              <w:pStyle w:val="TableParagraph"/>
              <w:spacing w:line="249" w:lineRule="exact"/>
              <w:ind w:left="108"/>
              <w:rPr>
                <w:b/>
                <w:sz w:val="22"/>
              </w:rPr>
            </w:pPr>
            <w:r>
              <w:rPr>
                <w:b/>
                <w:sz w:val="22"/>
              </w:rPr>
              <w:t>Artículo</w:t>
            </w:r>
          </w:p>
        </w:tc>
        <w:tc>
          <w:tcPr>
            <w:tcW w:w="973" w:type="dxa"/>
            <w:tcBorders>
              <w:left w:val="nil"/>
              <w:right w:val="nil"/>
            </w:tcBorders>
          </w:tcPr>
          <w:p>
            <w:pPr>
              <w:pStyle w:val="TableParagraph"/>
              <w:spacing w:line="242" w:lineRule="auto"/>
              <w:ind w:left="108" w:right="75"/>
              <w:rPr>
                <w:b/>
                <w:sz w:val="22"/>
              </w:rPr>
            </w:pPr>
            <w:r>
              <w:rPr>
                <w:b/>
                <w:sz w:val="22"/>
              </w:rPr>
              <w:t>Unidad medida</w:t>
            </w:r>
          </w:p>
        </w:tc>
        <w:tc>
          <w:tcPr>
            <w:tcW w:w="456" w:type="dxa"/>
            <w:tcBorders>
              <w:left w:val="nil"/>
              <w:right w:val="nil"/>
            </w:tcBorders>
          </w:tcPr>
          <w:p>
            <w:pPr>
              <w:pStyle w:val="TableParagraph"/>
              <w:spacing w:line="249" w:lineRule="exact"/>
              <w:ind w:left="92"/>
              <w:rPr>
                <w:b/>
                <w:sz w:val="22"/>
              </w:rPr>
            </w:pPr>
            <w:r>
              <w:rPr>
                <w:b/>
                <w:sz w:val="22"/>
              </w:rPr>
              <w:t>de</w:t>
            </w:r>
          </w:p>
        </w:tc>
        <w:tc>
          <w:tcPr>
            <w:tcW w:w="1068" w:type="dxa"/>
            <w:tcBorders>
              <w:left w:val="nil"/>
              <w:right w:val="nil"/>
            </w:tcBorders>
          </w:tcPr>
          <w:p>
            <w:pPr>
              <w:pStyle w:val="TableParagraph"/>
              <w:spacing w:line="249" w:lineRule="exact"/>
              <w:ind w:left="106"/>
              <w:rPr>
                <w:b/>
                <w:sz w:val="22"/>
              </w:rPr>
            </w:pPr>
            <w:r>
              <w:rPr>
                <w:b/>
                <w:sz w:val="22"/>
              </w:rPr>
              <w:t>abr-06</w:t>
            </w:r>
          </w:p>
        </w:tc>
        <w:tc>
          <w:tcPr>
            <w:tcW w:w="1091" w:type="dxa"/>
            <w:tcBorders>
              <w:left w:val="nil"/>
              <w:right w:val="nil"/>
            </w:tcBorders>
          </w:tcPr>
          <w:p>
            <w:pPr>
              <w:pStyle w:val="TableParagraph"/>
              <w:spacing w:line="249" w:lineRule="exact"/>
              <w:ind w:left="298"/>
              <w:rPr>
                <w:b/>
                <w:sz w:val="22"/>
              </w:rPr>
            </w:pPr>
            <w:r>
              <w:rPr>
                <w:b/>
                <w:sz w:val="22"/>
              </w:rPr>
              <w:t>abr-07</w:t>
            </w:r>
          </w:p>
        </w:tc>
      </w:tr>
      <w:tr>
        <w:trPr>
          <w:trHeight w:val="266" w:hRule="exact"/>
        </w:trPr>
        <w:tc>
          <w:tcPr>
            <w:tcW w:w="1633" w:type="dxa"/>
            <w:tcBorders>
              <w:left w:val="nil"/>
              <w:bottom w:val="nil"/>
              <w:right w:val="nil"/>
            </w:tcBorders>
          </w:tcPr>
          <w:p>
            <w:pPr/>
          </w:p>
        </w:tc>
        <w:tc>
          <w:tcPr>
            <w:tcW w:w="973" w:type="dxa"/>
            <w:tcBorders>
              <w:left w:val="nil"/>
              <w:bottom w:val="nil"/>
              <w:right w:val="nil"/>
            </w:tcBorders>
          </w:tcPr>
          <w:p>
            <w:pPr/>
          </w:p>
        </w:tc>
        <w:tc>
          <w:tcPr>
            <w:tcW w:w="456" w:type="dxa"/>
            <w:tcBorders>
              <w:left w:val="nil"/>
              <w:bottom w:val="nil"/>
              <w:right w:val="nil"/>
            </w:tcBorders>
          </w:tcPr>
          <w:p>
            <w:pPr/>
          </w:p>
        </w:tc>
        <w:tc>
          <w:tcPr>
            <w:tcW w:w="1068" w:type="dxa"/>
            <w:tcBorders>
              <w:left w:val="nil"/>
              <w:bottom w:val="nil"/>
              <w:right w:val="nil"/>
            </w:tcBorders>
          </w:tcPr>
          <w:p>
            <w:pPr>
              <w:pStyle w:val="TableParagraph"/>
              <w:spacing w:line="248" w:lineRule="exact"/>
              <w:ind w:left="106"/>
              <w:rPr>
                <w:b/>
                <w:sz w:val="22"/>
              </w:rPr>
            </w:pPr>
            <w:r>
              <w:rPr>
                <w:b/>
                <w:sz w:val="22"/>
              </w:rPr>
              <w:t>Po</w:t>
            </w:r>
          </w:p>
        </w:tc>
        <w:tc>
          <w:tcPr>
            <w:tcW w:w="1091" w:type="dxa"/>
            <w:tcBorders>
              <w:left w:val="nil"/>
              <w:bottom w:val="nil"/>
              <w:right w:val="nil"/>
            </w:tcBorders>
          </w:tcPr>
          <w:p>
            <w:pPr>
              <w:pStyle w:val="TableParagraph"/>
              <w:spacing w:line="248" w:lineRule="exact"/>
              <w:ind w:left="298"/>
              <w:rPr>
                <w:b/>
                <w:sz w:val="22"/>
              </w:rPr>
            </w:pPr>
            <w:r>
              <w:rPr>
                <w:b/>
                <w:sz w:val="22"/>
              </w:rPr>
              <w:t>Pn</w:t>
            </w:r>
          </w:p>
        </w:tc>
      </w:tr>
      <w:tr>
        <w:trPr>
          <w:trHeight w:val="257" w:hRule="exact"/>
        </w:trPr>
        <w:tc>
          <w:tcPr>
            <w:tcW w:w="1633" w:type="dxa"/>
            <w:tcBorders>
              <w:top w:val="nil"/>
              <w:left w:val="nil"/>
              <w:bottom w:val="nil"/>
              <w:right w:val="nil"/>
            </w:tcBorders>
          </w:tcPr>
          <w:p>
            <w:pPr>
              <w:pStyle w:val="TableParagraph"/>
              <w:spacing w:line="244" w:lineRule="exact"/>
              <w:ind w:left="108"/>
              <w:rPr>
                <w:sz w:val="22"/>
              </w:rPr>
            </w:pPr>
            <w:r>
              <w:rPr>
                <w:sz w:val="22"/>
              </w:rPr>
              <w:t>Jamón cocido</w:t>
            </w:r>
          </w:p>
        </w:tc>
        <w:tc>
          <w:tcPr>
            <w:tcW w:w="973" w:type="dxa"/>
            <w:tcBorders>
              <w:top w:val="nil"/>
              <w:left w:val="nil"/>
              <w:bottom w:val="nil"/>
              <w:right w:val="nil"/>
            </w:tcBorders>
          </w:tcPr>
          <w:p>
            <w:pPr>
              <w:pStyle w:val="TableParagraph"/>
              <w:spacing w:line="244" w:lineRule="exact"/>
              <w:ind w:left="108" w:right="75"/>
              <w:rPr>
                <w:sz w:val="22"/>
              </w:rPr>
            </w:pPr>
            <w:r>
              <w:rPr>
                <w:sz w:val="22"/>
              </w:rPr>
              <w:t>kg</w:t>
            </w:r>
          </w:p>
        </w:tc>
        <w:tc>
          <w:tcPr>
            <w:tcW w:w="456" w:type="dxa"/>
            <w:tcBorders>
              <w:top w:val="nil"/>
              <w:left w:val="nil"/>
              <w:bottom w:val="nil"/>
              <w:right w:val="nil"/>
            </w:tcBorders>
          </w:tcPr>
          <w:p>
            <w:pPr/>
          </w:p>
        </w:tc>
        <w:tc>
          <w:tcPr>
            <w:tcW w:w="1068" w:type="dxa"/>
            <w:tcBorders>
              <w:top w:val="nil"/>
              <w:left w:val="nil"/>
              <w:bottom w:val="nil"/>
              <w:right w:val="nil"/>
            </w:tcBorders>
          </w:tcPr>
          <w:p>
            <w:pPr>
              <w:pStyle w:val="TableParagraph"/>
              <w:spacing w:line="244" w:lineRule="exact"/>
              <w:ind w:left="106"/>
              <w:rPr>
                <w:sz w:val="22"/>
              </w:rPr>
            </w:pPr>
            <w:r>
              <w:rPr>
                <w:sz w:val="22"/>
              </w:rPr>
              <w:t>21,81</w:t>
            </w:r>
          </w:p>
        </w:tc>
        <w:tc>
          <w:tcPr>
            <w:tcW w:w="1091" w:type="dxa"/>
            <w:tcBorders>
              <w:top w:val="nil"/>
              <w:left w:val="nil"/>
              <w:bottom w:val="nil"/>
              <w:right w:val="nil"/>
            </w:tcBorders>
          </w:tcPr>
          <w:p>
            <w:pPr>
              <w:pStyle w:val="TableParagraph"/>
              <w:spacing w:line="244" w:lineRule="exact"/>
              <w:ind w:left="298"/>
              <w:rPr>
                <w:sz w:val="22"/>
              </w:rPr>
            </w:pPr>
            <w:r>
              <w:rPr>
                <w:sz w:val="22"/>
              </w:rPr>
              <w:t>21,96</w:t>
            </w:r>
          </w:p>
        </w:tc>
      </w:tr>
      <w:tr>
        <w:trPr>
          <w:trHeight w:val="256" w:hRule="exact"/>
        </w:trPr>
        <w:tc>
          <w:tcPr>
            <w:tcW w:w="1633" w:type="dxa"/>
            <w:tcBorders>
              <w:top w:val="nil"/>
              <w:left w:val="nil"/>
              <w:bottom w:val="nil"/>
              <w:right w:val="nil"/>
            </w:tcBorders>
          </w:tcPr>
          <w:p>
            <w:pPr>
              <w:pStyle w:val="TableParagraph"/>
              <w:spacing w:line="244" w:lineRule="exact"/>
              <w:ind w:left="108"/>
              <w:rPr>
                <w:sz w:val="22"/>
              </w:rPr>
            </w:pPr>
            <w:r>
              <w:rPr>
                <w:sz w:val="22"/>
              </w:rPr>
              <w:t>Paleta</w:t>
            </w:r>
          </w:p>
        </w:tc>
        <w:tc>
          <w:tcPr>
            <w:tcW w:w="973" w:type="dxa"/>
            <w:tcBorders>
              <w:top w:val="nil"/>
              <w:left w:val="nil"/>
              <w:bottom w:val="nil"/>
              <w:right w:val="nil"/>
            </w:tcBorders>
          </w:tcPr>
          <w:p>
            <w:pPr>
              <w:pStyle w:val="TableParagraph"/>
              <w:spacing w:line="244" w:lineRule="exact"/>
              <w:ind w:left="108" w:right="75"/>
              <w:rPr>
                <w:sz w:val="22"/>
              </w:rPr>
            </w:pPr>
            <w:r>
              <w:rPr>
                <w:sz w:val="22"/>
              </w:rPr>
              <w:t>kg</w:t>
            </w:r>
          </w:p>
        </w:tc>
        <w:tc>
          <w:tcPr>
            <w:tcW w:w="456" w:type="dxa"/>
            <w:tcBorders>
              <w:top w:val="nil"/>
              <w:left w:val="nil"/>
              <w:bottom w:val="nil"/>
              <w:right w:val="nil"/>
            </w:tcBorders>
          </w:tcPr>
          <w:p>
            <w:pPr/>
          </w:p>
        </w:tc>
        <w:tc>
          <w:tcPr>
            <w:tcW w:w="1068" w:type="dxa"/>
            <w:tcBorders>
              <w:top w:val="nil"/>
              <w:left w:val="nil"/>
              <w:bottom w:val="nil"/>
              <w:right w:val="nil"/>
            </w:tcBorders>
          </w:tcPr>
          <w:p>
            <w:pPr>
              <w:pStyle w:val="TableParagraph"/>
              <w:spacing w:line="244" w:lineRule="exact"/>
              <w:ind w:left="106"/>
              <w:rPr>
                <w:sz w:val="22"/>
              </w:rPr>
            </w:pPr>
            <w:r>
              <w:rPr>
                <w:sz w:val="22"/>
              </w:rPr>
              <w:t>8,53</w:t>
            </w:r>
          </w:p>
        </w:tc>
        <w:tc>
          <w:tcPr>
            <w:tcW w:w="1091" w:type="dxa"/>
            <w:tcBorders>
              <w:top w:val="nil"/>
              <w:left w:val="nil"/>
              <w:bottom w:val="nil"/>
              <w:right w:val="nil"/>
            </w:tcBorders>
          </w:tcPr>
          <w:p>
            <w:pPr>
              <w:pStyle w:val="TableParagraph"/>
              <w:spacing w:line="244" w:lineRule="exact"/>
              <w:ind w:left="298"/>
              <w:rPr>
                <w:sz w:val="22"/>
              </w:rPr>
            </w:pPr>
            <w:r>
              <w:rPr>
                <w:sz w:val="22"/>
              </w:rPr>
              <w:t>8,46</w:t>
            </w:r>
          </w:p>
        </w:tc>
      </w:tr>
      <w:tr>
        <w:trPr>
          <w:trHeight w:val="254" w:hRule="exact"/>
        </w:trPr>
        <w:tc>
          <w:tcPr>
            <w:tcW w:w="1633" w:type="dxa"/>
            <w:tcBorders>
              <w:top w:val="nil"/>
              <w:left w:val="nil"/>
              <w:bottom w:val="nil"/>
              <w:right w:val="nil"/>
            </w:tcBorders>
          </w:tcPr>
          <w:p>
            <w:pPr>
              <w:pStyle w:val="TableParagraph"/>
              <w:spacing w:line="242" w:lineRule="exact"/>
              <w:ind w:left="108"/>
              <w:rPr>
                <w:sz w:val="22"/>
              </w:rPr>
            </w:pPr>
            <w:r>
              <w:rPr>
                <w:sz w:val="22"/>
              </w:rPr>
              <w:t>Prepizza</w:t>
            </w:r>
          </w:p>
        </w:tc>
        <w:tc>
          <w:tcPr>
            <w:tcW w:w="973" w:type="dxa"/>
            <w:tcBorders>
              <w:top w:val="nil"/>
              <w:left w:val="nil"/>
              <w:bottom w:val="nil"/>
              <w:right w:val="nil"/>
            </w:tcBorders>
          </w:tcPr>
          <w:p>
            <w:pPr>
              <w:pStyle w:val="TableParagraph"/>
              <w:spacing w:line="242" w:lineRule="exact"/>
              <w:ind w:left="108" w:right="75"/>
              <w:rPr>
                <w:sz w:val="22"/>
              </w:rPr>
            </w:pPr>
            <w:r>
              <w:rPr>
                <w:sz w:val="22"/>
              </w:rPr>
              <w:t>unidad</w:t>
            </w:r>
          </w:p>
        </w:tc>
        <w:tc>
          <w:tcPr>
            <w:tcW w:w="456" w:type="dxa"/>
            <w:tcBorders>
              <w:top w:val="nil"/>
              <w:left w:val="nil"/>
              <w:bottom w:val="nil"/>
              <w:right w:val="nil"/>
            </w:tcBorders>
          </w:tcPr>
          <w:p>
            <w:pPr/>
          </w:p>
        </w:tc>
        <w:tc>
          <w:tcPr>
            <w:tcW w:w="1068" w:type="dxa"/>
            <w:tcBorders>
              <w:top w:val="nil"/>
              <w:left w:val="nil"/>
              <w:bottom w:val="nil"/>
              <w:right w:val="nil"/>
            </w:tcBorders>
          </w:tcPr>
          <w:p>
            <w:pPr>
              <w:pStyle w:val="TableParagraph"/>
              <w:spacing w:line="242" w:lineRule="exact"/>
              <w:ind w:left="106"/>
              <w:rPr>
                <w:sz w:val="22"/>
              </w:rPr>
            </w:pPr>
            <w:r>
              <w:rPr>
                <w:sz w:val="22"/>
              </w:rPr>
              <w:t>1,25</w:t>
            </w:r>
          </w:p>
        </w:tc>
        <w:tc>
          <w:tcPr>
            <w:tcW w:w="1091" w:type="dxa"/>
            <w:tcBorders>
              <w:top w:val="nil"/>
              <w:left w:val="nil"/>
              <w:bottom w:val="nil"/>
              <w:right w:val="nil"/>
            </w:tcBorders>
          </w:tcPr>
          <w:p>
            <w:pPr>
              <w:pStyle w:val="TableParagraph"/>
              <w:spacing w:line="242" w:lineRule="exact"/>
              <w:ind w:left="298"/>
              <w:rPr>
                <w:sz w:val="22"/>
              </w:rPr>
            </w:pPr>
            <w:r>
              <w:rPr>
                <w:sz w:val="22"/>
              </w:rPr>
              <w:t>1,45</w:t>
            </w:r>
          </w:p>
        </w:tc>
      </w:tr>
      <w:tr>
        <w:trPr>
          <w:trHeight w:val="490" w:hRule="exact"/>
        </w:trPr>
        <w:tc>
          <w:tcPr>
            <w:tcW w:w="1633" w:type="dxa"/>
            <w:tcBorders>
              <w:top w:val="nil"/>
              <w:left w:val="nil"/>
              <w:bottom w:val="nil"/>
              <w:right w:val="nil"/>
            </w:tcBorders>
          </w:tcPr>
          <w:p>
            <w:pPr>
              <w:pStyle w:val="TableParagraph"/>
              <w:tabs>
                <w:tab w:pos="1278" w:val="left" w:leader="none"/>
              </w:tabs>
              <w:spacing w:line="242" w:lineRule="exact"/>
              <w:ind w:left="108"/>
              <w:rPr>
                <w:sz w:val="22"/>
              </w:rPr>
            </w:pPr>
            <w:r>
              <w:rPr>
                <w:sz w:val="22"/>
              </w:rPr>
              <w:t>Filet</w:t>
              <w:tab/>
              <w:t>de</w:t>
            </w:r>
          </w:p>
          <w:p>
            <w:pPr>
              <w:pStyle w:val="TableParagraph"/>
              <w:spacing w:line="252" w:lineRule="exact"/>
              <w:ind w:left="108"/>
              <w:rPr>
                <w:sz w:val="22"/>
              </w:rPr>
            </w:pPr>
            <w:r>
              <w:rPr>
                <w:sz w:val="22"/>
              </w:rPr>
              <w:t>merluza</w:t>
            </w:r>
          </w:p>
        </w:tc>
        <w:tc>
          <w:tcPr>
            <w:tcW w:w="973" w:type="dxa"/>
            <w:tcBorders>
              <w:top w:val="nil"/>
              <w:left w:val="nil"/>
              <w:bottom w:val="nil"/>
              <w:right w:val="nil"/>
            </w:tcBorders>
          </w:tcPr>
          <w:p>
            <w:pPr>
              <w:pStyle w:val="TableParagraph"/>
              <w:spacing w:line="242" w:lineRule="exact"/>
              <w:ind w:left="108" w:right="75"/>
              <w:rPr>
                <w:sz w:val="22"/>
              </w:rPr>
            </w:pPr>
            <w:r>
              <w:rPr>
                <w:sz w:val="22"/>
              </w:rPr>
              <w:t>kg</w:t>
            </w:r>
          </w:p>
        </w:tc>
        <w:tc>
          <w:tcPr>
            <w:tcW w:w="456" w:type="dxa"/>
            <w:tcBorders>
              <w:top w:val="nil"/>
              <w:left w:val="nil"/>
              <w:bottom w:val="nil"/>
              <w:right w:val="nil"/>
            </w:tcBorders>
          </w:tcPr>
          <w:p>
            <w:pPr/>
          </w:p>
        </w:tc>
        <w:tc>
          <w:tcPr>
            <w:tcW w:w="1068" w:type="dxa"/>
            <w:tcBorders>
              <w:top w:val="nil"/>
              <w:left w:val="nil"/>
              <w:bottom w:val="nil"/>
              <w:right w:val="nil"/>
            </w:tcBorders>
          </w:tcPr>
          <w:p>
            <w:pPr>
              <w:pStyle w:val="TableParagraph"/>
              <w:spacing w:line="242" w:lineRule="exact"/>
              <w:ind w:left="106"/>
              <w:rPr>
                <w:sz w:val="22"/>
              </w:rPr>
            </w:pPr>
            <w:r>
              <w:rPr>
                <w:sz w:val="22"/>
              </w:rPr>
              <w:t>10,85</w:t>
            </w:r>
          </w:p>
        </w:tc>
        <w:tc>
          <w:tcPr>
            <w:tcW w:w="1091" w:type="dxa"/>
            <w:tcBorders>
              <w:top w:val="nil"/>
              <w:left w:val="nil"/>
              <w:bottom w:val="nil"/>
              <w:right w:val="nil"/>
            </w:tcBorders>
          </w:tcPr>
          <w:p>
            <w:pPr>
              <w:pStyle w:val="TableParagraph"/>
              <w:spacing w:line="242" w:lineRule="exact"/>
              <w:ind w:left="298"/>
              <w:rPr>
                <w:sz w:val="22"/>
              </w:rPr>
            </w:pPr>
            <w:r>
              <w:rPr>
                <w:sz w:val="22"/>
              </w:rPr>
              <w:t>13,59</w:t>
            </w:r>
          </w:p>
        </w:tc>
      </w:tr>
    </w:tbl>
    <w:p>
      <w:pPr>
        <w:tabs>
          <w:tab w:pos="2725" w:val="left" w:leader="none"/>
          <w:tab w:pos="4153" w:val="left" w:leader="none"/>
          <w:tab w:pos="5414" w:val="left" w:leader="none"/>
          <w:tab w:pos="6206" w:val="left" w:leader="none"/>
        </w:tabs>
        <w:spacing w:before="3"/>
        <w:ind w:left="970" w:right="108" w:firstLine="0"/>
        <w:jc w:val="left"/>
        <w:rPr>
          <w:b/>
          <w:sz w:val="22"/>
        </w:rPr>
      </w:pPr>
      <w:r>
        <w:rPr>
          <w:b/>
          <w:w w:val="100"/>
          <w:sz w:val="22"/>
          <w:u w:val="single"/>
        </w:rPr>
        <w:t> </w:t>
      </w:r>
      <w:r>
        <w:rPr>
          <w:b/>
          <w:sz w:val="22"/>
          <w:u w:val="single"/>
        </w:rPr>
        <w:tab/>
        <w:t>Suma</w:t>
        <w:tab/>
        <w:t>42,44</w:t>
        <w:tab/>
        <w:t>45,46</w:t>
        <w:tab/>
      </w:r>
    </w:p>
    <w:p>
      <w:pPr>
        <w:pStyle w:val="BodyText"/>
        <w:spacing w:before="4"/>
        <w:rPr>
          <w:b/>
          <w:sz w:val="16"/>
        </w:rPr>
      </w:pPr>
    </w:p>
    <w:p>
      <w:pPr>
        <w:spacing w:after="0"/>
        <w:rPr>
          <w:sz w:val="16"/>
        </w:rPr>
        <w:sectPr>
          <w:pgSz w:w="12240" w:h="15840"/>
          <w:pgMar w:top="1360" w:bottom="280" w:left="1600" w:right="1580"/>
        </w:sectPr>
      </w:pPr>
    </w:p>
    <w:p>
      <w:pPr>
        <w:pStyle w:val="BodyText"/>
        <w:spacing w:before="4"/>
        <w:rPr>
          <w:b/>
          <w:sz w:val="27"/>
        </w:rPr>
      </w:pPr>
    </w:p>
    <w:p>
      <w:pPr>
        <w:pStyle w:val="BodyText"/>
        <w:ind w:left="102" w:right="-12"/>
      </w:pPr>
      <w:r>
        <w:rPr/>
        <w:t>Indice de precios sin</w:t>
      </w:r>
      <w:r>
        <w:rPr>
          <w:spacing w:val="-9"/>
        </w:rPr>
        <w:t> </w:t>
      </w:r>
      <w:r>
        <w:rPr/>
        <w:t>ponderar:</w:t>
      </w:r>
    </w:p>
    <w:p>
      <w:pPr>
        <w:pStyle w:val="Heading2"/>
        <w:spacing w:line="440" w:lineRule="exact" w:before="45"/>
        <w:ind w:left="102"/>
      </w:pPr>
      <w:r>
        <w:rPr/>
        <w:br w:type="column"/>
      </w:r>
      <w:r>
        <w:rPr>
          <w:i/>
        </w:rPr>
        <w:t>P </w:t>
      </w:r>
      <w:r>
        <w:rPr>
          <w:rFonts w:ascii="Symbol" w:hAnsi="Symbol"/>
        </w:rPr>
        <w:t></w:t>
      </w:r>
      <w:r>
        <w:rPr/>
        <w:t> </w:t>
      </w:r>
      <w:r>
        <w:rPr>
          <w:rFonts w:ascii="Symbol" w:hAnsi="Symbol"/>
          <w:position w:val="12"/>
          <w:sz w:val="35"/>
          <w:u w:val="single"/>
        </w:rPr>
        <w:t></w:t>
      </w:r>
      <w:r>
        <w:rPr>
          <w:position w:val="18"/>
        </w:rPr>
        <w:t>45, 46 </w:t>
      </w:r>
      <w:r>
        <w:rPr/>
        <w:t>*100 </w:t>
      </w:r>
      <w:r>
        <w:rPr>
          <w:rFonts w:ascii="Symbol" w:hAnsi="Symbol"/>
        </w:rPr>
        <w:t></w:t>
      </w:r>
      <w:r>
        <w:rPr/>
        <w:t> 107,11</w:t>
      </w:r>
    </w:p>
    <w:p>
      <w:pPr>
        <w:spacing w:line="345" w:lineRule="exact" w:before="0"/>
        <w:ind w:left="512" w:right="0" w:firstLine="0"/>
        <w:jc w:val="left"/>
        <w:rPr>
          <w:rFonts w:ascii="Times New Roman" w:hAnsi="Times New Roman"/>
          <w:sz w:val="24"/>
        </w:rPr>
      </w:pPr>
      <w:r>
        <w:rPr>
          <w:rFonts w:ascii="Symbol" w:hAnsi="Symbol"/>
          <w:position w:val="-4"/>
          <w:sz w:val="35"/>
        </w:rPr>
        <w:t></w:t>
      </w:r>
      <w:r>
        <w:rPr>
          <w:rFonts w:ascii="Times New Roman" w:hAnsi="Times New Roman"/>
          <w:sz w:val="24"/>
        </w:rPr>
        <w:t>42, 44</w:t>
      </w:r>
    </w:p>
    <w:p>
      <w:pPr>
        <w:spacing w:after="0" w:line="345" w:lineRule="exact"/>
        <w:jc w:val="left"/>
        <w:rPr>
          <w:rFonts w:ascii="Times New Roman" w:hAnsi="Times New Roman"/>
          <w:sz w:val="24"/>
        </w:rPr>
        <w:sectPr>
          <w:type w:val="continuous"/>
          <w:pgSz w:w="12240" w:h="15840"/>
          <w:pgMar w:top="1500" w:bottom="280" w:left="1600" w:right="1580"/>
          <w:cols w:num="2" w:equalWidth="0">
            <w:col w:w="3110" w:space="63"/>
            <w:col w:w="5887"/>
          </w:cols>
        </w:sectPr>
      </w:pPr>
    </w:p>
    <w:p>
      <w:pPr>
        <w:pStyle w:val="BodyText"/>
        <w:spacing w:before="3"/>
        <w:rPr>
          <w:rFonts w:ascii="Times New Roman"/>
          <w:sz w:val="15"/>
        </w:rPr>
      </w:pPr>
    </w:p>
    <w:p>
      <w:pPr>
        <w:pStyle w:val="BodyText"/>
        <w:spacing w:before="73"/>
        <w:ind w:left="102" w:right="116"/>
        <w:jc w:val="both"/>
      </w:pPr>
      <w:r>
        <w:rPr/>
        <w:t>Como se puede ver se trata de un índice muy simple y solamente se puede usar excepcionalmente, pues al no aplicar ponderaciones está sujeto a errores si no hay homogeneidad</w:t>
      </w:r>
      <w:r>
        <w:rPr>
          <w:spacing w:val="-8"/>
        </w:rPr>
        <w:t> </w:t>
      </w:r>
      <w:r>
        <w:rPr/>
        <w:t>en</w:t>
      </w:r>
      <w:r>
        <w:rPr>
          <w:spacing w:val="-8"/>
        </w:rPr>
        <w:t> </w:t>
      </w:r>
      <w:r>
        <w:rPr/>
        <w:t>la</w:t>
      </w:r>
      <w:r>
        <w:rPr>
          <w:spacing w:val="-8"/>
        </w:rPr>
        <w:t> </w:t>
      </w:r>
      <w:r>
        <w:rPr/>
        <w:t>importancia</w:t>
      </w:r>
      <w:r>
        <w:rPr>
          <w:spacing w:val="-8"/>
        </w:rPr>
        <w:t> </w:t>
      </w:r>
      <w:r>
        <w:rPr/>
        <w:t>de</w:t>
      </w:r>
      <w:r>
        <w:rPr>
          <w:spacing w:val="-8"/>
        </w:rPr>
        <w:t> </w:t>
      </w:r>
      <w:r>
        <w:rPr/>
        <w:t>los</w:t>
      </w:r>
      <w:r>
        <w:rPr>
          <w:spacing w:val="-8"/>
        </w:rPr>
        <w:t> </w:t>
      </w:r>
      <w:r>
        <w:rPr/>
        <w:t>distintos</w:t>
      </w:r>
      <w:r>
        <w:rPr>
          <w:spacing w:val="-10"/>
        </w:rPr>
        <w:t> </w:t>
      </w:r>
      <w:r>
        <w:rPr/>
        <w:t>artículos</w:t>
      </w:r>
      <w:r>
        <w:rPr>
          <w:spacing w:val="-8"/>
        </w:rPr>
        <w:t> </w:t>
      </w:r>
      <w:r>
        <w:rPr/>
        <w:t>y</w:t>
      </w:r>
      <w:r>
        <w:rPr>
          <w:spacing w:val="-10"/>
        </w:rPr>
        <w:t> </w:t>
      </w:r>
      <w:r>
        <w:rPr/>
        <w:t>en</w:t>
      </w:r>
      <w:r>
        <w:rPr>
          <w:spacing w:val="-8"/>
        </w:rPr>
        <w:t> </w:t>
      </w:r>
      <w:r>
        <w:rPr/>
        <w:t>las</w:t>
      </w:r>
      <w:r>
        <w:rPr>
          <w:spacing w:val="-8"/>
        </w:rPr>
        <w:t> </w:t>
      </w:r>
      <w:r>
        <w:rPr/>
        <w:t>unidades.</w:t>
      </w:r>
      <w:r>
        <w:rPr>
          <w:spacing w:val="-7"/>
        </w:rPr>
        <w:t> </w:t>
      </w:r>
      <w:r>
        <w:rPr/>
        <w:t>En</w:t>
      </w:r>
      <w:r>
        <w:rPr>
          <w:spacing w:val="-8"/>
        </w:rPr>
        <w:t> </w:t>
      </w:r>
      <w:r>
        <w:rPr/>
        <w:t>síntesis,</w:t>
      </w:r>
      <w:r>
        <w:rPr>
          <w:spacing w:val="-7"/>
        </w:rPr>
        <w:t> </w:t>
      </w:r>
      <w:r>
        <w:rPr/>
        <w:t>se dice que, en general, es un índice no</w:t>
      </w:r>
      <w:r>
        <w:rPr>
          <w:spacing w:val="-13"/>
        </w:rPr>
        <w:t> </w:t>
      </w:r>
      <w:r>
        <w:rPr/>
        <w:t>recomendable.</w:t>
      </w:r>
    </w:p>
    <w:p>
      <w:pPr>
        <w:pStyle w:val="BodyText"/>
        <w:spacing w:before="9"/>
        <w:rPr>
          <w:sz w:val="20"/>
        </w:rPr>
      </w:pPr>
    </w:p>
    <w:p>
      <w:pPr>
        <w:spacing w:before="0"/>
        <w:ind w:left="102" w:right="0" w:firstLine="0"/>
        <w:jc w:val="both"/>
        <w:rPr>
          <w:i/>
          <w:sz w:val="22"/>
        </w:rPr>
      </w:pPr>
      <w:r>
        <w:rPr>
          <w:i/>
          <w:sz w:val="22"/>
        </w:rPr>
        <w:t>3.1.1 Promedio simple de porcentajes relativos</w:t>
      </w:r>
    </w:p>
    <w:p>
      <w:pPr>
        <w:pStyle w:val="BodyText"/>
        <w:spacing w:before="3"/>
        <w:rPr>
          <w:i/>
          <w:sz w:val="24"/>
        </w:rPr>
      </w:pPr>
    </w:p>
    <w:p>
      <w:pPr>
        <w:pStyle w:val="BodyText"/>
        <w:spacing w:before="1"/>
        <w:ind w:left="102" w:right="116"/>
        <w:jc w:val="both"/>
      </w:pPr>
      <w:r>
        <w:rPr/>
        <w:t>Una manera de rectificar las desventajas de un índice agregado no ponderado es la de construir</w:t>
      </w:r>
      <w:r>
        <w:rPr>
          <w:spacing w:val="-15"/>
        </w:rPr>
        <w:t> </w:t>
      </w:r>
      <w:r>
        <w:rPr/>
        <w:t>un</w:t>
      </w:r>
      <w:r>
        <w:rPr>
          <w:spacing w:val="-16"/>
        </w:rPr>
        <w:t> </w:t>
      </w:r>
      <w:r>
        <w:rPr/>
        <w:t>promedio</w:t>
      </w:r>
      <w:r>
        <w:rPr>
          <w:spacing w:val="-16"/>
        </w:rPr>
        <w:t> </w:t>
      </w:r>
      <w:r>
        <w:rPr/>
        <w:t>simple</w:t>
      </w:r>
      <w:r>
        <w:rPr>
          <w:spacing w:val="-13"/>
        </w:rPr>
        <w:t> </w:t>
      </w:r>
      <w:r>
        <w:rPr/>
        <w:t>de</w:t>
      </w:r>
      <w:r>
        <w:rPr>
          <w:spacing w:val="-16"/>
        </w:rPr>
        <w:t> </w:t>
      </w:r>
      <w:r>
        <w:rPr/>
        <w:t>porcentajes</w:t>
      </w:r>
      <w:r>
        <w:rPr>
          <w:spacing w:val="-16"/>
        </w:rPr>
        <w:t> </w:t>
      </w:r>
      <w:r>
        <w:rPr/>
        <w:t>relativos.</w:t>
      </w:r>
      <w:r>
        <w:rPr>
          <w:spacing w:val="-13"/>
        </w:rPr>
        <w:t> </w:t>
      </w:r>
      <w:r>
        <w:rPr/>
        <w:t>Para</w:t>
      </w:r>
      <w:r>
        <w:rPr>
          <w:spacing w:val="-13"/>
        </w:rPr>
        <w:t> </w:t>
      </w:r>
      <w:r>
        <w:rPr/>
        <w:t>calcular</w:t>
      </w:r>
      <w:r>
        <w:rPr>
          <w:spacing w:val="-15"/>
        </w:rPr>
        <w:t> </w:t>
      </w:r>
      <w:r>
        <w:rPr/>
        <w:t>tal</w:t>
      </w:r>
      <w:r>
        <w:rPr>
          <w:spacing w:val="-15"/>
        </w:rPr>
        <w:t> </w:t>
      </w:r>
      <w:r>
        <w:rPr/>
        <w:t>índice,</w:t>
      </w:r>
      <w:r>
        <w:rPr>
          <w:spacing w:val="-13"/>
        </w:rPr>
        <w:t> </w:t>
      </w:r>
      <w:r>
        <w:rPr/>
        <w:t>se</w:t>
      </w:r>
      <w:r>
        <w:rPr>
          <w:spacing w:val="-16"/>
        </w:rPr>
        <w:t> </w:t>
      </w:r>
      <w:r>
        <w:rPr/>
        <w:t>convierten los precios reales de cada variable en porcentajes del periodo base, los cuales se llaman relativos porque se calculan respecto del valor del periodo base. Se obtiene un precio relativo</w:t>
      </w:r>
      <w:r>
        <w:rPr>
          <w:spacing w:val="-4"/>
        </w:rPr>
        <w:t> </w:t>
      </w:r>
      <w:r>
        <w:rPr/>
        <w:t>por</w:t>
      </w:r>
      <w:r>
        <w:rPr>
          <w:spacing w:val="-5"/>
        </w:rPr>
        <w:t> </w:t>
      </w:r>
      <w:r>
        <w:rPr/>
        <w:t>ejemplo,</w:t>
      </w:r>
      <w:r>
        <w:rPr>
          <w:spacing w:val="-5"/>
        </w:rPr>
        <w:t> </w:t>
      </w:r>
      <w:r>
        <w:rPr/>
        <w:t>al</w:t>
      </w:r>
      <w:r>
        <w:rPr>
          <w:spacing w:val="-5"/>
        </w:rPr>
        <w:t> </w:t>
      </w:r>
      <w:r>
        <w:rPr/>
        <w:t>dividir</w:t>
      </w:r>
      <w:r>
        <w:rPr>
          <w:spacing w:val="-3"/>
        </w:rPr>
        <w:t> </w:t>
      </w:r>
      <w:r>
        <w:rPr/>
        <w:t>el</w:t>
      </w:r>
      <w:r>
        <w:rPr>
          <w:spacing w:val="-5"/>
        </w:rPr>
        <w:t> </w:t>
      </w:r>
      <w:r>
        <w:rPr/>
        <w:t>precio</w:t>
      </w:r>
      <w:r>
        <w:rPr>
          <w:spacing w:val="-4"/>
        </w:rPr>
        <w:t> </w:t>
      </w:r>
      <w:r>
        <w:rPr/>
        <w:t>de</w:t>
      </w:r>
      <w:r>
        <w:rPr>
          <w:spacing w:val="-7"/>
        </w:rPr>
        <w:t> </w:t>
      </w:r>
      <w:r>
        <w:rPr/>
        <w:t>un</w:t>
      </w:r>
      <w:r>
        <w:rPr>
          <w:spacing w:val="-7"/>
        </w:rPr>
        <w:t> </w:t>
      </w:r>
      <w:r>
        <w:rPr/>
        <w:t>artículo</w:t>
      </w:r>
      <w:r>
        <w:rPr>
          <w:spacing w:val="-4"/>
        </w:rPr>
        <w:t> </w:t>
      </w:r>
      <w:r>
        <w:rPr/>
        <w:t>para</w:t>
      </w:r>
      <w:r>
        <w:rPr>
          <w:spacing w:val="-6"/>
        </w:rPr>
        <w:t> </w:t>
      </w:r>
      <w:r>
        <w:rPr/>
        <w:t>un</w:t>
      </w:r>
      <w:r>
        <w:rPr>
          <w:spacing w:val="-7"/>
        </w:rPr>
        <w:t> </w:t>
      </w:r>
      <w:r>
        <w:rPr/>
        <w:t>periodo</w:t>
      </w:r>
      <w:r>
        <w:rPr>
          <w:spacing w:val="-6"/>
        </w:rPr>
        <w:t> </w:t>
      </w:r>
      <w:r>
        <w:rPr/>
        <w:t>dado</w:t>
      </w:r>
      <w:r>
        <w:rPr>
          <w:spacing w:val="-7"/>
        </w:rPr>
        <w:t> </w:t>
      </w:r>
      <w:r>
        <w:rPr/>
        <w:t>Pn</w:t>
      </w:r>
      <w:r>
        <w:rPr>
          <w:spacing w:val="-6"/>
        </w:rPr>
        <w:t> </w:t>
      </w:r>
      <w:r>
        <w:rPr/>
        <w:t>por</w:t>
      </w:r>
      <w:r>
        <w:rPr>
          <w:spacing w:val="-5"/>
        </w:rPr>
        <w:t> </w:t>
      </w:r>
      <w:r>
        <w:rPr/>
        <w:t>el</w:t>
      </w:r>
      <w:r>
        <w:rPr>
          <w:spacing w:val="-5"/>
        </w:rPr>
        <w:t> </w:t>
      </w:r>
      <w:r>
        <w:rPr/>
        <w:t>precio Po del precio base. La suma de todos los precios relativos, o sea Σ Pn/Po dividida por n, número de artículos que entran en el cálculo, y multiplicada por 100, arroja el promedio simple de precios relativos P, esto</w:t>
      </w:r>
      <w:r>
        <w:rPr>
          <w:spacing w:val="-11"/>
        </w:rPr>
        <w:t> </w:t>
      </w:r>
      <w:r>
        <w:rPr/>
        <w:t>es:</w:t>
      </w:r>
    </w:p>
    <w:p>
      <w:pPr>
        <w:pStyle w:val="BodyText"/>
        <w:spacing w:before="6"/>
        <w:rPr>
          <w:sz w:val="29"/>
        </w:rPr>
      </w:pPr>
    </w:p>
    <w:p>
      <w:pPr>
        <w:spacing w:line="479" w:lineRule="exact" w:before="0"/>
        <w:ind w:left="147" w:right="0" w:firstLine="0"/>
        <w:jc w:val="both"/>
        <w:rPr>
          <w:rFonts w:ascii="Times New Roman" w:hAnsi="Times New Roman"/>
          <w:sz w:val="24"/>
        </w:rPr>
      </w:pPr>
      <w:r>
        <w:rPr/>
        <w:pict>
          <v:line style="position:absolute;mso-position-horizontal-relative:page;mso-position-vertical-relative:paragraph;z-index:-23248" from="107.288979pt,20.604088pt" to="154.647947pt,20.604094pt" stroked="true" strokeweight=".603256pt" strokecolor="#000000">
            <w10:wrap type="none"/>
          </v:line>
        </w:pict>
      </w:r>
      <w:r>
        <w:rPr>
          <w:rFonts w:ascii="Times New Roman" w:hAnsi="Times New Roman"/>
          <w:i/>
          <w:sz w:val="24"/>
        </w:rPr>
        <w:t>P </w:t>
      </w:r>
      <w:r>
        <w:rPr>
          <w:rFonts w:ascii="Symbol" w:hAnsi="Symbol"/>
          <w:sz w:val="24"/>
        </w:rPr>
        <w:t></w:t>
      </w:r>
      <w:r>
        <w:rPr>
          <w:rFonts w:ascii="Times New Roman" w:hAnsi="Times New Roman"/>
          <w:sz w:val="24"/>
        </w:rPr>
        <w:t> </w:t>
      </w:r>
      <w:r>
        <w:rPr>
          <w:rFonts w:ascii="Symbol" w:hAnsi="Symbol"/>
          <w:position w:val="12"/>
          <w:sz w:val="35"/>
        </w:rPr>
        <w:t></w:t>
      </w:r>
      <w:r>
        <w:rPr>
          <w:rFonts w:ascii="Times New Roman" w:hAnsi="Times New Roman"/>
          <w:position w:val="12"/>
          <w:sz w:val="35"/>
        </w:rPr>
        <w:t> </w:t>
      </w:r>
      <w:r>
        <w:rPr>
          <w:rFonts w:ascii="Times New Roman" w:hAnsi="Times New Roman"/>
          <w:i/>
          <w:position w:val="18"/>
          <w:sz w:val="24"/>
        </w:rPr>
        <w:t>p</w:t>
      </w:r>
      <w:r>
        <w:rPr>
          <w:rFonts w:ascii="Times New Roman" w:hAnsi="Times New Roman"/>
          <w:i/>
          <w:position w:val="12"/>
          <w:sz w:val="13"/>
        </w:rPr>
        <w:t>n  </w:t>
      </w:r>
      <w:r>
        <w:rPr>
          <w:rFonts w:ascii="Times New Roman" w:hAnsi="Times New Roman"/>
          <w:position w:val="18"/>
          <w:sz w:val="24"/>
        </w:rPr>
        <w:t>/ </w:t>
      </w:r>
      <w:r>
        <w:rPr>
          <w:rFonts w:ascii="Times New Roman" w:hAnsi="Times New Roman"/>
          <w:i/>
          <w:position w:val="18"/>
          <w:sz w:val="24"/>
        </w:rPr>
        <w:t>p</w:t>
      </w:r>
      <w:r>
        <w:rPr>
          <w:rFonts w:ascii="Times New Roman" w:hAnsi="Times New Roman"/>
          <w:position w:val="12"/>
          <w:sz w:val="13"/>
        </w:rPr>
        <w:t>0  </w:t>
      </w:r>
      <w:r>
        <w:rPr>
          <w:rFonts w:ascii="Times New Roman" w:hAnsi="Times New Roman"/>
          <w:sz w:val="24"/>
        </w:rPr>
        <w:t>*100</w:t>
      </w:r>
    </w:p>
    <w:p>
      <w:pPr>
        <w:spacing w:line="230" w:lineRule="exact" w:before="0"/>
        <w:ind w:left="0" w:right="7015" w:firstLine="0"/>
        <w:jc w:val="center"/>
        <w:rPr>
          <w:rFonts w:ascii="Times New Roman"/>
          <w:i/>
          <w:sz w:val="24"/>
        </w:rPr>
      </w:pPr>
      <w:r>
        <w:rPr>
          <w:rFonts w:ascii="Times New Roman"/>
          <w:i/>
          <w:w w:val="99"/>
          <w:sz w:val="24"/>
        </w:rPr>
        <w:t>n</w:t>
      </w:r>
    </w:p>
    <w:p>
      <w:pPr>
        <w:pStyle w:val="BodyText"/>
        <w:spacing w:before="1"/>
        <w:rPr>
          <w:rFonts w:ascii="Times New Roman"/>
          <w:i/>
          <w:sz w:val="16"/>
        </w:rPr>
      </w:pPr>
    </w:p>
    <w:p>
      <w:pPr>
        <w:pStyle w:val="BodyText"/>
        <w:spacing w:before="73"/>
        <w:ind w:left="102" w:right="108"/>
      </w:pPr>
      <w:r>
        <w:rPr/>
        <w:t>que es la media aritmética de los porcentajes relativos. En el siguiente cuadro se realiza el cálculo de un promedio simple de precios relativos para los datos del cuadro 2.</w:t>
      </w:r>
    </w:p>
    <w:p>
      <w:pPr>
        <w:spacing w:after="0"/>
        <w:sectPr>
          <w:type w:val="continuous"/>
          <w:pgSz w:w="12240" w:h="15840"/>
          <w:pgMar w:top="1500" w:bottom="280" w:left="1600" w:right="1580"/>
        </w:sectPr>
      </w:pPr>
    </w:p>
    <w:p>
      <w:pPr>
        <w:pStyle w:val="BodyText"/>
        <w:spacing w:before="166"/>
        <w:ind w:left="122"/>
      </w:pPr>
      <w:r>
        <w:rPr>
          <w:b/>
        </w:rPr>
        <w:t>Cuadro 2. </w:t>
      </w:r>
      <w:r>
        <w:rPr/>
        <w:t>Cálculo de promedio simple de precios relativos</w:t>
      </w:r>
    </w:p>
    <w:p>
      <w:pPr>
        <w:pStyle w:val="BodyText"/>
        <w:rPr>
          <w:sz w:val="20"/>
        </w:rPr>
      </w:pPr>
    </w:p>
    <w:p>
      <w:pPr>
        <w:pStyle w:val="BodyText"/>
        <w:rPr>
          <w:sz w:val="20"/>
        </w:rPr>
      </w:pPr>
    </w:p>
    <w:p>
      <w:pPr>
        <w:pStyle w:val="BodyText"/>
        <w:rPr>
          <w:sz w:val="20"/>
        </w:rPr>
      </w:pPr>
    </w:p>
    <w:p>
      <w:pPr>
        <w:pStyle w:val="BodyText"/>
        <w:spacing w:before="11"/>
        <w:rPr>
          <w:sz w:val="24"/>
        </w:rPr>
      </w:pPr>
      <w:r>
        <w:rPr/>
        <w:pict>
          <v:group style="position:absolute;margin-left:84.853996pt;margin-top:16.321875pt;width:369.8pt;height:.5pt;mso-position-horizontal-relative:page;mso-position-vertical-relative:paragraph;z-index:1240;mso-wrap-distance-left:0;mso-wrap-distance-right:0" coordorigin="1697,326" coordsize="7396,10">
            <v:line style="position:absolute" from="1702,331" to="3293,331" stroked="true" strokeweight=".48001pt" strokecolor="#000000"/>
            <v:line style="position:absolute" from="3293,331" to="3303,331" stroked="true" strokeweight=".48001pt" strokecolor="#000000"/>
            <v:line style="position:absolute" from="3303,331" to="5216,331" stroked="true" strokeweight=".48001pt" strokecolor="#000000"/>
            <v:line style="position:absolute" from="5216,331" to="5226,331" stroked="true" strokeweight=".48001pt" strokecolor="#000000"/>
            <v:line style="position:absolute" from="5226,331" to="5903,331" stroked="true" strokeweight=".48001pt" strokecolor="#000000"/>
            <v:line style="position:absolute" from="5903,331" to="5912,331" stroked="true" strokeweight=".48001pt" strokecolor="#000000"/>
            <v:line style="position:absolute" from="5912,331" to="6589,331" stroked="true" strokeweight=".48001pt" strokecolor="#000000"/>
            <v:line style="position:absolute" from="6589,331" to="6599,331" stroked="true" strokeweight=".48001pt" strokecolor="#000000"/>
            <v:line style="position:absolute" from="6599,331" to="7840,331" stroked="true" strokeweight=".48001pt" strokecolor="#000000"/>
            <v:line style="position:absolute" from="7840,331" to="7849,331" stroked="true" strokeweight=".48001pt" strokecolor="#000000"/>
            <v:line style="position:absolute" from="7849,331" to="9088,331" stroked="true" strokeweight=".48001pt" strokecolor="#000000"/>
            <w10:wrap type="topAndBottom"/>
          </v:group>
        </w:pict>
      </w:r>
    </w:p>
    <w:p>
      <w:pPr>
        <w:pStyle w:val="Heading4"/>
        <w:tabs>
          <w:tab w:pos="1727" w:val="left" w:leader="none"/>
          <w:tab w:pos="6271" w:val="left" w:leader="none"/>
        </w:tabs>
        <w:ind w:left="134"/>
      </w:pPr>
      <w:r>
        <w:rPr/>
        <w:t>Artículo</w:t>
        <w:tab/>
        <w:t>Unidad de</w:t>
      </w:r>
      <w:r>
        <w:rPr>
          <w:spacing w:val="-2"/>
        </w:rPr>
        <w:t> </w:t>
      </w:r>
      <w:r>
        <w:rPr/>
        <w:t>medida</w:t>
      </w:r>
      <w:r>
        <w:rPr>
          <w:spacing w:val="-39"/>
        </w:rPr>
        <w:t> </w:t>
      </w:r>
      <w:r>
        <w:rPr/>
        <w:t>abr-06</w:t>
      </w:r>
      <w:r>
        <w:rPr>
          <w:spacing w:val="-38"/>
        </w:rPr>
        <w:t> </w:t>
      </w:r>
      <w:r>
        <w:rPr/>
        <w:t>abr-07</w:t>
      </w:r>
      <w:r>
        <w:rPr>
          <w:spacing w:val="-38"/>
        </w:rPr>
        <w:t> </w:t>
      </w:r>
      <w:r>
        <w:rPr/>
        <w:t>abr-06</w:t>
        <w:tab/>
        <w:t>abr-07</w:t>
      </w:r>
    </w:p>
    <w:p>
      <w:pPr>
        <w:tabs>
          <w:tab w:pos="4334" w:val="left" w:leader="none"/>
          <w:tab w:pos="5021" w:val="left" w:leader="none"/>
        </w:tabs>
        <w:spacing w:before="16" w:after="9"/>
        <w:ind w:left="3648" w:right="0" w:firstLine="0"/>
        <w:jc w:val="left"/>
        <w:rPr>
          <w:b/>
          <w:sz w:val="22"/>
        </w:rPr>
      </w:pPr>
      <w:r>
        <w:rPr>
          <w:b/>
          <w:sz w:val="22"/>
        </w:rPr>
        <w:t>Po</w:t>
        <w:tab/>
        <w:t>Pn</w:t>
        <w:tab/>
        <w:t>(Po/Po)*100</w:t>
      </w:r>
      <w:r>
        <w:rPr>
          <w:b/>
          <w:spacing w:val="-36"/>
          <w:sz w:val="22"/>
        </w:rPr>
        <w:t> </w:t>
      </w:r>
      <w:r>
        <w:rPr>
          <w:b/>
          <w:sz w:val="22"/>
        </w:rPr>
        <w:t>(Pn/Po)*100</w:t>
      </w:r>
    </w:p>
    <w:tbl>
      <w:tblPr>
        <w:tblW w:w="0" w:type="auto"/>
        <w:jc w:val="left"/>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96"/>
        <w:gridCol w:w="1250"/>
        <w:gridCol w:w="687"/>
        <w:gridCol w:w="876"/>
        <w:gridCol w:w="1677"/>
      </w:tblGrid>
      <w:tr>
        <w:trPr>
          <w:trHeight w:val="290" w:hRule="exact"/>
        </w:trPr>
        <w:tc>
          <w:tcPr>
            <w:tcW w:w="2896" w:type="dxa"/>
            <w:tcBorders>
              <w:left w:val="nil"/>
              <w:bottom w:val="nil"/>
              <w:right w:val="nil"/>
            </w:tcBorders>
          </w:tcPr>
          <w:p>
            <w:pPr>
              <w:pStyle w:val="TableParagraph"/>
              <w:tabs>
                <w:tab w:pos="1605" w:val="left" w:leader="none"/>
              </w:tabs>
              <w:spacing w:before="14"/>
              <w:ind w:left="11"/>
              <w:rPr>
                <w:sz w:val="22"/>
              </w:rPr>
            </w:pPr>
            <w:r>
              <w:rPr>
                <w:sz w:val="22"/>
              </w:rPr>
              <w:t>Jamón</w:t>
            </w:r>
            <w:r>
              <w:rPr>
                <w:spacing w:val="-2"/>
                <w:sz w:val="22"/>
              </w:rPr>
              <w:t> </w:t>
            </w:r>
            <w:r>
              <w:rPr>
                <w:sz w:val="22"/>
              </w:rPr>
              <w:t>cocido</w:t>
              <w:tab/>
              <w:t>kg</w:t>
            </w:r>
          </w:p>
        </w:tc>
        <w:tc>
          <w:tcPr>
            <w:tcW w:w="1250" w:type="dxa"/>
            <w:tcBorders>
              <w:left w:val="nil"/>
              <w:bottom w:val="nil"/>
              <w:right w:val="nil"/>
            </w:tcBorders>
          </w:tcPr>
          <w:p>
            <w:pPr>
              <w:pStyle w:val="TableParagraph"/>
              <w:spacing w:before="14"/>
              <w:ind w:right="64"/>
              <w:jc w:val="right"/>
              <w:rPr>
                <w:sz w:val="22"/>
              </w:rPr>
            </w:pPr>
            <w:r>
              <w:rPr>
                <w:sz w:val="22"/>
              </w:rPr>
              <w:t>21,81</w:t>
            </w:r>
          </w:p>
        </w:tc>
        <w:tc>
          <w:tcPr>
            <w:tcW w:w="687" w:type="dxa"/>
            <w:tcBorders>
              <w:left w:val="nil"/>
              <w:bottom w:val="nil"/>
              <w:right w:val="nil"/>
            </w:tcBorders>
          </w:tcPr>
          <w:p>
            <w:pPr>
              <w:pStyle w:val="TableParagraph"/>
              <w:spacing w:before="14"/>
              <w:ind w:left="48" w:right="48"/>
              <w:jc w:val="center"/>
              <w:rPr>
                <w:sz w:val="22"/>
              </w:rPr>
            </w:pPr>
            <w:r>
              <w:rPr>
                <w:sz w:val="22"/>
              </w:rPr>
              <w:t>21,96</w:t>
            </w:r>
          </w:p>
        </w:tc>
        <w:tc>
          <w:tcPr>
            <w:tcW w:w="876" w:type="dxa"/>
            <w:tcBorders>
              <w:left w:val="nil"/>
              <w:bottom w:val="nil"/>
              <w:right w:val="nil"/>
            </w:tcBorders>
          </w:tcPr>
          <w:p>
            <w:pPr>
              <w:pStyle w:val="TableParagraph"/>
              <w:spacing w:before="14"/>
              <w:ind w:left="67"/>
              <w:rPr>
                <w:sz w:val="22"/>
              </w:rPr>
            </w:pPr>
            <w:r>
              <w:rPr>
                <w:sz w:val="22"/>
              </w:rPr>
              <w:t>100</w:t>
            </w:r>
          </w:p>
        </w:tc>
        <w:tc>
          <w:tcPr>
            <w:tcW w:w="1677" w:type="dxa"/>
            <w:tcBorders>
              <w:left w:val="nil"/>
              <w:bottom w:val="nil"/>
              <w:right w:val="nil"/>
            </w:tcBorders>
          </w:tcPr>
          <w:p>
            <w:pPr>
              <w:pStyle w:val="TableParagraph"/>
              <w:spacing w:before="14"/>
              <w:ind w:left="441"/>
              <w:rPr>
                <w:sz w:val="22"/>
              </w:rPr>
            </w:pPr>
            <w:r>
              <w:rPr>
                <w:sz w:val="22"/>
              </w:rPr>
              <w:t>100,69</w:t>
            </w:r>
          </w:p>
        </w:tc>
      </w:tr>
      <w:tr>
        <w:trPr>
          <w:trHeight w:val="268" w:hRule="exact"/>
        </w:trPr>
        <w:tc>
          <w:tcPr>
            <w:tcW w:w="2896" w:type="dxa"/>
            <w:tcBorders>
              <w:top w:val="nil"/>
              <w:left w:val="nil"/>
              <w:bottom w:val="nil"/>
              <w:right w:val="nil"/>
            </w:tcBorders>
          </w:tcPr>
          <w:p>
            <w:pPr>
              <w:pStyle w:val="TableParagraph"/>
              <w:tabs>
                <w:tab w:pos="1605" w:val="left" w:leader="none"/>
              </w:tabs>
              <w:spacing w:line="248" w:lineRule="exact"/>
              <w:ind w:left="11"/>
              <w:rPr>
                <w:sz w:val="22"/>
              </w:rPr>
            </w:pPr>
            <w:r>
              <w:rPr>
                <w:sz w:val="22"/>
              </w:rPr>
              <w:t>Paleta</w:t>
              <w:tab/>
              <w:t>kg</w:t>
            </w:r>
          </w:p>
        </w:tc>
        <w:tc>
          <w:tcPr>
            <w:tcW w:w="1250" w:type="dxa"/>
            <w:tcBorders>
              <w:top w:val="nil"/>
              <w:left w:val="nil"/>
              <w:bottom w:val="nil"/>
              <w:right w:val="nil"/>
            </w:tcBorders>
          </w:tcPr>
          <w:p>
            <w:pPr>
              <w:pStyle w:val="TableParagraph"/>
              <w:spacing w:line="248" w:lineRule="exact"/>
              <w:ind w:right="187"/>
              <w:jc w:val="right"/>
              <w:rPr>
                <w:sz w:val="22"/>
              </w:rPr>
            </w:pPr>
            <w:r>
              <w:rPr>
                <w:sz w:val="22"/>
              </w:rPr>
              <w:t>8,53</w:t>
            </w:r>
          </w:p>
        </w:tc>
        <w:tc>
          <w:tcPr>
            <w:tcW w:w="687" w:type="dxa"/>
            <w:tcBorders>
              <w:top w:val="nil"/>
              <w:left w:val="nil"/>
              <w:bottom w:val="nil"/>
              <w:right w:val="nil"/>
            </w:tcBorders>
          </w:tcPr>
          <w:p>
            <w:pPr>
              <w:pStyle w:val="TableParagraph"/>
              <w:spacing w:line="248" w:lineRule="exact"/>
              <w:ind w:left="48" w:right="169"/>
              <w:jc w:val="center"/>
              <w:rPr>
                <w:sz w:val="22"/>
              </w:rPr>
            </w:pPr>
            <w:r>
              <w:rPr>
                <w:sz w:val="22"/>
              </w:rPr>
              <w:t>8,46</w:t>
            </w:r>
          </w:p>
        </w:tc>
        <w:tc>
          <w:tcPr>
            <w:tcW w:w="876" w:type="dxa"/>
            <w:tcBorders>
              <w:top w:val="nil"/>
              <w:left w:val="nil"/>
              <w:bottom w:val="nil"/>
              <w:right w:val="nil"/>
            </w:tcBorders>
          </w:tcPr>
          <w:p>
            <w:pPr>
              <w:pStyle w:val="TableParagraph"/>
              <w:spacing w:line="248" w:lineRule="exact"/>
              <w:ind w:left="67"/>
              <w:rPr>
                <w:sz w:val="22"/>
              </w:rPr>
            </w:pPr>
            <w:r>
              <w:rPr>
                <w:sz w:val="22"/>
              </w:rPr>
              <w:t>100</w:t>
            </w:r>
          </w:p>
        </w:tc>
        <w:tc>
          <w:tcPr>
            <w:tcW w:w="1677" w:type="dxa"/>
            <w:tcBorders>
              <w:top w:val="nil"/>
              <w:left w:val="nil"/>
              <w:bottom w:val="nil"/>
              <w:right w:val="nil"/>
            </w:tcBorders>
          </w:tcPr>
          <w:p>
            <w:pPr>
              <w:pStyle w:val="TableParagraph"/>
              <w:spacing w:line="248" w:lineRule="exact"/>
              <w:ind w:left="441"/>
              <w:rPr>
                <w:sz w:val="22"/>
              </w:rPr>
            </w:pPr>
            <w:r>
              <w:rPr>
                <w:sz w:val="22"/>
              </w:rPr>
              <w:t>99,18</w:t>
            </w:r>
          </w:p>
        </w:tc>
      </w:tr>
      <w:tr>
        <w:trPr>
          <w:trHeight w:val="269" w:hRule="exact"/>
        </w:trPr>
        <w:tc>
          <w:tcPr>
            <w:tcW w:w="2896" w:type="dxa"/>
            <w:tcBorders>
              <w:top w:val="nil"/>
              <w:left w:val="nil"/>
              <w:bottom w:val="nil"/>
              <w:right w:val="nil"/>
            </w:tcBorders>
          </w:tcPr>
          <w:p>
            <w:pPr>
              <w:pStyle w:val="TableParagraph"/>
              <w:tabs>
                <w:tab w:pos="1605" w:val="left" w:leader="none"/>
              </w:tabs>
              <w:spacing w:line="250" w:lineRule="exact"/>
              <w:ind w:left="11"/>
              <w:rPr>
                <w:sz w:val="22"/>
              </w:rPr>
            </w:pPr>
            <w:r>
              <w:rPr>
                <w:sz w:val="22"/>
              </w:rPr>
              <w:t>Prepizza</w:t>
              <w:tab/>
              <w:t>unidad</w:t>
            </w:r>
          </w:p>
        </w:tc>
        <w:tc>
          <w:tcPr>
            <w:tcW w:w="1250" w:type="dxa"/>
            <w:tcBorders>
              <w:top w:val="nil"/>
              <w:left w:val="nil"/>
              <w:bottom w:val="nil"/>
              <w:right w:val="nil"/>
            </w:tcBorders>
          </w:tcPr>
          <w:p>
            <w:pPr>
              <w:pStyle w:val="TableParagraph"/>
              <w:spacing w:line="250" w:lineRule="exact"/>
              <w:ind w:right="187"/>
              <w:jc w:val="right"/>
              <w:rPr>
                <w:sz w:val="22"/>
              </w:rPr>
            </w:pPr>
            <w:r>
              <w:rPr>
                <w:sz w:val="22"/>
              </w:rPr>
              <w:t>1,25</w:t>
            </w:r>
          </w:p>
        </w:tc>
        <w:tc>
          <w:tcPr>
            <w:tcW w:w="687" w:type="dxa"/>
            <w:tcBorders>
              <w:top w:val="nil"/>
              <w:left w:val="nil"/>
              <w:bottom w:val="nil"/>
              <w:right w:val="nil"/>
            </w:tcBorders>
          </w:tcPr>
          <w:p>
            <w:pPr>
              <w:pStyle w:val="TableParagraph"/>
              <w:spacing w:line="250" w:lineRule="exact"/>
              <w:ind w:left="48" w:right="169"/>
              <w:jc w:val="center"/>
              <w:rPr>
                <w:sz w:val="22"/>
              </w:rPr>
            </w:pPr>
            <w:r>
              <w:rPr>
                <w:sz w:val="22"/>
              </w:rPr>
              <w:t>1,45</w:t>
            </w:r>
          </w:p>
        </w:tc>
        <w:tc>
          <w:tcPr>
            <w:tcW w:w="876" w:type="dxa"/>
            <w:tcBorders>
              <w:top w:val="nil"/>
              <w:left w:val="nil"/>
              <w:bottom w:val="nil"/>
              <w:right w:val="nil"/>
            </w:tcBorders>
          </w:tcPr>
          <w:p>
            <w:pPr>
              <w:pStyle w:val="TableParagraph"/>
              <w:spacing w:line="250" w:lineRule="exact"/>
              <w:ind w:left="67"/>
              <w:rPr>
                <w:sz w:val="22"/>
              </w:rPr>
            </w:pPr>
            <w:r>
              <w:rPr>
                <w:sz w:val="22"/>
              </w:rPr>
              <w:t>100</w:t>
            </w:r>
          </w:p>
        </w:tc>
        <w:tc>
          <w:tcPr>
            <w:tcW w:w="1677" w:type="dxa"/>
            <w:tcBorders>
              <w:top w:val="nil"/>
              <w:left w:val="nil"/>
              <w:bottom w:val="nil"/>
              <w:right w:val="nil"/>
            </w:tcBorders>
          </w:tcPr>
          <w:p>
            <w:pPr>
              <w:pStyle w:val="TableParagraph"/>
              <w:spacing w:line="250" w:lineRule="exact"/>
              <w:ind w:left="441"/>
              <w:rPr>
                <w:sz w:val="22"/>
              </w:rPr>
            </w:pPr>
            <w:r>
              <w:rPr>
                <w:sz w:val="22"/>
              </w:rPr>
              <w:t>116,00</w:t>
            </w:r>
          </w:p>
        </w:tc>
      </w:tr>
      <w:tr>
        <w:trPr>
          <w:trHeight w:val="268" w:hRule="exact"/>
        </w:trPr>
        <w:tc>
          <w:tcPr>
            <w:tcW w:w="2896" w:type="dxa"/>
            <w:tcBorders>
              <w:top w:val="nil"/>
              <w:left w:val="nil"/>
              <w:bottom w:val="nil"/>
              <w:right w:val="nil"/>
            </w:tcBorders>
          </w:tcPr>
          <w:p>
            <w:pPr>
              <w:pStyle w:val="TableParagraph"/>
              <w:spacing w:line="250" w:lineRule="exact"/>
              <w:ind w:left="11"/>
              <w:rPr>
                <w:sz w:val="22"/>
              </w:rPr>
            </w:pPr>
            <w:r>
              <w:rPr>
                <w:sz w:val="22"/>
              </w:rPr>
              <w:t>Filet de merluza kg</w:t>
            </w:r>
          </w:p>
        </w:tc>
        <w:tc>
          <w:tcPr>
            <w:tcW w:w="1250" w:type="dxa"/>
            <w:tcBorders>
              <w:top w:val="nil"/>
              <w:left w:val="nil"/>
              <w:bottom w:val="nil"/>
              <w:right w:val="nil"/>
            </w:tcBorders>
          </w:tcPr>
          <w:p>
            <w:pPr>
              <w:pStyle w:val="TableParagraph"/>
              <w:spacing w:line="250" w:lineRule="exact"/>
              <w:ind w:right="64"/>
              <w:jc w:val="right"/>
              <w:rPr>
                <w:sz w:val="22"/>
              </w:rPr>
            </w:pPr>
            <w:r>
              <w:rPr>
                <w:sz w:val="22"/>
              </w:rPr>
              <w:t>10,85</w:t>
            </w:r>
          </w:p>
        </w:tc>
        <w:tc>
          <w:tcPr>
            <w:tcW w:w="687" w:type="dxa"/>
            <w:tcBorders>
              <w:top w:val="nil"/>
              <w:left w:val="nil"/>
              <w:bottom w:val="nil"/>
              <w:right w:val="nil"/>
            </w:tcBorders>
          </w:tcPr>
          <w:p>
            <w:pPr>
              <w:pStyle w:val="TableParagraph"/>
              <w:spacing w:line="250" w:lineRule="exact"/>
              <w:ind w:left="48" w:right="48"/>
              <w:jc w:val="center"/>
              <w:rPr>
                <w:sz w:val="22"/>
              </w:rPr>
            </w:pPr>
            <w:r>
              <w:rPr>
                <w:sz w:val="22"/>
              </w:rPr>
              <w:t>13,59</w:t>
            </w:r>
          </w:p>
        </w:tc>
        <w:tc>
          <w:tcPr>
            <w:tcW w:w="876" w:type="dxa"/>
            <w:tcBorders>
              <w:top w:val="nil"/>
              <w:left w:val="nil"/>
              <w:bottom w:val="nil"/>
              <w:right w:val="nil"/>
            </w:tcBorders>
          </w:tcPr>
          <w:p>
            <w:pPr>
              <w:pStyle w:val="TableParagraph"/>
              <w:spacing w:line="250" w:lineRule="exact"/>
              <w:ind w:left="67"/>
              <w:rPr>
                <w:sz w:val="22"/>
              </w:rPr>
            </w:pPr>
            <w:r>
              <w:rPr>
                <w:sz w:val="22"/>
              </w:rPr>
              <w:t>100</w:t>
            </w:r>
          </w:p>
        </w:tc>
        <w:tc>
          <w:tcPr>
            <w:tcW w:w="1677" w:type="dxa"/>
            <w:tcBorders>
              <w:top w:val="nil"/>
              <w:left w:val="nil"/>
              <w:bottom w:val="nil"/>
              <w:right w:val="nil"/>
            </w:tcBorders>
          </w:tcPr>
          <w:p>
            <w:pPr>
              <w:pStyle w:val="TableParagraph"/>
              <w:spacing w:line="250" w:lineRule="exact"/>
              <w:ind w:left="441"/>
              <w:rPr>
                <w:sz w:val="22"/>
              </w:rPr>
            </w:pPr>
            <w:r>
              <w:rPr>
                <w:sz w:val="22"/>
              </w:rPr>
              <w:t>125,25</w:t>
            </w:r>
          </w:p>
        </w:tc>
      </w:tr>
      <w:tr>
        <w:trPr>
          <w:trHeight w:val="266" w:hRule="exact"/>
        </w:trPr>
        <w:tc>
          <w:tcPr>
            <w:tcW w:w="2896" w:type="dxa"/>
            <w:tcBorders>
              <w:top w:val="nil"/>
              <w:left w:val="nil"/>
              <w:bottom w:val="nil"/>
              <w:right w:val="nil"/>
            </w:tcBorders>
          </w:tcPr>
          <w:p>
            <w:pPr>
              <w:pStyle w:val="TableParagraph"/>
              <w:spacing w:line="248" w:lineRule="exact"/>
              <w:ind w:left="11"/>
              <w:rPr>
                <w:sz w:val="22"/>
              </w:rPr>
            </w:pPr>
            <w:r>
              <w:rPr>
                <w:sz w:val="22"/>
              </w:rPr>
              <w:t>Suma Global</w:t>
            </w:r>
          </w:p>
        </w:tc>
        <w:tc>
          <w:tcPr>
            <w:tcW w:w="1250" w:type="dxa"/>
            <w:tcBorders>
              <w:top w:val="nil"/>
              <w:left w:val="nil"/>
              <w:bottom w:val="nil"/>
              <w:right w:val="nil"/>
            </w:tcBorders>
          </w:tcPr>
          <w:p>
            <w:pPr>
              <w:pStyle w:val="TableParagraph"/>
              <w:spacing w:line="248" w:lineRule="exact"/>
              <w:ind w:right="64"/>
              <w:jc w:val="right"/>
              <w:rPr>
                <w:sz w:val="22"/>
              </w:rPr>
            </w:pPr>
            <w:r>
              <w:rPr>
                <w:sz w:val="22"/>
              </w:rPr>
              <w:t>42,44</w:t>
            </w:r>
          </w:p>
        </w:tc>
        <w:tc>
          <w:tcPr>
            <w:tcW w:w="687" w:type="dxa"/>
            <w:tcBorders>
              <w:top w:val="nil"/>
              <w:left w:val="nil"/>
              <w:bottom w:val="nil"/>
              <w:right w:val="nil"/>
            </w:tcBorders>
          </w:tcPr>
          <w:p>
            <w:pPr>
              <w:pStyle w:val="TableParagraph"/>
              <w:spacing w:line="248" w:lineRule="exact"/>
              <w:ind w:left="48" w:right="48"/>
              <w:jc w:val="center"/>
              <w:rPr>
                <w:sz w:val="22"/>
              </w:rPr>
            </w:pPr>
            <w:r>
              <w:rPr>
                <w:sz w:val="22"/>
              </w:rPr>
              <w:t>45,46</w:t>
            </w:r>
          </w:p>
        </w:tc>
        <w:tc>
          <w:tcPr>
            <w:tcW w:w="876" w:type="dxa"/>
            <w:tcBorders>
              <w:top w:val="nil"/>
              <w:left w:val="nil"/>
              <w:bottom w:val="nil"/>
              <w:right w:val="nil"/>
            </w:tcBorders>
          </w:tcPr>
          <w:p>
            <w:pPr>
              <w:pStyle w:val="TableParagraph"/>
              <w:spacing w:line="248" w:lineRule="exact"/>
              <w:ind w:left="67"/>
              <w:rPr>
                <w:sz w:val="22"/>
              </w:rPr>
            </w:pPr>
            <w:r>
              <w:rPr>
                <w:sz w:val="22"/>
              </w:rPr>
              <w:t>400</w:t>
            </w:r>
          </w:p>
        </w:tc>
        <w:tc>
          <w:tcPr>
            <w:tcW w:w="1677" w:type="dxa"/>
            <w:tcBorders>
              <w:top w:val="nil"/>
              <w:left w:val="nil"/>
              <w:bottom w:val="nil"/>
              <w:right w:val="nil"/>
            </w:tcBorders>
          </w:tcPr>
          <w:p>
            <w:pPr>
              <w:pStyle w:val="TableParagraph"/>
              <w:spacing w:line="248" w:lineRule="exact"/>
              <w:ind w:left="441"/>
              <w:rPr>
                <w:sz w:val="22"/>
              </w:rPr>
            </w:pPr>
            <w:r>
              <w:rPr>
                <w:sz w:val="22"/>
              </w:rPr>
              <w:t>441,12</w:t>
            </w:r>
          </w:p>
        </w:tc>
      </w:tr>
      <w:tr>
        <w:trPr>
          <w:trHeight w:val="260" w:hRule="exact"/>
        </w:trPr>
        <w:tc>
          <w:tcPr>
            <w:tcW w:w="2896" w:type="dxa"/>
            <w:tcBorders>
              <w:top w:val="nil"/>
              <w:left w:val="nil"/>
              <w:right w:val="nil"/>
            </w:tcBorders>
          </w:tcPr>
          <w:p>
            <w:pPr>
              <w:pStyle w:val="TableParagraph"/>
              <w:spacing w:line="248" w:lineRule="exact"/>
              <w:ind w:left="11"/>
              <w:rPr>
                <w:b/>
                <w:sz w:val="22"/>
              </w:rPr>
            </w:pPr>
            <w:r>
              <w:rPr>
                <w:b/>
                <w:sz w:val="22"/>
              </w:rPr>
              <w:t>Indice</w:t>
            </w:r>
          </w:p>
        </w:tc>
        <w:tc>
          <w:tcPr>
            <w:tcW w:w="1250" w:type="dxa"/>
            <w:tcBorders>
              <w:top w:val="nil"/>
              <w:left w:val="nil"/>
              <w:right w:val="nil"/>
            </w:tcBorders>
          </w:tcPr>
          <w:p>
            <w:pPr/>
          </w:p>
        </w:tc>
        <w:tc>
          <w:tcPr>
            <w:tcW w:w="687" w:type="dxa"/>
            <w:tcBorders>
              <w:top w:val="nil"/>
              <w:left w:val="nil"/>
              <w:right w:val="nil"/>
            </w:tcBorders>
          </w:tcPr>
          <w:p>
            <w:pPr/>
          </w:p>
        </w:tc>
        <w:tc>
          <w:tcPr>
            <w:tcW w:w="876" w:type="dxa"/>
            <w:tcBorders>
              <w:top w:val="nil"/>
              <w:left w:val="nil"/>
              <w:right w:val="nil"/>
            </w:tcBorders>
          </w:tcPr>
          <w:p>
            <w:pPr>
              <w:pStyle w:val="TableParagraph"/>
              <w:spacing w:line="251" w:lineRule="exact"/>
              <w:ind w:left="67"/>
              <w:rPr>
                <w:sz w:val="22"/>
              </w:rPr>
            </w:pPr>
            <w:r>
              <w:rPr>
                <w:sz w:val="22"/>
              </w:rPr>
              <w:t>100</w:t>
            </w:r>
          </w:p>
        </w:tc>
        <w:tc>
          <w:tcPr>
            <w:tcW w:w="1677" w:type="dxa"/>
            <w:tcBorders>
              <w:top w:val="nil"/>
              <w:left w:val="nil"/>
              <w:right w:val="nil"/>
            </w:tcBorders>
          </w:tcPr>
          <w:p>
            <w:pPr>
              <w:pStyle w:val="TableParagraph"/>
              <w:spacing w:line="248" w:lineRule="exact"/>
              <w:ind w:left="441"/>
              <w:rPr>
                <w:b/>
                <w:sz w:val="22"/>
              </w:rPr>
            </w:pPr>
            <w:r>
              <w:rPr>
                <w:b/>
                <w:sz w:val="22"/>
              </w:rPr>
              <w:t>110,28</w:t>
            </w:r>
          </w:p>
        </w:tc>
      </w:tr>
    </w:tbl>
    <w:p>
      <w:pPr>
        <w:pStyle w:val="BodyText"/>
        <w:spacing w:before="10"/>
        <w:rPr>
          <w:b/>
          <w:sz w:val="13"/>
        </w:rPr>
      </w:pPr>
    </w:p>
    <w:p>
      <w:pPr>
        <w:pStyle w:val="BodyText"/>
        <w:spacing w:before="73"/>
        <w:ind w:left="122" w:right="117"/>
        <w:jc w:val="both"/>
      </w:pPr>
      <w:r>
        <w:rPr/>
        <w:t>Este promedio simple de porcentajes, a pesar de tener la ventaja de que son números adimensionales tiene la desventaja de suponer que cada uno de los porcentajes relativos tiene la misma importancia. Es decir</w:t>
      </w:r>
      <w:r>
        <w:rPr>
          <w:color w:val="FF0000"/>
        </w:rPr>
        <w:t>, </w:t>
      </w:r>
      <w:r>
        <w:rPr/>
        <w:t>artículos secundarios tienen la misma influencia o peso en el resultado final que un artículo de primera necesidad. De esta manera existen “ponderaciones ocultas” que son inadmisibles y que afectan la utilidad de este tipo de índices.</w:t>
      </w:r>
    </w:p>
    <w:p>
      <w:pPr>
        <w:pStyle w:val="BodyText"/>
        <w:spacing w:before="5"/>
        <w:rPr>
          <w:sz w:val="32"/>
        </w:rPr>
      </w:pPr>
    </w:p>
    <w:p>
      <w:pPr>
        <w:pStyle w:val="BodyText"/>
        <w:ind w:left="122"/>
        <w:jc w:val="both"/>
      </w:pPr>
      <w:r>
        <w:rPr/>
        <w:t>Índices ponderados</w:t>
      </w:r>
    </w:p>
    <w:p>
      <w:pPr>
        <w:spacing w:before="160"/>
        <w:ind w:left="122" w:right="0" w:firstLine="0"/>
        <w:jc w:val="both"/>
        <w:rPr>
          <w:i/>
          <w:sz w:val="22"/>
        </w:rPr>
      </w:pPr>
      <w:r>
        <w:rPr>
          <w:i/>
          <w:sz w:val="22"/>
        </w:rPr>
        <w:t>El método de agregación ponderada</w:t>
      </w:r>
    </w:p>
    <w:p>
      <w:pPr>
        <w:pStyle w:val="BodyText"/>
        <w:spacing w:before="9"/>
        <w:rPr>
          <w:i/>
          <w:sz w:val="20"/>
        </w:rPr>
      </w:pPr>
    </w:p>
    <w:p>
      <w:pPr>
        <w:pStyle w:val="BodyText"/>
        <w:ind w:left="122" w:right="116"/>
        <w:jc w:val="both"/>
      </w:pPr>
      <w:r>
        <w:rPr/>
        <w:t>Con el fin de evitar las desventajas de los métodos de agregación simple, se asignará un peso al precio de cada artículo, en general la cantidad o volumen vendido durante el año base,</w:t>
      </w:r>
      <w:r>
        <w:rPr>
          <w:spacing w:val="-3"/>
        </w:rPr>
        <w:t> </w:t>
      </w:r>
      <w:r>
        <w:rPr/>
        <w:t>durante</w:t>
      </w:r>
      <w:r>
        <w:rPr>
          <w:spacing w:val="-4"/>
        </w:rPr>
        <w:t> </w:t>
      </w:r>
      <w:r>
        <w:rPr/>
        <w:t>el</w:t>
      </w:r>
      <w:r>
        <w:rPr>
          <w:spacing w:val="-5"/>
        </w:rPr>
        <w:t> </w:t>
      </w:r>
      <w:r>
        <w:rPr/>
        <w:t>año</w:t>
      </w:r>
      <w:r>
        <w:rPr>
          <w:spacing w:val="-4"/>
        </w:rPr>
        <w:t> </w:t>
      </w:r>
      <w:r>
        <w:rPr/>
        <w:t>dado</w:t>
      </w:r>
      <w:r>
        <w:rPr>
          <w:spacing w:val="-2"/>
        </w:rPr>
        <w:t> </w:t>
      </w:r>
      <w:r>
        <w:rPr/>
        <w:t>o</w:t>
      </w:r>
      <w:r>
        <w:rPr>
          <w:spacing w:val="-3"/>
        </w:rPr>
        <w:t> </w:t>
      </w:r>
      <w:r>
        <w:rPr/>
        <w:t>durante</w:t>
      </w:r>
      <w:r>
        <w:rPr>
          <w:spacing w:val="-4"/>
        </w:rPr>
        <w:t> </w:t>
      </w:r>
      <w:r>
        <w:rPr/>
        <w:t>algún</w:t>
      </w:r>
      <w:r>
        <w:rPr>
          <w:spacing w:val="-4"/>
        </w:rPr>
        <w:t> </w:t>
      </w:r>
      <w:r>
        <w:rPr/>
        <w:t>año</w:t>
      </w:r>
      <w:r>
        <w:rPr>
          <w:spacing w:val="-6"/>
        </w:rPr>
        <w:t> </w:t>
      </w:r>
      <w:r>
        <w:rPr/>
        <w:t>típico.</w:t>
      </w:r>
      <w:r>
        <w:rPr>
          <w:spacing w:val="-3"/>
        </w:rPr>
        <w:t> </w:t>
      </w:r>
      <w:r>
        <w:rPr/>
        <w:t>Tales</w:t>
      </w:r>
      <w:r>
        <w:rPr>
          <w:spacing w:val="-4"/>
        </w:rPr>
        <w:t> </w:t>
      </w:r>
      <w:r>
        <w:rPr/>
        <w:t>pesos</w:t>
      </w:r>
      <w:r>
        <w:rPr>
          <w:spacing w:val="-4"/>
        </w:rPr>
        <w:t> </w:t>
      </w:r>
      <w:r>
        <w:rPr/>
        <w:t>indicarán</w:t>
      </w:r>
      <w:r>
        <w:rPr>
          <w:spacing w:val="-4"/>
        </w:rPr>
        <w:t> </w:t>
      </w:r>
      <w:r>
        <w:rPr/>
        <w:t>la</w:t>
      </w:r>
      <w:r>
        <w:rPr>
          <w:spacing w:val="-4"/>
        </w:rPr>
        <w:t> </w:t>
      </w:r>
      <w:r>
        <w:rPr/>
        <w:t>importancia del artículo en</w:t>
      </w:r>
      <w:r>
        <w:rPr>
          <w:spacing w:val="-6"/>
        </w:rPr>
        <w:t> </w:t>
      </w:r>
      <w:r>
        <w:rPr/>
        <w:t>cuestión.</w:t>
      </w:r>
    </w:p>
    <w:p>
      <w:pPr>
        <w:pStyle w:val="BodyText"/>
        <w:spacing w:before="11"/>
        <w:rPr>
          <w:sz w:val="20"/>
        </w:rPr>
      </w:pPr>
    </w:p>
    <w:p>
      <w:pPr>
        <w:pStyle w:val="BodyText"/>
        <w:ind w:left="122"/>
        <w:jc w:val="both"/>
      </w:pPr>
      <w:r>
        <w:rPr/>
        <w:t>Los índices ponderados más utilizados son:</w:t>
      </w:r>
    </w:p>
    <w:p>
      <w:pPr>
        <w:pStyle w:val="BodyText"/>
        <w:spacing w:before="3"/>
        <w:rPr>
          <w:sz w:val="24"/>
        </w:rPr>
      </w:pPr>
    </w:p>
    <w:p>
      <w:pPr>
        <w:spacing w:before="1"/>
        <w:ind w:left="122" w:right="0" w:firstLine="0"/>
        <w:jc w:val="both"/>
        <w:rPr>
          <w:i/>
          <w:sz w:val="22"/>
        </w:rPr>
      </w:pPr>
      <w:r>
        <w:rPr>
          <w:i/>
          <w:sz w:val="22"/>
        </w:rPr>
        <w:t>Índice de Laspeyres</w:t>
      </w:r>
    </w:p>
    <w:p>
      <w:pPr>
        <w:pStyle w:val="BodyText"/>
        <w:spacing w:before="9"/>
        <w:rPr>
          <w:i/>
          <w:sz w:val="20"/>
        </w:rPr>
      </w:pPr>
    </w:p>
    <w:p>
      <w:pPr>
        <w:pStyle w:val="BodyText"/>
        <w:ind w:left="122" w:right="118"/>
        <w:jc w:val="both"/>
      </w:pPr>
      <w:r>
        <w:rPr/>
        <w:t>El</w:t>
      </w:r>
      <w:r>
        <w:rPr>
          <w:spacing w:val="-10"/>
        </w:rPr>
        <w:t> </w:t>
      </w:r>
      <w:r>
        <w:rPr/>
        <w:t>índice</w:t>
      </w:r>
      <w:r>
        <w:rPr>
          <w:spacing w:val="-11"/>
        </w:rPr>
        <w:t> </w:t>
      </w:r>
      <w:r>
        <w:rPr/>
        <w:t>de</w:t>
      </w:r>
      <w:r>
        <w:rPr>
          <w:spacing w:val="-11"/>
        </w:rPr>
        <w:t> </w:t>
      </w:r>
      <w:r>
        <w:rPr/>
        <w:t>Laspeyres</w:t>
      </w:r>
      <w:r>
        <w:rPr>
          <w:spacing w:val="-11"/>
        </w:rPr>
        <w:t> </w:t>
      </w:r>
      <w:r>
        <w:rPr/>
        <w:t>mantiene</w:t>
      </w:r>
      <w:r>
        <w:rPr>
          <w:spacing w:val="-11"/>
        </w:rPr>
        <w:t> </w:t>
      </w:r>
      <w:r>
        <w:rPr/>
        <w:t>ponderaciones</w:t>
      </w:r>
      <w:r>
        <w:rPr>
          <w:spacing w:val="-12"/>
        </w:rPr>
        <w:t> </w:t>
      </w:r>
      <w:r>
        <w:rPr/>
        <w:t>fijas</w:t>
      </w:r>
      <w:r>
        <w:rPr>
          <w:spacing w:val="-11"/>
        </w:rPr>
        <w:t> </w:t>
      </w:r>
      <w:r>
        <w:rPr/>
        <w:t>para</w:t>
      </w:r>
      <w:r>
        <w:rPr>
          <w:spacing w:val="-12"/>
        </w:rPr>
        <w:t> </w:t>
      </w:r>
      <w:r>
        <w:rPr/>
        <w:t>todos</w:t>
      </w:r>
      <w:r>
        <w:rPr>
          <w:spacing w:val="-11"/>
        </w:rPr>
        <w:t> </w:t>
      </w:r>
      <w:r>
        <w:rPr/>
        <w:t>los</w:t>
      </w:r>
      <w:r>
        <w:rPr>
          <w:spacing w:val="-11"/>
        </w:rPr>
        <w:t> </w:t>
      </w:r>
      <w:r>
        <w:rPr/>
        <w:t>años</w:t>
      </w:r>
      <w:r>
        <w:rPr>
          <w:spacing w:val="-11"/>
        </w:rPr>
        <w:t> </w:t>
      </w:r>
      <w:r>
        <w:rPr/>
        <w:t>en</w:t>
      </w:r>
      <w:r>
        <w:rPr>
          <w:spacing w:val="-11"/>
        </w:rPr>
        <w:t> </w:t>
      </w:r>
      <w:r>
        <w:rPr/>
        <w:t>que</w:t>
      </w:r>
      <w:r>
        <w:rPr>
          <w:spacing w:val="-13"/>
        </w:rPr>
        <w:t> </w:t>
      </w:r>
      <w:r>
        <w:rPr/>
        <w:t>se</w:t>
      </w:r>
      <w:r>
        <w:rPr>
          <w:spacing w:val="-11"/>
        </w:rPr>
        <w:t> </w:t>
      </w:r>
      <w:r>
        <w:rPr/>
        <w:t>calcula, que</w:t>
      </w:r>
      <w:r>
        <w:rPr>
          <w:spacing w:val="-3"/>
        </w:rPr>
        <w:t> </w:t>
      </w:r>
      <w:r>
        <w:rPr/>
        <w:t>dependen</w:t>
      </w:r>
      <w:r>
        <w:rPr>
          <w:spacing w:val="-6"/>
        </w:rPr>
        <w:t> </w:t>
      </w:r>
      <w:r>
        <w:rPr/>
        <w:t>de</w:t>
      </w:r>
      <w:r>
        <w:rPr>
          <w:spacing w:val="-3"/>
        </w:rPr>
        <w:t> </w:t>
      </w:r>
      <w:r>
        <w:rPr/>
        <w:t>la</w:t>
      </w:r>
      <w:r>
        <w:rPr>
          <w:spacing w:val="-3"/>
        </w:rPr>
        <w:t> </w:t>
      </w:r>
      <w:r>
        <w:rPr/>
        <w:t>importancia</w:t>
      </w:r>
      <w:r>
        <w:rPr>
          <w:spacing w:val="-3"/>
        </w:rPr>
        <w:t> </w:t>
      </w:r>
      <w:r>
        <w:rPr/>
        <w:t>de</w:t>
      </w:r>
      <w:r>
        <w:rPr>
          <w:spacing w:val="-6"/>
        </w:rPr>
        <w:t> </w:t>
      </w:r>
      <w:r>
        <w:rPr/>
        <w:t>cada</w:t>
      </w:r>
      <w:r>
        <w:rPr>
          <w:spacing w:val="-3"/>
        </w:rPr>
        <w:t> </w:t>
      </w:r>
      <w:r>
        <w:rPr/>
        <w:t>magnitud</w:t>
      </w:r>
      <w:r>
        <w:rPr>
          <w:spacing w:val="-3"/>
        </w:rPr>
        <w:t> </w:t>
      </w:r>
      <w:r>
        <w:rPr/>
        <w:t>en</w:t>
      </w:r>
      <w:r>
        <w:rPr>
          <w:spacing w:val="-3"/>
        </w:rPr>
        <w:t> </w:t>
      </w:r>
      <w:r>
        <w:rPr/>
        <w:t>el</w:t>
      </w:r>
      <w:r>
        <w:rPr>
          <w:spacing w:val="-4"/>
        </w:rPr>
        <w:t> </w:t>
      </w:r>
      <w:r>
        <w:rPr/>
        <w:t>año</w:t>
      </w:r>
      <w:r>
        <w:rPr>
          <w:spacing w:val="-3"/>
        </w:rPr>
        <w:t> </w:t>
      </w:r>
      <w:r>
        <w:rPr/>
        <w:t>base.</w:t>
      </w:r>
      <w:r>
        <w:rPr>
          <w:spacing w:val="-2"/>
        </w:rPr>
        <w:t> </w:t>
      </w:r>
      <w:r>
        <w:rPr/>
        <w:t>En</w:t>
      </w:r>
      <w:r>
        <w:rPr>
          <w:spacing w:val="-3"/>
        </w:rPr>
        <w:t> </w:t>
      </w:r>
      <w:r>
        <w:rPr/>
        <w:t>el</w:t>
      </w:r>
      <w:r>
        <w:rPr>
          <w:spacing w:val="-6"/>
        </w:rPr>
        <w:t> </w:t>
      </w:r>
      <w:r>
        <w:rPr/>
        <w:t>caso</w:t>
      </w:r>
      <w:r>
        <w:rPr>
          <w:spacing w:val="-3"/>
        </w:rPr>
        <w:t> </w:t>
      </w:r>
      <w:r>
        <w:rPr/>
        <w:t>de</w:t>
      </w:r>
      <w:r>
        <w:rPr>
          <w:spacing w:val="-3"/>
        </w:rPr>
        <w:t> </w:t>
      </w:r>
      <w:r>
        <w:rPr/>
        <w:t>un</w:t>
      </w:r>
      <w:r>
        <w:rPr>
          <w:spacing w:val="-3"/>
        </w:rPr>
        <w:t> </w:t>
      </w:r>
      <w:r>
        <w:rPr/>
        <w:t>índice de Laspeyres de</w:t>
      </w:r>
      <w:r>
        <w:rPr>
          <w:spacing w:val="-4"/>
        </w:rPr>
        <w:t> </w:t>
      </w:r>
      <w:r>
        <w:rPr/>
        <w:t>precios:</w:t>
      </w:r>
    </w:p>
    <w:p>
      <w:pPr>
        <w:spacing w:after="0"/>
        <w:jc w:val="both"/>
        <w:sectPr>
          <w:pgSz w:w="12240" w:h="15840"/>
          <w:pgMar w:top="1500" w:bottom="280" w:left="1580" w:right="1580"/>
        </w:sectPr>
      </w:pPr>
    </w:p>
    <w:p>
      <w:pPr>
        <w:pStyle w:val="BodyText"/>
        <w:rPr>
          <w:sz w:val="28"/>
        </w:rPr>
      </w:pPr>
    </w:p>
    <w:p>
      <w:pPr>
        <w:pStyle w:val="BodyText"/>
        <w:spacing w:before="8"/>
        <w:rPr>
          <w:sz w:val="25"/>
        </w:rPr>
      </w:pPr>
    </w:p>
    <w:p>
      <w:pPr>
        <w:spacing w:before="0"/>
        <w:ind w:left="0" w:right="0" w:firstLine="0"/>
        <w:jc w:val="right"/>
        <w:rPr>
          <w:rFonts w:ascii="Times New Roman"/>
          <w:sz w:val="14"/>
        </w:rPr>
      </w:pPr>
      <w:r>
        <w:rPr>
          <w:rFonts w:ascii="Times New Roman"/>
          <w:i/>
          <w:position w:val="6"/>
          <w:sz w:val="24"/>
        </w:rPr>
        <w:t>L</w:t>
      </w:r>
      <w:r>
        <w:rPr>
          <w:rFonts w:ascii="Times New Roman"/>
          <w:i/>
          <w:sz w:val="14"/>
        </w:rPr>
        <w:t>t </w:t>
      </w:r>
      <w:r>
        <w:rPr>
          <w:rFonts w:ascii="Times New Roman"/>
          <w:sz w:val="14"/>
        </w:rPr>
        <w:t>/0 </w:t>
      </w:r>
    </w:p>
    <w:p>
      <w:pPr>
        <w:pStyle w:val="BodyText"/>
        <w:spacing w:before="9"/>
        <w:rPr>
          <w:rFonts w:ascii="Times New Roman"/>
          <w:sz w:val="12"/>
        </w:rPr>
      </w:pPr>
      <w:r>
        <w:rPr/>
        <w:br w:type="column"/>
      </w:r>
      <w:r>
        <w:rPr>
          <w:rFonts w:ascii="Times New Roman"/>
          <w:sz w:val="12"/>
        </w:rPr>
      </w:r>
    </w:p>
    <w:p>
      <w:pPr>
        <w:spacing w:line="112" w:lineRule="exact" w:before="0"/>
        <w:ind w:left="335" w:right="0" w:firstLine="0"/>
        <w:jc w:val="left"/>
        <w:rPr>
          <w:rFonts w:ascii="Times New Roman"/>
          <w:i/>
          <w:sz w:val="14"/>
        </w:rPr>
      </w:pPr>
      <w:r>
        <w:rPr>
          <w:rFonts w:ascii="Times New Roman"/>
          <w:i/>
          <w:w w:val="98"/>
          <w:sz w:val="14"/>
        </w:rPr>
        <w:t>n</w:t>
      </w:r>
    </w:p>
    <w:p>
      <w:pPr>
        <w:spacing w:line="370" w:lineRule="exact" w:before="0"/>
        <w:ind w:left="241" w:right="0" w:firstLine="0"/>
        <w:jc w:val="left"/>
        <w:rPr>
          <w:rFonts w:ascii="Times New Roman" w:hAnsi="Times New Roman"/>
          <w:sz w:val="14"/>
        </w:rPr>
      </w:pPr>
      <w:r>
        <w:rPr>
          <w:rFonts w:ascii="Symbol" w:hAnsi="Symbol"/>
          <w:position w:val="1"/>
          <w:sz w:val="36"/>
        </w:rPr>
        <w:t></w:t>
      </w:r>
      <w:r>
        <w:rPr>
          <w:rFonts w:ascii="Times New Roman" w:hAnsi="Times New Roman"/>
          <w:spacing w:val="-68"/>
          <w:position w:val="1"/>
          <w:sz w:val="36"/>
        </w:rPr>
        <w:t> </w:t>
      </w:r>
      <w:r>
        <w:rPr>
          <w:rFonts w:ascii="Times New Roman" w:hAnsi="Times New Roman"/>
          <w:i/>
          <w:position w:val="6"/>
          <w:sz w:val="24"/>
        </w:rPr>
        <w:t>p</w:t>
      </w:r>
      <w:r>
        <w:rPr>
          <w:rFonts w:ascii="Times New Roman" w:hAnsi="Times New Roman"/>
          <w:i/>
          <w:sz w:val="14"/>
        </w:rPr>
        <w:t>it </w:t>
      </w:r>
      <w:r>
        <w:rPr>
          <w:rFonts w:ascii="Times New Roman" w:hAnsi="Times New Roman"/>
          <w:i/>
          <w:spacing w:val="-3"/>
          <w:position w:val="6"/>
          <w:sz w:val="24"/>
        </w:rPr>
        <w:t>q</w:t>
      </w:r>
      <w:r>
        <w:rPr>
          <w:rFonts w:ascii="Times New Roman" w:hAnsi="Times New Roman"/>
          <w:i/>
          <w:spacing w:val="-3"/>
          <w:sz w:val="14"/>
        </w:rPr>
        <w:t>i </w:t>
      </w:r>
      <w:r>
        <w:rPr>
          <w:rFonts w:ascii="Times New Roman" w:hAnsi="Times New Roman"/>
          <w:sz w:val="14"/>
        </w:rPr>
        <w:t>0</w:t>
      </w:r>
    </w:p>
    <w:p>
      <w:pPr>
        <w:tabs>
          <w:tab w:pos="1062" w:val="left" w:leader="none"/>
        </w:tabs>
        <w:spacing w:line="149" w:lineRule="exact" w:before="0"/>
        <w:ind w:left="211" w:right="0" w:firstLine="0"/>
        <w:jc w:val="left"/>
        <w:rPr>
          <w:rFonts w:ascii="Times New Roman" w:hAnsi="Times New Roman"/>
          <w:sz w:val="14"/>
        </w:rPr>
      </w:pPr>
      <w:r>
        <w:rPr/>
        <w:pict>
          <v:shape style="position:absolute;margin-left:214.812729pt;margin-top:.670034pt;width:6.6pt;height:12pt;mso-position-horizontal-relative:page;mso-position-vertical-relative:paragraph;z-index:1264" type="#_x0000_t202" filled="false" stroked="false">
            <v:textbox inset="0,0,0,0">
              <w:txbxContent>
                <w:p>
                  <w:pPr>
                    <w:spacing w:line="240" w:lineRule="exact" w:before="0"/>
                    <w:ind w:left="0" w:right="0" w:firstLine="0"/>
                    <w:jc w:val="left"/>
                    <w:rPr>
                      <w:rFonts w:ascii="Symbol" w:hAnsi="Symbol"/>
                      <w:sz w:val="24"/>
                    </w:rPr>
                  </w:pPr>
                  <w:r>
                    <w:rPr>
                      <w:rFonts w:ascii="Symbol" w:hAnsi="Symbol"/>
                      <w:w w:val="99"/>
                      <w:sz w:val="24"/>
                    </w:rPr>
                    <w:t></w:t>
                  </w:r>
                </w:p>
              </w:txbxContent>
            </v:textbox>
            <w10:wrap type="none"/>
          </v:shape>
        </w:pict>
      </w:r>
      <w:r>
        <w:rPr>
          <w:rFonts w:ascii="Times New Roman" w:hAnsi="Times New Roman"/>
          <w:i/>
          <w:w w:val="98"/>
          <w:sz w:val="14"/>
          <w:u w:val="single"/>
        </w:rPr>
        <w:t> </w:t>
      </w:r>
      <w:r>
        <w:rPr>
          <w:rFonts w:ascii="Times New Roman" w:hAnsi="Times New Roman"/>
          <w:i/>
          <w:spacing w:val="-2"/>
          <w:sz w:val="14"/>
          <w:u w:val="single"/>
        </w:rPr>
        <w:t> </w:t>
      </w:r>
      <w:r>
        <w:rPr>
          <w:rFonts w:ascii="Times New Roman" w:hAnsi="Times New Roman"/>
          <w:i/>
          <w:sz w:val="14"/>
          <w:u w:val="single"/>
        </w:rPr>
        <w:t>i</w:t>
      </w:r>
      <w:r>
        <w:rPr>
          <w:rFonts w:ascii="Symbol" w:hAnsi="Symbol"/>
          <w:sz w:val="14"/>
          <w:u w:val="single"/>
        </w:rPr>
        <w:t></w:t>
      </w:r>
      <w:r>
        <w:rPr>
          <w:rFonts w:ascii="Times New Roman" w:hAnsi="Times New Roman"/>
          <w:sz w:val="14"/>
          <w:u w:val="single"/>
        </w:rPr>
        <w:t>1</w:t>
        <w:tab/>
      </w:r>
    </w:p>
    <w:p>
      <w:pPr>
        <w:spacing w:line="112" w:lineRule="exact" w:before="6"/>
        <w:ind w:left="318" w:right="0" w:firstLine="0"/>
        <w:jc w:val="left"/>
        <w:rPr>
          <w:rFonts w:ascii="Times New Roman"/>
          <w:i/>
          <w:sz w:val="14"/>
        </w:rPr>
      </w:pPr>
      <w:r>
        <w:rPr>
          <w:rFonts w:ascii="Times New Roman"/>
          <w:i/>
          <w:w w:val="98"/>
          <w:sz w:val="14"/>
        </w:rPr>
        <w:t>n</w:t>
      </w:r>
    </w:p>
    <w:p>
      <w:pPr>
        <w:spacing w:line="370" w:lineRule="exact" w:before="0"/>
        <w:ind w:left="224" w:right="0" w:firstLine="0"/>
        <w:jc w:val="left"/>
        <w:rPr>
          <w:rFonts w:ascii="Times New Roman" w:hAnsi="Times New Roman"/>
          <w:sz w:val="14"/>
        </w:rPr>
      </w:pPr>
      <w:r>
        <w:rPr>
          <w:rFonts w:ascii="Symbol" w:hAnsi="Symbol"/>
          <w:position w:val="1"/>
          <w:sz w:val="36"/>
        </w:rPr>
        <w:t></w:t>
      </w:r>
      <w:r>
        <w:rPr>
          <w:rFonts w:ascii="Times New Roman" w:hAnsi="Times New Roman"/>
          <w:position w:val="1"/>
          <w:sz w:val="36"/>
        </w:rPr>
        <w:t> </w:t>
      </w:r>
      <w:r>
        <w:rPr>
          <w:rFonts w:ascii="Times New Roman" w:hAnsi="Times New Roman"/>
          <w:i/>
          <w:position w:val="6"/>
          <w:sz w:val="24"/>
        </w:rPr>
        <w:t>p</w:t>
      </w:r>
      <w:r>
        <w:rPr>
          <w:rFonts w:ascii="Times New Roman" w:hAnsi="Times New Roman"/>
          <w:i/>
          <w:sz w:val="14"/>
        </w:rPr>
        <w:t>i </w:t>
      </w:r>
      <w:r>
        <w:rPr>
          <w:rFonts w:ascii="Times New Roman" w:hAnsi="Times New Roman"/>
          <w:sz w:val="14"/>
        </w:rPr>
        <w:t>0 </w:t>
      </w:r>
      <w:r>
        <w:rPr>
          <w:rFonts w:ascii="Times New Roman" w:hAnsi="Times New Roman"/>
          <w:i/>
          <w:position w:val="6"/>
          <w:sz w:val="24"/>
        </w:rPr>
        <w:t>q</w:t>
      </w:r>
      <w:r>
        <w:rPr>
          <w:rFonts w:ascii="Times New Roman" w:hAnsi="Times New Roman"/>
          <w:i/>
          <w:sz w:val="14"/>
        </w:rPr>
        <w:t>i </w:t>
      </w:r>
      <w:r>
        <w:rPr>
          <w:rFonts w:ascii="Times New Roman" w:hAnsi="Times New Roman"/>
          <w:sz w:val="14"/>
        </w:rPr>
        <w:t>0</w:t>
      </w:r>
    </w:p>
    <w:p>
      <w:pPr>
        <w:spacing w:line="149" w:lineRule="exact" w:before="0"/>
        <w:ind w:left="263" w:right="0" w:firstLine="0"/>
        <w:jc w:val="left"/>
        <w:rPr>
          <w:rFonts w:ascii="Times New Roman" w:hAnsi="Times New Roman"/>
          <w:sz w:val="14"/>
        </w:rPr>
      </w:pPr>
      <w:r>
        <w:rPr>
          <w:rFonts w:ascii="Times New Roman" w:hAnsi="Times New Roman"/>
          <w:i/>
          <w:sz w:val="14"/>
        </w:rPr>
        <w:t>i</w:t>
      </w:r>
      <w:r>
        <w:rPr>
          <w:rFonts w:ascii="Symbol" w:hAnsi="Symbol"/>
          <w:sz w:val="14"/>
        </w:rPr>
        <w:t></w:t>
      </w:r>
      <w:r>
        <w:rPr>
          <w:rFonts w:ascii="Times New Roman" w:hAnsi="Times New Roman"/>
          <w:sz w:val="14"/>
        </w:rPr>
        <w:t>1</w:t>
      </w:r>
    </w:p>
    <w:p>
      <w:pPr>
        <w:spacing w:after="0" w:line="149" w:lineRule="exact"/>
        <w:jc w:val="left"/>
        <w:rPr>
          <w:rFonts w:ascii="Times New Roman" w:hAnsi="Times New Roman"/>
          <w:sz w:val="14"/>
        </w:rPr>
        <w:sectPr>
          <w:type w:val="continuous"/>
          <w:pgSz w:w="12240" w:h="15840"/>
          <w:pgMar w:top="1500" w:bottom="280" w:left="1580" w:right="1580"/>
          <w:cols w:num="2" w:equalWidth="0">
            <w:col w:w="2656" w:space="40"/>
            <w:col w:w="6384"/>
          </w:cols>
        </w:sectPr>
      </w:pPr>
    </w:p>
    <w:p>
      <w:pPr>
        <w:pStyle w:val="BodyText"/>
        <w:spacing w:before="6"/>
        <w:rPr>
          <w:rFonts w:ascii="Times New Roman"/>
          <w:sz w:val="16"/>
        </w:rPr>
      </w:pPr>
    </w:p>
    <w:p>
      <w:pPr>
        <w:pStyle w:val="BodyText"/>
        <w:spacing w:before="72"/>
        <w:ind w:left="122" w:right="116"/>
        <w:jc w:val="both"/>
      </w:pPr>
      <w:r>
        <w:rPr>
          <w:position w:val="2"/>
        </w:rPr>
        <w:t>q</w:t>
      </w:r>
      <w:r>
        <w:rPr>
          <w:sz w:val="14"/>
        </w:rPr>
        <w:t>i0 </w:t>
      </w:r>
      <w:r>
        <w:rPr>
          <w:position w:val="2"/>
        </w:rPr>
        <w:t>son cantidades representativas de los consumos de cada bien en el año base. En </w:t>
      </w:r>
      <w:r>
        <w:rPr/>
        <w:t>consecuencia, el índice de Laspeyres de precios compara las variaciones a través del </w:t>
      </w:r>
      <w:r>
        <w:rPr>
          <w:position w:val="2"/>
        </w:rPr>
        <w:t>tiempo de los precios de una cesta de consumo fija, en cantidades q</w:t>
      </w:r>
      <w:r>
        <w:rPr>
          <w:sz w:val="14"/>
        </w:rPr>
        <w:t>i0</w:t>
      </w:r>
      <w:r>
        <w:rPr>
          <w:position w:val="2"/>
        </w:rPr>
        <w:t>, por lo que describe, </w:t>
      </w:r>
      <w:r>
        <w:rPr/>
        <w:t>año tras año, la evolución del costo de un conjunto concreto, bien definido y fijo de consumos.</w:t>
      </w:r>
    </w:p>
    <w:p>
      <w:pPr>
        <w:spacing w:after="0"/>
        <w:jc w:val="both"/>
        <w:sectPr>
          <w:type w:val="continuous"/>
          <w:pgSz w:w="12240" w:h="15840"/>
          <w:pgMar w:top="1500" w:bottom="280" w:left="1580" w:right="1580"/>
        </w:sectPr>
      </w:pPr>
    </w:p>
    <w:p>
      <w:pPr>
        <w:pStyle w:val="BodyText"/>
        <w:spacing w:before="53"/>
        <w:ind w:left="122" w:right="115"/>
        <w:jc w:val="both"/>
      </w:pPr>
      <w:r>
        <w:rPr/>
        <w:t>Existe también un </w:t>
      </w:r>
      <w:r>
        <w:rPr>
          <w:i/>
        </w:rPr>
        <w:t>índice de Laspeyres de cantidades</w:t>
      </w:r>
      <w:r>
        <w:rPr/>
        <w:t>, que se formula ponderando éstas con precios fijos. Proporciona el cociente entre el valor económico de un vector de cantidades producidas de </w:t>
      </w:r>
      <w:r>
        <w:rPr>
          <w:i/>
        </w:rPr>
        <w:t>n </w:t>
      </w:r>
      <w:r>
        <w:rPr/>
        <w:t>bienes en dos instantes de tiempo, a precios de período base. Puede interpretarse también en el sentido de que proporciona la evolución temporal del gasto,</w:t>
      </w:r>
      <w:r>
        <w:rPr>
          <w:spacing w:val="-7"/>
        </w:rPr>
        <w:t> </w:t>
      </w:r>
      <w:r>
        <w:rPr/>
        <w:t>dadas</w:t>
      </w:r>
      <w:r>
        <w:rPr>
          <w:spacing w:val="-7"/>
        </w:rPr>
        <w:t> </w:t>
      </w:r>
      <w:r>
        <w:rPr/>
        <w:t>las</w:t>
      </w:r>
      <w:r>
        <w:rPr>
          <w:spacing w:val="-8"/>
        </w:rPr>
        <w:t> </w:t>
      </w:r>
      <w:r>
        <w:rPr/>
        <w:t>trayectorias</w:t>
      </w:r>
      <w:r>
        <w:rPr>
          <w:spacing w:val="-8"/>
        </w:rPr>
        <w:t> </w:t>
      </w:r>
      <w:r>
        <w:rPr/>
        <w:t>que</w:t>
      </w:r>
      <w:r>
        <w:rPr>
          <w:spacing w:val="-8"/>
        </w:rPr>
        <w:t> </w:t>
      </w:r>
      <w:r>
        <w:rPr/>
        <w:t>han</w:t>
      </w:r>
      <w:r>
        <w:rPr>
          <w:spacing w:val="-8"/>
        </w:rPr>
        <w:t> </w:t>
      </w:r>
      <w:r>
        <w:rPr/>
        <w:t>seguido</w:t>
      </w:r>
      <w:r>
        <w:rPr>
          <w:spacing w:val="-6"/>
        </w:rPr>
        <w:t> </w:t>
      </w:r>
      <w:r>
        <w:rPr/>
        <w:t>las</w:t>
      </w:r>
      <w:r>
        <w:rPr>
          <w:spacing w:val="-10"/>
        </w:rPr>
        <w:t> </w:t>
      </w:r>
      <w:r>
        <w:rPr/>
        <w:t>cantidades</w:t>
      </w:r>
      <w:r>
        <w:rPr>
          <w:spacing w:val="-7"/>
        </w:rPr>
        <w:t> </w:t>
      </w:r>
      <w:r>
        <w:rPr/>
        <w:t>consumidas</w:t>
      </w:r>
      <w:r>
        <w:rPr>
          <w:spacing w:val="-10"/>
        </w:rPr>
        <w:t> </w:t>
      </w:r>
      <w:r>
        <w:rPr/>
        <w:t>de</w:t>
      </w:r>
      <w:r>
        <w:rPr>
          <w:spacing w:val="-6"/>
        </w:rPr>
        <w:t> </w:t>
      </w:r>
      <w:r>
        <w:rPr/>
        <w:t>dichos</w:t>
      </w:r>
      <w:r>
        <w:rPr>
          <w:spacing w:val="-7"/>
        </w:rPr>
        <w:t> </w:t>
      </w:r>
      <w:r>
        <w:rPr/>
        <w:t>bienes y</w:t>
      </w:r>
      <w:r>
        <w:rPr>
          <w:spacing w:val="-5"/>
        </w:rPr>
        <w:t> </w:t>
      </w:r>
      <w:r>
        <w:rPr/>
        <w:t>bajo</w:t>
      </w:r>
      <w:r>
        <w:rPr>
          <w:spacing w:val="-5"/>
        </w:rPr>
        <w:t> </w:t>
      </w:r>
      <w:r>
        <w:rPr/>
        <w:t>el</w:t>
      </w:r>
      <w:r>
        <w:rPr>
          <w:spacing w:val="-4"/>
        </w:rPr>
        <w:t> </w:t>
      </w:r>
      <w:r>
        <w:rPr/>
        <w:t>supuesto</w:t>
      </w:r>
      <w:r>
        <w:rPr>
          <w:spacing w:val="-5"/>
        </w:rPr>
        <w:t> </w:t>
      </w:r>
      <w:r>
        <w:rPr/>
        <w:t>de</w:t>
      </w:r>
      <w:r>
        <w:rPr>
          <w:spacing w:val="-8"/>
        </w:rPr>
        <w:t> </w:t>
      </w:r>
      <w:r>
        <w:rPr/>
        <w:t>que</w:t>
      </w:r>
      <w:r>
        <w:rPr>
          <w:spacing w:val="-3"/>
        </w:rPr>
        <w:t> </w:t>
      </w:r>
      <w:r>
        <w:rPr/>
        <w:t>los</w:t>
      </w:r>
      <w:r>
        <w:rPr>
          <w:spacing w:val="-5"/>
        </w:rPr>
        <w:t> </w:t>
      </w:r>
      <w:r>
        <w:rPr/>
        <w:t>precios</w:t>
      </w:r>
      <w:r>
        <w:rPr>
          <w:spacing w:val="-5"/>
        </w:rPr>
        <w:t> </w:t>
      </w:r>
      <w:r>
        <w:rPr/>
        <w:t>de</w:t>
      </w:r>
      <w:r>
        <w:rPr>
          <w:spacing w:val="-6"/>
        </w:rPr>
        <w:t> </w:t>
      </w:r>
      <w:r>
        <w:rPr/>
        <w:t>los</w:t>
      </w:r>
      <w:r>
        <w:rPr>
          <w:spacing w:val="-3"/>
        </w:rPr>
        <w:t> </w:t>
      </w:r>
      <w:r>
        <w:rPr>
          <w:i/>
        </w:rPr>
        <w:t>n</w:t>
      </w:r>
      <w:r>
        <w:rPr>
          <w:i/>
          <w:spacing w:val="-5"/>
        </w:rPr>
        <w:t> </w:t>
      </w:r>
      <w:r>
        <w:rPr/>
        <w:t>bienes</w:t>
      </w:r>
      <w:r>
        <w:rPr>
          <w:spacing w:val="-3"/>
        </w:rPr>
        <w:t> </w:t>
      </w:r>
      <w:r>
        <w:rPr/>
        <w:t>no</w:t>
      </w:r>
      <w:r>
        <w:rPr>
          <w:spacing w:val="-6"/>
        </w:rPr>
        <w:t> </w:t>
      </w:r>
      <w:r>
        <w:rPr/>
        <w:t>hubiesen</w:t>
      </w:r>
      <w:r>
        <w:rPr>
          <w:spacing w:val="-5"/>
        </w:rPr>
        <w:t> </w:t>
      </w:r>
      <w:r>
        <w:rPr/>
        <w:t>variado</w:t>
      </w:r>
      <w:r>
        <w:rPr>
          <w:spacing w:val="-6"/>
        </w:rPr>
        <w:t> </w:t>
      </w:r>
      <w:r>
        <w:rPr/>
        <w:t>desde</w:t>
      </w:r>
      <w:r>
        <w:rPr>
          <w:spacing w:val="-3"/>
        </w:rPr>
        <w:t> </w:t>
      </w:r>
      <w:r>
        <w:rPr/>
        <w:t>el</w:t>
      </w:r>
      <w:r>
        <w:rPr>
          <w:spacing w:val="-6"/>
        </w:rPr>
        <w:t> </w:t>
      </w:r>
      <w:r>
        <w:rPr/>
        <w:t>periodo base:</w:t>
      </w:r>
    </w:p>
    <w:p>
      <w:pPr>
        <w:spacing w:after="0"/>
        <w:jc w:val="both"/>
        <w:sectPr>
          <w:pgSz w:w="12240" w:h="15840"/>
          <w:pgMar w:top="1360" w:bottom="280" w:left="1580" w:right="1580"/>
        </w:sectPr>
      </w:pPr>
    </w:p>
    <w:p>
      <w:pPr>
        <w:pStyle w:val="BodyText"/>
        <w:rPr>
          <w:sz w:val="28"/>
        </w:rPr>
      </w:pPr>
    </w:p>
    <w:p>
      <w:pPr>
        <w:pStyle w:val="BodyText"/>
        <w:spacing w:before="8"/>
        <w:rPr>
          <w:sz w:val="25"/>
        </w:rPr>
      </w:pPr>
    </w:p>
    <w:p>
      <w:pPr>
        <w:spacing w:before="1"/>
        <w:ind w:left="0" w:right="0" w:firstLine="0"/>
        <w:jc w:val="right"/>
        <w:rPr>
          <w:rFonts w:ascii="Times New Roman"/>
          <w:sz w:val="14"/>
        </w:rPr>
      </w:pPr>
      <w:r>
        <w:rPr>
          <w:rFonts w:ascii="Times New Roman"/>
          <w:i/>
          <w:position w:val="6"/>
          <w:sz w:val="24"/>
        </w:rPr>
        <w:t>L</w:t>
      </w:r>
      <w:r>
        <w:rPr>
          <w:rFonts w:ascii="Times New Roman"/>
          <w:i/>
          <w:sz w:val="14"/>
        </w:rPr>
        <w:t>t </w:t>
      </w:r>
      <w:r>
        <w:rPr>
          <w:rFonts w:ascii="Times New Roman"/>
          <w:sz w:val="14"/>
        </w:rPr>
        <w:t>/0 </w:t>
      </w:r>
    </w:p>
    <w:p>
      <w:pPr>
        <w:pStyle w:val="BodyText"/>
        <w:spacing w:before="10"/>
        <w:rPr>
          <w:rFonts w:ascii="Times New Roman"/>
          <w:sz w:val="12"/>
        </w:rPr>
      </w:pPr>
      <w:r>
        <w:rPr/>
        <w:br w:type="column"/>
      </w:r>
      <w:r>
        <w:rPr>
          <w:rFonts w:ascii="Times New Roman"/>
          <w:sz w:val="12"/>
        </w:rPr>
      </w:r>
    </w:p>
    <w:p>
      <w:pPr>
        <w:spacing w:line="112" w:lineRule="exact" w:before="0"/>
        <w:ind w:left="335" w:right="0" w:firstLine="0"/>
        <w:jc w:val="left"/>
        <w:rPr>
          <w:rFonts w:ascii="Times New Roman"/>
          <w:i/>
          <w:sz w:val="14"/>
        </w:rPr>
      </w:pPr>
      <w:r>
        <w:rPr>
          <w:rFonts w:ascii="Times New Roman"/>
          <w:i/>
          <w:w w:val="98"/>
          <w:sz w:val="14"/>
        </w:rPr>
        <w:t>n</w:t>
      </w:r>
    </w:p>
    <w:p>
      <w:pPr>
        <w:spacing w:line="370" w:lineRule="exact" w:before="0"/>
        <w:ind w:left="241" w:right="0" w:firstLine="0"/>
        <w:jc w:val="left"/>
        <w:rPr>
          <w:rFonts w:ascii="Times New Roman" w:hAnsi="Times New Roman"/>
          <w:sz w:val="14"/>
        </w:rPr>
      </w:pPr>
      <w:r>
        <w:rPr>
          <w:rFonts w:ascii="Symbol" w:hAnsi="Symbol"/>
          <w:position w:val="1"/>
          <w:sz w:val="36"/>
        </w:rPr>
        <w:t></w:t>
      </w:r>
      <w:r>
        <w:rPr>
          <w:rFonts w:ascii="Times New Roman" w:hAnsi="Times New Roman"/>
          <w:spacing w:val="-68"/>
          <w:position w:val="1"/>
          <w:sz w:val="36"/>
        </w:rPr>
        <w:t> </w:t>
      </w:r>
      <w:r>
        <w:rPr>
          <w:rFonts w:ascii="Times New Roman" w:hAnsi="Times New Roman"/>
          <w:i/>
          <w:position w:val="6"/>
          <w:sz w:val="24"/>
        </w:rPr>
        <w:t>p</w:t>
      </w:r>
      <w:r>
        <w:rPr>
          <w:rFonts w:ascii="Times New Roman" w:hAnsi="Times New Roman"/>
          <w:i/>
          <w:sz w:val="14"/>
        </w:rPr>
        <w:t>it </w:t>
      </w:r>
      <w:r>
        <w:rPr>
          <w:rFonts w:ascii="Times New Roman" w:hAnsi="Times New Roman"/>
          <w:i/>
          <w:spacing w:val="-3"/>
          <w:position w:val="6"/>
          <w:sz w:val="24"/>
        </w:rPr>
        <w:t>q</w:t>
      </w:r>
      <w:r>
        <w:rPr>
          <w:rFonts w:ascii="Times New Roman" w:hAnsi="Times New Roman"/>
          <w:i/>
          <w:spacing w:val="-3"/>
          <w:sz w:val="14"/>
        </w:rPr>
        <w:t>i </w:t>
      </w:r>
      <w:r>
        <w:rPr>
          <w:rFonts w:ascii="Times New Roman" w:hAnsi="Times New Roman"/>
          <w:sz w:val="14"/>
        </w:rPr>
        <w:t>0</w:t>
      </w:r>
    </w:p>
    <w:p>
      <w:pPr>
        <w:tabs>
          <w:tab w:pos="1062" w:val="left" w:leader="none"/>
        </w:tabs>
        <w:spacing w:line="149" w:lineRule="exact" w:before="0"/>
        <w:ind w:left="211" w:right="0" w:firstLine="0"/>
        <w:jc w:val="left"/>
        <w:rPr>
          <w:rFonts w:ascii="Times New Roman" w:hAnsi="Times New Roman"/>
          <w:sz w:val="14"/>
        </w:rPr>
      </w:pPr>
      <w:r>
        <w:rPr/>
        <w:pict>
          <v:shape style="position:absolute;margin-left:214.812729pt;margin-top:.670011pt;width:6.6pt;height:12pt;mso-position-horizontal-relative:page;mso-position-vertical-relative:paragraph;z-index:1312" type="#_x0000_t202" filled="false" stroked="false">
            <v:textbox inset="0,0,0,0">
              <w:txbxContent>
                <w:p>
                  <w:pPr>
                    <w:spacing w:line="240" w:lineRule="exact" w:before="0"/>
                    <w:ind w:left="0" w:right="0" w:firstLine="0"/>
                    <w:jc w:val="left"/>
                    <w:rPr>
                      <w:rFonts w:ascii="Symbol" w:hAnsi="Symbol"/>
                      <w:sz w:val="24"/>
                    </w:rPr>
                  </w:pPr>
                  <w:r>
                    <w:rPr>
                      <w:rFonts w:ascii="Symbol" w:hAnsi="Symbol"/>
                      <w:w w:val="99"/>
                      <w:sz w:val="24"/>
                    </w:rPr>
                    <w:t></w:t>
                  </w:r>
                </w:p>
              </w:txbxContent>
            </v:textbox>
            <w10:wrap type="none"/>
          </v:shape>
        </w:pict>
      </w:r>
      <w:r>
        <w:rPr>
          <w:rFonts w:ascii="Times New Roman" w:hAnsi="Times New Roman"/>
          <w:i/>
          <w:w w:val="98"/>
          <w:sz w:val="14"/>
          <w:u w:val="single"/>
        </w:rPr>
        <w:t> </w:t>
      </w:r>
      <w:r>
        <w:rPr>
          <w:rFonts w:ascii="Times New Roman" w:hAnsi="Times New Roman"/>
          <w:i/>
          <w:spacing w:val="-2"/>
          <w:sz w:val="14"/>
          <w:u w:val="single"/>
        </w:rPr>
        <w:t> </w:t>
      </w:r>
      <w:r>
        <w:rPr>
          <w:rFonts w:ascii="Times New Roman" w:hAnsi="Times New Roman"/>
          <w:i/>
          <w:sz w:val="14"/>
          <w:u w:val="single"/>
        </w:rPr>
        <w:t>i</w:t>
      </w:r>
      <w:r>
        <w:rPr>
          <w:rFonts w:ascii="Symbol" w:hAnsi="Symbol"/>
          <w:sz w:val="14"/>
          <w:u w:val="single"/>
        </w:rPr>
        <w:t></w:t>
      </w:r>
      <w:r>
        <w:rPr>
          <w:rFonts w:ascii="Times New Roman" w:hAnsi="Times New Roman"/>
          <w:sz w:val="14"/>
          <w:u w:val="single"/>
        </w:rPr>
        <w:t>1</w:t>
        <w:tab/>
      </w:r>
    </w:p>
    <w:p>
      <w:pPr>
        <w:spacing w:line="112" w:lineRule="exact" w:before="6"/>
        <w:ind w:left="318" w:right="0" w:firstLine="0"/>
        <w:jc w:val="left"/>
        <w:rPr>
          <w:rFonts w:ascii="Times New Roman"/>
          <w:i/>
          <w:sz w:val="14"/>
        </w:rPr>
      </w:pPr>
      <w:r>
        <w:rPr>
          <w:rFonts w:ascii="Times New Roman"/>
          <w:i/>
          <w:w w:val="98"/>
          <w:sz w:val="14"/>
        </w:rPr>
        <w:t>n</w:t>
      </w:r>
    </w:p>
    <w:p>
      <w:pPr>
        <w:spacing w:line="370" w:lineRule="exact" w:before="0"/>
        <w:ind w:left="224" w:right="0" w:firstLine="0"/>
        <w:jc w:val="left"/>
        <w:rPr>
          <w:rFonts w:ascii="Times New Roman" w:hAnsi="Times New Roman"/>
          <w:sz w:val="14"/>
        </w:rPr>
      </w:pPr>
      <w:r>
        <w:rPr>
          <w:rFonts w:ascii="Symbol" w:hAnsi="Symbol"/>
          <w:position w:val="1"/>
          <w:sz w:val="36"/>
        </w:rPr>
        <w:t></w:t>
      </w:r>
      <w:r>
        <w:rPr>
          <w:rFonts w:ascii="Times New Roman" w:hAnsi="Times New Roman"/>
          <w:position w:val="1"/>
          <w:sz w:val="36"/>
        </w:rPr>
        <w:t> </w:t>
      </w:r>
      <w:r>
        <w:rPr>
          <w:rFonts w:ascii="Times New Roman" w:hAnsi="Times New Roman"/>
          <w:i/>
          <w:position w:val="6"/>
          <w:sz w:val="24"/>
        </w:rPr>
        <w:t>p</w:t>
      </w:r>
      <w:r>
        <w:rPr>
          <w:rFonts w:ascii="Times New Roman" w:hAnsi="Times New Roman"/>
          <w:i/>
          <w:sz w:val="14"/>
        </w:rPr>
        <w:t>i </w:t>
      </w:r>
      <w:r>
        <w:rPr>
          <w:rFonts w:ascii="Times New Roman" w:hAnsi="Times New Roman"/>
          <w:sz w:val="14"/>
        </w:rPr>
        <w:t>0 </w:t>
      </w:r>
      <w:r>
        <w:rPr>
          <w:rFonts w:ascii="Times New Roman" w:hAnsi="Times New Roman"/>
          <w:i/>
          <w:position w:val="6"/>
          <w:sz w:val="24"/>
        </w:rPr>
        <w:t>q</w:t>
      </w:r>
      <w:r>
        <w:rPr>
          <w:rFonts w:ascii="Times New Roman" w:hAnsi="Times New Roman"/>
          <w:i/>
          <w:sz w:val="14"/>
        </w:rPr>
        <w:t>i </w:t>
      </w:r>
      <w:r>
        <w:rPr>
          <w:rFonts w:ascii="Times New Roman" w:hAnsi="Times New Roman"/>
          <w:sz w:val="14"/>
        </w:rPr>
        <w:t>0</w:t>
      </w:r>
    </w:p>
    <w:p>
      <w:pPr>
        <w:spacing w:line="149" w:lineRule="exact" w:before="0"/>
        <w:ind w:left="263" w:right="0" w:firstLine="0"/>
        <w:jc w:val="left"/>
        <w:rPr>
          <w:rFonts w:ascii="Times New Roman" w:hAnsi="Times New Roman"/>
          <w:sz w:val="14"/>
        </w:rPr>
      </w:pPr>
      <w:r>
        <w:rPr>
          <w:rFonts w:ascii="Times New Roman" w:hAnsi="Times New Roman"/>
          <w:i/>
          <w:sz w:val="14"/>
        </w:rPr>
        <w:t>i</w:t>
      </w:r>
      <w:r>
        <w:rPr>
          <w:rFonts w:ascii="Symbol" w:hAnsi="Symbol"/>
          <w:sz w:val="14"/>
        </w:rPr>
        <w:t></w:t>
      </w:r>
      <w:r>
        <w:rPr>
          <w:rFonts w:ascii="Times New Roman" w:hAnsi="Times New Roman"/>
          <w:sz w:val="14"/>
        </w:rPr>
        <w:t>1</w:t>
      </w:r>
    </w:p>
    <w:p>
      <w:pPr>
        <w:spacing w:after="0" w:line="149" w:lineRule="exact"/>
        <w:jc w:val="left"/>
        <w:rPr>
          <w:rFonts w:ascii="Times New Roman" w:hAnsi="Times New Roman"/>
          <w:sz w:val="14"/>
        </w:rPr>
        <w:sectPr>
          <w:type w:val="continuous"/>
          <w:pgSz w:w="12240" w:h="15840"/>
          <w:pgMar w:top="1500" w:bottom="280" w:left="1580" w:right="1580"/>
          <w:cols w:num="2" w:equalWidth="0">
            <w:col w:w="2656" w:space="40"/>
            <w:col w:w="6384"/>
          </w:cols>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18"/>
        </w:rPr>
      </w:pPr>
    </w:p>
    <w:p>
      <w:pPr>
        <w:spacing w:before="1"/>
        <w:ind w:left="122" w:right="0" w:firstLine="0"/>
        <w:jc w:val="left"/>
        <w:rPr>
          <w:sz w:val="22"/>
        </w:rPr>
      </w:pPr>
      <w:r>
        <w:rPr>
          <w:i/>
          <w:sz w:val="22"/>
        </w:rPr>
        <w:t>Ejemplo</w:t>
      </w:r>
      <w:r>
        <w:rPr>
          <w:sz w:val="22"/>
        </w:rPr>
        <w:t>:</w:t>
      </w:r>
    </w:p>
    <w:p>
      <w:pPr>
        <w:pStyle w:val="BodyText"/>
        <w:spacing w:before="7"/>
        <w:rPr>
          <w:sz w:val="18"/>
        </w:rPr>
      </w:pPr>
      <w:r>
        <w:rPr/>
        <w:pict>
          <v:group style="position:absolute;margin-left:84.853996pt;margin-top:12.658926pt;width:365.35pt;height:.5pt;mso-position-horizontal-relative:page;mso-position-vertical-relative:paragraph;z-index:1288;mso-wrap-distance-left:0;mso-wrap-distance-right:0" coordorigin="1697,253" coordsize="7307,10">
            <v:line style="position:absolute" from="1702,258" to="3058,258" stroked="true" strokeweight=".48001pt" strokecolor="#000000"/>
            <v:line style="position:absolute" from="3058,258" to="3068,258" stroked="true" strokeweight=".48001pt" strokecolor="#000000"/>
            <v:line style="position:absolute" from="3068,258" to="4383,258" stroked="true" strokeweight=".48001pt" strokecolor="#000000"/>
            <v:line style="position:absolute" from="4383,258" to="4393,258" stroked="true" strokeweight=".48001pt" strokecolor="#000000"/>
            <v:line style="position:absolute" from="4393,258" to="6755,258" stroked="true" strokeweight=".48001pt" strokecolor="#000000"/>
            <v:line style="position:absolute" from="6755,258" to="6765,258" stroked="true" strokeweight=".48001pt" strokecolor="#000000"/>
            <v:line style="position:absolute" from="6765,258" to="7984,258" stroked="true" strokeweight=".48001pt" strokecolor="#000000"/>
            <v:line style="position:absolute" from="7984,258" to="7993,258" stroked="true" strokeweight=".48001pt" strokecolor="#000000"/>
            <v:line style="position:absolute" from="7993,258" to="8999,258" stroked="true" strokeweight=".48001pt" strokecolor="#000000"/>
            <w10:wrap type="topAndBottom"/>
          </v:group>
        </w:pict>
      </w:r>
    </w:p>
    <w:p>
      <w:pPr>
        <w:pStyle w:val="Heading4"/>
        <w:tabs>
          <w:tab w:pos="2800" w:val="left" w:leader="none"/>
        </w:tabs>
        <w:spacing w:line="221" w:lineRule="exact" w:after="31"/>
        <w:ind w:left="981"/>
      </w:pPr>
      <w:r>
        <w:rPr/>
        <w:t>Bien</w:t>
      </w:r>
      <w:r>
        <w:rPr>
          <w:spacing w:val="-42"/>
        </w:rPr>
        <w:t> </w:t>
      </w:r>
      <w:r>
        <w:rPr/>
        <w:t>Consumo</w:t>
        <w:tab/>
        <w:t>Precio</w:t>
      </w:r>
      <w:r>
        <w:rPr>
          <w:spacing w:val="-1"/>
        </w:rPr>
        <w:t> </w:t>
      </w:r>
      <w:r>
        <w:rPr/>
        <w:t>unitario</w:t>
      </w: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99"/>
        <w:gridCol w:w="1408"/>
        <w:gridCol w:w="1174"/>
        <w:gridCol w:w="1313"/>
        <w:gridCol w:w="1018"/>
      </w:tblGrid>
      <w:tr>
        <w:trPr>
          <w:trHeight w:val="234" w:hRule="exact"/>
        </w:trPr>
        <w:tc>
          <w:tcPr>
            <w:tcW w:w="2399" w:type="dxa"/>
            <w:tcBorders>
              <w:bottom w:val="single" w:sz="4" w:space="0" w:color="000000"/>
            </w:tcBorders>
          </w:tcPr>
          <w:p>
            <w:pPr>
              <w:pStyle w:val="TableParagraph"/>
              <w:spacing w:line="226" w:lineRule="exact"/>
              <w:ind w:left="1370"/>
              <w:rPr>
                <w:b/>
                <w:sz w:val="22"/>
              </w:rPr>
            </w:pPr>
            <w:r>
              <w:rPr>
                <w:b/>
                <w:sz w:val="22"/>
              </w:rPr>
              <w:t>2003</w:t>
            </w:r>
          </w:p>
        </w:tc>
        <w:tc>
          <w:tcPr>
            <w:tcW w:w="1408" w:type="dxa"/>
            <w:tcBorders>
              <w:bottom w:val="single" w:sz="4" w:space="0" w:color="000000"/>
            </w:tcBorders>
          </w:tcPr>
          <w:p>
            <w:pPr>
              <w:pStyle w:val="TableParagraph"/>
              <w:spacing w:line="226" w:lineRule="exact"/>
              <w:ind w:left="294"/>
              <w:rPr>
                <w:b/>
                <w:sz w:val="22"/>
              </w:rPr>
            </w:pPr>
            <w:r>
              <w:rPr>
                <w:b/>
                <w:sz w:val="22"/>
              </w:rPr>
              <w:t>2003</w:t>
            </w:r>
          </w:p>
        </w:tc>
        <w:tc>
          <w:tcPr>
            <w:tcW w:w="1174" w:type="dxa"/>
            <w:tcBorders>
              <w:bottom w:val="single" w:sz="4" w:space="0" w:color="000000"/>
            </w:tcBorders>
          </w:tcPr>
          <w:p>
            <w:pPr>
              <w:pStyle w:val="TableParagraph"/>
              <w:spacing w:line="226" w:lineRule="exact"/>
              <w:rPr>
                <w:b/>
                <w:sz w:val="22"/>
              </w:rPr>
            </w:pPr>
            <w:r>
              <w:rPr>
                <w:b/>
                <w:sz w:val="22"/>
              </w:rPr>
              <w:t>2004</w:t>
            </w:r>
          </w:p>
        </w:tc>
        <w:tc>
          <w:tcPr>
            <w:tcW w:w="1313" w:type="dxa"/>
            <w:tcBorders>
              <w:bottom w:val="single" w:sz="4" w:space="0" w:color="000000"/>
            </w:tcBorders>
          </w:tcPr>
          <w:p>
            <w:pPr>
              <w:pStyle w:val="TableParagraph"/>
              <w:spacing w:line="226" w:lineRule="exact"/>
              <w:ind w:left="86"/>
              <w:rPr>
                <w:b/>
                <w:sz w:val="22"/>
              </w:rPr>
            </w:pPr>
            <w:r>
              <w:rPr>
                <w:b/>
                <w:sz w:val="22"/>
              </w:rPr>
              <w:t>qo*po</w:t>
            </w:r>
          </w:p>
        </w:tc>
        <w:tc>
          <w:tcPr>
            <w:tcW w:w="1018" w:type="dxa"/>
            <w:tcBorders>
              <w:bottom w:val="single" w:sz="4" w:space="0" w:color="000000"/>
            </w:tcBorders>
          </w:tcPr>
          <w:p>
            <w:pPr>
              <w:pStyle w:val="TableParagraph"/>
              <w:spacing w:line="226" w:lineRule="exact"/>
              <w:rPr>
                <w:b/>
                <w:sz w:val="22"/>
              </w:rPr>
            </w:pPr>
            <w:r>
              <w:rPr>
                <w:b/>
                <w:sz w:val="22"/>
              </w:rPr>
              <w:t>qo*pt</w:t>
            </w:r>
          </w:p>
        </w:tc>
      </w:tr>
      <w:tr>
        <w:trPr>
          <w:trHeight w:val="270" w:hRule="exact"/>
        </w:trPr>
        <w:tc>
          <w:tcPr>
            <w:tcW w:w="2399" w:type="dxa"/>
            <w:tcBorders>
              <w:top w:val="single" w:sz="4" w:space="0" w:color="000000"/>
            </w:tcBorders>
          </w:tcPr>
          <w:p>
            <w:pPr>
              <w:pStyle w:val="TableParagraph"/>
              <w:tabs>
                <w:tab w:pos="1370" w:val="left" w:leader="none"/>
              </w:tabs>
              <w:ind w:left="14"/>
              <w:rPr>
                <w:sz w:val="22"/>
              </w:rPr>
            </w:pPr>
            <w:r>
              <w:rPr>
                <w:sz w:val="22"/>
              </w:rPr>
              <w:t>Petróleo</w:t>
              <w:tab/>
              <w:t>110000</w:t>
            </w:r>
          </w:p>
        </w:tc>
        <w:tc>
          <w:tcPr>
            <w:tcW w:w="1408" w:type="dxa"/>
            <w:tcBorders>
              <w:top w:val="single" w:sz="4" w:space="0" w:color="000000"/>
            </w:tcBorders>
          </w:tcPr>
          <w:p>
            <w:pPr>
              <w:pStyle w:val="TableParagraph"/>
              <w:ind w:left="294"/>
              <w:rPr>
                <w:sz w:val="22"/>
              </w:rPr>
            </w:pPr>
            <w:r>
              <w:rPr>
                <w:sz w:val="22"/>
              </w:rPr>
              <w:t>24,36</w:t>
            </w:r>
          </w:p>
        </w:tc>
        <w:tc>
          <w:tcPr>
            <w:tcW w:w="1174" w:type="dxa"/>
            <w:tcBorders>
              <w:top w:val="single" w:sz="4" w:space="0" w:color="000000"/>
            </w:tcBorders>
          </w:tcPr>
          <w:p>
            <w:pPr>
              <w:pStyle w:val="TableParagraph"/>
              <w:rPr>
                <w:sz w:val="22"/>
              </w:rPr>
            </w:pPr>
            <w:r>
              <w:rPr>
                <w:sz w:val="22"/>
              </w:rPr>
              <w:t>36,05</w:t>
            </w:r>
          </w:p>
        </w:tc>
        <w:tc>
          <w:tcPr>
            <w:tcW w:w="1313" w:type="dxa"/>
            <w:tcBorders>
              <w:top w:val="single" w:sz="4" w:space="0" w:color="000000"/>
            </w:tcBorders>
          </w:tcPr>
          <w:p>
            <w:pPr>
              <w:pStyle w:val="TableParagraph"/>
              <w:ind w:left="86"/>
              <w:rPr>
                <w:sz w:val="22"/>
              </w:rPr>
            </w:pPr>
            <w:r>
              <w:rPr>
                <w:sz w:val="22"/>
              </w:rPr>
              <w:t>2679600</w:t>
            </w:r>
          </w:p>
        </w:tc>
        <w:tc>
          <w:tcPr>
            <w:tcW w:w="1018" w:type="dxa"/>
            <w:tcBorders>
              <w:top w:val="single" w:sz="4" w:space="0" w:color="000000"/>
            </w:tcBorders>
          </w:tcPr>
          <w:p>
            <w:pPr>
              <w:pStyle w:val="TableParagraph"/>
              <w:rPr>
                <w:sz w:val="22"/>
              </w:rPr>
            </w:pPr>
            <w:r>
              <w:rPr>
                <w:sz w:val="22"/>
              </w:rPr>
              <w:t>3965500</w:t>
            </w:r>
          </w:p>
        </w:tc>
      </w:tr>
      <w:tr>
        <w:trPr>
          <w:trHeight w:val="254" w:hRule="exact"/>
        </w:trPr>
        <w:tc>
          <w:tcPr>
            <w:tcW w:w="2399" w:type="dxa"/>
          </w:tcPr>
          <w:p>
            <w:pPr>
              <w:pStyle w:val="TableParagraph"/>
              <w:tabs>
                <w:tab w:pos="1370" w:val="left" w:leader="none"/>
              </w:tabs>
              <w:spacing w:line="242" w:lineRule="exact"/>
              <w:ind w:left="14"/>
              <w:rPr>
                <w:sz w:val="22"/>
              </w:rPr>
            </w:pPr>
            <w:r>
              <w:rPr>
                <w:sz w:val="22"/>
              </w:rPr>
              <w:t>Gasoil</w:t>
              <w:tab/>
              <w:t>260000</w:t>
            </w:r>
          </w:p>
        </w:tc>
        <w:tc>
          <w:tcPr>
            <w:tcW w:w="1408" w:type="dxa"/>
          </w:tcPr>
          <w:p>
            <w:pPr>
              <w:pStyle w:val="TableParagraph"/>
              <w:spacing w:line="242" w:lineRule="exact"/>
              <w:ind w:left="294"/>
              <w:rPr>
                <w:sz w:val="22"/>
              </w:rPr>
            </w:pPr>
            <w:r>
              <w:rPr>
                <w:sz w:val="22"/>
              </w:rPr>
              <w:t>18,4</w:t>
            </w:r>
          </w:p>
        </w:tc>
        <w:tc>
          <w:tcPr>
            <w:tcW w:w="1174" w:type="dxa"/>
          </w:tcPr>
          <w:p>
            <w:pPr>
              <w:pStyle w:val="TableParagraph"/>
              <w:spacing w:line="242" w:lineRule="exact"/>
              <w:rPr>
                <w:sz w:val="22"/>
              </w:rPr>
            </w:pPr>
            <w:r>
              <w:rPr>
                <w:sz w:val="22"/>
              </w:rPr>
              <w:t>25,7</w:t>
            </w:r>
          </w:p>
        </w:tc>
        <w:tc>
          <w:tcPr>
            <w:tcW w:w="1313" w:type="dxa"/>
          </w:tcPr>
          <w:p>
            <w:pPr>
              <w:pStyle w:val="TableParagraph"/>
              <w:spacing w:line="242" w:lineRule="exact"/>
              <w:ind w:left="86"/>
              <w:rPr>
                <w:sz w:val="22"/>
              </w:rPr>
            </w:pPr>
            <w:r>
              <w:rPr>
                <w:sz w:val="22"/>
              </w:rPr>
              <w:t>4784000</w:t>
            </w:r>
          </w:p>
        </w:tc>
        <w:tc>
          <w:tcPr>
            <w:tcW w:w="1018" w:type="dxa"/>
          </w:tcPr>
          <w:p>
            <w:pPr>
              <w:pStyle w:val="TableParagraph"/>
              <w:spacing w:line="242" w:lineRule="exact"/>
              <w:rPr>
                <w:sz w:val="22"/>
              </w:rPr>
            </w:pPr>
            <w:r>
              <w:rPr>
                <w:sz w:val="22"/>
              </w:rPr>
              <w:t>6682000</w:t>
            </w:r>
          </w:p>
        </w:tc>
      </w:tr>
      <w:tr>
        <w:trPr>
          <w:trHeight w:val="253" w:hRule="exact"/>
        </w:trPr>
        <w:tc>
          <w:tcPr>
            <w:tcW w:w="2399" w:type="dxa"/>
          </w:tcPr>
          <w:p>
            <w:pPr>
              <w:pStyle w:val="TableParagraph"/>
              <w:tabs>
                <w:tab w:pos="930" w:val="left" w:leader="none"/>
              </w:tabs>
              <w:spacing w:line="242" w:lineRule="exact"/>
              <w:ind w:left="14"/>
              <w:rPr>
                <w:sz w:val="22"/>
              </w:rPr>
            </w:pPr>
            <w:r>
              <w:rPr>
                <w:sz w:val="22"/>
              </w:rPr>
              <w:t>Gasoil</w:t>
              <w:tab/>
              <w:t>para</w:t>
            </w:r>
          </w:p>
        </w:tc>
        <w:tc>
          <w:tcPr>
            <w:tcW w:w="1408" w:type="dxa"/>
          </w:tcPr>
          <w:p>
            <w:pPr/>
          </w:p>
        </w:tc>
        <w:tc>
          <w:tcPr>
            <w:tcW w:w="1174" w:type="dxa"/>
          </w:tcPr>
          <w:p>
            <w:pPr/>
          </w:p>
        </w:tc>
        <w:tc>
          <w:tcPr>
            <w:tcW w:w="1313" w:type="dxa"/>
          </w:tcPr>
          <w:p>
            <w:pPr/>
          </w:p>
        </w:tc>
        <w:tc>
          <w:tcPr>
            <w:tcW w:w="1018" w:type="dxa"/>
          </w:tcPr>
          <w:p>
            <w:pPr/>
          </w:p>
        </w:tc>
      </w:tr>
      <w:tr>
        <w:trPr>
          <w:trHeight w:val="253" w:hRule="exact"/>
        </w:trPr>
        <w:tc>
          <w:tcPr>
            <w:tcW w:w="2399" w:type="dxa"/>
          </w:tcPr>
          <w:p>
            <w:pPr>
              <w:pStyle w:val="TableParagraph"/>
              <w:tabs>
                <w:tab w:pos="1370" w:val="left" w:leader="none"/>
              </w:tabs>
              <w:spacing w:line="241" w:lineRule="exact"/>
              <w:ind w:left="14"/>
              <w:rPr>
                <w:sz w:val="22"/>
              </w:rPr>
            </w:pPr>
            <w:r>
              <w:rPr>
                <w:sz w:val="22"/>
              </w:rPr>
              <w:t>calefacción</w:t>
              <w:tab/>
              <w:t>500000</w:t>
            </w:r>
          </w:p>
        </w:tc>
        <w:tc>
          <w:tcPr>
            <w:tcW w:w="1408" w:type="dxa"/>
          </w:tcPr>
          <w:p>
            <w:pPr>
              <w:pStyle w:val="TableParagraph"/>
              <w:spacing w:line="241" w:lineRule="exact"/>
              <w:ind w:left="294"/>
              <w:rPr>
                <w:sz w:val="22"/>
              </w:rPr>
            </w:pPr>
            <w:r>
              <w:rPr>
                <w:sz w:val="22"/>
              </w:rPr>
              <w:t>6,3</w:t>
            </w:r>
          </w:p>
        </w:tc>
        <w:tc>
          <w:tcPr>
            <w:tcW w:w="1174" w:type="dxa"/>
          </w:tcPr>
          <w:p>
            <w:pPr>
              <w:pStyle w:val="TableParagraph"/>
              <w:spacing w:line="241" w:lineRule="exact"/>
              <w:rPr>
                <w:sz w:val="22"/>
              </w:rPr>
            </w:pPr>
            <w:r>
              <w:rPr>
                <w:sz w:val="22"/>
              </w:rPr>
              <w:t>9,2</w:t>
            </w:r>
          </w:p>
        </w:tc>
        <w:tc>
          <w:tcPr>
            <w:tcW w:w="1313" w:type="dxa"/>
          </w:tcPr>
          <w:p>
            <w:pPr>
              <w:pStyle w:val="TableParagraph"/>
              <w:spacing w:line="241" w:lineRule="exact"/>
              <w:ind w:left="86"/>
              <w:rPr>
                <w:sz w:val="22"/>
              </w:rPr>
            </w:pPr>
            <w:r>
              <w:rPr>
                <w:sz w:val="22"/>
              </w:rPr>
              <w:t>3150000</w:t>
            </w:r>
          </w:p>
        </w:tc>
        <w:tc>
          <w:tcPr>
            <w:tcW w:w="1018" w:type="dxa"/>
          </w:tcPr>
          <w:p>
            <w:pPr>
              <w:pStyle w:val="TableParagraph"/>
              <w:spacing w:line="241" w:lineRule="exact"/>
              <w:rPr>
                <w:sz w:val="22"/>
              </w:rPr>
            </w:pPr>
            <w:r>
              <w:rPr>
                <w:sz w:val="22"/>
              </w:rPr>
              <w:t>4600000</w:t>
            </w:r>
          </w:p>
        </w:tc>
      </w:tr>
      <w:tr>
        <w:trPr>
          <w:trHeight w:val="246" w:hRule="exact"/>
        </w:trPr>
        <w:tc>
          <w:tcPr>
            <w:tcW w:w="2399" w:type="dxa"/>
          </w:tcPr>
          <w:p>
            <w:pPr>
              <w:pStyle w:val="TableParagraph"/>
              <w:spacing w:line="242" w:lineRule="exact"/>
              <w:ind w:left="14"/>
              <w:rPr>
                <w:sz w:val="22"/>
              </w:rPr>
            </w:pPr>
            <w:r>
              <w:rPr>
                <w:sz w:val="22"/>
              </w:rPr>
              <w:t>Suma</w:t>
            </w:r>
          </w:p>
        </w:tc>
        <w:tc>
          <w:tcPr>
            <w:tcW w:w="1408" w:type="dxa"/>
          </w:tcPr>
          <w:p>
            <w:pPr/>
          </w:p>
        </w:tc>
        <w:tc>
          <w:tcPr>
            <w:tcW w:w="1174" w:type="dxa"/>
          </w:tcPr>
          <w:p>
            <w:pPr/>
          </w:p>
        </w:tc>
        <w:tc>
          <w:tcPr>
            <w:tcW w:w="1313" w:type="dxa"/>
          </w:tcPr>
          <w:p>
            <w:pPr>
              <w:pStyle w:val="TableParagraph"/>
              <w:spacing w:line="242" w:lineRule="exact"/>
              <w:ind w:left="86"/>
              <w:rPr>
                <w:sz w:val="22"/>
              </w:rPr>
            </w:pPr>
            <w:r>
              <w:rPr>
                <w:sz w:val="22"/>
              </w:rPr>
              <w:t>10613600</w:t>
            </w:r>
          </w:p>
        </w:tc>
        <w:tc>
          <w:tcPr>
            <w:tcW w:w="1018" w:type="dxa"/>
          </w:tcPr>
          <w:p>
            <w:pPr>
              <w:pStyle w:val="TableParagraph"/>
              <w:spacing w:line="242" w:lineRule="exact"/>
              <w:rPr>
                <w:sz w:val="22"/>
              </w:rPr>
            </w:pPr>
            <w:r>
              <w:rPr>
                <w:sz w:val="22"/>
              </w:rPr>
              <w:t>15247500</w:t>
            </w:r>
          </w:p>
        </w:tc>
      </w:tr>
      <w:tr>
        <w:trPr>
          <w:trHeight w:val="259" w:hRule="exact"/>
        </w:trPr>
        <w:tc>
          <w:tcPr>
            <w:tcW w:w="2399" w:type="dxa"/>
          </w:tcPr>
          <w:p>
            <w:pPr/>
          </w:p>
        </w:tc>
        <w:tc>
          <w:tcPr>
            <w:tcW w:w="1408" w:type="dxa"/>
          </w:tcPr>
          <w:p>
            <w:pPr/>
          </w:p>
        </w:tc>
        <w:tc>
          <w:tcPr>
            <w:tcW w:w="1174" w:type="dxa"/>
            <w:shd w:val="clear" w:color="auto" w:fill="FFFF00"/>
          </w:tcPr>
          <w:p>
            <w:pPr>
              <w:pStyle w:val="TableParagraph"/>
              <w:spacing w:line="248" w:lineRule="exact"/>
              <w:rPr>
                <w:b/>
                <w:sz w:val="22"/>
              </w:rPr>
            </w:pPr>
            <w:r>
              <w:rPr>
                <w:b/>
                <w:sz w:val="22"/>
              </w:rPr>
              <w:t>Indice de</w:t>
            </w:r>
          </w:p>
        </w:tc>
        <w:tc>
          <w:tcPr>
            <w:tcW w:w="1313" w:type="dxa"/>
            <w:shd w:val="clear" w:color="auto" w:fill="FFFF00"/>
          </w:tcPr>
          <w:p>
            <w:pPr/>
          </w:p>
        </w:tc>
        <w:tc>
          <w:tcPr>
            <w:tcW w:w="1018" w:type="dxa"/>
          </w:tcPr>
          <w:p>
            <w:pPr/>
          </w:p>
        </w:tc>
      </w:tr>
      <w:tr>
        <w:trPr>
          <w:trHeight w:val="252" w:hRule="exact"/>
        </w:trPr>
        <w:tc>
          <w:tcPr>
            <w:tcW w:w="2399" w:type="dxa"/>
            <w:tcBorders>
              <w:bottom w:val="single" w:sz="4" w:space="0" w:color="000000"/>
            </w:tcBorders>
          </w:tcPr>
          <w:p>
            <w:pPr/>
          </w:p>
        </w:tc>
        <w:tc>
          <w:tcPr>
            <w:tcW w:w="1408" w:type="dxa"/>
            <w:tcBorders>
              <w:bottom w:val="single" w:sz="4" w:space="0" w:color="000000"/>
            </w:tcBorders>
          </w:tcPr>
          <w:p>
            <w:pPr/>
          </w:p>
        </w:tc>
        <w:tc>
          <w:tcPr>
            <w:tcW w:w="1174" w:type="dxa"/>
            <w:tcBorders>
              <w:bottom w:val="single" w:sz="4" w:space="0" w:color="000000"/>
            </w:tcBorders>
            <w:shd w:val="clear" w:color="auto" w:fill="FFFF00"/>
          </w:tcPr>
          <w:p>
            <w:pPr>
              <w:pStyle w:val="TableParagraph"/>
              <w:spacing w:line="241" w:lineRule="exact"/>
              <w:rPr>
                <w:b/>
                <w:sz w:val="22"/>
              </w:rPr>
            </w:pPr>
            <w:r>
              <w:rPr>
                <w:b/>
                <w:sz w:val="22"/>
              </w:rPr>
              <w:t>Laspeyres</w:t>
            </w:r>
          </w:p>
        </w:tc>
        <w:tc>
          <w:tcPr>
            <w:tcW w:w="1313" w:type="dxa"/>
            <w:tcBorders>
              <w:bottom w:val="single" w:sz="4" w:space="0" w:color="000000"/>
            </w:tcBorders>
            <w:shd w:val="clear" w:color="auto" w:fill="FFFF00"/>
          </w:tcPr>
          <w:p>
            <w:pPr>
              <w:pStyle w:val="TableParagraph"/>
              <w:spacing w:line="241" w:lineRule="exact"/>
              <w:ind w:left="86"/>
              <w:rPr>
                <w:b/>
                <w:sz w:val="22"/>
              </w:rPr>
            </w:pPr>
            <w:r>
              <w:rPr>
                <w:b/>
                <w:sz w:val="22"/>
              </w:rPr>
              <w:t>143,66</w:t>
            </w:r>
          </w:p>
        </w:tc>
        <w:tc>
          <w:tcPr>
            <w:tcW w:w="1018" w:type="dxa"/>
            <w:tcBorders>
              <w:bottom w:val="single" w:sz="4" w:space="0" w:color="000000"/>
            </w:tcBorders>
          </w:tcPr>
          <w:p>
            <w:pPr/>
          </w:p>
        </w:tc>
      </w:tr>
    </w:tbl>
    <w:p>
      <w:pPr>
        <w:pStyle w:val="BodyText"/>
        <w:spacing w:before="5"/>
        <w:rPr>
          <w:b/>
          <w:sz w:val="17"/>
        </w:rPr>
      </w:pPr>
    </w:p>
    <w:p>
      <w:pPr>
        <w:spacing w:before="73"/>
        <w:ind w:left="122" w:right="0" w:firstLine="0"/>
        <w:jc w:val="left"/>
        <w:rPr>
          <w:i/>
          <w:sz w:val="22"/>
        </w:rPr>
      </w:pPr>
      <w:r>
        <w:rPr>
          <w:i/>
          <w:sz w:val="22"/>
        </w:rPr>
        <w:t>Índice de Paasche</w:t>
      </w:r>
    </w:p>
    <w:p>
      <w:pPr>
        <w:pStyle w:val="BodyText"/>
        <w:spacing w:before="9"/>
        <w:rPr>
          <w:i/>
          <w:sz w:val="20"/>
        </w:rPr>
      </w:pPr>
    </w:p>
    <w:p>
      <w:pPr>
        <w:pStyle w:val="BodyText"/>
        <w:ind w:left="122"/>
      </w:pPr>
      <w:r>
        <w:rPr/>
        <w:t>Índice de precios por agregación ponderada con pesos de cantidad en el año dado:</w:t>
      </w:r>
    </w:p>
    <w:p>
      <w:pPr>
        <w:spacing w:line="112" w:lineRule="exact" w:before="27"/>
        <w:ind w:left="3013" w:right="0" w:firstLine="0"/>
        <w:jc w:val="left"/>
        <w:rPr>
          <w:rFonts w:ascii="Times New Roman"/>
          <w:i/>
          <w:sz w:val="14"/>
        </w:rPr>
      </w:pPr>
      <w:r>
        <w:rPr>
          <w:rFonts w:ascii="Times New Roman"/>
          <w:i/>
          <w:w w:val="99"/>
          <w:sz w:val="14"/>
        </w:rPr>
        <w:t>n</w:t>
      </w:r>
    </w:p>
    <w:p>
      <w:pPr>
        <w:spacing w:line="375" w:lineRule="exact" w:before="0"/>
        <w:ind w:left="2920" w:right="0" w:firstLine="0"/>
        <w:jc w:val="left"/>
        <w:rPr>
          <w:rFonts w:ascii="Times New Roman" w:hAnsi="Times New Roman"/>
          <w:i/>
          <w:sz w:val="14"/>
        </w:rPr>
      </w:pPr>
      <w:r>
        <w:rPr/>
        <w:pict>
          <v:shape style="position:absolute;margin-left:213.972824pt;margin-top:19.176426pt;width:6.65pt;height:12pt;mso-position-horizontal-relative:page;mso-position-vertical-relative:paragraph;z-index:1336" type="#_x0000_t202" filled="false" stroked="false">
            <v:textbox inset="0,0,0,0">
              <w:txbxContent>
                <w:p>
                  <w:pPr>
                    <w:spacing w:line="240" w:lineRule="exact" w:before="0"/>
                    <w:ind w:left="0" w:right="0" w:firstLine="0"/>
                    <w:jc w:val="left"/>
                    <w:rPr>
                      <w:rFonts w:ascii="Symbol" w:hAnsi="Symbol"/>
                      <w:sz w:val="24"/>
                    </w:rPr>
                  </w:pPr>
                  <w:r>
                    <w:rPr>
                      <w:rFonts w:ascii="Symbol" w:hAnsi="Symbol"/>
                      <w:w w:val="100"/>
                      <w:sz w:val="24"/>
                    </w:rPr>
                    <w:t></w:t>
                  </w:r>
                </w:p>
              </w:txbxContent>
            </v:textbox>
            <w10:wrap type="none"/>
          </v:shape>
        </w:pict>
      </w:r>
      <w:r>
        <w:rPr>
          <w:rFonts w:ascii="Symbol" w:hAnsi="Symbol"/>
          <w:position w:val="1"/>
          <w:sz w:val="36"/>
        </w:rPr>
        <w:t></w:t>
      </w:r>
      <w:r>
        <w:rPr>
          <w:rFonts w:ascii="Times New Roman" w:hAnsi="Times New Roman"/>
          <w:position w:val="1"/>
          <w:sz w:val="36"/>
        </w:rPr>
        <w:t> </w:t>
      </w:r>
      <w:r>
        <w:rPr>
          <w:rFonts w:ascii="Times New Roman" w:hAnsi="Times New Roman"/>
          <w:i/>
          <w:position w:val="6"/>
          <w:sz w:val="24"/>
        </w:rPr>
        <w:t>p</w:t>
      </w:r>
      <w:r>
        <w:rPr>
          <w:rFonts w:ascii="Times New Roman" w:hAnsi="Times New Roman"/>
          <w:i/>
          <w:sz w:val="14"/>
        </w:rPr>
        <w:t>it </w:t>
      </w:r>
      <w:r>
        <w:rPr>
          <w:rFonts w:ascii="Times New Roman" w:hAnsi="Times New Roman"/>
          <w:i/>
          <w:position w:val="6"/>
          <w:sz w:val="24"/>
        </w:rPr>
        <w:t>q</w:t>
      </w:r>
      <w:r>
        <w:rPr>
          <w:rFonts w:ascii="Times New Roman" w:hAnsi="Times New Roman"/>
          <w:i/>
          <w:sz w:val="14"/>
        </w:rPr>
        <w:t>it</w:t>
      </w:r>
    </w:p>
    <w:p>
      <w:pPr>
        <w:spacing w:after="0" w:line="375" w:lineRule="exact"/>
        <w:jc w:val="left"/>
        <w:rPr>
          <w:rFonts w:ascii="Times New Roman" w:hAnsi="Times New Roman"/>
          <w:sz w:val="14"/>
        </w:rPr>
        <w:sectPr>
          <w:type w:val="continuous"/>
          <w:pgSz w:w="12240" w:h="15840"/>
          <w:pgMar w:top="1500" w:bottom="280" w:left="1580" w:right="1580"/>
        </w:sectPr>
      </w:pPr>
    </w:p>
    <w:p>
      <w:pPr>
        <w:spacing w:line="297" w:lineRule="exact" w:before="0"/>
        <w:ind w:left="0" w:right="0" w:firstLine="0"/>
        <w:jc w:val="right"/>
        <w:rPr>
          <w:rFonts w:ascii="Times New Roman"/>
          <w:sz w:val="14"/>
        </w:rPr>
      </w:pPr>
      <w:r>
        <w:rPr>
          <w:rFonts w:ascii="Times New Roman"/>
          <w:i/>
          <w:position w:val="6"/>
          <w:sz w:val="24"/>
        </w:rPr>
        <w:t>P</w:t>
      </w:r>
      <w:r>
        <w:rPr>
          <w:rFonts w:ascii="Times New Roman"/>
          <w:i/>
          <w:sz w:val="14"/>
        </w:rPr>
        <w:t>t </w:t>
      </w:r>
      <w:r>
        <w:rPr>
          <w:rFonts w:ascii="Times New Roman"/>
          <w:sz w:val="14"/>
        </w:rPr>
        <w:t>/0 </w:t>
      </w:r>
    </w:p>
    <w:p>
      <w:pPr>
        <w:tabs>
          <w:tab w:pos="1023" w:val="left" w:leader="none"/>
        </w:tabs>
        <w:spacing w:line="144" w:lineRule="exact" w:before="0"/>
        <w:ind w:left="210" w:right="0" w:firstLine="0"/>
        <w:jc w:val="left"/>
        <w:rPr>
          <w:rFonts w:ascii="Times New Roman" w:hAnsi="Times New Roman"/>
          <w:sz w:val="14"/>
        </w:rPr>
      </w:pPr>
      <w:r>
        <w:rPr/>
        <w:br w:type="column"/>
      </w:r>
      <w:r>
        <w:rPr>
          <w:rFonts w:ascii="Times New Roman" w:hAnsi="Times New Roman"/>
          <w:i/>
          <w:w w:val="99"/>
          <w:sz w:val="14"/>
          <w:u w:val="single"/>
        </w:rPr>
        <w:t> </w:t>
      </w:r>
      <w:r>
        <w:rPr>
          <w:rFonts w:ascii="Times New Roman" w:hAnsi="Times New Roman"/>
          <w:i/>
          <w:spacing w:val="-2"/>
          <w:sz w:val="14"/>
          <w:u w:val="single"/>
        </w:rPr>
        <w:t> </w:t>
      </w:r>
      <w:r>
        <w:rPr>
          <w:rFonts w:ascii="Times New Roman" w:hAnsi="Times New Roman"/>
          <w:i/>
          <w:sz w:val="14"/>
          <w:u w:val="single"/>
        </w:rPr>
        <w:t>i</w:t>
      </w:r>
      <w:r>
        <w:rPr>
          <w:rFonts w:ascii="Symbol" w:hAnsi="Symbol"/>
          <w:sz w:val="14"/>
          <w:u w:val="single"/>
        </w:rPr>
        <w:t></w:t>
      </w:r>
      <w:r>
        <w:rPr>
          <w:rFonts w:ascii="Times New Roman" w:hAnsi="Times New Roman"/>
          <w:sz w:val="14"/>
          <w:u w:val="single"/>
        </w:rPr>
        <w:t>1</w:t>
        <w:tab/>
      </w:r>
    </w:p>
    <w:p>
      <w:pPr>
        <w:spacing w:line="112" w:lineRule="exact" w:before="6"/>
        <w:ind w:left="316" w:right="0" w:firstLine="0"/>
        <w:jc w:val="left"/>
        <w:rPr>
          <w:rFonts w:ascii="Times New Roman"/>
          <w:i/>
          <w:sz w:val="14"/>
        </w:rPr>
      </w:pPr>
      <w:r>
        <w:rPr>
          <w:rFonts w:ascii="Times New Roman"/>
          <w:i/>
          <w:w w:val="99"/>
          <w:sz w:val="14"/>
        </w:rPr>
        <w:t>n</w:t>
      </w:r>
    </w:p>
    <w:p>
      <w:pPr>
        <w:spacing w:line="370" w:lineRule="exact" w:before="0"/>
        <w:ind w:left="223" w:right="0" w:firstLine="0"/>
        <w:jc w:val="left"/>
        <w:rPr>
          <w:rFonts w:ascii="Times New Roman" w:hAnsi="Times New Roman"/>
          <w:i/>
          <w:sz w:val="14"/>
        </w:rPr>
      </w:pPr>
      <w:r>
        <w:rPr>
          <w:rFonts w:ascii="Symbol" w:hAnsi="Symbol"/>
          <w:position w:val="1"/>
          <w:sz w:val="36"/>
        </w:rPr>
        <w:t></w:t>
      </w:r>
      <w:r>
        <w:rPr>
          <w:rFonts w:ascii="Times New Roman" w:hAnsi="Times New Roman"/>
          <w:position w:val="1"/>
          <w:sz w:val="36"/>
        </w:rPr>
        <w:t> </w:t>
      </w:r>
      <w:r>
        <w:rPr>
          <w:rFonts w:ascii="Times New Roman" w:hAnsi="Times New Roman"/>
          <w:i/>
          <w:position w:val="6"/>
          <w:sz w:val="24"/>
        </w:rPr>
        <w:t>p</w:t>
      </w:r>
      <w:r>
        <w:rPr>
          <w:rFonts w:ascii="Times New Roman" w:hAnsi="Times New Roman"/>
          <w:i/>
          <w:sz w:val="14"/>
        </w:rPr>
        <w:t>i </w:t>
      </w:r>
      <w:r>
        <w:rPr>
          <w:rFonts w:ascii="Times New Roman" w:hAnsi="Times New Roman"/>
          <w:sz w:val="14"/>
        </w:rPr>
        <w:t>0 </w:t>
      </w:r>
      <w:r>
        <w:rPr>
          <w:rFonts w:ascii="Times New Roman" w:hAnsi="Times New Roman"/>
          <w:i/>
          <w:position w:val="6"/>
          <w:sz w:val="24"/>
        </w:rPr>
        <w:t>q</w:t>
      </w:r>
      <w:r>
        <w:rPr>
          <w:rFonts w:ascii="Times New Roman" w:hAnsi="Times New Roman"/>
          <w:i/>
          <w:sz w:val="14"/>
        </w:rPr>
        <w:t>it</w:t>
      </w:r>
    </w:p>
    <w:p>
      <w:pPr>
        <w:spacing w:line="149" w:lineRule="exact" w:before="0"/>
        <w:ind w:left="261" w:right="0" w:firstLine="0"/>
        <w:jc w:val="left"/>
        <w:rPr>
          <w:rFonts w:ascii="Times New Roman" w:hAnsi="Times New Roman"/>
          <w:sz w:val="14"/>
        </w:rPr>
      </w:pPr>
      <w:r>
        <w:rPr>
          <w:rFonts w:ascii="Times New Roman" w:hAnsi="Times New Roman"/>
          <w:i/>
          <w:sz w:val="14"/>
        </w:rPr>
        <w:t>i</w:t>
      </w:r>
      <w:r>
        <w:rPr>
          <w:rFonts w:ascii="Symbol" w:hAnsi="Symbol"/>
          <w:sz w:val="14"/>
        </w:rPr>
        <w:t></w:t>
      </w:r>
      <w:r>
        <w:rPr>
          <w:rFonts w:ascii="Times New Roman" w:hAnsi="Times New Roman"/>
          <w:sz w:val="14"/>
        </w:rPr>
        <w:t>1</w:t>
      </w:r>
    </w:p>
    <w:p>
      <w:pPr>
        <w:spacing w:after="0" w:line="149" w:lineRule="exact"/>
        <w:jc w:val="left"/>
        <w:rPr>
          <w:rFonts w:ascii="Times New Roman" w:hAnsi="Times New Roman"/>
          <w:sz w:val="14"/>
        </w:rPr>
        <w:sectPr>
          <w:type w:val="continuous"/>
          <w:pgSz w:w="12240" w:h="15840"/>
          <w:pgMar w:top="1500" w:bottom="280" w:left="1580" w:right="1580"/>
          <w:cols w:num="2" w:equalWidth="0">
            <w:col w:w="2640" w:space="40"/>
            <w:col w:w="6400"/>
          </w:cols>
        </w:sectPr>
      </w:pPr>
    </w:p>
    <w:p>
      <w:pPr>
        <w:pStyle w:val="BodyText"/>
        <w:spacing w:before="6"/>
        <w:rPr>
          <w:rFonts w:ascii="Times New Roman"/>
          <w:sz w:val="16"/>
        </w:rPr>
      </w:pPr>
    </w:p>
    <w:p>
      <w:pPr>
        <w:pStyle w:val="BodyText"/>
        <w:spacing w:before="73"/>
        <w:ind w:left="122" w:right="119"/>
        <w:jc w:val="both"/>
      </w:pPr>
      <w:r>
        <w:rPr/>
        <w:t>Así, a diferencia del índice de Laspeyres, el índice de Paasche de precios compara canastas de consumo que varían con el año que se calcula. El costo de cada una de las canastas se relaciona por cociente, con el costo de la misma canasta en el año base.</w:t>
      </w:r>
    </w:p>
    <w:p>
      <w:pPr>
        <w:pStyle w:val="BodyText"/>
        <w:spacing w:before="9"/>
        <w:rPr>
          <w:sz w:val="20"/>
        </w:rPr>
      </w:pPr>
    </w:p>
    <w:p>
      <w:pPr>
        <w:pStyle w:val="BodyText"/>
        <w:ind w:left="122" w:right="123"/>
        <w:jc w:val="both"/>
      </w:pPr>
      <w:r>
        <w:rPr/>
        <w:t>De modo semejante al índice de precios de Paasche, puede definirse también el índice de cantidades de Paasche:</w:t>
      </w:r>
    </w:p>
    <w:p>
      <w:pPr>
        <w:spacing w:after="0"/>
        <w:jc w:val="both"/>
        <w:sectPr>
          <w:type w:val="continuous"/>
          <w:pgSz w:w="12240" w:h="15840"/>
          <w:pgMar w:top="1500" w:bottom="280" w:left="1580" w:right="1580"/>
        </w:sectPr>
      </w:pPr>
    </w:p>
    <w:p>
      <w:pPr>
        <w:pStyle w:val="BodyText"/>
        <w:rPr>
          <w:sz w:val="28"/>
        </w:rPr>
      </w:pPr>
    </w:p>
    <w:p>
      <w:pPr>
        <w:spacing w:before="211"/>
        <w:ind w:left="0" w:right="0" w:firstLine="0"/>
        <w:jc w:val="right"/>
        <w:rPr>
          <w:rFonts w:ascii="Times New Roman"/>
          <w:sz w:val="14"/>
        </w:rPr>
      </w:pPr>
      <w:r>
        <w:rPr>
          <w:rFonts w:ascii="Times New Roman"/>
          <w:i/>
          <w:position w:val="6"/>
          <w:sz w:val="24"/>
        </w:rPr>
        <w:t>P</w:t>
      </w:r>
      <w:r>
        <w:rPr>
          <w:rFonts w:ascii="Times New Roman"/>
          <w:i/>
          <w:sz w:val="14"/>
        </w:rPr>
        <w:t>t </w:t>
      </w:r>
      <w:r>
        <w:rPr>
          <w:rFonts w:ascii="Times New Roman"/>
          <w:sz w:val="14"/>
        </w:rPr>
        <w:t>/0 </w:t>
      </w:r>
    </w:p>
    <w:p>
      <w:pPr>
        <w:spacing w:line="112" w:lineRule="exact" w:before="63"/>
        <w:ind w:left="333" w:right="0" w:firstLine="0"/>
        <w:jc w:val="left"/>
        <w:rPr>
          <w:rFonts w:ascii="Times New Roman"/>
          <w:i/>
          <w:sz w:val="14"/>
        </w:rPr>
      </w:pPr>
      <w:r>
        <w:rPr/>
        <w:br w:type="column"/>
      </w:r>
      <w:r>
        <w:rPr>
          <w:rFonts w:ascii="Times New Roman"/>
          <w:i/>
          <w:sz w:val="14"/>
        </w:rPr>
        <w:t>n</w:t>
      </w:r>
    </w:p>
    <w:p>
      <w:pPr>
        <w:spacing w:line="370" w:lineRule="exact" w:before="0"/>
        <w:ind w:left="241" w:right="0" w:firstLine="0"/>
        <w:jc w:val="left"/>
        <w:rPr>
          <w:rFonts w:ascii="Times New Roman" w:hAnsi="Times New Roman"/>
          <w:i/>
          <w:sz w:val="14"/>
        </w:rPr>
      </w:pPr>
      <w:r>
        <w:rPr>
          <w:rFonts w:ascii="Symbol" w:hAnsi="Symbol"/>
          <w:position w:val="1"/>
          <w:sz w:val="36"/>
        </w:rPr>
        <w:t></w:t>
      </w:r>
      <w:r>
        <w:rPr>
          <w:rFonts w:ascii="Times New Roman" w:hAnsi="Times New Roman"/>
          <w:position w:val="1"/>
          <w:sz w:val="36"/>
        </w:rPr>
        <w:t> </w:t>
      </w:r>
      <w:r>
        <w:rPr>
          <w:rFonts w:ascii="Times New Roman" w:hAnsi="Times New Roman"/>
          <w:i/>
          <w:position w:val="6"/>
          <w:sz w:val="24"/>
        </w:rPr>
        <w:t>p</w:t>
      </w:r>
      <w:r>
        <w:rPr>
          <w:rFonts w:ascii="Times New Roman" w:hAnsi="Times New Roman"/>
          <w:i/>
          <w:sz w:val="14"/>
        </w:rPr>
        <w:t>it </w:t>
      </w:r>
      <w:r>
        <w:rPr>
          <w:rFonts w:ascii="Times New Roman" w:hAnsi="Times New Roman"/>
          <w:i/>
          <w:position w:val="6"/>
          <w:sz w:val="24"/>
        </w:rPr>
        <w:t>q</w:t>
      </w:r>
      <w:r>
        <w:rPr>
          <w:rFonts w:ascii="Times New Roman" w:hAnsi="Times New Roman"/>
          <w:i/>
          <w:sz w:val="14"/>
        </w:rPr>
        <w:t>it</w:t>
      </w:r>
    </w:p>
    <w:p>
      <w:pPr>
        <w:tabs>
          <w:tab w:pos="1023" w:val="left" w:leader="none"/>
        </w:tabs>
        <w:spacing w:line="149" w:lineRule="exact" w:before="0"/>
        <w:ind w:left="210" w:right="0" w:firstLine="0"/>
        <w:jc w:val="left"/>
        <w:rPr>
          <w:rFonts w:ascii="Times New Roman" w:hAnsi="Times New Roman"/>
          <w:sz w:val="14"/>
        </w:rPr>
      </w:pPr>
      <w:r>
        <w:rPr/>
        <w:pict>
          <v:shape style="position:absolute;margin-left:213.972824pt;margin-top:.670029pt;width:6.65pt;height:12pt;mso-position-horizontal-relative:page;mso-position-vertical-relative:paragraph;z-index:1384" type="#_x0000_t202" filled="false" stroked="false">
            <v:textbox inset="0,0,0,0">
              <w:txbxContent>
                <w:p>
                  <w:pPr>
                    <w:spacing w:line="240" w:lineRule="exact" w:before="0"/>
                    <w:ind w:left="0" w:right="0" w:firstLine="0"/>
                    <w:jc w:val="left"/>
                    <w:rPr>
                      <w:rFonts w:ascii="Symbol" w:hAnsi="Symbol"/>
                      <w:sz w:val="24"/>
                    </w:rPr>
                  </w:pPr>
                  <w:r>
                    <w:rPr>
                      <w:rFonts w:ascii="Symbol" w:hAnsi="Symbol"/>
                      <w:w w:val="100"/>
                      <w:sz w:val="24"/>
                    </w:rPr>
                    <w:t></w:t>
                  </w:r>
                </w:p>
              </w:txbxContent>
            </v:textbox>
            <w10:wrap type="none"/>
          </v:shape>
        </w:pict>
      </w:r>
      <w:r>
        <w:rPr>
          <w:rFonts w:ascii="Times New Roman" w:hAnsi="Times New Roman"/>
          <w:i/>
          <w:w w:val="99"/>
          <w:sz w:val="14"/>
          <w:u w:val="single"/>
        </w:rPr>
        <w:t> </w:t>
      </w:r>
      <w:r>
        <w:rPr>
          <w:rFonts w:ascii="Times New Roman" w:hAnsi="Times New Roman"/>
          <w:i/>
          <w:spacing w:val="-2"/>
          <w:sz w:val="14"/>
          <w:u w:val="single"/>
        </w:rPr>
        <w:t> </w:t>
      </w:r>
      <w:r>
        <w:rPr>
          <w:rFonts w:ascii="Times New Roman" w:hAnsi="Times New Roman"/>
          <w:i/>
          <w:sz w:val="14"/>
          <w:u w:val="single"/>
        </w:rPr>
        <w:t>i</w:t>
      </w:r>
      <w:r>
        <w:rPr>
          <w:rFonts w:ascii="Symbol" w:hAnsi="Symbol"/>
          <w:sz w:val="14"/>
          <w:u w:val="single"/>
        </w:rPr>
        <w:t></w:t>
      </w:r>
      <w:r>
        <w:rPr>
          <w:rFonts w:ascii="Times New Roman" w:hAnsi="Times New Roman"/>
          <w:sz w:val="14"/>
          <w:u w:val="single"/>
        </w:rPr>
        <w:t>1</w:t>
        <w:tab/>
      </w:r>
    </w:p>
    <w:p>
      <w:pPr>
        <w:spacing w:line="112" w:lineRule="exact" w:before="6"/>
        <w:ind w:left="316" w:right="0" w:firstLine="0"/>
        <w:jc w:val="left"/>
        <w:rPr>
          <w:rFonts w:ascii="Times New Roman"/>
          <w:i/>
          <w:sz w:val="14"/>
        </w:rPr>
      </w:pPr>
      <w:r>
        <w:rPr>
          <w:rFonts w:ascii="Times New Roman"/>
          <w:i/>
          <w:w w:val="99"/>
          <w:sz w:val="14"/>
        </w:rPr>
        <w:t>n</w:t>
      </w:r>
    </w:p>
    <w:p>
      <w:pPr>
        <w:spacing w:line="370" w:lineRule="exact" w:before="0"/>
        <w:ind w:left="223" w:right="0" w:firstLine="0"/>
        <w:jc w:val="left"/>
        <w:rPr>
          <w:rFonts w:ascii="Times New Roman" w:hAnsi="Times New Roman"/>
          <w:sz w:val="14"/>
        </w:rPr>
      </w:pPr>
      <w:r>
        <w:rPr>
          <w:rFonts w:ascii="Symbol" w:hAnsi="Symbol"/>
          <w:position w:val="1"/>
          <w:sz w:val="36"/>
        </w:rPr>
        <w:t></w:t>
      </w:r>
      <w:r>
        <w:rPr>
          <w:rFonts w:ascii="Times New Roman" w:hAnsi="Times New Roman"/>
          <w:spacing w:val="-68"/>
          <w:position w:val="1"/>
          <w:sz w:val="36"/>
        </w:rPr>
        <w:t> </w:t>
      </w:r>
      <w:r>
        <w:rPr>
          <w:rFonts w:ascii="Times New Roman" w:hAnsi="Times New Roman"/>
          <w:i/>
          <w:position w:val="6"/>
          <w:sz w:val="24"/>
        </w:rPr>
        <w:t>p</w:t>
      </w:r>
      <w:r>
        <w:rPr>
          <w:rFonts w:ascii="Times New Roman" w:hAnsi="Times New Roman"/>
          <w:i/>
          <w:sz w:val="14"/>
        </w:rPr>
        <w:t>it </w:t>
      </w:r>
      <w:r>
        <w:rPr>
          <w:rFonts w:ascii="Times New Roman" w:hAnsi="Times New Roman"/>
          <w:i/>
          <w:spacing w:val="-4"/>
          <w:position w:val="6"/>
          <w:sz w:val="24"/>
        </w:rPr>
        <w:t>q</w:t>
      </w:r>
      <w:r>
        <w:rPr>
          <w:rFonts w:ascii="Times New Roman" w:hAnsi="Times New Roman"/>
          <w:i/>
          <w:spacing w:val="-4"/>
          <w:sz w:val="14"/>
        </w:rPr>
        <w:t>i </w:t>
      </w:r>
      <w:r>
        <w:rPr>
          <w:rFonts w:ascii="Times New Roman" w:hAnsi="Times New Roman"/>
          <w:sz w:val="14"/>
        </w:rPr>
        <w:t>0</w:t>
      </w:r>
    </w:p>
    <w:p>
      <w:pPr>
        <w:spacing w:line="149" w:lineRule="exact" w:before="0"/>
        <w:ind w:left="261" w:right="0" w:firstLine="0"/>
        <w:jc w:val="left"/>
        <w:rPr>
          <w:rFonts w:ascii="Times New Roman" w:hAnsi="Times New Roman"/>
          <w:sz w:val="14"/>
        </w:rPr>
      </w:pPr>
      <w:r>
        <w:rPr>
          <w:rFonts w:ascii="Times New Roman" w:hAnsi="Times New Roman"/>
          <w:i/>
          <w:sz w:val="14"/>
        </w:rPr>
        <w:t>i</w:t>
      </w:r>
      <w:r>
        <w:rPr>
          <w:rFonts w:ascii="Symbol" w:hAnsi="Symbol"/>
          <w:sz w:val="14"/>
        </w:rPr>
        <w:t></w:t>
      </w:r>
      <w:r>
        <w:rPr>
          <w:rFonts w:ascii="Times New Roman" w:hAnsi="Times New Roman"/>
          <w:sz w:val="14"/>
        </w:rPr>
        <w:t>1</w:t>
      </w:r>
    </w:p>
    <w:p>
      <w:pPr>
        <w:spacing w:after="0" w:line="149" w:lineRule="exact"/>
        <w:jc w:val="left"/>
        <w:rPr>
          <w:rFonts w:ascii="Times New Roman" w:hAnsi="Times New Roman"/>
          <w:sz w:val="14"/>
        </w:rPr>
        <w:sectPr>
          <w:pgSz w:w="12240" w:h="15840"/>
          <w:pgMar w:top="1380" w:bottom="280" w:left="1580" w:right="1580"/>
          <w:cols w:num="2" w:equalWidth="0">
            <w:col w:w="2640" w:space="40"/>
            <w:col w:w="6400"/>
          </w:cols>
        </w:sectPr>
      </w:pPr>
    </w:p>
    <w:p>
      <w:pPr>
        <w:pStyle w:val="BodyText"/>
        <w:spacing w:before="4"/>
        <w:rPr>
          <w:rFonts w:ascii="Times New Roman"/>
          <w:sz w:val="16"/>
        </w:rPr>
      </w:pPr>
    </w:p>
    <w:p>
      <w:pPr>
        <w:pStyle w:val="BodyText"/>
        <w:spacing w:before="73"/>
        <w:ind w:left="122" w:right="117"/>
        <w:jc w:val="both"/>
      </w:pPr>
      <w:r>
        <w:rPr/>
        <w:t>Comparando el valor de los vectores de cantidades en los períodos corriente y base a precios del año corriente por lo que, nuevamente, las ponderaciones que aparecen en el índice cambian cada año.</w:t>
      </w:r>
    </w:p>
    <w:p>
      <w:pPr>
        <w:spacing w:before="121"/>
        <w:ind w:left="122" w:right="0" w:firstLine="0"/>
        <w:jc w:val="both"/>
        <w:rPr>
          <w:i/>
          <w:sz w:val="22"/>
        </w:rPr>
      </w:pPr>
      <w:r>
        <w:rPr>
          <w:i/>
          <w:sz w:val="22"/>
        </w:rPr>
        <w:t>Ejemplo</w:t>
      </w:r>
    </w:p>
    <w:p>
      <w:pPr>
        <w:pStyle w:val="BodyText"/>
        <w:rPr>
          <w:i/>
        </w:rPr>
      </w:pPr>
    </w:p>
    <w:p>
      <w:pPr>
        <w:pStyle w:val="BodyText"/>
        <w:spacing w:line="20" w:lineRule="exact"/>
        <w:ind w:left="117"/>
        <w:rPr>
          <w:sz w:val="2"/>
        </w:rPr>
      </w:pPr>
      <w:r>
        <w:rPr>
          <w:sz w:val="2"/>
        </w:rPr>
        <w:pict>
          <v:group style="width:362.15pt;height:.5pt;mso-position-horizontal-relative:char;mso-position-vertical-relative:line" coordorigin="0,0" coordsize="7243,10">
            <v:line style="position:absolute" from="5,5" to="1805,5" stroked="true" strokeweight=".48001pt" strokecolor="#000000"/>
            <v:line style="position:absolute" from="1805,5" to="1815,5" stroked="true" strokeweight=".48001pt" strokecolor="#000000"/>
            <v:line style="position:absolute" from="1815,5" to="2885,5" stroked="true" strokeweight=".48001pt" strokecolor="#000000"/>
            <v:line style="position:absolute" from="2886,5" to="2895,5" stroked="true" strokeweight=".48001pt" strokecolor="#000000"/>
            <v:line style="position:absolute" from="2895,5" to="3786,5" stroked="true" strokeweight=".48001pt" strokecolor="#000000"/>
            <v:line style="position:absolute" from="3786,5" to="3795,5" stroked="true" strokeweight=".48001pt" strokecolor="#000000"/>
            <v:line style="position:absolute" from="3795,5" to="5226,5" stroked="true" strokeweight=".48001pt" strokecolor="#000000"/>
            <v:line style="position:absolute" from="5226,5" to="5236,5" stroked="true" strokeweight=".48001pt" strokecolor="#000000"/>
            <v:line style="position:absolute" from="5236,5" to="6244,5" stroked="true" strokeweight=".48001pt" strokecolor="#000000"/>
            <v:line style="position:absolute" from="6244,5" to="6253,5" stroked="true" strokeweight=".48001pt" strokecolor="#000000"/>
            <v:line style="position:absolute" from="6253,5" to="7237,5" stroked="true" strokeweight=".48001pt" strokecolor="#000000"/>
          </v:group>
        </w:pict>
      </w:r>
      <w:r>
        <w:rPr>
          <w:sz w:val="2"/>
        </w:rPr>
      </w:r>
    </w:p>
    <w:p>
      <w:pPr>
        <w:spacing w:after="0" w:line="20" w:lineRule="exact"/>
        <w:rPr>
          <w:sz w:val="2"/>
        </w:rPr>
        <w:sectPr>
          <w:type w:val="continuous"/>
          <w:pgSz w:w="12240" w:h="15840"/>
          <w:pgMar w:top="1500" w:bottom="280" w:left="1580" w:right="1580"/>
        </w:sectPr>
      </w:pPr>
    </w:p>
    <w:p>
      <w:pPr>
        <w:pStyle w:val="BodyText"/>
        <w:spacing w:before="9"/>
        <w:rPr>
          <w:i/>
          <w:sz w:val="20"/>
        </w:rPr>
      </w:pPr>
    </w:p>
    <w:p>
      <w:pPr>
        <w:pStyle w:val="Heading4"/>
        <w:ind w:left="0"/>
        <w:jc w:val="right"/>
      </w:pPr>
      <w:r>
        <w:rPr/>
        <w:t>Bien</w:t>
      </w:r>
    </w:p>
    <w:p>
      <w:pPr>
        <w:pStyle w:val="BodyText"/>
        <w:rPr>
          <w:b/>
        </w:rPr>
      </w:pPr>
      <w:r>
        <w:rPr/>
        <w:br w:type="column"/>
      </w:r>
      <w:r>
        <w:rPr>
          <w:b/>
        </w:rPr>
      </w:r>
    </w:p>
    <w:p>
      <w:pPr>
        <w:pStyle w:val="BodyText"/>
        <w:spacing w:before="8"/>
        <w:rPr>
          <w:b/>
          <w:sz w:val="20"/>
        </w:rPr>
      </w:pPr>
    </w:p>
    <w:p>
      <w:pPr>
        <w:spacing w:before="0"/>
        <w:ind w:left="424" w:right="-14" w:firstLine="0"/>
        <w:jc w:val="left"/>
        <w:rPr>
          <w:b/>
          <w:sz w:val="22"/>
        </w:rPr>
      </w:pPr>
      <w:r>
        <w:rPr>
          <w:b/>
          <w:sz w:val="22"/>
        </w:rPr>
        <w:t>Consumo Consum</w:t>
      </w:r>
    </w:p>
    <w:p>
      <w:pPr>
        <w:spacing w:line="240" w:lineRule="auto" w:before="0"/>
        <w:ind w:left="-21" w:right="4350" w:firstLine="0"/>
        <w:jc w:val="left"/>
        <w:rPr>
          <w:b/>
          <w:sz w:val="22"/>
        </w:rPr>
      </w:pPr>
      <w:r>
        <w:rPr/>
        <w:br w:type="column"/>
      </w:r>
      <w:r>
        <w:rPr>
          <w:b/>
          <w:sz w:val="22"/>
        </w:rPr>
        <w:t>Precio unitario</w:t>
      </w:r>
    </w:p>
    <w:p>
      <w:pPr>
        <w:spacing w:after="0" w:line="240" w:lineRule="auto"/>
        <w:jc w:val="left"/>
        <w:rPr>
          <w:sz w:val="22"/>
        </w:rPr>
        <w:sectPr>
          <w:type w:val="continuous"/>
          <w:pgSz w:w="12240" w:h="15840"/>
          <w:pgMar w:top="1500" w:bottom="280" w:left="1580" w:right="1580"/>
          <w:cols w:num="3" w:equalWidth="0">
            <w:col w:w="1458" w:space="40"/>
            <w:col w:w="2386" w:space="40"/>
            <w:col w:w="5156"/>
          </w:cols>
        </w:sectPr>
      </w:pPr>
    </w:p>
    <w:p>
      <w:pPr>
        <w:pStyle w:val="BodyText"/>
        <w:spacing w:before="6"/>
        <w:rPr>
          <w:b/>
          <w:sz w:val="2"/>
        </w:r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46"/>
        <w:gridCol w:w="1476"/>
        <w:gridCol w:w="990"/>
        <w:gridCol w:w="719"/>
        <w:gridCol w:w="804"/>
        <w:gridCol w:w="1018"/>
        <w:gridCol w:w="991"/>
      </w:tblGrid>
      <w:tr>
        <w:trPr>
          <w:trHeight w:val="234" w:hRule="exact"/>
        </w:trPr>
        <w:tc>
          <w:tcPr>
            <w:tcW w:w="1246" w:type="dxa"/>
            <w:tcBorders>
              <w:bottom w:val="single" w:sz="4" w:space="0" w:color="000000"/>
            </w:tcBorders>
          </w:tcPr>
          <w:p>
            <w:pPr/>
          </w:p>
        </w:tc>
        <w:tc>
          <w:tcPr>
            <w:tcW w:w="1476" w:type="dxa"/>
            <w:tcBorders>
              <w:bottom w:val="single" w:sz="4" w:space="0" w:color="000000"/>
            </w:tcBorders>
          </w:tcPr>
          <w:p>
            <w:pPr>
              <w:pStyle w:val="TableParagraph"/>
              <w:spacing w:line="226" w:lineRule="exact"/>
              <w:ind w:left="568"/>
              <w:rPr>
                <w:b/>
                <w:sz w:val="22"/>
              </w:rPr>
            </w:pPr>
            <w:r>
              <w:rPr>
                <w:b/>
                <w:sz w:val="22"/>
              </w:rPr>
              <w:t>2003</w:t>
            </w:r>
          </w:p>
        </w:tc>
        <w:tc>
          <w:tcPr>
            <w:tcW w:w="990" w:type="dxa"/>
            <w:tcBorders>
              <w:bottom w:val="single" w:sz="4" w:space="0" w:color="000000"/>
            </w:tcBorders>
          </w:tcPr>
          <w:p>
            <w:pPr>
              <w:pStyle w:val="TableParagraph"/>
              <w:spacing w:line="226" w:lineRule="exact"/>
              <w:ind w:right="127"/>
              <w:jc w:val="right"/>
              <w:rPr>
                <w:b/>
                <w:sz w:val="22"/>
              </w:rPr>
            </w:pPr>
            <w:r>
              <w:rPr>
                <w:b/>
                <w:sz w:val="22"/>
              </w:rPr>
              <w:t>o 2004</w:t>
            </w:r>
          </w:p>
        </w:tc>
        <w:tc>
          <w:tcPr>
            <w:tcW w:w="719" w:type="dxa"/>
            <w:tcBorders>
              <w:bottom w:val="single" w:sz="4" w:space="0" w:color="000000"/>
            </w:tcBorders>
          </w:tcPr>
          <w:p>
            <w:pPr>
              <w:pStyle w:val="TableParagraph"/>
              <w:spacing w:line="226" w:lineRule="exact"/>
              <w:ind w:right="144"/>
              <w:jc w:val="right"/>
              <w:rPr>
                <w:b/>
                <w:sz w:val="22"/>
              </w:rPr>
            </w:pPr>
            <w:r>
              <w:rPr>
                <w:b/>
                <w:sz w:val="22"/>
              </w:rPr>
              <w:t>2003</w:t>
            </w:r>
          </w:p>
        </w:tc>
        <w:tc>
          <w:tcPr>
            <w:tcW w:w="804" w:type="dxa"/>
            <w:tcBorders>
              <w:bottom w:val="single" w:sz="4" w:space="0" w:color="000000"/>
            </w:tcBorders>
          </w:tcPr>
          <w:p>
            <w:pPr>
              <w:pStyle w:val="TableParagraph"/>
              <w:spacing w:line="226" w:lineRule="exact"/>
              <w:ind w:left="83"/>
              <w:rPr>
                <w:b/>
                <w:sz w:val="22"/>
              </w:rPr>
            </w:pPr>
            <w:r>
              <w:rPr>
                <w:b/>
                <w:sz w:val="22"/>
              </w:rPr>
              <w:t>2004</w:t>
            </w:r>
          </w:p>
        </w:tc>
        <w:tc>
          <w:tcPr>
            <w:tcW w:w="1018" w:type="dxa"/>
            <w:tcBorders>
              <w:bottom w:val="single" w:sz="4" w:space="0" w:color="000000"/>
            </w:tcBorders>
          </w:tcPr>
          <w:p>
            <w:pPr>
              <w:pStyle w:val="TableParagraph"/>
              <w:spacing w:line="226" w:lineRule="exact"/>
              <w:rPr>
                <w:b/>
                <w:sz w:val="22"/>
              </w:rPr>
            </w:pPr>
            <w:r>
              <w:rPr>
                <w:b/>
                <w:sz w:val="22"/>
              </w:rPr>
              <w:t>pt*qt</w:t>
            </w:r>
          </w:p>
        </w:tc>
        <w:tc>
          <w:tcPr>
            <w:tcW w:w="991" w:type="dxa"/>
            <w:tcBorders>
              <w:bottom w:val="single" w:sz="4" w:space="0" w:color="000000"/>
            </w:tcBorders>
          </w:tcPr>
          <w:p>
            <w:pPr>
              <w:pStyle w:val="TableParagraph"/>
              <w:spacing w:line="226" w:lineRule="exact"/>
              <w:ind w:right="-7"/>
              <w:rPr>
                <w:b/>
                <w:sz w:val="22"/>
              </w:rPr>
            </w:pPr>
            <w:r>
              <w:rPr>
                <w:b/>
                <w:sz w:val="22"/>
              </w:rPr>
              <w:t>po*qt</w:t>
            </w:r>
          </w:p>
        </w:tc>
      </w:tr>
      <w:tr>
        <w:trPr>
          <w:trHeight w:val="271" w:hRule="exact"/>
        </w:trPr>
        <w:tc>
          <w:tcPr>
            <w:tcW w:w="1246" w:type="dxa"/>
            <w:tcBorders>
              <w:top w:val="single" w:sz="4" w:space="0" w:color="000000"/>
            </w:tcBorders>
          </w:tcPr>
          <w:p>
            <w:pPr>
              <w:pStyle w:val="TableParagraph"/>
              <w:ind w:left="14" w:right="110"/>
              <w:rPr>
                <w:sz w:val="22"/>
              </w:rPr>
            </w:pPr>
            <w:r>
              <w:rPr>
                <w:sz w:val="22"/>
              </w:rPr>
              <w:t>Petróleo</w:t>
            </w:r>
          </w:p>
        </w:tc>
        <w:tc>
          <w:tcPr>
            <w:tcW w:w="1476" w:type="dxa"/>
            <w:tcBorders>
              <w:top w:val="single" w:sz="4" w:space="0" w:color="000000"/>
            </w:tcBorders>
          </w:tcPr>
          <w:p>
            <w:pPr>
              <w:pStyle w:val="TableParagraph"/>
              <w:ind w:left="568"/>
              <w:rPr>
                <w:sz w:val="22"/>
              </w:rPr>
            </w:pPr>
            <w:r>
              <w:rPr>
                <w:sz w:val="22"/>
              </w:rPr>
              <w:t>100000</w:t>
            </w:r>
          </w:p>
        </w:tc>
        <w:tc>
          <w:tcPr>
            <w:tcW w:w="990" w:type="dxa"/>
            <w:tcBorders>
              <w:top w:val="single" w:sz="4" w:space="0" w:color="000000"/>
            </w:tcBorders>
          </w:tcPr>
          <w:p>
            <w:pPr>
              <w:pStyle w:val="TableParagraph"/>
              <w:ind w:right="80"/>
              <w:jc w:val="right"/>
              <w:rPr>
                <w:sz w:val="22"/>
              </w:rPr>
            </w:pPr>
            <w:r>
              <w:rPr>
                <w:sz w:val="22"/>
              </w:rPr>
              <w:t>106000</w:t>
            </w:r>
          </w:p>
        </w:tc>
        <w:tc>
          <w:tcPr>
            <w:tcW w:w="719" w:type="dxa"/>
            <w:tcBorders>
              <w:top w:val="single" w:sz="4" w:space="0" w:color="000000"/>
            </w:tcBorders>
          </w:tcPr>
          <w:p>
            <w:pPr>
              <w:pStyle w:val="TableParagraph"/>
              <w:ind w:right="81"/>
              <w:jc w:val="right"/>
              <w:rPr>
                <w:sz w:val="22"/>
              </w:rPr>
            </w:pPr>
            <w:r>
              <w:rPr>
                <w:sz w:val="22"/>
              </w:rPr>
              <w:t>24,36</w:t>
            </w:r>
          </w:p>
        </w:tc>
        <w:tc>
          <w:tcPr>
            <w:tcW w:w="804" w:type="dxa"/>
            <w:tcBorders>
              <w:top w:val="single" w:sz="4" w:space="0" w:color="000000"/>
            </w:tcBorders>
          </w:tcPr>
          <w:p>
            <w:pPr>
              <w:pStyle w:val="TableParagraph"/>
              <w:ind w:left="83"/>
              <w:rPr>
                <w:sz w:val="22"/>
              </w:rPr>
            </w:pPr>
            <w:r>
              <w:rPr>
                <w:sz w:val="22"/>
              </w:rPr>
              <w:t>36,05</w:t>
            </w:r>
          </w:p>
        </w:tc>
        <w:tc>
          <w:tcPr>
            <w:tcW w:w="1018" w:type="dxa"/>
            <w:tcBorders>
              <w:top w:val="single" w:sz="4" w:space="0" w:color="000000"/>
            </w:tcBorders>
          </w:tcPr>
          <w:p>
            <w:pPr>
              <w:pStyle w:val="TableParagraph"/>
              <w:rPr>
                <w:sz w:val="22"/>
              </w:rPr>
            </w:pPr>
            <w:r>
              <w:rPr>
                <w:sz w:val="22"/>
              </w:rPr>
              <w:t>3821300</w:t>
            </w:r>
          </w:p>
        </w:tc>
        <w:tc>
          <w:tcPr>
            <w:tcW w:w="991" w:type="dxa"/>
            <w:tcBorders>
              <w:top w:val="single" w:sz="4" w:space="0" w:color="000000"/>
            </w:tcBorders>
          </w:tcPr>
          <w:p>
            <w:pPr>
              <w:pStyle w:val="TableParagraph"/>
              <w:ind w:right="-7"/>
              <w:rPr>
                <w:sz w:val="22"/>
              </w:rPr>
            </w:pPr>
            <w:r>
              <w:rPr>
                <w:sz w:val="22"/>
              </w:rPr>
              <w:t>2582160</w:t>
            </w:r>
          </w:p>
        </w:tc>
      </w:tr>
      <w:tr>
        <w:trPr>
          <w:trHeight w:val="761" w:hRule="exact"/>
        </w:trPr>
        <w:tc>
          <w:tcPr>
            <w:tcW w:w="1246" w:type="dxa"/>
          </w:tcPr>
          <w:p>
            <w:pPr>
              <w:pStyle w:val="TableParagraph"/>
              <w:ind w:left="14" w:right="110"/>
              <w:rPr>
                <w:sz w:val="22"/>
              </w:rPr>
            </w:pPr>
            <w:r>
              <w:rPr>
                <w:sz w:val="22"/>
              </w:rPr>
              <w:t>Gasoil Gasoil calefacción</w:t>
            </w:r>
          </w:p>
        </w:tc>
        <w:tc>
          <w:tcPr>
            <w:tcW w:w="1476" w:type="dxa"/>
          </w:tcPr>
          <w:p>
            <w:pPr>
              <w:pStyle w:val="TableParagraph"/>
              <w:spacing w:line="243" w:lineRule="exact"/>
              <w:ind w:left="568"/>
              <w:rPr>
                <w:sz w:val="22"/>
              </w:rPr>
            </w:pPr>
            <w:r>
              <w:rPr>
                <w:sz w:val="22"/>
              </w:rPr>
              <w:t>250000</w:t>
            </w:r>
          </w:p>
          <w:p>
            <w:pPr>
              <w:pStyle w:val="TableParagraph"/>
              <w:spacing w:line="252" w:lineRule="exact"/>
              <w:ind w:left="129"/>
              <w:rPr>
                <w:sz w:val="22"/>
              </w:rPr>
            </w:pPr>
            <w:r>
              <w:rPr>
                <w:sz w:val="22"/>
              </w:rPr>
              <w:t>para</w:t>
            </w:r>
          </w:p>
          <w:p>
            <w:pPr>
              <w:pStyle w:val="TableParagraph"/>
              <w:spacing w:line="252" w:lineRule="exact"/>
              <w:ind w:left="568"/>
              <w:rPr>
                <w:sz w:val="22"/>
              </w:rPr>
            </w:pPr>
            <w:r>
              <w:rPr>
                <w:sz w:val="22"/>
              </w:rPr>
              <w:t>520000</w:t>
            </w:r>
          </w:p>
        </w:tc>
        <w:tc>
          <w:tcPr>
            <w:tcW w:w="990" w:type="dxa"/>
          </w:tcPr>
          <w:p>
            <w:pPr>
              <w:pStyle w:val="TableParagraph"/>
              <w:spacing w:line="244" w:lineRule="exact"/>
              <w:ind w:left="173"/>
              <w:rPr>
                <w:sz w:val="22"/>
              </w:rPr>
            </w:pPr>
            <w:r>
              <w:rPr>
                <w:sz w:val="22"/>
              </w:rPr>
              <w:t>265000</w:t>
            </w:r>
          </w:p>
          <w:p>
            <w:pPr>
              <w:pStyle w:val="TableParagraph"/>
              <w:spacing w:before="9"/>
              <w:rPr>
                <w:b/>
                <w:sz w:val="21"/>
              </w:rPr>
            </w:pPr>
          </w:p>
          <w:p>
            <w:pPr>
              <w:pStyle w:val="TableParagraph"/>
              <w:ind w:left="173"/>
              <w:rPr>
                <w:sz w:val="22"/>
              </w:rPr>
            </w:pPr>
            <w:r>
              <w:rPr>
                <w:sz w:val="22"/>
              </w:rPr>
              <w:t>525200</w:t>
            </w:r>
          </w:p>
        </w:tc>
        <w:tc>
          <w:tcPr>
            <w:tcW w:w="719" w:type="dxa"/>
          </w:tcPr>
          <w:p>
            <w:pPr>
              <w:pStyle w:val="TableParagraph"/>
              <w:spacing w:line="244" w:lineRule="exact"/>
              <w:ind w:left="82"/>
              <w:rPr>
                <w:sz w:val="22"/>
              </w:rPr>
            </w:pPr>
            <w:r>
              <w:rPr>
                <w:sz w:val="22"/>
              </w:rPr>
              <w:t>18,4</w:t>
            </w:r>
          </w:p>
          <w:p>
            <w:pPr>
              <w:pStyle w:val="TableParagraph"/>
              <w:spacing w:before="9"/>
              <w:rPr>
                <w:b/>
                <w:sz w:val="21"/>
              </w:rPr>
            </w:pPr>
          </w:p>
          <w:p>
            <w:pPr>
              <w:pStyle w:val="TableParagraph"/>
              <w:ind w:left="82"/>
              <w:rPr>
                <w:sz w:val="22"/>
              </w:rPr>
            </w:pPr>
            <w:r>
              <w:rPr>
                <w:sz w:val="22"/>
              </w:rPr>
              <w:t>6,3</w:t>
            </w:r>
          </w:p>
        </w:tc>
        <w:tc>
          <w:tcPr>
            <w:tcW w:w="804" w:type="dxa"/>
          </w:tcPr>
          <w:p>
            <w:pPr>
              <w:pStyle w:val="TableParagraph"/>
              <w:spacing w:line="244" w:lineRule="exact"/>
              <w:ind w:left="83"/>
              <w:rPr>
                <w:sz w:val="22"/>
              </w:rPr>
            </w:pPr>
            <w:r>
              <w:rPr>
                <w:sz w:val="22"/>
              </w:rPr>
              <w:t>25,7</w:t>
            </w:r>
          </w:p>
          <w:p>
            <w:pPr>
              <w:pStyle w:val="TableParagraph"/>
              <w:spacing w:before="9"/>
              <w:rPr>
                <w:b/>
                <w:sz w:val="21"/>
              </w:rPr>
            </w:pPr>
          </w:p>
          <w:p>
            <w:pPr>
              <w:pStyle w:val="TableParagraph"/>
              <w:ind w:left="83"/>
              <w:rPr>
                <w:sz w:val="22"/>
              </w:rPr>
            </w:pPr>
            <w:r>
              <w:rPr>
                <w:sz w:val="22"/>
              </w:rPr>
              <w:t>9,2</w:t>
            </w:r>
          </w:p>
        </w:tc>
        <w:tc>
          <w:tcPr>
            <w:tcW w:w="1018" w:type="dxa"/>
          </w:tcPr>
          <w:p>
            <w:pPr>
              <w:pStyle w:val="TableParagraph"/>
              <w:spacing w:line="244" w:lineRule="exact"/>
              <w:rPr>
                <w:sz w:val="22"/>
              </w:rPr>
            </w:pPr>
            <w:r>
              <w:rPr>
                <w:sz w:val="22"/>
              </w:rPr>
              <w:t>6810500</w:t>
            </w:r>
          </w:p>
          <w:p>
            <w:pPr>
              <w:pStyle w:val="TableParagraph"/>
              <w:spacing w:before="9"/>
              <w:rPr>
                <w:b/>
                <w:sz w:val="21"/>
              </w:rPr>
            </w:pPr>
          </w:p>
          <w:p>
            <w:pPr>
              <w:pStyle w:val="TableParagraph"/>
              <w:rPr>
                <w:sz w:val="22"/>
              </w:rPr>
            </w:pPr>
            <w:r>
              <w:rPr>
                <w:sz w:val="22"/>
              </w:rPr>
              <w:t>4831840</w:t>
            </w:r>
          </w:p>
        </w:tc>
        <w:tc>
          <w:tcPr>
            <w:tcW w:w="991" w:type="dxa"/>
          </w:tcPr>
          <w:p>
            <w:pPr>
              <w:pStyle w:val="TableParagraph"/>
              <w:spacing w:line="244" w:lineRule="exact"/>
              <w:ind w:right="-7"/>
              <w:rPr>
                <w:sz w:val="22"/>
              </w:rPr>
            </w:pPr>
            <w:r>
              <w:rPr>
                <w:sz w:val="22"/>
              </w:rPr>
              <w:t>4876000</w:t>
            </w:r>
          </w:p>
          <w:p>
            <w:pPr>
              <w:pStyle w:val="TableParagraph"/>
              <w:spacing w:before="9"/>
              <w:rPr>
                <w:b/>
                <w:sz w:val="21"/>
              </w:rPr>
            </w:pPr>
          </w:p>
          <w:p>
            <w:pPr>
              <w:pStyle w:val="TableParagraph"/>
              <w:ind w:right="-7"/>
              <w:rPr>
                <w:sz w:val="22"/>
              </w:rPr>
            </w:pPr>
            <w:r>
              <w:rPr>
                <w:sz w:val="22"/>
              </w:rPr>
              <w:t>3308760</w:t>
            </w:r>
          </w:p>
        </w:tc>
      </w:tr>
      <w:tr>
        <w:trPr>
          <w:trHeight w:val="247" w:hRule="exact"/>
        </w:trPr>
        <w:tc>
          <w:tcPr>
            <w:tcW w:w="1246" w:type="dxa"/>
          </w:tcPr>
          <w:p>
            <w:pPr>
              <w:pStyle w:val="TableParagraph"/>
              <w:spacing w:line="244" w:lineRule="exact"/>
              <w:ind w:left="14" w:right="110"/>
              <w:rPr>
                <w:sz w:val="22"/>
              </w:rPr>
            </w:pPr>
            <w:r>
              <w:rPr>
                <w:sz w:val="22"/>
              </w:rPr>
              <w:t>Suma</w:t>
            </w:r>
          </w:p>
        </w:tc>
        <w:tc>
          <w:tcPr>
            <w:tcW w:w="1476" w:type="dxa"/>
          </w:tcPr>
          <w:p>
            <w:pPr/>
          </w:p>
        </w:tc>
        <w:tc>
          <w:tcPr>
            <w:tcW w:w="990" w:type="dxa"/>
          </w:tcPr>
          <w:p>
            <w:pPr/>
          </w:p>
        </w:tc>
        <w:tc>
          <w:tcPr>
            <w:tcW w:w="719" w:type="dxa"/>
          </w:tcPr>
          <w:p>
            <w:pPr/>
          </w:p>
        </w:tc>
        <w:tc>
          <w:tcPr>
            <w:tcW w:w="804" w:type="dxa"/>
          </w:tcPr>
          <w:p>
            <w:pPr/>
          </w:p>
        </w:tc>
        <w:tc>
          <w:tcPr>
            <w:tcW w:w="1018" w:type="dxa"/>
          </w:tcPr>
          <w:p>
            <w:pPr>
              <w:pStyle w:val="TableParagraph"/>
              <w:spacing w:line="244" w:lineRule="exact"/>
              <w:ind w:left="-1"/>
              <w:rPr>
                <w:sz w:val="22"/>
              </w:rPr>
            </w:pPr>
            <w:r>
              <w:rPr>
                <w:sz w:val="22"/>
              </w:rPr>
              <w:t>15463640</w:t>
            </w:r>
          </w:p>
        </w:tc>
        <w:tc>
          <w:tcPr>
            <w:tcW w:w="991" w:type="dxa"/>
          </w:tcPr>
          <w:p>
            <w:pPr>
              <w:pStyle w:val="TableParagraph"/>
              <w:spacing w:line="244" w:lineRule="exact"/>
              <w:ind w:left="-1" w:right="-7"/>
              <w:rPr>
                <w:sz w:val="22"/>
              </w:rPr>
            </w:pPr>
            <w:r>
              <w:rPr>
                <w:sz w:val="22"/>
              </w:rPr>
              <w:t>10766920</w:t>
            </w:r>
          </w:p>
        </w:tc>
      </w:tr>
      <w:tr>
        <w:trPr>
          <w:trHeight w:val="252" w:hRule="exact"/>
        </w:trPr>
        <w:tc>
          <w:tcPr>
            <w:tcW w:w="1246" w:type="dxa"/>
            <w:tcBorders>
              <w:bottom w:val="single" w:sz="4" w:space="0" w:color="000000"/>
            </w:tcBorders>
          </w:tcPr>
          <w:p>
            <w:pPr/>
          </w:p>
        </w:tc>
        <w:tc>
          <w:tcPr>
            <w:tcW w:w="1476" w:type="dxa"/>
            <w:tcBorders>
              <w:bottom w:val="single" w:sz="4" w:space="0" w:color="000000"/>
            </w:tcBorders>
          </w:tcPr>
          <w:p>
            <w:pPr/>
          </w:p>
        </w:tc>
        <w:tc>
          <w:tcPr>
            <w:tcW w:w="990" w:type="dxa"/>
            <w:tcBorders>
              <w:bottom w:val="single" w:sz="4" w:space="0" w:color="000000"/>
            </w:tcBorders>
          </w:tcPr>
          <w:p>
            <w:pPr/>
          </w:p>
        </w:tc>
        <w:tc>
          <w:tcPr>
            <w:tcW w:w="719" w:type="dxa"/>
            <w:tcBorders>
              <w:bottom w:val="single" w:sz="4" w:space="0" w:color="000000"/>
            </w:tcBorders>
          </w:tcPr>
          <w:p>
            <w:pPr/>
          </w:p>
        </w:tc>
        <w:tc>
          <w:tcPr>
            <w:tcW w:w="804" w:type="dxa"/>
            <w:tcBorders>
              <w:bottom w:val="single" w:sz="4" w:space="0" w:color="000000"/>
            </w:tcBorders>
          </w:tcPr>
          <w:p>
            <w:pPr/>
          </w:p>
        </w:tc>
        <w:tc>
          <w:tcPr>
            <w:tcW w:w="1018" w:type="dxa"/>
            <w:shd w:val="clear" w:color="auto" w:fill="FFFF00"/>
          </w:tcPr>
          <w:p>
            <w:pPr>
              <w:pStyle w:val="TableParagraph"/>
              <w:spacing w:line="251" w:lineRule="exact"/>
              <w:rPr>
                <w:sz w:val="22"/>
              </w:rPr>
            </w:pPr>
            <w:r>
              <w:rPr>
                <w:sz w:val="22"/>
              </w:rPr>
              <w:t>Paasche</w:t>
            </w:r>
          </w:p>
        </w:tc>
        <w:tc>
          <w:tcPr>
            <w:tcW w:w="991" w:type="dxa"/>
            <w:shd w:val="clear" w:color="auto" w:fill="FFFF00"/>
          </w:tcPr>
          <w:p>
            <w:pPr>
              <w:pStyle w:val="TableParagraph"/>
              <w:spacing w:line="251" w:lineRule="exact"/>
              <w:ind w:left="-1" w:right="-7"/>
              <w:rPr>
                <w:sz w:val="22"/>
              </w:rPr>
            </w:pPr>
            <w:r>
              <w:rPr>
                <w:sz w:val="22"/>
              </w:rPr>
              <w:t>143,621</w:t>
            </w:r>
          </w:p>
        </w:tc>
      </w:tr>
    </w:tbl>
    <w:sectPr>
      <w:type w:val="continuous"/>
      <w:pgSz w:w="12240" w:h="15840"/>
      <w:pgMar w:top="1500" w:bottom="280" w:left="158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Tahoma">
    <w:altName w:val="Tahoma"/>
    <w:charset w:val="0"/>
    <w:family w:val="swiss"/>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spacing w:before="34"/>
      <w:ind w:left="102" w:right="121"/>
      <w:jc w:val="both"/>
      <w:outlineLvl w:val="1"/>
    </w:pPr>
    <w:rPr>
      <w:rFonts w:ascii="Arial" w:hAnsi="Arial" w:eastAsia="Arial" w:cs="Arial"/>
      <w:b/>
      <w:bCs/>
      <w:sz w:val="36"/>
      <w:szCs w:val="36"/>
    </w:rPr>
  </w:style>
  <w:style w:styleId="Heading2" w:type="paragraph">
    <w:name w:val="Heading 2"/>
    <w:basedOn w:val="Normal"/>
    <w:uiPriority w:val="1"/>
    <w:qFormat/>
    <w:pPr>
      <w:spacing w:line="240" w:lineRule="exact"/>
      <w:outlineLvl w:val="2"/>
    </w:pPr>
    <w:rPr>
      <w:rFonts w:ascii="Times New Roman" w:hAnsi="Times New Roman" w:eastAsia="Times New Roman" w:cs="Times New Roman"/>
      <w:sz w:val="24"/>
      <w:szCs w:val="24"/>
    </w:rPr>
  </w:style>
  <w:style w:styleId="Heading3" w:type="paragraph">
    <w:name w:val="Heading 3"/>
    <w:basedOn w:val="Normal"/>
    <w:uiPriority w:val="1"/>
    <w:qFormat/>
    <w:pPr>
      <w:ind w:left="1847" w:right="108"/>
      <w:outlineLvl w:val="3"/>
    </w:pPr>
    <w:rPr>
      <w:rFonts w:ascii="Times New Roman" w:hAnsi="Times New Roman" w:eastAsia="Times New Roman" w:cs="Times New Roman"/>
      <w:sz w:val="23"/>
      <w:szCs w:val="23"/>
    </w:rPr>
  </w:style>
  <w:style w:styleId="Heading4" w:type="paragraph">
    <w:name w:val="Heading 4"/>
    <w:basedOn w:val="Normal"/>
    <w:uiPriority w:val="1"/>
    <w:qFormat/>
    <w:pPr>
      <w:ind w:left="102"/>
      <w:outlineLvl w:val="4"/>
    </w:pPr>
    <w:rPr>
      <w:rFonts w:ascii="Arial" w:hAnsi="Arial" w:eastAsia="Arial" w:cs="Arial"/>
      <w:b/>
      <w:bCs/>
      <w:sz w:val="22"/>
      <w:szCs w:val="22"/>
    </w:rPr>
  </w:style>
  <w:style w:styleId="ListParagraph" w:type="paragraph">
    <w:name w:val="List Paragraph"/>
    <w:basedOn w:val="Normal"/>
    <w:uiPriority w:val="1"/>
    <w:qFormat/>
    <w:pPr/>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dcterms:created xsi:type="dcterms:W3CDTF">2017-05-27T23:20:18Z</dcterms:created>
  <dcterms:modified xsi:type="dcterms:W3CDTF">2017-05-27T23:20:18Z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2015-10-02T00:00:00Z</vt:filetime>
  </property>
  <property fmtid="{D5CDD505-2E9C-101B-9397-08002B2CF9AE}" pid="3" name="Creator">
    <vt:lpwstr>Microsoft® Word 2013</vt:lpwstr>
  </property>
  <property fmtid="{D5CDD505-2E9C-101B-9397-08002B2CF9AE}" pid="4" name="LastSaved">
    <vt:filetime>2017-05-27T00:00:00Z</vt:filetime>
  </property>
</Properties>
</file>