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2605" w:val="left" w:leader="none"/>
        </w:tabs>
        <w:spacing w:line="240" w:lineRule="auto"/>
        <w:ind w:left="150" w:right="0" w:firstLine="0"/>
        <w:rPr>
          <w:rFonts w:ascii="Times New Roman"/>
          <w:sz w:val="20"/>
        </w:rPr>
      </w:pPr>
      <w:r>
        <w:rPr>
          <w:rFonts w:ascii="Times New Roman"/>
          <w:sz w:val="20"/>
        </w:rPr>
        <w:drawing>
          <wp:inline distT="0" distB="0" distL="0" distR="0">
            <wp:extent cx="1396821" cy="113995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96821" cy="1139952"/>
                    </a:xfrm>
                    <a:prstGeom prst="rect">
                      <a:avLst/>
                    </a:prstGeom>
                  </pic:spPr>
                </pic:pic>
              </a:graphicData>
            </a:graphic>
          </wp:inline>
        </w:drawing>
      </w:r>
      <w:r>
        <w:rPr>
          <w:rFonts w:ascii="Times New Roman"/>
          <w:sz w:val="20"/>
        </w:rPr>
      </w:r>
      <w:r>
        <w:rPr>
          <w:rFonts w:ascii="Times New Roman"/>
          <w:sz w:val="20"/>
        </w:rPr>
        <w:tab/>
      </w:r>
      <w:r>
        <w:rPr>
          <w:rFonts w:ascii="Times New Roman"/>
          <w:position w:val="57"/>
          <w:sz w:val="20"/>
        </w:rPr>
        <w:pict>
          <v:group style="width:395.9pt;height:36.75pt;mso-position-horizontal-relative:char;mso-position-vertical-relative:line" coordorigin="0,0" coordsize="7918,735">
            <v:shape style="position:absolute;left:0;top:0;width:7918;height:734" type="#_x0000_t75" stroked="false">
              <v:imagedata r:id="rId6" o:title=""/>
            </v:shape>
            <v:shapetype id="_x0000_t202" o:spt="202" coordsize="21600,21600" path="m,l,21600r21600,l21600,xe">
              <v:stroke joinstyle="miter"/>
              <v:path gradientshapeok="t" o:connecttype="rect"/>
            </v:shapetype>
            <v:shape style="position:absolute;left:0;top:0;width:7918;height:735" type="#_x0000_t202" filled="false" stroked="false">
              <v:textbox inset="0,0,0,0">
                <w:txbxContent>
                  <w:p>
                    <w:pPr>
                      <w:spacing w:line="363" w:lineRule="exact" w:before="0"/>
                      <w:ind w:left="143" w:right="0" w:firstLine="0"/>
                      <w:jc w:val="left"/>
                      <w:rPr>
                        <w:b/>
                        <w:i/>
                        <w:sz w:val="32"/>
                      </w:rPr>
                    </w:pPr>
                    <w:r>
                      <w:rPr>
                        <w:rFonts w:ascii="Times New Roman" w:hAnsi="Times New Roman"/>
                        <w:spacing w:val="-79"/>
                        <w:w w:val="99"/>
                        <w:sz w:val="32"/>
                        <w:u w:val="thick"/>
                      </w:rPr>
                      <w:t> </w:t>
                    </w:r>
                    <w:r>
                      <w:rPr>
                        <w:b/>
                        <w:i/>
                        <w:sz w:val="32"/>
                        <w:u w:val="thick"/>
                      </w:rPr>
                      <w:t>Universidad Autónoma del Estado de México</w:t>
                    </w:r>
                  </w:p>
                  <w:p>
                    <w:pPr>
                      <w:spacing w:line="368" w:lineRule="exact" w:before="0"/>
                      <w:ind w:left="145" w:right="0" w:firstLine="0"/>
                      <w:jc w:val="left"/>
                      <w:rPr>
                        <w:sz w:val="32"/>
                      </w:rPr>
                    </w:pPr>
                    <w:r>
                      <w:rPr>
                        <w:sz w:val="32"/>
                      </w:rPr>
                      <w:t>Centro Universitario UAEM Valle de Teotihuacán</w:t>
                    </w:r>
                  </w:p>
                </w:txbxContent>
              </v:textbox>
              <w10:wrap type="none"/>
            </v:shape>
          </v:group>
        </w:pict>
      </w:r>
      <w:r>
        <w:rPr>
          <w:rFonts w:ascii="Times New Roman"/>
          <w:position w:val="57"/>
          <w:sz w:val="20"/>
        </w:rPr>
      </w:r>
    </w:p>
    <w:p>
      <w:pPr>
        <w:pStyle w:val="BodyText"/>
        <w:rPr>
          <w:rFonts w:ascii="Times New Roman"/>
          <w:sz w:val="20"/>
        </w:rPr>
      </w:pPr>
    </w:p>
    <w:p>
      <w:pPr>
        <w:pStyle w:val="BodyText"/>
        <w:spacing w:before="5"/>
        <w:rPr>
          <w:rFonts w:ascii="Times New Roman"/>
          <w:sz w:val="22"/>
        </w:rPr>
      </w:pPr>
    </w:p>
    <w:p>
      <w:pPr>
        <w:spacing w:before="59"/>
        <w:ind w:left="2540" w:right="3614" w:firstLine="0"/>
        <w:jc w:val="center"/>
        <w:rPr>
          <w:i/>
          <w:sz w:val="32"/>
        </w:rPr>
      </w:pPr>
      <w:r>
        <w:rPr>
          <w:i/>
          <w:sz w:val="32"/>
        </w:rPr>
        <w:t>LICENCIATURA EN TURISMO</w:t>
      </w:r>
    </w:p>
    <w:p>
      <w:pPr>
        <w:pStyle w:val="BodyText"/>
        <w:rPr>
          <w:i/>
          <w:sz w:val="32"/>
        </w:rPr>
      </w:pPr>
    </w:p>
    <w:p>
      <w:pPr>
        <w:pStyle w:val="BodyText"/>
        <w:spacing w:before="4"/>
        <w:rPr>
          <w:i/>
          <w:sz w:val="39"/>
        </w:rPr>
      </w:pPr>
    </w:p>
    <w:p>
      <w:pPr>
        <w:spacing w:before="0"/>
        <w:ind w:left="2540" w:right="3611" w:firstLine="0"/>
        <w:jc w:val="center"/>
        <w:rPr>
          <w:b/>
          <w:sz w:val="36"/>
        </w:rPr>
      </w:pPr>
      <w:r>
        <w:rPr>
          <w:b/>
          <w:sz w:val="36"/>
        </w:rPr>
        <w:t>APUNTES</w:t>
      </w:r>
    </w:p>
    <w:p>
      <w:pPr>
        <w:pStyle w:val="Heading1"/>
        <w:spacing w:before="266"/>
        <w:ind w:left="2540" w:right="3609"/>
        <w:jc w:val="center"/>
      </w:pPr>
      <w:r>
        <w:rPr/>
        <w:t>CONTABILIDAD BÁSICA</w:t>
      </w:r>
    </w:p>
    <w:p>
      <w:pPr>
        <w:pStyle w:val="BodyText"/>
        <w:rPr>
          <w:b/>
          <w:sz w:val="20"/>
        </w:rPr>
      </w:pPr>
    </w:p>
    <w:p>
      <w:pPr>
        <w:pStyle w:val="BodyText"/>
        <w:rPr>
          <w:b/>
          <w:sz w:val="20"/>
        </w:rPr>
      </w:pPr>
    </w:p>
    <w:p>
      <w:pPr>
        <w:pStyle w:val="BodyText"/>
        <w:rPr>
          <w:b/>
          <w:sz w:val="20"/>
        </w:rPr>
      </w:pPr>
    </w:p>
    <w:p>
      <w:pPr>
        <w:pStyle w:val="BodyText"/>
        <w:spacing w:before="5"/>
        <w:rPr>
          <w:b/>
          <w:sz w:val="1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0"/>
        <w:gridCol w:w="1123"/>
        <w:gridCol w:w="1225"/>
        <w:gridCol w:w="1018"/>
        <w:gridCol w:w="1275"/>
        <w:gridCol w:w="1282"/>
        <w:gridCol w:w="1109"/>
        <w:gridCol w:w="1322"/>
      </w:tblGrid>
      <w:tr>
        <w:trPr>
          <w:trHeight w:val="792" w:hRule="exact"/>
        </w:trPr>
        <w:tc>
          <w:tcPr>
            <w:tcW w:w="970" w:type="dxa"/>
            <w:shd w:val="clear" w:color="auto" w:fill="76923B"/>
          </w:tcPr>
          <w:p>
            <w:pPr>
              <w:pStyle w:val="TableParagraph"/>
              <w:spacing w:before="9"/>
              <w:rPr>
                <w:rFonts w:ascii="Arial"/>
                <w:b/>
                <w:sz w:val="24"/>
              </w:rPr>
            </w:pPr>
          </w:p>
          <w:p>
            <w:pPr>
              <w:pStyle w:val="TableParagraph"/>
              <w:ind w:left="187"/>
              <w:rPr>
                <w:rFonts w:ascii="Arial"/>
                <w:b/>
                <w:sz w:val="22"/>
              </w:rPr>
            </w:pPr>
            <w:r>
              <w:rPr>
                <w:rFonts w:ascii="Arial"/>
                <w:b/>
                <w:sz w:val="22"/>
              </w:rPr>
              <w:t>Clave</w:t>
            </w:r>
          </w:p>
        </w:tc>
        <w:tc>
          <w:tcPr>
            <w:tcW w:w="1123" w:type="dxa"/>
            <w:shd w:val="clear" w:color="auto" w:fill="76923B"/>
          </w:tcPr>
          <w:p>
            <w:pPr>
              <w:pStyle w:val="TableParagraph"/>
              <w:spacing w:before="9"/>
              <w:rPr>
                <w:rFonts w:ascii="Arial"/>
                <w:b/>
                <w:sz w:val="24"/>
              </w:rPr>
            </w:pPr>
          </w:p>
          <w:p>
            <w:pPr>
              <w:pStyle w:val="TableParagraph"/>
              <w:ind w:left="392" w:right="388"/>
              <w:jc w:val="center"/>
              <w:rPr>
                <w:rFonts w:ascii="Arial"/>
                <w:b/>
                <w:sz w:val="22"/>
              </w:rPr>
            </w:pPr>
            <w:r>
              <w:rPr>
                <w:rFonts w:ascii="Arial"/>
                <w:b/>
                <w:sz w:val="22"/>
              </w:rPr>
              <w:t>HT</w:t>
            </w:r>
          </w:p>
        </w:tc>
        <w:tc>
          <w:tcPr>
            <w:tcW w:w="1225" w:type="dxa"/>
            <w:shd w:val="clear" w:color="auto" w:fill="76923B"/>
          </w:tcPr>
          <w:p>
            <w:pPr>
              <w:pStyle w:val="TableParagraph"/>
              <w:spacing w:before="9"/>
              <w:rPr>
                <w:rFonts w:ascii="Arial"/>
                <w:b/>
                <w:sz w:val="24"/>
              </w:rPr>
            </w:pPr>
          </w:p>
          <w:p>
            <w:pPr>
              <w:pStyle w:val="TableParagraph"/>
              <w:ind w:left="434" w:right="434"/>
              <w:jc w:val="center"/>
              <w:rPr>
                <w:rFonts w:ascii="Arial"/>
                <w:b/>
                <w:sz w:val="22"/>
              </w:rPr>
            </w:pPr>
            <w:r>
              <w:rPr>
                <w:rFonts w:ascii="Arial"/>
                <w:b/>
                <w:sz w:val="22"/>
              </w:rPr>
              <w:t>HP</w:t>
            </w:r>
          </w:p>
        </w:tc>
        <w:tc>
          <w:tcPr>
            <w:tcW w:w="1018" w:type="dxa"/>
            <w:shd w:val="clear" w:color="auto" w:fill="76923B"/>
          </w:tcPr>
          <w:p>
            <w:pPr>
              <w:pStyle w:val="TableParagraph"/>
              <w:spacing w:before="9"/>
              <w:rPr>
                <w:rFonts w:ascii="Arial"/>
                <w:b/>
                <w:sz w:val="24"/>
              </w:rPr>
            </w:pPr>
          </w:p>
          <w:p>
            <w:pPr>
              <w:pStyle w:val="TableParagraph"/>
              <w:ind w:left="336" w:right="338"/>
              <w:jc w:val="center"/>
              <w:rPr>
                <w:rFonts w:ascii="Arial"/>
                <w:b/>
                <w:sz w:val="22"/>
              </w:rPr>
            </w:pPr>
            <w:r>
              <w:rPr>
                <w:rFonts w:ascii="Arial"/>
                <w:b/>
                <w:sz w:val="22"/>
              </w:rPr>
              <w:t>TH</w:t>
            </w:r>
          </w:p>
        </w:tc>
        <w:tc>
          <w:tcPr>
            <w:tcW w:w="1275" w:type="dxa"/>
            <w:shd w:val="clear" w:color="auto" w:fill="76923B"/>
          </w:tcPr>
          <w:p>
            <w:pPr>
              <w:pStyle w:val="TableParagraph"/>
              <w:spacing w:line="276" w:lineRule="auto"/>
              <w:ind w:left="415" w:right="221" w:hanging="173"/>
              <w:rPr>
                <w:rFonts w:ascii="Arial"/>
                <w:b/>
                <w:sz w:val="22"/>
              </w:rPr>
            </w:pPr>
            <w:r>
              <w:rPr>
                <w:rFonts w:ascii="Arial"/>
                <w:b/>
                <w:sz w:val="22"/>
              </w:rPr>
              <w:t>Tipo de U.A.</w:t>
            </w:r>
          </w:p>
        </w:tc>
        <w:tc>
          <w:tcPr>
            <w:tcW w:w="1282" w:type="dxa"/>
            <w:shd w:val="clear" w:color="auto" w:fill="76923B"/>
          </w:tcPr>
          <w:p>
            <w:pPr>
              <w:pStyle w:val="TableParagraph"/>
              <w:spacing w:before="72"/>
              <w:ind w:left="256" w:right="171" w:hanging="68"/>
              <w:rPr>
                <w:rFonts w:ascii="Arial" w:hAnsi="Arial"/>
                <w:b/>
                <w:sz w:val="22"/>
              </w:rPr>
            </w:pPr>
            <w:r>
              <w:rPr>
                <w:rFonts w:ascii="Arial" w:hAnsi="Arial"/>
                <w:b/>
                <w:sz w:val="22"/>
              </w:rPr>
              <w:t>Carácter de U.A.</w:t>
            </w:r>
          </w:p>
        </w:tc>
        <w:tc>
          <w:tcPr>
            <w:tcW w:w="1109" w:type="dxa"/>
            <w:shd w:val="clear" w:color="auto" w:fill="76923B"/>
          </w:tcPr>
          <w:p>
            <w:pPr>
              <w:pStyle w:val="TableParagraph"/>
              <w:spacing w:before="2"/>
              <w:rPr>
                <w:rFonts w:ascii="Arial"/>
                <w:b/>
                <w:sz w:val="28"/>
              </w:rPr>
            </w:pPr>
          </w:p>
          <w:p>
            <w:pPr>
              <w:pStyle w:val="TableParagraph"/>
              <w:ind w:left="84" w:right="82"/>
              <w:jc w:val="center"/>
              <w:rPr>
                <w:rFonts w:ascii="Arial" w:hAnsi="Arial"/>
                <w:b/>
                <w:sz w:val="22"/>
              </w:rPr>
            </w:pPr>
            <w:r>
              <w:rPr>
                <w:rFonts w:ascii="Arial" w:hAnsi="Arial"/>
                <w:b/>
                <w:sz w:val="22"/>
              </w:rPr>
              <w:t>Créditos</w:t>
            </w:r>
          </w:p>
        </w:tc>
        <w:tc>
          <w:tcPr>
            <w:tcW w:w="1322" w:type="dxa"/>
            <w:shd w:val="clear" w:color="auto" w:fill="76923B"/>
          </w:tcPr>
          <w:p>
            <w:pPr>
              <w:pStyle w:val="TableParagraph"/>
              <w:spacing w:line="276" w:lineRule="auto"/>
              <w:ind w:left="467" w:right="113" w:hanging="339"/>
              <w:rPr>
                <w:rFonts w:ascii="Arial" w:hAnsi="Arial"/>
                <w:b/>
                <w:sz w:val="22"/>
              </w:rPr>
            </w:pPr>
            <w:r>
              <w:rPr>
                <w:rFonts w:ascii="Arial" w:hAnsi="Arial"/>
                <w:b/>
                <w:sz w:val="22"/>
              </w:rPr>
              <w:t>Núcleo de U.A</w:t>
            </w:r>
          </w:p>
        </w:tc>
      </w:tr>
      <w:tr>
        <w:trPr>
          <w:trHeight w:val="624" w:hRule="exact"/>
        </w:trPr>
        <w:tc>
          <w:tcPr>
            <w:tcW w:w="970" w:type="dxa"/>
          </w:tcPr>
          <w:p>
            <w:pPr>
              <w:pStyle w:val="TableParagraph"/>
              <w:spacing w:before="4"/>
              <w:rPr>
                <w:rFonts w:ascii="Arial"/>
                <w:b/>
                <w:sz w:val="16"/>
              </w:rPr>
            </w:pPr>
          </w:p>
          <w:p>
            <w:pPr>
              <w:pStyle w:val="TableParagraph"/>
              <w:ind w:left="215"/>
              <w:rPr>
                <w:rFonts w:ascii="Arial"/>
                <w:sz w:val="16"/>
              </w:rPr>
            </w:pPr>
            <w:r>
              <w:rPr>
                <w:rFonts w:ascii="Arial"/>
                <w:sz w:val="16"/>
              </w:rPr>
              <w:t>L31344</w:t>
            </w:r>
          </w:p>
        </w:tc>
        <w:tc>
          <w:tcPr>
            <w:tcW w:w="1123" w:type="dxa"/>
          </w:tcPr>
          <w:p>
            <w:pPr>
              <w:pStyle w:val="TableParagraph"/>
              <w:spacing w:before="161"/>
              <w:ind w:left="2"/>
              <w:jc w:val="center"/>
              <w:rPr>
                <w:rFonts w:ascii="Arial"/>
                <w:sz w:val="22"/>
              </w:rPr>
            </w:pPr>
            <w:r>
              <w:rPr>
                <w:rFonts w:ascii="Arial"/>
                <w:w w:val="100"/>
                <w:sz w:val="22"/>
              </w:rPr>
              <w:t>2</w:t>
            </w:r>
          </w:p>
        </w:tc>
        <w:tc>
          <w:tcPr>
            <w:tcW w:w="1225" w:type="dxa"/>
          </w:tcPr>
          <w:p>
            <w:pPr>
              <w:pStyle w:val="TableParagraph"/>
              <w:spacing w:before="161"/>
              <w:ind w:right="1"/>
              <w:jc w:val="center"/>
              <w:rPr>
                <w:rFonts w:ascii="Arial"/>
                <w:sz w:val="22"/>
              </w:rPr>
            </w:pPr>
            <w:r>
              <w:rPr>
                <w:rFonts w:ascii="Arial"/>
                <w:w w:val="100"/>
                <w:sz w:val="22"/>
              </w:rPr>
              <w:t>2</w:t>
            </w:r>
          </w:p>
        </w:tc>
        <w:tc>
          <w:tcPr>
            <w:tcW w:w="1018" w:type="dxa"/>
          </w:tcPr>
          <w:p>
            <w:pPr>
              <w:pStyle w:val="TableParagraph"/>
              <w:spacing w:before="161"/>
              <w:ind w:left="2"/>
              <w:jc w:val="center"/>
              <w:rPr>
                <w:rFonts w:ascii="Arial"/>
                <w:sz w:val="22"/>
              </w:rPr>
            </w:pPr>
            <w:r>
              <w:rPr>
                <w:rFonts w:ascii="Arial"/>
                <w:w w:val="100"/>
                <w:sz w:val="22"/>
              </w:rPr>
              <w:t>4</w:t>
            </w:r>
          </w:p>
        </w:tc>
        <w:tc>
          <w:tcPr>
            <w:tcW w:w="1275" w:type="dxa"/>
          </w:tcPr>
          <w:p>
            <w:pPr>
              <w:pStyle w:val="TableParagraph"/>
              <w:spacing w:before="161"/>
              <w:ind w:left="415" w:right="221"/>
              <w:rPr>
                <w:rFonts w:ascii="Arial"/>
                <w:sz w:val="22"/>
              </w:rPr>
            </w:pPr>
            <w:r>
              <w:rPr>
                <w:rFonts w:ascii="Arial"/>
                <w:sz w:val="22"/>
              </w:rPr>
              <w:t>CTP</w:t>
            </w:r>
          </w:p>
        </w:tc>
        <w:tc>
          <w:tcPr>
            <w:tcW w:w="1282" w:type="dxa"/>
          </w:tcPr>
          <w:p>
            <w:pPr>
              <w:pStyle w:val="TableParagraph"/>
              <w:spacing w:before="161"/>
              <w:ind w:left="105"/>
              <w:rPr>
                <w:rFonts w:ascii="Arial"/>
                <w:sz w:val="22"/>
              </w:rPr>
            </w:pPr>
            <w:r>
              <w:rPr>
                <w:rFonts w:ascii="Arial"/>
                <w:sz w:val="22"/>
              </w:rPr>
              <w:t>Obligatoria</w:t>
            </w:r>
          </w:p>
        </w:tc>
        <w:tc>
          <w:tcPr>
            <w:tcW w:w="1109" w:type="dxa"/>
          </w:tcPr>
          <w:p>
            <w:pPr>
              <w:pStyle w:val="TableParagraph"/>
              <w:spacing w:before="161"/>
              <w:jc w:val="center"/>
              <w:rPr>
                <w:rFonts w:ascii="Arial"/>
                <w:sz w:val="22"/>
              </w:rPr>
            </w:pPr>
            <w:r>
              <w:rPr>
                <w:rFonts w:ascii="Arial"/>
                <w:w w:val="100"/>
                <w:sz w:val="22"/>
              </w:rPr>
              <w:t>6</w:t>
            </w:r>
          </w:p>
        </w:tc>
        <w:tc>
          <w:tcPr>
            <w:tcW w:w="1322" w:type="dxa"/>
          </w:tcPr>
          <w:p>
            <w:pPr>
              <w:pStyle w:val="TableParagraph"/>
              <w:spacing w:before="122"/>
              <w:ind w:left="326" w:right="113"/>
              <w:rPr>
                <w:rFonts w:ascii="Arial" w:hAnsi="Arial"/>
                <w:sz w:val="22"/>
              </w:rPr>
            </w:pPr>
            <w:r>
              <w:rPr>
                <w:rFonts w:ascii="Arial" w:hAnsi="Arial"/>
                <w:sz w:val="22"/>
              </w:rPr>
              <w:t>Básico</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2"/>
        </w:rPr>
      </w:pPr>
    </w:p>
    <w:p>
      <w:pPr>
        <w:spacing w:before="65"/>
        <w:ind w:left="3530" w:right="0" w:firstLine="0"/>
        <w:jc w:val="left"/>
        <w:rPr>
          <w:sz w:val="28"/>
        </w:rPr>
      </w:pPr>
      <w:r>
        <w:rPr>
          <w:sz w:val="28"/>
        </w:rPr>
        <w:t>ELABORADO POR:</w:t>
      </w:r>
    </w:p>
    <w:p>
      <w:pPr>
        <w:pStyle w:val="Heading1"/>
        <w:spacing w:before="50"/>
        <w:ind w:left="2637"/>
      </w:pPr>
      <w:r>
        <w:rPr/>
        <w:t>L. C. P. Lizbeth Sandoval Juárez</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9"/>
        </w:rPr>
      </w:pPr>
    </w:p>
    <w:p>
      <w:pPr>
        <w:spacing w:before="65"/>
        <w:ind w:left="0" w:right="1316" w:firstLine="0"/>
        <w:jc w:val="right"/>
        <w:rPr>
          <w:b/>
          <w:sz w:val="28"/>
        </w:rPr>
      </w:pPr>
      <w:r>
        <w:rPr>
          <w:b/>
          <w:sz w:val="28"/>
        </w:rPr>
        <w:t>Septiembre 2015</w:t>
      </w:r>
    </w:p>
    <w:p>
      <w:pPr>
        <w:spacing w:after="0"/>
        <w:jc w:val="right"/>
        <w:rPr>
          <w:sz w:val="28"/>
        </w:rPr>
        <w:sectPr>
          <w:type w:val="continuous"/>
          <w:pgSz w:w="12240" w:h="15840"/>
          <w:pgMar w:top="880" w:bottom="280" w:left="1220" w:right="380"/>
        </w:sectPr>
      </w:pPr>
    </w:p>
    <w:p>
      <w:pPr>
        <w:pStyle w:val="Heading2"/>
        <w:spacing w:before="57"/>
      </w:pPr>
      <w:r>
        <w:rPr/>
        <w:t>PRESENTACIÓN</w:t>
      </w:r>
    </w:p>
    <w:p>
      <w:pPr>
        <w:pStyle w:val="BodyText"/>
        <w:spacing w:before="10"/>
        <w:rPr>
          <w:b/>
          <w:sz w:val="20"/>
        </w:rPr>
      </w:pPr>
    </w:p>
    <w:p>
      <w:pPr>
        <w:pStyle w:val="BodyText"/>
        <w:spacing w:line="360" w:lineRule="auto"/>
        <w:ind w:left="109" w:right="117"/>
        <w:jc w:val="both"/>
      </w:pPr>
      <w:r>
        <w:rPr/>
        <w:t>El programa de Contabilidad básica para la Licenciatura en Turismo contiene un seguimiento</w:t>
      </w:r>
      <w:r>
        <w:rPr>
          <w:spacing w:val="-8"/>
        </w:rPr>
        <w:t> </w:t>
      </w:r>
      <w:r>
        <w:rPr/>
        <w:t>del</w:t>
      </w:r>
      <w:r>
        <w:rPr>
          <w:spacing w:val="-9"/>
        </w:rPr>
        <w:t> </w:t>
      </w:r>
      <w:r>
        <w:rPr/>
        <w:t>proceso</w:t>
      </w:r>
      <w:r>
        <w:rPr>
          <w:spacing w:val="-8"/>
        </w:rPr>
        <w:t> </w:t>
      </w:r>
      <w:r>
        <w:rPr/>
        <w:t>contable</w:t>
      </w:r>
      <w:r>
        <w:rPr>
          <w:spacing w:val="-8"/>
        </w:rPr>
        <w:t> </w:t>
      </w:r>
      <w:r>
        <w:rPr/>
        <w:t>partiendo</w:t>
      </w:r>
      <w:r>
        <w:rPr>
          <w:spacing w:val="-9"/>
        </w:rPr>
        <w:t> </w:t>
      </w:r>
      <w:r>
        <w:rPr/>
        <w:t>de</w:t>
      </w:r>
      <w:r>
        <w:rPr>
          <w:spacing w:val="-8"/>
        </w:rPr>
        <w:t> </w:t>
      </w:r>
      <w:r>
        <w:rPr/>
        <w:t>cuáles</w:t>
      </w:r>
      <w:r>
        <w:rPr>
          <w:spacing w:val="-8"/>
        </w:rPr>
        <w:t> </w:t>
      </w:r>
      <w:r>
        <w:rPr/>
        <w:t>son</w:t>
      </w:r>
      <w:r>
        <w:rPr>
          <w:spacing w:val="-8"/>
        </w:rPr>
        <w:t> </w:t>
      </w:r>
      <w:r>
        <w:rPr/>
        <w:t>las</w:t>
      </w:r>
      <w:r>
        <w:rPr>
          <w:spacing w:val="-10"/>
        </w:rPr>
        <w:t> </w:t>
      </w:r>
      <w:r>
        <w:rPr/>
        <w:t>fuentes</w:t>
      </w:r>
      <w:r>
        <w:rPr>
          <w:spacing w:val="-9"/>
        </w:rPr>
        <w:t> </w:t>
      </w:r>
      <w:r>
        <w:rPr/>
        <w:t>de</w:t>
      </w:r>
      <w:r>
        <w:rPr>
          <w:spacing w:val="-9"/>
        </w:rPr>
        <w:t> </w:t>
      </w:r>
      <w:r>
        <w:rPr/>
        <w:t>información, cómo se registran las operaciones financieras de las entidades gastronómicas, cómo se valúan sus inventarios, la manera de registrarlos y procesarlos, con la finalidad de que</w:t>
      </w:r>
      <w:r>
        <w:rPr>
          <w:spacing w:val="-9"/>
        </w:rPr>
        <w:t> </w:t>
      </w:r>
      <w:r>
        <w:rPr/>
        <w:t>conozcan</w:t>
      </w:r>
      <w:r>
        <w:rPr>
          <w:spacing w:val="-9"/>
        </w:rPr>
        <w:t> </w:t>
      </w:r>
      <w:r>
        <w:rPr/>
        <w:t>el</w:t>
      </w:r>
      <w:r>
        <w:rPr>
          <w:spacing w:val="-11"/>
        </w:rPr>
        <w:t> </w:t>
      </w:r>
      <w:r>
        <w:rPr/>
        <w:t>origen</w:t>
      </w:r>
      <w:r>
        <w:rPr>
          <w:spacing w:val="-9"/>
        </w:rPr>
        <w:t> </w:t>
      </w:r>
      <w:r>
        <w:rPr/>
        <w:t>del</w:t>
      </w:r>
      <w:r>
        <w:rPr>
          <w:spacing w:val="-13"/>
        </w:rPr>
        <w:t> </w:t>
      </w:r>
      <w:r>
        <w:rPr/>
        <w:t>proceso</w:t>
      </w:r>
      <w:r>
        <w:rPr>
          <w:spacing w:val="-9"/>
        </w:rPr>
        <w:t> </w:t>
      </w:r>
      <w:r>
        <w:rPr/>
        <w:t>y</w:t>
      </w:r>
      <w:r>
        <w:rPr>
          <w:spacing w:val="-13"/>
        </w:rPr>
        <w:t> </w:t>
      </w:r>
      <w:r>
        <w:rPr/>
        <w:t>puedan</w:t>
      </w:r>
      <w:r>
        <w:rPr>
          <w:spacing w:val="-9"/>
        </w:rPr>
        <w:t> </w:t>
      </w:r>
      <w:r>
        <w:rPr/>
        <w:t>determinar</w:t>
      </w:r>
      <w:r>
        <w:rPr>
          <w:spacing w:val="-11"/>
        </w:rPr>
        <w:t> </w:t>
      </w:r>
      <w:r>
        <w:rPr/>
        <w:t>su</w:t>
      </w:r>
      <w:r>
        <w:rPr>
          <w:spacing w:val="-12"/>
        </w:rPr>
        <w:t> </w:t>
      </w:r>
      <w:r>
        <w:rPr/>
        <w:t>adecuación</w:t>
      </w:r>
      <w:r>
        <w:rPr>
          <w:spacing w:val="48"/>
        </w:rPr>
        <w:t> </w:t>
      </w:r>
      <w:r>
        <w:rPr/>
        <w:t>y</w:t>
      </w:r>
      <w:r>
        <w:rPr>
          <w:spacing w:val="-13"/>
        </w:rPr>
        <w:t> </w:t>
      </w:r>
      <w:r>
        <w:rPr/>
        <w:t>pertinencia a</w:t>
      </w:r>
      <w:r>
        <w:rPr>
          <w:spacing w:val="-8"/>
        </w:rPr>
        <w:t> </w:t>
      </w:r>
      <w:r>
        <w:rPr/>
        <w:t>una</w:t>
      </w:r>
      <w:r>
        <w:rPr>
          <w:spacing w:val="-11"/>
        </w:rPr>
        <w:t> </w:t>
      </w:r>
      <w:r>
        <w:rPr/>
        <w:t>empresa</w:t>
      </w:r>
      <w:r>
        <w:rPr>
          <w:spacing w:val="-8"/>
        </w:rPr>
        <w:t> </w:t>
      </w:r>
      <w:r>
        <w:rPr/>
        <w:t>turística</w:t>
      </w:r>
      <w:r>
        <w:rPr>
          <w:spacing w:val="-8"/>
        </w:rPr>
        <w:t> </w:t>
      </w:r>
      <w:r>
        <w:rPr/>
        <w:t>concreta,</w:t>
      </w:r>
      <w:r>
        <w:rPr>
          <w:spacing w:val="-9"/>
        </w:rPr>
        <w:t> </w:t>
      </w:r>
      <w:r>
        <w:rPr/>
        <w:t>se</w:t>
      </w:r>
      <w:r>
        <w:rPr>
          <w:spacing w:val="-8"/>
        </w:rPr>
        <w:t> </w:t>
      </w:r>
      <w:r>
        <w:rPr/>
        <w:t>elaboran</w:t>
      </w:r>
      <w:r>
        <w:rPr>
          <w:spacing w:val="-8"/>
        </w:rPr>
        <w:t> </w:t>
      </w:r>
      <w:r>
        <w:rPr/>
        <w:t>los</w:t>
      </w:r>
      <w:r>
        <w:rPr>
          <w:spacing w:val="-9"/>
        </w:rPr>
        <w:t> </w:t>
      </w:r>
      <w:r>
        <w:rPr/>
        <w:t>estados</w:t>
      </w:r>
      <w:r>
        <w:rPr>
          <w:spacing w:val="-12"/>
        </w:rPr>
        <w:t> </w:t>
      </w:r>
      <w:r>
        <w:rPr/>
        <w:t>financieros</w:t>
      </w:r>
      <w:r>
        <w:rPr>
          <w:spacing w:val="-9"/>
        </w:rPr>
        <w:t> </w:t>
      </w:r>
      <w:r>
        <w:rPr/>
        <w:t>básicos</w:t>
      </w:r>
      <w:r>
        <w:rPr>
          <w:spacing w:val="-9"/>
        </w:rPr>
        <w:t> </w:t>
      </w:r>
      <w:r>
        <w:rPr/>
        <w:t>(estado de resultados y balance general) a partir de la información anterior, siendo estos documentos la información financiera que se tendrá como base para la toma de decisiones.</w:t>
      </w:r>
    </w:p>
    <w:p>
      <w:pPr>
        <w:spacing w:after="0" w:line="360" w:lineRule="auto"/>
        <w:jc w:val="both"/>
        <w:sectPr>
          <w:footerReference w:type="default" r:id="rId7"/>
          <w:pgSz w:w="12240" w:h="15840"/>
          <w:pgMar w:footer="779" w:header="0" w:top="1360" w:bottom="960" w:left="1360" w:right="1580"/>
          <w:pgNumType w:start="2"/>
        </w:sectPr>
      </w:pPr>
    </w:p>
    <w:p>
      <w:pPr>
        <w:pStyle w:val="Heading2"/>
        <w:spacing w:before="57"/>
        <w:ind w:right="212"/>
        <w:jc w:val="left"/>
      </w:pPr>
      <w:r>
        <w:rPr/>
        <w:t>OBJETIVO.</w:t>
      </w:r>
    </w:p>
    <w:p>
      <w:pPr>
        <w:pStyle w:val="BodyText"/>
        <w:spacing w:before="10"/>
        <w:rPr>
          <w:b/>
          <w:sz w:val="20"/>
        </w:rPr>
      </w:pPr>
    </w:p>
    <w:p>
      <w:pPr>
        <w:pStyle w:val="BodyText"/>
        <w:spacing w:line="360" w:lineRule="auto"/>
        <w:ind w:left="109" w:right="212"/>
      </w:pPr>
      <w:r>
        <w:rPr/>
        <w:t>El estudiante será competente para elaborar estados financieros a partir de transacciones financieras que realice el ente económico.</w:t>
      </w:r>
    </w:p>
    <w:p>
      <w:pPr>
        <w:spacing w:after="0" w:line="360" w:lineRule="auto"/>
        <w:sectPr>
          <w:pgSz w:w="12240" w:h="15840"/>
          <w:pgMar w:header="0" w:footer="779" w:top="1360" w:bottom="960" w:left="1360" w:right="1580"/>
        </w:sectPr>
      </w:pPr>
    </w:p>
    <w:p>
      <w:pPr>
        <w:pStyle w:val="Heading2"/>
        <w:spacing w:before="57"/>
        <w:jc w:val="left"/>
      </w:pPr>
      <w:r>
        <w:rPr/>
        <w:t>ÍNDICE</w:t>
      </w:r>
    </w:p>
    <w:p>
      <w:pPr>
        <w:spacing w:after="0"/>
        <w:jc w:val="left"/>
        <w:sectPr>
          <w:pgSz w:w="12240" w:h="15840"/>
          <w:pgMar w:header="0" w:footer="779" w:top="1360" w:bottom="1661" w:left="1360" w:right="1600"/>
        </w:sectPr>
      </w:pPr>
    </w:p>
    <w:sdt>
      <w:sdtPr>
        <w:docPartObj>
          <w:docPartGallery w:val="Table of Contents"/>
          <w:docPartUnique/>
        </w:docPartObj>
      </w:sdtPr>
      <w:sdtEndPr/>
      <w:sdtContent>
        <w:p>
          <w:pPr>
            <w:pStyle w:val="TOC1"/>
            <w:tabs>
              <w:tab w:pos="9172" w:val="right" w:leader="dot"/>
            </w:tabs>
            <w:spacing w:before="747"/>
          </w:pPr>
          <w:hyperlink w:history="true" w:anchor="_bookmark0">
            <w:r>
              <w:rPr>
                <w:rFonts w:ascii="Arial" w:hAnsi="Arial"/>
              </w:rPr>
              <w:t>UNIDAD I</w:t>
            </w:r>
            <w:r>
              <w:rPr>
                <w:rFonts w:ascii="Arial" w:hAnsi="Arial"/>
                <w:spacing w:val="1"/>
              </w:rPr>
              <w:t> </w:t>
            </w:r>
            <w:r>
              <w:rPr>
                <w:rFonts w:ascii="Arial" w:hAnsi="Arial"/>
              </w:rPr>
              <w:t>ENTIDAD</w:t>
            </w:r>
            <w:r>
              <w:rPr>
                <w:rFonts w:ascii="Arial" w:hAnsi="Arial"/>
                <w:spacing w:val="-1"/>
              </w:rPr>
              <w:t> </w:t>
            </w:r>
            <w:r>
              <w:rPr>
                <w:rFonts w:ascii="Arial" w:hAnsi="Arial"/>
              </w:rPr>
              <w:t>ECONÓMICA</w:t>
            </w:r>
            <w:r>
              <w:rPr/>
              <w:tab/>
              <w:t>6</w:t>
            </w:r>
          </w:hyperlink>
        </w:p>
        <w:p>
          <w:pPr>
            <w:pStyle w:val="TOC2"/>
            <w:numPr>
              <w:ilvl w:val="1"/>
              <w:numId w:val="1"/>
            </w:numPr>
            <w:tabs>
              <w:tab w:pos="989" w:val="left" w:leader="none"/>
              <w:tab w:pos="990" w:val="left" w:leader="none"/>
              <w:tab w:pos="9172" w:val="right" w:leader="dot"/>
            </w:tabs>
            <w:spacing w:line="240" w:lineRule="auto" w:before="142" w:after="0"/>
            <w:ind w:left="990" w:right="0" w:hanging="660"/>
            <w:jc w:val="left"/>
            <w:rPr>
              <w:rFonts w:ascii="Calibri" w:hAnsi="Calibri"/>
            </w:rPr>
          </w:pPr>
          <w:hyperlink w:history="true" w:anchor="_bookmark1">
            <w:r>
              <w:rPr/>
              <w:t>ENTIDAD</w:t>
            </w:r>
            <w:r>
              <w:rPr>
                <w:spacing w:val="-1"/>
              </w:rPr>
              <w:t> </w:t>
            </w:r>
            <w:r>
              <w:rPr/>
              <w:t>ECONÓMICA</w:t>
            </w:r>
            <w:r>
              <w:rPr>
                <w:rFonts w:ascii="Calibri" w:hAnsi="Calibri"/>
              </w:rPr>
              <w:tab/>
              <w:t>7</w:t>
            </w:r>
          </w:hyperlink>
        </w:p>
        <w:p>
          <w:pPr>
            <w:pStyle w:val="TOC3"/>
            <w:numPr>
              <w:ilvl w:val="2"/>
              <w:numId w:val="1"/>
            </w:numPr>
            <w:tabs>
              <w:tab w:pos="1429" w:val="left" w:leader="none"/>
              <w:tab w:pos="1430" w:val="left" w:leader="none"/>
              <w:tab w:pos="9172" w:val="right" w:leader="dot"/>
            </w:tabs>
            <w:spacing w:line="240" w:lineRule="auto" w:before="139" w:after="0"/>
            <w:ind w:left="1429" w:right="0" w:hanging="881"/>
            <w:jc w:val="left"/>
            <w:rPr>
              <w:rFonts w:ascii="Calibri"/>
            </w:rPr>
          </w:pPr>
          <w:hyperlink w:history="true" w:anchor="_bookmark2">
            <w:r>
              <w:rPr/>
              <w:t>Concepto.</w:t>
            </w:r>
            <w:r>
              <w:rPr>
                <w:rFonts w:ascii="Calibri"/>
              </w:rPr>
              <w:tab/>
              <w:t>7</w:t>
            </w:r>
          </w:hyperlink>
        </w:p>
        <w:p>
          <w:pPr>
            <w:pStyle w:val="TOC3"/>
            <w:numPr>
              <w:ilvl w:val="2"/>
              <w:numId w:val="1"/>
            </w:numPr>
            <w:tabs>
              <w:tab w:pos="1429" w:val="left" w:leader="none"/>
              <w:tab w:pos="1430" w:val="left" w:leader="none"/>
              <w:tab w:pos="9172" w:val="right" w:leader="dot"/>
            </w:tabs>
            <w:spacing w:line="240" w:lineRule="auto" w:before="139" w:after="0"/>
            <w:ind w:left="1429" w:right="0" w:hanging="881"/>
            <w:jc w:val="left"/>
            <w:rPr>
              <w:rFonts w:ascii="Calibri" w:hAnsi="Calibri"/>
            </w:rPr>
          </w:pPr>
          <w:hyperlink w:history="true" w:anchor="_bookmark3">
            <w:r>
              <w:rPr/>
              <w:t>Clasificación</w:t>
            </w:r>
            <w:r>
              <w:rPr>
                <w:rFonts w:ascii="Calibri" w:hAnsi="Calibri"/>
              </w:rPr>
              <w:tab/>
              <w:t>7</w:t>
            </w:r>
          </w:hyperlink>
        </w:p>
        <w:p>
          <w:pPr>
            <w:pStyle w:val="TOC3"/>
            <w:numPr>
              <w:ilvl w:val="2"/>
              <w:numId w:val="1"/>
            </w:numPr>
            <w:tabs>
              <w:tab w:pos="1429" w:val="left" w:leader="none"/>
              <w:tab w:pos="1430" w:val="left" w:leader="none"/>
              <w:tab w:pos="9173" w:val="right" w:leader="dot"/>
            </w:tabs>
            <w:spacing w:line="240" w:lineRule="auto" w:before="142" w:after="0"/>
            <w:ind w:left="1429" w:right="0" w:hanging="881"/>
            <w:jc w:val="left"/>
            <w:rPr>
              <w:rFonts w:ascii="Calibri" w:hAnsi="Calibri"/>
            </w:rPr>
          </w:pPr>
          <w:hyperlink w:history="true" w:anchor="_bookmark4">
            <w:r>
              <w:rPr/>
              <w:t>Objetivos de las</w:t>
            </w:r>
            <w:r>
              <w:rPr>
                <w:spacing w:val="-1"/>
              </w:rPr>
              <w:t> </w:t>
            </w:r>
            <w:r>
              <w:rPr/>
              <w:t>empresas</w:t>
            </w:r>
            <w:r>
              <w:rPr>
                <w:spacing w:val="-1"/>
              </w:rPr>
              <w:t> </w:t>
            </w:r>
            <w:r>
              <w:rPr/>
              <w:t>turísticas.</w:t>
            </w:r>
            <w:r>
              <w:rPr>
                <w:rFonts w:ascii="Calibri" w:hAnsi="Calibri"/>
              </w:rPr>
              <w:tab/>
              <w:t>11</w:t>
            </w:r>
          </w:hyperlink>
        </w:p>
        <w:p>
          <w:pPr>
            <w:pStyle w:val="TOC3"/>
            <w:tabs>
              <w:tab w:pos="9173" w:val="right" w:leader="dot"/>
            </w:tabs>
            <w:ind w:left="548" w:firstLine="0"/>
            <w:rPr>
              <w:rFonts w:ascii="Calibri"/>
            </w:rPr>
          </w:pPr>
          <w:hyperlink w:history="true" w:anchor="_bookmark5">
            <w:r>
              <w:rPr/>
              <w:t>1.1.4.</w:t>
            </w:r>
            <w:r>
              <w:rPr>
                <w:spacing w:val="1"/>
              </w:rPr>
              <w:t> </w:t>
            </w:r>
            <w:r>
              <w:rPr/>
              <w:t>Recursos.</w:t>
            </w:r>
            <w:r>
              <w:rPr>
                <w:rFonts w:ascii="Calibri"/>
              </w:rPr>
              <w:tab/>
              <w:t>12</w:t>
            </w:r>
          </w:hyperlink>
        </w:p>
        <w:p>
          <w:pPr>
            <w:pStyle w:val="TOC2"/>
            <w:numPr>
              <w:ilvl w:val="1"/>
              <w:numId w:val="1"/>
            </w:numPr>
            <w:tabs>
              <w:tab w:pos="989" w:val="left" w:leader="none"/>
              <w:tab w:pos="990" w:val="left" w:leader="none"/>
              <w:tab w:pos="9173" w:val="right" w:leader="dot"/>
            </w:tabs>
            <w:spacing w:line="240" w:lineRule="auto" w:before="142" w:after="0"/>
            <w:ind w:left="990" w:right="0" w:hanging="660"/>
            <w:jc w:val="left"/>
            <w:rPr>
              <w:rFonts w:ascii="Calibri"/>
            </w:rPr>
          </w:pPr>
          <w:hyperlink w:history="true" w:anchor="_bookmark6">
            <w:r>
              <w:rPr/>
              <w:t>ENTORNOS</w:t>
            </w:r>
            <w:r>
              <w:rPr>
                <w:rFonts w:ascii="Calibri"/>
              </w:rPr>
              <w:tab/>
              <w:t>13</w:t>
            </w:r>
          </w:hyperlink>
        </w:p>
        <w:p>
          <w:pPr>
            <w:pStyle w:val="TOC3"/>
            <w:numPr>
              <w:ilvl w:val="2"/>
              <w:numId w:val="1"/>
            </w:numPr>
            <w:tabs>
              <w:tab w:pos="1429" w:val="left" w:leader="none"/>
              <w:tab w:pos="1430" w:val="left" w:leader="none"/>
              <w:tab w:pos="9173" w:val="right" w:leader="dot"/>
            </w:tabs>
            <w:spacing w:line="240" w:lineRule="auto" w:before="139" w:after="0"/>
            <w:ind w:left="1429" w:right="0" w:hanging="881"/>
            <w:jc w:val="left"/>
            <w:rPr>
              <w:rFonts w:ascii="Calibri" w:hAnsi="Calibri"/>
            </w:rPr>
          </w:pPr>
          <w:hyperlink w:history="true" w:anchor="_bookmark7">
            <w:r>
              <w:rPr/>
              <w:t>Entorno económico</w:t>
            </w:r>
            <w:r>
              <w:rPr>
                <w:rFonts w:ascii="Calibri" w:hAnsi="Calibri"/>
              </w:rPr>
              <w:tab/>
              <w:t>14</w:t>
            </w:r>
          </w:hyperlink>
        </w:p>
        <w:p>
          <w:pPr>
            <w:pStyle w:val="TOC3"/>
            <w:numPr>
              <w:ilvl w:val="2"/>
              <w:numId w:val="1"/>
            </w:numPr>
            <w:tabs>
              <w:tab w:pos="1429" w:val="left" w:leader="none"/>
              <w:tab w:pos="1430" w:val="left" w:leader="none"/>
              <w:tab w:pos="9173" w:val="right" w:leader="dot"/>
            </w:tabs>
            <w:spacing w:line="240" w:lineRule="auto" w:before="139" w:after="0"/>
            <w:ind w:left="1429" w:right="0" w:hanging="881"/>
            <w:jc w:val="left"/>
            <w:rPr>
              <w:rFonts w:ascii="Calibri" w:hAnsi="Calibri"/>
            </w:rPr>
          </w:pPr>
          <w:hyperlink w:history="true" w:anchor="_bookmark8">
            <w:r>
              <w:rPr/>
              <w:t>Entorno</w:t>
            </w:r>
            <w:r>
              <w:rPr>
                <w:spacing w:val="-1"/>
              </w:rPr>
              <w:t> </w:t>
            </w:r>
            <w:r>
              <w:rPr/>
              <w:t>político.</w:t>
            </w:r>
            <w:r>
              <w:rPr>
                <w:rFonts w:ascii="Calibri" w:hAnsi="Calibri"/>
              </w:rPr>
              <w:tab/>
              <w:t>14</w:t>
            </w:r>
          </w:hyperlink>
        </w:p>
        <w:p>
          <w:pPr>
            <w:pStyle w:val="TOC3"/>
            <w:numPr>
              <w:ilvl w:val="2"/>
              <w:numId w:val="1"/>
            </w:numPr>
            <w:tabs>
              <w:tab w:pos="1101" w:val="left" w:leader="none"/>
              <w:tab w:pos="9173" w:val="right" w:leader="dot"/>
            </w:tabs>
            <w:spacing w:line="240" w:lineRule="auto" w:before="142" w:after="0"/>
            <w:ind w:left="1100" w:right="0" w:hanging="552"/>
            <w:jc w:val="left"/>
            <w:rPr>
              <w:rFonts w:ascii="Calibri"/>
            </w:rPr>
          </w:pPr>
          <w:hyperlink w:history="true" w:anchor="_bookmark9">
            <w:r>
              <w:rPr/>
              <w:t>Entorno social</w:t>
            </w:r>
            <w:r>
              <w:rPr>
                <w:spacing w:val="-2"/>
              </w:rPr>
              <w:t> </w:t>
            </w:r>
            <w:r>
              <w:rPr/>
              <w:t>y</w:t>
            </w:r>
            <w:r>
              <w:rPr>
                <w:spacing w:val="-3"/>
              </w:rPr>
              <w:t> </w:t>
            </w:r>
            <w:r>
              <w:rPr/>
              <w:t>cultural</w:t>
            </w:r>
            <w:r>
              <w:rPr>
                <w:rFonts w:ascii="Calibri"/>
              </w:rPr>
              <w:tab/>
              <w:t>15</w:t>
            </w:r>
          </w:hyperlink>
        </w:p>
        <w:p>
          <w:pPr>
            <w:pStyle w:val="TOC3"/>
            <w:numPr>
              <w:ilvl w:val="2"/>
              <w:numId w:val="1"/>
            </w:numPr>
            <w:tabs>
              <w:tab w:pos="1101" w:val="left" w:leader="none"/>
              <w:tab w:pos="9173" w:val="right" w:leader="dot"/>
            </w:tabs>
            <w:spacing w:line="240" w:lineRule="auto" w:before="139" w:after="0"/>
            <w:ind w:left="1100" w:right="0" w:hanging="552"/>
            <w:jc w:val="left"/>
            <w:rPr>
              <w:rFonts w:ascii="Calibri" w:hAnsi="Calibri"/>
            </w:rPr>
          </w:pPr>
          <w:hyperlink w:history="true" w:anchor="_bookmark10">
            <w:r>
              <w:rPr/>
              <w:t>Entorno</w:t>
            </w:r>
            <w:r>
              <w:rPr>
                <w:spacing w:val="-1"/>
              </w:rPr>
              <w:t> </w:t>
            </w:r>
            <w:r>
              <w:rPr/>
              <w:t>ético.</w:t>
            </w:r>
            <w:r>
              <w:rPr>
                <w:rFonts w:ascii="Calibri" w:hAnsi="Calibri"/>
              </w:rPr>
              <w:tab/>
              <w:t>15</w:t>
            </w:r>
          </w:hyperlink>
        </w:p>
        <w:p>
          <w:pPr>
            <w:pStyle w:val="TOC3"/>
            <w:numPr>
              <w:ilvl w:val="2"/>
              <w:numId w:val="1"/>
            </w:numPr>
            <w:tabs>
              <w:tab w:pos="1101" w:val="left" w:leader="none"/>
              <w:tab w:pos="9173" w:val="right" w:leader="dot"/>
            </w:tabs>
            <w:spacing w:line="240" w:lineRule="auto" w:before="139" w:after="0"/>
            <w:ind w:left="1100" w:right="0" w:hanging="552"/>
            <w:jc w:val="left"/>
            <w:rPr>
              <w:rFonts w:ascii="Calibri"/>
            </w:rPr>
          </w:pPr>
          <w:hyperlink w:history="true" w:anchor="_bookmark11">
            <w:r>
              <w:rPr/>
              <w:t>Actividad</w:t>
            </w:r>
            <w:r>
              <w:rPr>
                <w:spacing w:val="-1"/>
              </w:rPr>
              <w:t> </w:t>
            </w:r>
            <w:r>
              <w:rPr/>
              <w:t>de</w:t>
            </w:r>
            <w:r>
              <w:rPr>
                <w:spacing w:val="-1"/>
              </w:rPr>
              <w:t> </w:t>
            </w:r>
            <w:r>
              <w:rPr/>
              <w:t>aprendizaje.</w:t>
            </w:r>
            <w:r>
              <w:rPr>
                <w:rFonts w:ascii="Calibri"/>
              </w:rPr>
              <w:tab/>
              <w:t>17</w:t>
            </w:r>
          </w:hyperlink>
        </w:p>
        <w:p>
          <w:pPr>
            <w:pStyle w:val="TOC1"/>
            <w:tabs>
              <w:tab w:pos="9173" w:val="right" w:leader="dot"/>
            </w:tabs>
            <w:spacing w:before="142"/>
          </w:pPr>
          <w:hyperlink w:history="true" w:anchor="_bookmark12">
            <w:r>
              <w:rPr>
                <w:rFonts w:ascii="Arial"/>
              </w:rPr>
              <w:t>UNIDAD II</w:t>
            </w:r>
            <w:r>
              <w:rPr>
                <w:rFonts w:ascii="Arial"/>
                <w:spacing w:val="-2"/>
              </w:rPr>
              <w:t> </w:t>
            </w:r>
            <w:r>
              <w:rPr>
                <w:rFonts w:ascii="Arial"/>
              </w:rPr>
              <w:t>REGISTROS</w:t>
            </w:r>
            <w:r>
              <w:rPr>
                <w:rFonts w:ascii="Arial"/>
                <w:spacing w:val="-3"/>
              </w:rPr>
              <w:t> </w:t>
            </w:r>
            <w:r>
              <w:rPr>
                <w:rFonts w:ascii="Arial"/>
              </w:rPr>
              <w:t>CONTABLES</w:t>
            </w:r>
            <w:r>
              <w:rPr/>
              <w:tab/>
              <w:t>18</w:t>
            </w:r>
          </w:hyperlink>
        </w:p>
        <w:p>
          <w:pPr>
            <w:pStyle w:val="TOC2"/>
            <w:numPr>
              <w:ilvl w:val="1"/>
              <w:numId w:val="2"/>
            </w:numPr>
            <w:tabs>
              <w:tab w:pos="700" w:val="left" w:leader="none"/>
              <w:tab w:pos="9173" w:val="right" w:leader="dot"/>
            </w:tabs>
            <w:spacing w:line="240" w:lineRule="auto" w:before="139" w:after="0"/>
            <w:ind w:left="699" w:right="0" w:hanging="369"/>
            <w:jc w:val="left"/>
            <w:rPr>
              <w:rFonts w:ascii="Calibri"/>
            </w:rPr>
          </w:pPr>
          <w:hyperlink w:history="true" w:anchor="_bookmark13">
            <w:r>
              <w:rPr/>
              <w:t>CONTABILIDAD</w:t>
            </w:r>
            <w:r>
              <w:rPr>
                <w:rFonts w:ascii="Calibri"/>
              </w:rPr>
              <w:tab/>
              <w:t>19</w:t>
            </w:r>
          </w:hyperlink>
        </w:p>
        <w:p>
          <w:pPr>
            <w:pStyle w:val="TOC3"/>
            <w:numPr>
              <w:ilvl w:val="2"/>
              <w:numId w:val="2"/>
            </w:numPr>
            <w:tabs>
              <w:tab w:pos="1101" w:val="left" w:leader="none"/>
              <w:tab w:pos="9173" w:val="right" w:leader="dot"/>
            </w:tabs>
            <w:spacing w:line="240" w:lineRule="auto" w:before="140" w:after="0"/>
            <w:ind w:left="1100" w:right="0" w:hanging="552"/>
            <w:jc w:val="left"/>
            <w:rPr>
              <w:rFonts w:ascii="Calibri"/>
            </w:rPr>
          </w:pPr>
          <w:hyperlink w:history="true" w:anchor="_bookmark14">
            <w:r>
              <w:rPr/>
              <w:t>Concepto</w:t>
            </w:r>
            <w:r>
              <w:rPr>
                <w:rFonts w:ascii="Calibri"/>
              </w:rPr>
              <w:tab/>
              <w:t>19</w:t>
            </w:r>
          </w:hyperlink>
        </w:p>
        <w:p>
          <w:pPr>
            <w:pStyle w:val="TOC3"/>
            <w:numPr>
              <w:ilvl w:val="2"/>
              <w:numId w:val="2"/>
            </w:numPr>
            <w:tabs>
              <w:tab w:pos="1101" w:val="left" w:leader="none"/>
              <w:tab w:pos="9173" w:val="right" w:leader="dot"/>
            </w:tabs>
            <w:spacing w:line="240" w:lineRule="auto" w:before="142" w:after="0"/>
            <w:ind w:left="1100" w:right="0" w:hanging="552"/>
            <w:jc w:val="left"/>
            <w:rPr>
              <w:rFonts w:ascii="Calibri" w:hAnsi="Calibri"/>
            </w:rPr>
          </w:pPr>
          <w:hyperlink w:history="true" w:anchor="_bookmark15">
            <w:r>
              <w:rPr/>
              <w:t>Información</w:t>
            </w:r>
            <w:r>
              <w:rPr>
                <w:spacing w:val="-1"/>
              </w:rPr>
              <w:t> </w:t>
            </w:r>
            <w:r>
              <w:rPr/>
              <w:t>Financiera.</w:t>
            </w:r>
            <w:r>
              <w:rPr>
                <w:rFonts w:ascii="Calibri" w:hAnsi="Calibri"/>
              </w:rPr>
              <w:tab/>
              <w:t>19</w:t>
            </w:r>
          </w:hyperlink>
        </w:p>
        <w:p>
          <w:pPr>
            <w:pStyle w:val="TOC3"/>
            <w:numPr>
              <w:ilvl w:val="2"/>
              <w:numId w:val="2"/>
            </w:numPr>
            <w:tabs>
              <w:tab w:pos="1070" w:val="left" w:leader="none"/>
              <w:tab w:pos="9173" w:val="right" w:leader="dot"/>
            </w:tabs>
            <w:spacing w:line="240" w:lineRule="auto" w:before="139" w:after="0"/>
            <w:ind w:left="1069" w:right="0" w:hanging="521"/>
            <w:jc w:val="left"/>
            <w:rPr>
              <w:rFonts w:ascii="Calibri"/>
            </w:rPr>
          </w:pPr>
          <w:hyperlink w:history="true" w:anchor="_bookmark16">
            <w:r>
              <w:rPr/>
              <w:t>Caracteristicas</w:t>
            </w:r>
            <w:r>
              <w:rPr>
                <w:rFonts w:ascii="Calibri"/>
              </w:rPr>
              <w:tab/>
              <w:t>20</w:t>
            </w:r>
          </w:hyperlink>
        </w:p>
        <w:p>
          <w:pPr>
            <w:pStyle w:val="TOC3"/>
            <w:numPr>
              <w:ilvl w:val="2"/>
              <w:numId w:val="2"/>
            </w:numPr>
            <w:tabs>
              <w:tab w:pos="1086" w:val="left" w:leader="none"/>
              <w:tab w:pos="9173" w:val="right" w:leader="dot"/>
            </w:tabs>
            <w:spacing w:line="240" w:lineRule="auto" w:before="139" w:after="0"/>
            <w:ind w:left="1086" w:right="0" w:hanging="538"/>
            <w:jc w:val="left"/>
            <w:rPr>
              <w:rFonts w:ascii="Calibri"/>
            </w:rPr>
          </w:pPr>
          <w:hyperlink w:history="true" w:anchor="_bookmark17">
            <w:r>
              <w:rPr>
                <w:spacing w:val="2"/>
              </w:rPr>
              <w:t>Postulados </w:t>
            </w:r>
            <w:r>
              <w:rPr/>
              <w:t>de</w:t>
            </w:r>
            <w:r>
              <w:rPr>
                <w:spacing w:val="-9"/>
              </w:rPr>
              <w:t> </w:t>
            </w:r>
            <w:r>
              <w:rPr/>
              <w:t>la</w:t>
            </w:r>
            <w:r>
              <w:rPr>
                <w:spacing w:val="-1"/>
              </w:rPr>
              <w:t> </w:t>
            </w:r>
            <w:r>
              <w:rPr>
                <w:spacing w:val="2"/>
              </w:rPr>
              <w:t>Contabilidad</w:t>
            </w:r>
            <w:r>
              <w:rPr>
                <w:rFonts w:ascii="Calibri"/>
                <w:spacing w:val="2"/>
              </w:rPr>
              <w:tab/>
            </w:r>
            <w:r>
              <w:rPr>
                <w:rFonts w:ascii="Calibri"/>
              </w:rPr>
              <w:t>22</w:t>
            </w:r>
          </w:hyperlink>
        </w:p>
        <w:p>
          <w:pPr>
            <w:pStyle w:val="TOC3"/>
            <w:numPr>
              <w:ilvl w:val="2"/>
              <w:numId w:val="2"/>
            </w:numPr>
            <w:tabs>
              <w:tab w:pos="1101" w:val="left" w:leader="none"/>
              <w:tab w:pos="9173" w:val="right" w:leader="dot"/>
            </w:tabs>
            <w:spacing w:line="240" w:lineRule="auto" w:before="142" w:after="0"/>
            <w:ind w:left="1100" w:right="0" w:hanging="552"/>
            <w:jc w:val="left"/>
            <w:rPr>
              <w:rFonts w:ascii="Calibri"/>
            </w:rPr>
          </w:pPr>
          <w:hyperlink w:history="true" w:anchor="_bookmark18">
            <w:r>
              <w:rPr/>
              <w:t>Proceso</w:t>
            </w:r>
            <w:r>
              <w:rPr>
                <w:spacing w:val="-2"/>
              </w:rPr>
              <w:t> </w:t>
            </w:r>
            <w:r>
              <w:rPr/>
              <w:t>contable.</w:t>
            </w:r>
            <w:r>
              <w:rPr>
                <w:rFonts w:ascii="Calibri"/>
              </w:rPr>
              <w:tab/>
              <w:t>25</w:t>
            </w:r>
          </w:hyperlink>
        </w:p>
        <w:p>
          <w:pPr>
            <w:pStyle w:val="TOC3"/>
            <w:numPr>
              <w:ilvl w:val="2"/>
              <w:numId w:val="2"/>
            </w:numPr>
            <w:tabs>
              <w:tab w:pos="1429" w:val="left" w:leader="none"/>
              <w:tab w:pos="1430" w:val="left" w:leader="none"/>
              <w:tab w:pos="9173" w:val="right" w:leader="dot"/>
            </w:tabs>
            <w:spacing w:line="240" w:lineRule="auto" w:before="139" w:after="0"/>
            <w:ind w:left="1429" w:right="0" w:hanging="881"/>
            <w:jc w:val="left"/>
            <w:rPr>
              <w:rFonts w:ascii="Calibri"/>
            </w:rPr>
          </w:pPr>
          <w:hyperlink w:history="true" w:anchor="_bookmark19">
            <w:r>
              <w:rPr/>
              <w:t>Manual</w:t>
            </w:r>
            <w:r>
              <w:rPr>
                <w:spacing w:val="-1"/>
              </w:rPr>
              <w:t> </w:t>
            </w:r>
            <w:r>
              <w:rPr/>
              <w:t>Contable.</w:t>
            </w:r>
            <w:r>
              <w:rPr>
                <w:rFonts w:ascii="Calibri"/>
              </w:rPr>
              <w:tab/>
              <w:t>26</w:t>
            </w:r>
          </w:hyperlink>
        </w:p>
        <w:p>
          <w:pPr>
            <w:pStyle w:val="TOC2"/>
            <w:numPr>
              <w:ilvl w:val="1"/>
              <w:numId w:val="3"/>
            </w:numPr>
            <w:tabs>
              <w:tab w:pos="760" w:val="left" w:leader="none"/>
              <w:tab w:pos="9173" w:val="right" w:leader="dot"/>
            </w:tabs>
            <w:spacing w:line="240" w:lineRule="auto" w:before="139" w:after="0"/>
            <w:ind w:left="759" w:right="0" w:hanging="429"/>
            <w:jc w:val="left"/>
            <w:rPr>
              <w:rFonts w:ascii="Calibri" w:hAnsi="Calibri"/>
            </w:rPr>
          </w:pPr>
          <w:hyperlink w:history="true" w:anchor="_bookmark20">
            <w:r>
              <w:rPr/>
              <w:t>REGISTRO Y CÁLCULO DE DATOS EN DIARIO</w:t>
            </w:r>
            <w:r>
              <w:rPr>
                <w:spacing w:val="-5"/>
              </w:rPr>
              <w:t> </w:t>
            </w:r>
            <w:r>
              <w:rPr/>
              <w:t>Y</w:t>
            </w:r>
            <w:r>
              <w:rPr>
                <w:spacing w:val="-1"/>
              </w:rPr>
              <w:t> </w:t>
            </w:r>
            <w:r>
              <w:rPr/>
              <w:t>MAYOR</w:t>
            </w:r>
            <w:r>
              <w:rPr>
                <w:rFonts w:ascii="Calibri" w:hAnsi="Calibri"/>
              </w:rPr>
              <w:tab/>
              <w:t>28</w:t>
            </w:r>
          </w:hyperlink>
        </w:p>
        <w:p>
          <w:pPr>
            <w:pStyle w:val="TOC3"/>
            <w:numPr>
              <w:ilvl w:val="2"/>
              <w:numId w:val="3"/>
            </w:numPr>
            <w:tabs>
              <w:tab w:pos="1163" w:val="left" w:leader="none"/>
              <w:tab w:pos="9173" w:val="right" w:leader="dot"/>
            </w:tabs>
            <w:spacing w:line="240" w:lineRule="auto" w:before="142" w:after="0"/>
            <w:ind w:left="1162" w:right="0" w:hanging="614"/>
            <w:jc w:val="left"/>
            <w:rPr>
              <w:rFonts w:ascii="Calibri"/>
            </w:rPr>
          </w:pPr>
          <w:hyperlink w:history="true" w:anchor="_bookmark21">
            <w:r>
              <w:rPr/>
              <w:t>Libro</w:t>
            </w:r>
            <w:r>
              <w:rPr>
                <w:spacing w:val="-2"/>
              </w:rPr>
              <w:t> </w:t>
            </w:r>
            <w:r>
              <w:rPr/>
              <w:t>Diario</w:t>
            </w:r>
            <w:r>
              <w:rPr>
                <w:rFonts w:ascii="Calibri"/>
              </w:rPr>
              <w:tab/>
              <w:t>29</w:t>
            </w:r>
          </w:hyperlink>
        </w:p>
        <w:p>
          <w:pPr>
            <w:pStyle w:val="TOC3"/>
            <w:numPr>
              <w:ilvl w:val="2"/>
              <w:numId w:val="3"/>
            </w:numPr>
            <w:tabs>
              <w:tab w:pos="1163" w:val="left" w:leader="none"/>
              <w:tab w:pos="9173" w:val="right" w:leader="dot"/>
            </w:tabs>
            <w:spacing w:line="240" w:lineRule="auto" w:before="140" w:after="0"/>
            <w:ind w:left="1162" w:right="0" w:hanging="614"/>
            <w:jc w:val="left"/>
            <w:rPr>
              <w:rFonts w:ascii="Calibri"/>
            </w:rPr>
          </w:pPr>
          <w:hyperlink w:history="true" w:anchor="_bookmark22">
            <w:r>
              <w:rPr/>
              <w:t>Libro</w:t>
            </w:r>
            <w:r>
              <w:rPr>
                <w:spacing w:val="-3"/>
              </w:rPr>
              <w:t> </w:t>
            </w:r>
            <w:r>
              <w:rPr/>
              <w:t>Mayor.</w:t>
            </w:r>
            <w:r>
              <w:rPr>
                <w:rFonts w:ascii="Calibri"/>
              </w:rPr>
              <w:tab/>
              <w:t>30</w:t>
            </w:r>
          </w:hyperlink>
        </w:p>
        <w:p>
          <w:pPr>
            <w:pStyle w:val="TOC2"/>
            <w:numPr>
              <w:ilvl w:val="1"/>
              <w:numId w:val="3"/>
            </w:numPr>
            <w:tabs>
              <w:tab w:pos="760" w:val="left" w:leader="none"/>
              <w:tab w:pos="9173" w:val="right" w:leader="dot"/>
            </w:tabs>
            <w:spacing w:line="240" w:lineRule="auto" w:before="139" w:after="0"/>
            <w:ind w:left="759" w:right="0" w:hanging="429"/>
            <w:jc w:val="left"/>
            <w:rPr>
              <w:rFonts w:ascii="Calibri" w:hAnsi="Calibri"/>
            </w:rPr>
          </w:pPr>
          <w:hyperlink w:history="true" w:anchor="_bookmark23">
            <w:r>
              <w:rPr/>
              <w:t>BALANZA</w:t>
            </w:r>
            <w:r>
              <w:rPr>
                <w:spacing w:val="-2"/>
              </w:rPr>
              <w:t> </w:t>
            </w:r>
            <w:r>
              <w:rPr/>
              <w:t>DE</w:t>
            </w:r>
            <w:r>
              <w:rPr>
                <w:spacing w:val="-1"/>
              </w:rPr>
              <w:t> </w:t>
            </w:r>
            <w:r>
              <w:rPr/>
              <w:t>COMPROBACIÓN</w:t>
            </w:r>
            <w:r>
              <w:rPr>
                <w:rFonts w:ascii="Calibri" w:hAnsi="Calibri"/>
              </w:rPr>
              <w:tab/>
              <w:t>31</w:t>
            </w:r>
          </w:hyperlink>
        </w:p>
        <w:p>
          <w:pPr>
            <w:pStyle w:val="TOC2"/>
            <w:numPr>
              <w:ilvl w:val="1"/>
              <w:numId w:val="3"/>
            </w:numPr>
            <w:tabs>
              <w:tab w:pos="760" w:val="left" w:leader="none"/>
              <w:tab w:pos="9173" w:val="right" w:leader="dot"/>
            </w:tabs>
            <w:spacing w:line="240" w:lineRule="auto" w:before="142" w:after="0"/>
            <w:ind w:left="759" w:right="0" w:hanging="429"/>
            <w:jc w:val="left"/>
            <w:rPr>
              <w:rFonts w:ascii="Calibri"/>
            </w:rPr>
          </w:pPr>
          <w:hyperlink w:history="true" w:anchor="_bookmark24">
            <w:r>
              <w:rPr/>
              <w:t>ACTIVIDAD</w:t>
            </w:r>
            <w:r>
              <w:rPr>
                <w:spacing w:val="-1"/>
              </w:rPr>
              <w:t> </w:t>
            </w:r>
            <w:r>
              <w:rPr/>
              <w:t>DE</w:t>
            </w:r>
            <w:r>
              <w:rPr>
                <w:spacing w:val="-1"/>
              </w:rPr>
              <w:t> </w:t>
            </w:r>
            <w:r>
              <w:rPr/>
              <w:t>APRENDIZAJE</w:t>
            </w:r>
            <w:r>
              <w:rPr>
                <w:rFonts w:ascii="Calibri"/>
              </w:rPr>
              <w:tab/>
              <w:t>34</w:t>
            </w:r>
          </w:hyperlink>
        </w:p>
        <w:p>
          <w:pPr>
            <w:pStyle w:val="TOC1"/>
            <w:tabs>
              <w:tab w:pos="9173" w:val="right" w:leader="dot"/>
            </w:tabs>
          </w:pPr>
          <w:hyperlink w:history="true" w:anchor="_bookmark25">
            <w:r>
              <w:rPr>
                <w:rFonts w:ascii="Arial"/>
              </w:rPr>
              <w:t>UNIDAD III</w:t>
            </w:r>
            <w:r>
              <w:rPr>
                <w:rFonts w:ascii="Arial"/>
                <w:spacing w:val="1"/>
              </w:rPr>
              <w:t> </w:t>
            </w:r>
            <w:r>
              <w:rPr>
                <w:rFonts w:ascii="Arial"/>
              </w:rPr>
              <w:t>ESTADOS</w:t>
            </w:r>
            <w:r>
              <w:rPr>
                <w:rFonts w:ascii="Arial"/>
                <w:spacing w:val="-4"/>
              </w:rPr>
              <w:t> </w:t>
            </w:r>
            <w:r>
              <w:rPr>
                <w:rFonts w:ascii="Arial"/>
              </w:rPr>
              <w:t>FINANCIEROS</w:t>
            </w:r>
            <w:r>
              <w:rPr/>
              <w:tab/>
              <w:t>35</w:t>
            </w:r>
          </w:hyperlink>
        </w:p>
        <w:p>
          <w:pPr>
            <w:pStyle w:val="TOC2"/>
            <w:tabs>
              <w:tab w:pos="9173" w:val="right" w:leader="dot"/>
            </w:tabs>
            <w:ind w:left="330" w:firstLine="0"/>
            <w:rPr>
              <w:rFonts w:ascii="Calibri" w:hAnsi="Calibri"/>
            </w:rPr>
          </w:pPr>
          <w:hyperlink w:history="true" w:anchor="_bookmark26">
            <w:r>
              <w:rPr/>
              <w:t>3.1 ESTADOS</w:t>
            </w:r>
            <w:r>
              <w:rPr>
                <w:spacing w:val="-2"/>
              </w:rPr>
              <w:t> </w:t>
            </w:r>
            <w:r>
              <w:rPr/>
              <w:t>FINANCIEROS</w:t>
            </w:r>
            <w:r>
              <w:rPr>
                <w:spacing w:val="-1"/>
              </w:rPr>
              <w:t> </w:t>
            </w:r>
            <w:r>
              <w:rPr/>
              <w:t>BÁSICOS</w:t>
            </w:r>
            <w:r>
              <w:rPr>
                <w:rFonts w:ascii="Calibri" w:hAnsi="Calibri"/>
              </w:rPr>
              <w:tab/>
              <w:t>36</w:t>
            </w:r>
          </w:hyperlink>
        </w:p>
        <w:p>
          <w:pPr>
            <w:pStyle w:val="TOC3"/>
            <w:tabs>
              <w:tab w:pos="9173" w:val="right" w:leader="dot"/>
            </w:tabs>
            <w:spacing w:before="142"/>
            <w:ind w:left="548" w:firstLine="0"/>
            <w:rPr>
              <w:rFonts w:ascii="Calibri"/>
            </w:rPr>
          </w:pPr>
          <w:hyperlink w:history="true" w:anchor="_bookmark27">
            <w:r>
              <w:rPr/>
              <w:t>3.1.1</w:t>
            </w:r>
            <w:r>
              <w:rPr>
                <w:spacing w:val="-2"/>
              </w:rPr>
              <w:t> </w:t>
            </w:r>
            <w:r>
              <w:rPr/>
              <w:t>Generalidades.</w:t>
            </w:r>
            <w:r>
              <w:rPr>
                <w:rFonts w:ascii="Calibri"/>
              </w:rPr>
              <w:tab/>
              <w:t>36</w:t>
            </w:r>
          </w:hyperlink>
        </w:p>
        <w:p>
          <w:pPr>
            <w:pStyle w:val="TOC2"/>
            <w:numPr>
              <w:ilvl w:val="1"/>
              <w:numId w:val="4"/>
            </w:numPr>
            <w:tabs>
              <w:tab w:pos="760" w:val="left" w:leader="none"/>
              <w:tab w:pos="9173" w:val="right" w:leader="dot"/>
            </w:tabs>
            <w:spacing w:line="240" w:lineRule="auto" w:before="139" w:after="0"/>
            <w:ind w:left="759" w:right="0" w:hanging="429"/>
            <w:jc w:val="left"/>
            <w:rPr>
              <w:rFonts w:ascii="Calibri"/>
            </w:rPr>
          </w:pPr>
          <w:hyperlink w:history="true" w:anchor="_bookmark28">
            <w:r>
              <w:rPr/>
              <w:t>BALANCE</w:t>
            </w:r>
            <w:r>
              <w:rPr>
                <w:spacing w:val="-1"/>
              </w:rPr>
              <w:t> </w:t>
            </w:r>
            <w:r>
              <w:rPr/>
              <w:t>GENERAL.</w:t>
            </w:r>
            <w:r>
              <w:rPr>
                <w:rFonts w:ascii="Calibri"/>
              </w:rPr>
              <w:tab/>
              <w:t>37</w:t>
            </w:r>
          </w:hyperlink>
        </w:p>
        <w:p>
          <w:pPr>
            <w:pStyle w:val="TOC3"/>
            <w:numPr>
              <w:ilvl w:val="2"/>
              <w:numId w:val="4"/>
            </w:numPr>
            <w:tabs>
              <w:tab w:pos="1163" w:val="left" w:leader="none"/>
              <w:tab w:pos="9173" w:val="right" w:leader="dot"/>
            </w:tabs>
            <w:spacing w:line="240" w:lineRule="auto" w:before="55" w:after="0"/>
            <w:ind w:left="1162" w:right="0" w:hanging="614"/>
            <w:jc w:val="left"/>
            <w:rPr>
              <w:rFonts w:ascii="Calibri"/>
            </w:rPr>
          </w:pPr>
          <w:hyperlink w:history="true" w:anchor="_bookmark29">
            <w:r>
              <w:rPr/>
              <w:t>Elementos</w:t>
            </w:r>
            <w:r>
              <w:rPr>
                <w:rFonts w:ascii="Calibri"/>
              </w:rPr>
              <w:tab/>
              <w:t>37</w:t>
            </w:r>
          </w:hyperlink>
        </w:p>
        <w:p>
          <w:pPr>
            <w:pStyle w:val="TOC3"/>
            <w:numPr>
              <w:ilvl w:val="2"/>
              <w:numId w:val="4"/>
            </w:numPr>
            <w:tabs>
              <w:tab w:pos="1163" w:val="left" w:leader="none"/>
              <w:tab w:pos="9173" w:val="right" w:leader="dot"/>
            </w:tabs>
            <w:spacing w:line="240" w:lineRule="auto" w:before="139" w:after="0"/>
            <w:ind w:left="1162" w:right="0" w:hanging="614"/>
            <w:jc w:val="left"/>
            <w:rPr>
              <w:rFonts w:ascii="Calibri" w:hAnsi="Calibri"/>
            </w:rPr>
          </w:pPr>
          <w:hyperlink w:history="true" w:anchor="_bookmark30">
            <w:r>
              <w:rPr/>
              <w:t>Ecuación</w:t>
            </w:r>
            <w:r>
              <w:rPr>
                <w:spacing w:val="-2"/>
              </w:rPr>
              <w:t> </w:t>
            </w:r>
            <w:r>
              <w:rPr/>
              <w:t>contable</w:t>
            </w:r>
            <w:r>
              <w:rPr>
                <w:rFonts w:ascii="Calibri" w:hAnsi="Calibri"/>
              </w:rPr>
              <w:tab/>
              <w:t>40</w:t>
            </w:r>
          </w:hyperlink>
        </w:p>
        <w:p>
          <w:pPr>
            <w:pStyle w:val="TOC3"/>
            <w:tabs>
              <w:tab w:pos="9173" w:val="right" w:leader="dot"/>
            </w:tabs>
            <w:spacing w:before="142"/>
            <w:ind w:left="548" w:firstLine="0"/>
            <w:rPr>
              <w:rFonts w:ascii="Calibri"/>
            </w:rPr>
          </w:pPr>
          <w:hyperlink w:history="true" w:anchor="_bookmark31">
            <w:r>
              <w:rPr/>
              <w:t>3.2.3</w:t>
            </w:r>
            <w:r>
              <w:rPr>
                <w:spacing w:val="-2"/>
              </w:rPr>
              <w:t> </w:t>
            </w:r>
            <w:r>
              <w:rPr/>
              <w:t>Estructura.</w:t>
            </w:r>
            <w:r>
              <w:rPr>
                <w:rFonts w:ascii="Calibri"/>
              </w:rPr>
              <w:tab/>
              <w:t>40</w:t>
            </w:r>
          </w:hyperlink>
        </w:p>
        <w:p>
          <w:pPr>
            <w:pStyle w:val="TOC2"/>
            <w:numPr>
              <w:ilvl w:val="1"/>
              <w:numId w:val="4"/>
            </w:numPr>
            <w:tabs>
              <w:tab w:pos="760" w:val="left" w:leader="none"/>
              <w:tab w:pos="9173" w:val="right" w:leader="dot"/>
            </w:tabs>
            <w:spacing w:line="240" w:lineRule="auto" w:before="139" w:after="0"/>
            <w:ind w:left="759" w:right="0" w:hanging="429"/>
            <w:jc w:val="left"/>
            <w:rPr>
              <w:rFonts w:ascii="Calibri"/>
            </w:rPr>
          </w:pPr>
          <w:hyperlink w:history="true" w:anchor="_bookmark32">
            <w:r>
              <w:rPr/>
              <w:t>ESTADO</w:t>
            </w:r>
            <w:r>
              <w:rPr>
                <w:spacing w:val="1"/>
              </w:rPr>
              <w:t> </w:t>
            </w:r>
            <w:r>
              <w:rPr/>
              <w:t>DE</w:t>
            </w:r>
            <w:r>
              <w:rPr>
                <w:spacing w:val="-1"/>
              </w:rPr>
              <w:t> </w:t>
            </w:r>
            <w:r>
              <w:rPr/>
              <w:t>RESULTADOS</w:t>
            </w:r>
            <w:r>
              <w:rPr>
                <w:rFonts w:ascii="Calibri"/>
              </w:rPr>
              <w:tab/>
              <w:t>42</w:t>
            </w:r>
          </w:hyperlink>
        </w:p>
        <w:p>
          <w:pPr>
            <w:pStyle w:val="TOC3"/>
            <w:numPr>
              <w:ilvl w:val="2"/>
              <w:numId w:val="4"/>
            </w:numPr>
            <w:tabs>
              <w:tab w:pos="1163" w:val="left" w:leader="none"/>
              <w:tab w:pos="9173" w:val="right" w:leader="dot"/>
            </w:tabs>
            <w:spacing w:line="240" w:lineRule="auto" w:before="139" w:after="0"/>
            <w:ind w:left="1162" w:right="0" w:hanging="614"/>
            <w:jc w:val="left"/>
            <w:rPr>
              <w:rFonts w:ascii="Calibri"/>
            </w:rPr>
          </w:pPr>
          <w:hyperlink w:history="true" w:anchor="_bookmark33">
            <w:r>
              <w:rPr/>
              <w:t>Estructura</w:t>
            </w:r>
            <w:r>
              <w:rPr>
                <w:rFonts w:ascii="Calibri"/>
              </w:rPr>
              <w:tab/>
              <w:t>43</w:t>
            </w:r>
          </w:hyperlink>
        </w:p>
        <w:p>
          <w:pPr>
            <w:pStyle w:val="TOC2"/>
            <w:numPr>
              <w:ilvl w:val="1"/>
              <w:numId w:val="4"/>
            </w:numPr>
            <w:tabs>
              <w:tab w:pos="760" w:val="left" w:leader="none"/>
              <w:tab w:pos="9173" w:val="right" w:leader="dot"/>
            </w:tabs>
            <w:spacing w:line="240" w:lineRule="auto" w:before="142" w:after="0"/>
            <w:ind w:left="759" w:right="0" w:hanging="429"/>
            <w:jc w:val="left"/>
            <w:rPr>
              <w:rFonts w:ascii="Calibri"/>
            </w:rPr>
          </w:pPr>
          <w:hyperlink w:history="true" w:anchor="_bookmark34">
            <w:r>
              <w:rPr/>
              <w:t>Actividad</w:t>
            </w:r>
            <w:r>
              <w:rPr>
                <w:spacing w:val="-1"/>
              </w:rPr>
              <w:t> </w:t>
            </w:r>
            <w:r>
              <w:rPr/>
              <w:t>de</w:t>
            </w:r>
            <w:r>
              <w:rPr>
                <w:spacing w:val="-1"/>
              </w:rPr>
              <w:t> </w:t>
            </w:r>
            <w:r>
              <w:rPr/>
              <w:t>Aprendizaje.</w:t>
            </w:r>
            <w:r>
              <w:rPr>
                <w:rFonts w:ascii="Calibri"/>
              </w:rPr>
              <w:tab/>
              <w:t>45</w:t>
            </w:r>
          </w:hyperlink>
        </w:p>
        <w:p>
          <w:pPr>
            <w:pStyle w:val="TOC1"/>
            <w:tabs>
              <w:tab w:pos="9173" w:val="right" w:leader="dot"/>
            </w:tabs>
          </w:pPr>
          <w:hyperlink w:history="true" w:anchor="_bookmark35">
            <w:r>
              <w:rPr>
                <w:rFonts w:ascii="Arial" w:hAnsi="Arial"/>
              </w:rPr>
              <w:t>UNIDAD IV MÉTODOS DE VALUACIÓN</w:t>
            </w:r>
            <w:r>
              <w:rPr>
                <w:rFonts w:ascii="Arial" w:hAnsi="Arial"/>
                <w:spacing w:val="-4"/>
              </w:rPr>
              <w:t> </w:t>
            </w:r>
            <w:r>
              <w:rPr>
                <w:rFonts w:ascii="Arial" w:hAnsi="Arial"/>
              </w:rPr>
              <w:t>DE</w:t>
            </w:r>
            <w:r>
              <w:rPr>
                <w:rFonts w:ascii="Arial" w:hAnsi="Arial"/>
                <w:spacing w:val="-3"/>
              </w:rPr>
              <w:t> </w:t>
            </w:r>
            <w:r>
              <w:rPr>
                <w:rFonts w:ascii="Arial" w:hAnsi="Arial"/>
              </w:rPr>
              <w:t>INVETARIOS</w:t>
            </w:r>
            <w:r>
              <w:rPr/>
              <w:tab/>
              <w:t>46</w:t>
            </w:r>
          </w:hyperlink>
        </w:p>
        <w:p>
          <w:pPr>
            <w:pStyle w:val="TOC2"/>
            <w:numPr>
              <w:ilvl w:val="1"/>
              <w:numId w:val="5"/>
            </w:numPr>
            <w:tabs>
              <w:tab w:pos="760" w:val="left" w:leader="none"/>
              <w:tab w:pos="9173" w:val="right" w:leader="dot"/>
            </w:tabs>
            <w:spacing w:line="240" w:lineRule="auto" w:before="139" w:after="0"/>
            <w:ind w:left="759" w:right="0" w:hanging="429"/>
            <w:jc w:val="left"/>
            <w:rPr>
              <w:rFonts w:ascii="Calibri"/>
            </w:rPr>
          </w:pPr>
          <w:hyperlink w:history="true" w:anchor="_bookmark36">
            <w:r>
              <w:rPr/>
              <w:t>METODOS</w:t>
            </w:r>
            <w:r>
              <w:rPr>
                <w:rFonts w:ascii="Calibri"/>
              </w:rPr>
              <w:tab/>
              <w:t>47</w:t>
            </w:r>
          </w:hyperlink>
        </w:p>
        <w:p>
          <w:pPr>
            <w:pStyle w:val="TOC3"/>
            <w:numPr>
              <w:ilvl w:val="2"/>
              <w:numId w:val="5"/>
            </w:numPr>
            <w:tabs>
              <w:tab w:pos="1163" w:val="left" w:leader="none"/>
              <w:tab w:pos="9173" w:val="right" w:leader="dot"/>
            </w:tabs>
            <w:spacing w:line="240" w:lineRule="auto" w:before="142" w:after="0"/>
            <w:ind w:left="1162" w:right="0" w:hanging="614"/>
            <w:jc w:val="left"/>
            <w:rPr>
              <w:rFonts w:ascii="Calibri" w:hAnsi="Calibri"/>
            </w:rPr>
          </w:pPr>
          <w:hyperlink w:history="true" w:anchor="_bookmark37">
            <w:r>
              <w:rPr/>
              <w:t>Costo</w:t>
            </w:r>
            <w:r>
              <w:rPr>
                <w:spacing w:val="-1"/>
              </w:rPr>
              <w:t> </w:t>
            </w:r>
            <w:r>
              <w:rPr/>
              <w:t>de</w:t>
            </w:r>
            <w:r>
              <w:rPr>
                <w:spacing w:val="-3"/>
              </w:rPr>
              <w:t> </w:t>
            </w:r>
            <w:r>
              <w:rPr/>
              <w:t>adquisición</w:t>
            </w:r>
            <w:r>
              <w:rPr>
                <w:rFonts w:ascii="Calibri" w:hAnsi="Calibri"/>
              </w:rPr>
              <w:tab/>
              <w:t>47</w:t>
            </w:r>
          </w:hyperlink>
        </w:p>
        <w:p>
          <w:pPr>
            <w:pStyle w:val="TOC3"/>
            <w:numPr>
              <w:ilvl w:val="2"/>
              <w:numId w:val="5"/>
            </w:numPr>
            <w:tabs>
              <w:tab w:pos="1163" w:val="left" w:leader="none"/>
              <w:tab w:pos="9173" w:val="right" w:leader="dot"/>
            </w:tabs>
            <w:spacing w:line="240" w:lineRule="auto" w:before="140" w:after="0"/>
            <w:ind w:left="1162" w:right="0" w:hanging="614"/>
            <w:jc w:val="left"/>
            <w:rPr>
              <w:rFonts w:ascii="Calibri" w:hAnsi="Calibri"/>
            </w:rPr>
          </w:pPr>
          <w:hyperlink w:history="true" w:anchor="_bookmark38">
            <w:r>
              <w:rPr/>
              <w:t>Costo estándar y</w:t>
            </w:r>
            <w:r>
              <w:rPr>
                <w:spacing w:val="-4"/>
              </w:rPr>
              <w:t> </w:t>
            </w:r>
            <w:r>
              <w:rPr/>
              <w:t>costo Detallista.</w:t>
            </w:r>
            <w:r>
              <w:rPr>
                <w:rFonts w:ascii="Calibri" w:hAnsi="Calibri"/>
              </w:rPr>
              <w:tab/>
              <w:t>47</w:t>
            </w:r>
          </w:hyperlink>
        </w:p>
        <w:p>
          <w:pPr>
            <w:pStyle w:val="TOC2"/>
            <w:numPr>
              <w:ilvl w:val="1"/>
              <w:numId w:val="5"/>
            </w:numPr>
            <w:tabs>
              <w:tab w:pos="989" w:val="left" w:leader="none"/>
              <w:tab w:pos="990" w:val="left" w:leader="none"/>
              <w:tab w:pos="9173" w:val="right" w:leader="dot"/>
            </w:tabs>
            <w:spacing w:line="240" w:lineRule="auto" w:before="139" w:after="0"/>
            <w:ind w:left="990" w:right="0" w:hanging="660"/>
            <w:jc w:val="left"/>
            <w:rPr>
              <w:rFonts w:ascii="Calibri" w:hAnsi="Calibri"/>
            </w:rPr>
          </w:pPr>
          <w:hyperlink w:history="true" w:anchor="_bookmark39">
            <w:r>
              <w:rPr/>
              <w:t>FÓRMULAS DE ASIGNACIÓN</w:t>
            </w:r>
            <w:r>
              <w:rPr>
                <w:spacing w:val="-1"/>
              </w:rPr>
              <w:t> </w:t>
            </w:r>
            <w:r>
              <w:rPr/>
              <w:t>DE</w:t>
            </w:r>
            <w:r>
              <w:rPr>
                <w:spacing w:val="-1"/>
              </w:rPr>
              <w:t> </w:t>
            </w:r>
            <w:r>
              <w:rPr/>
              <w:t>COSTOS</w:t>
            </w:r>
            <w:r>
              <w:rPr>
                <w:rFonts w:ascii="Calibri" w:hAnsi="Calibri"/>
              </w:rPr>
              <w:tab/>
              <w:t>48</w:t>
            </w:r>
          </w:hyperlink>
        </w:p>
        <w:p>
          <w:pPr>
            <w:pStyle w:val="TOC3"/>
            <w:tabs>
              <w:tab w:pos="9173" w:val="right" w:leader="dot"/>
            </w:tabs>
            <w:spacing w:before="142"/>
            <w:ind w:left="548" w:firstLine="0"/>
            <w:rPr>
              <w:rFonts w:ascii="Calibri"/>
            </w:rPr>
          </w:pPr>
          <w:hyperlink w:history="true" w:anchor="_bookmark40">
            <w:r>
              <w:rPr/>
              <w:t>4.2.1</w:t>
            </w:r>
            <w:r>
              <w:rPr>
                <w:spacing w:val="-2"/>
              </w:rPr>
              <w:t> </w:t>
            </w:r>
            <w:r>
              <w:rPr/>
              <w:t>PEPS</w:t>
            </w:r>
            <w:r>
              <w:rPr>
                <w:rFonts w:ascii="Calibri"/>
              </w:rPr>
              <w:tab/>
              <w:t>48</w:t>
            </w:r>
          </w:hyperlink>
        </w:p>
        <w:p>
          <w:pPr>
            <w:pStyle w:val="TOC3"/>
            <w:numPr>
              <w:ilvl w:val="2"/>
              <w:numId w:val="6"/>
            </w:numPr>
            <w:tabs>
              <w:tab w:pos="1223" w:val="left" w:leader="none"/>
              <w:tab w:pos="9173" w:val="right" w:leader="dot"/>
            </w:tabs>
            <w:spacing w:line="240" w:lineRule="auto" w:before="139" w:after="0"/>
            <w:ind w:left="1222" w:right="0" w:hanging="674"/>
            <w:jc w:val="left"/>
            <w:rPr>
              <w:rFonts w:ascii="Calibri"/>
            </w:rPr>
          </w:pPr>
          <w:hyperlink w:history="true" w:anchor="_bookmark41">
            <w:r>
              <w:rPr/>
              <w:t>Costo</w:t>
            </w:r>
            <w:r>
              <w:rPr>
                <w:spacing w:val="-2"/>
              </w:rPr>
              <w:t> </w:t>
            </w:r>
            <w:r>
              <w:rPr/>
              <w:t>Promedio.</w:t>
            </w:r>
            <w:r>
              <w:rPr>
                <w:rFonts w:ascii="Calibri"/>
              </w:rPr>
              <w:tab/>
              <w:t>50</w:t>
            </w:r>
          </w:hyperlink>
        </w:p>
        <w:p>
          <w:pPr>
            <w:pStyle w:val="TOC3"/>
            <w:numPr>
              <w:ilvl w:val="2"/>
              <w:numId w:val="6"/>
            </w:numPr>
            <w:tabs>
              <w:tab w:pos="1429" w:val="left" w:leader="none"/>
              <w:tab w:pos="1430" w:val="left" w:leader="none"/>
              <w:tab w:pos="9173" w:val="right" w:leader="dot"/>
            </w:tabs>
            <w:spacing w:line="240" w:lineRule="auto" w:before="139" w:after="0"/>
            <w:ind w:left="1429" w:right="0" w:hanging="881"/>
            <w:jc w:val="left"/>
            <w:rPr>
              <w:rFonts w:ascii="Calibri"/>
            </w:rPr>
          </w:pPr>
          <w:hyperlink w:history="true" w:anchor="_bookmark42">
            <w:r>
              <w:rPr/>
              <w:t>Costos identificados.</w:t>
            </w:r>
            <w:r>
              <w:rPr>
                <w:rFonts w:ascii="Calibri"/>
              </w:rPr>
              <w:tab/>
              <w:t>51</w:t>
            </w:r>
          </w:hyperlink>
        </w:p>
        <w:p>
          <w:pPr>
            <w:pStyle w:val="TOC2"/>
            <w:numPr>
              <w:ilvl w:val="1"/>
              <w:numId w:val="5"/>
            </w:numPr>
            <w:tabs>
              <w:tab w:pos="989" w:val="left" w:leader="none"/>
              <w:tab w:pos="990" w:val="left" w:leader="none"/>
              <w:tab w:pos="9173" w:val="right" w:leader="dot"/>
            </w:tabs>
            <w:spacing w:line="240" w:lineRule="auto" w:before="142" w:after="0"/>
            <w:ind w:left="990" w:right="0" w:hanging="660"/>
            <w:jc w:val="left"/>
            <w:rPr>
              <w:rFonts w:ascii="Calibri"/>
            </w:rPr>
          </w:pPr>
          <w:hyperlink w:history="true" w:anchor="_bookmark43">
            <w:r>
              <w:rPr/>
              <w:t>Actividad</w:t>
            </w:r>
            <w:r>
              <w:rPr>
                <w:spacing w:val="-1"/>
              </w:rPr>
              <w:t> </w:t>
            </w:r>
            <w:r>
              <w:rPr/>
              <w:t>de</w:t>
            </w:r>
            <w:r>
              <w:rPr>
                <w:spacing w:val="-1"/>
              </w:rPr>
              <w:t> </w:t>
            </w:r>
            <w:r>
              <w:rPr/>
              <w:t>Aprendizaje.</w:t>
            </w:r>
            <w:r>
              <w:rPr>
                <w:rFonts w:ascii="Calibri"/>
              </w:rPr>
              <w:tab/>
              <w:t>52</w:t>
            </w:r>
          </w:hyperlink>
        </w:p>
        <w:p>
          <w:pPr>
            <w:pStyle w:val="TOC1"/>
            <w:ind w:left="80" w:right="56"/>
            <w:jc w:val="center"/>
          </w:pPr>
          <w:hyperlink w:history="true" w:anchor="_bookmark44">
            <w:r>
              <w:rPr/>
              <w:t>............................................................................................................................................................... 52</w:t>
            </w:r>
          </w:hyperlink>
        </w:p>
        <w:p>
          <w:pPr>
            <w:pStyle w:val="TOC1"/>
            <w:tabs>
              <w:tab w:pos="9173" w:val="right" w:leader="dot"/>
            </w:tabs>
          </w:pPr>
          <w:hyperlink w:history="true" w:anchor="_bookmark45">
            <w:r>
              <w:rPr>
                <w:rFonts w:ascii="Arial"/>
              </w:rPr>
              <w:t>GLOSARIO</w:t>
            </w:r>
            <w:r>
              <w:rPr/>
              <w:tab/>
              <w:t>53</w:t>
            </w:r>
          </w:hyperlink>
        </w:p>
        <w:p>
          <w:pPr>
            <w:pStyle w:val="TOC1"/>
            <w:tabs>
              <w:tab w:pos="9173" w:val="right" w:leader="dot"/>
            </w:tabs>
            <w:spacing w:before="142"/>
          </w:pPr>
          <w:hyperlink w:history="true" w:anchor="_bookmark46">
            <w:r>
              <w:rPr>
                <w:rFonts w:ascii="Arial" w:hAnsi="Arial"/>
              </w:rPr>
              <w:t>BIBLIOGRAFÍA</w:t>
            </w:r>
            <w:r>
              <w:rPr/>
              <w:tab/>
              <w:t>55</w:t>
            </w:r>
          </w:hyperlink>
        </w:p>
      </w:sdtContent>
    </w:sdt>
    <w:p>
      <w:pPr>
        <w:spacing w:after="0"/>
        <w:sectPr>
          <w:type w:val="continuous"/>
          <w:pgSz w:w="12240" w:h="15840"/>
          <w:pgMar w:top="1360" w:bottom="1661" w:left="1360" w:right="1600"/>
        </w:sectPr>
      </w:pPr>
    </w:p>
    <w:p>
      <w:pPr>
        <w:pStyle w:val="Heading1"/>
        <w:ind w:left="2411"/>
      </w:pPr>
      <w:bookmarkStart w:name="_bookmark0" w:id="1"/>
      <w:bookmarkEnd w:id="1"/>
      <w:r>
        <w:rPr>
          <w:b w:val="0"/>
        </w:rPr>
      </w:r>
      <w:r>
        <w:rPr/>
        <w:t>UNIDAD I ENTIDAD ECONÓMICA.</w:t>
      </w:r>
    </w:p>
    <w:p>
      <w:pPr>
        <w:pStyle w:val="BodyText"/>
        <w:rPr>
          <w:b/>
        </w:rPr>
      </w:pPr>
    </w:p>
    <w:p>
      <w:pPr>
        <w:pStyle w:val="BodyText"/>
        <w:spacing w:before="4"/>
        <w:rPr>
          <w:b/>
          <w:sz w:val="25"/>
        </w:rPr>
      </w:pPr>
    </w:p>
    <w:p>
      <w:pPr>
        <w:spacing w:before="0"/>
        <w:ind w:left="109" w:right="0" w:firstLine="0"/>
        <w:jc w:val="left"/>
        <w:rPr>
          <w:b/>
          <w:sz w:val="24"/>
        </w:rPr>
      </w:pPr>
      <w:r>
        <w:rPr>
          <w:b/>
          <w:sz w:val="24"/>
        </w:rPr>
        <w:t>Competencia</w:t>
      </w:r>
    </w:p>
    <w:p>
      <w:pPr>
        <w:pStyle w:val="BodyText"/>
        <w:spacing w:before="10"/>
        <w:rPr>
          <w:b/>
          <w:sz w:val="20"/>
        </w:rPr>
      </w:pPr>
    </w:p>
    <w:p>
      <w:pPr>
        <w:pStyle w:val="BodyText"/>
        <w:spacing w:line="360" w:lineRule="auto"/>
        <w:ind w:left="109"/>
      </w:pPr>
      <w:r>
        <w:rPr/>
        <w:t>Identificar los espacios donde se desarrollan transacciones financieras en el ámbito turístico.</w:t>
      </w:r>
    </w:p>
    <w:p>
      <w:pPr>
        <w:pStyle w:val="BodyText"/>
      </w:pPr>
    </w:p>
    <w:p>
      <w:pPr>
        <w:pStyle w:val="BodyText"/>
      </w:pPr>
    </w:p>
    <w:p>
      <w:pPr>
        <w:pStyle w:val="Heading2"/>
        <w:spacing w:before="168"/>
        <w:jc w:val="left"/>
      </w:pPr>
      <w:r>
        <w:rPr/>
        <w:t>Elementos de la competencia</w:t>
      </w:r>
    </w:p>
    <w:p>
      <w:pPr>
        <w:pStyle w:val="BodyText"/>
        <w:spacing w:before="1"/>
        <w:rPr>
          <w:b/>
          <w:sz w:val="21"/>
        </w:rPr>
      </w:pPr>
    </w:p>
    <w:p>
      <w:pPr>
        <w:pStyle w:val="ListParagraph"/>
        <w:numPr>
          <w:ilvl w:val="1"/>
          <w:numId w:val="7"/>
        </w:numPr>
        <w:tabs>
          <w:tab w:pos="829" w:val="left" w:leader="none"/>
          <w:tab w:pos="830" w:val="left" w:leader="none"/>
        </w:tabs>
        <w:spacing w:line="240" w:lineRule="auto" w:before="0" w:after="0"/>
        <w:ind w:left="829" w:right="0" w:hanging="720"/>
        <w:jc w:val="left"/>
        <w:rPr>
          <w:sz w:val="24"/>
        </w:rPr>
      </w:pPr>
      <w:r>
        <w:rPr>
          <w:sz w:val="24"/>
        </w:rPr>
        <w:t>Entidad</w:t>
      </w:r>
      <w:r>
        <w:rPr>
          <w:spacing w:val="-6"/>
          <w:sz w:val="24"/>
        </w:rPr>
        <w:t> </w:t>
      </w:r>
      <w:r>
        <w:rPr>
          <w:sz w:val="24"/>
        </w:rPr>
        <w:t>económica.</w:t>
      </w:r>
    </w:p>
    <w:p>
      <w:pPr>
        <w:pStyle w:val="ListParagraph"/>
        <w:numPr>
          <w:ilvl w:val="2"/>
          <w:numId w:val="7"/>
        </w:numPr>
        <w:tabs>
          <w:tab w:pos="1528" w:val="left" w:leader="none"/>
        </w:tabs>
        <w:spacing w:line="240" w:lineRule="auto" w:before="137" w:after="0"/>
        <w:ind w:left="1527" w:right="0" w:hanging="710"/>
        <w:jc w:val="left"/>
        <w:rPr>
          <w:sz w:val="24"/>
        </w:rPr>
      </w:pPr>
      <w:r>
        <w:rPr>
          <w:sz w:val="24"/>
        </w:rPr>
        <w:t>Concepto.</w:t>
      </w:r>
    </w:p>
    <w:p>
      <w:pPr>
        <w:pStyle w:val="ListParagraph"/>
        <w:numPr>
          <w:ilvl w:val="2"/>
          <w:numId w:val="7"/>
        </w:numPr>
        <w:tabs>
          <w:tab w:pos="1528" w:val="left" w:leader="none"/>
        </w:tabs>
        <w:spacing w:line="240" w:lineRule="auto" w:before="139" w:after="0"/>
        <w:ind w:left="1527" w:right="0" w:hanging="710"/>
        <w:jc w:val="left"/>
        <w:rPr>
          <w:sz w:val="24"/>
        </w:rPr>
      </w:pPr>
      <w:r>
        <w:rPr>
          <w:sz w:val="24"/>
        </w:rPr>
        <w:t>Clasificación.</w:t>
      </w:r>
    </w:p>
    <w:p>
      <w:pPr>
        <w:pStyle w:val="ListParagraph"/>
        <w:numPr>
          <w:ilvl w:val="2"/>
          <w:numId w:val="7"/>
        </w:numPr>
        <w:tabs>
          <w:tab w:pos="1528" w:val="left" w:leader="none"/>
        </w:tabs>
        <w:spacing w:line="240" w:lineRule="auto" w:before="137" w:after="0"/>
        <w:ind w:left="1527" w:right="0" w:hanging="710"/>
        <w:jc w:val="left"/>
        <w:rPr>
          <w:sz w:val="24"/>
        </w:rPr>
      </w:pPr>
      <w:r>
        <w:rPr>
          <w:sz w:val="24"/>
        </w:rPr>
        <w:t>Objetivos.</w:t>
      </w:r>
    </w:p>
    <w:p>
      <w:pPr>
        <w:pStyle w:val="ListParagraph"/>
        <w:numPr>
          <w:ilvl w:val="2"/>
          <w:numId w:val="7"/>
        </w:numPr>
        <w:tabs>
          <w:tab w:pos="1528" w:val="left" w:leader="none"/>
        </w:tabs>
        <w:spacing w:line="240" w:lineRule="auto" w:before="139" w:after="0"/>
        <w:ind w:left="1527" w:right="0" w:hanging="710"/>
        <w:jc w:val="left"/>
        <w:rPr>
          <w:sz w:val="24"/>
        </w:rPr>
      </w:pPr>
      <w:r>
        <w:rPr>
          <w:sz w:val="24"/>
        </w:rPr>
        <w:t>Recursos.</w:t>
      </w:r>
    </w:p>
    <w:p>
      <w:pPr>
        <w:pStyle w:val="ListParagraph"/>
        <w:numPr>
          <w:ilvl w:val="1"/>
          <w:numId w:val="7"/>
        </w:numPr>
        <w:tabs>
          <w:tab w:pos="829" w:val="left" w:leader="none"/>
          <w:tab w:pos="830" w:val="left" w:leader="none"/>
        </w:tabs>
        <w:spacing w:line="240" w:lineRule="auto" w:before="137" w:after="0"/>
        <w:ind w:left="829" w:right="0" w:hanging="720"/>
        <w:jc w:val="left"/>
        <w:rPr>
          <w:sz w:val="24"/>
        </w:rPr>
      </w:pPr>
      <w:r>
        <w:rPr>
          <w:sz w:val="24"/>
        </w:rPr>
        <w:t>Entornos.</w:t>
      </w:r>
    </w:p>
    <w:p>
      <w:pPr>
        <w:pStyle w:val="ListParagraph"/>
        <w:numPr>
          <w:ilvl w:val="2"/>
          <w:numId w:val="7"/>
        </w:numPr>
        <w:tabs>
          <w:tab w:pos="2241" w:val="left" w:leader="none"/>
        </w:tabs>
        <w:spacing w:line="240" w:lineRule="auto" w:before="139" w:after="0"/>
        <w:ind w:left="2240" w:right="0" w:hanging="720"/>
        <w:jc w:val="left"/>
        <w:rPr>
          <w:sz w:val="24"/>
        </w:rPr>
      </w:pPr>
      <w:r>
        <w:rPr>
          <w:sz w:val="24"/>
        </w:rPr>
        <w:t>Entorno</w:t>
      </w:r>
      <w:r>
        <w:rPr>
          <w:spacing w:val="-8"/>
          <w:sz w:val="24"/>
        </w:rPr>
        <w:t> </w:t>
      </w:r>
      <w:r>
        <w:rPr>
          <w:sz w:val="24"/>
        </w:rPr>
        <w:t>económico.</w:t>
      </w:r>
    </w:p>
    <w:p>
      <w:pPr>
        <w:pStyle w:val="ListParagraph"/>
        <w:numPr>
          <w:ilvl w:val="2"/>
          <w:numId w:val="7"/>
        </w:numPr>
        <w:tabs>
          <w:tab w:pos="2241" w:val="left" w:leader="none"/>
        </w:tabs>
        <w:spacing w:line="240" w:lineRule="auto" w:before="137" w:after="0"/>
        <w:ind w:left="2240" w:right="0" w:hanging="720"/>
        <w:jc w:val="left"/>
        <w:rPr>
          <w:sz w:val="24"/>
        </w:rPr>
      </w:pPr>
      <w:r>
        <w:rPr>
          <w:sz w:val="24"/>
        </w:rPr>
        <w:t>Entorno</w:t>
      </w:r>
      <w:r>
        <w:rPr>
          <w:spacing w:val="-7"/>
          <w:sz w:val="24"/>
        </w:rPr>
        <w:t> </w:t>
      </w:r>
      <w:r>
        <w:rPr>
          <w:sz w:val="24"/>
        </w:rPr>
        <w:t>político.</w:t>
      </w:r>
    </w:p>
    <w:p>
      <w:pPr>
        <w:pStyle w:val="ListParagraph"/>
        <w:numPr>
          <w:ilvl w:val="2"/>
          <w:numId w:val="7"/>
        </w:numPr>
        <w:tabs>
          <w:tab w:pos="2241" w:val="left" w:leader="none"/>
        </w:tabs>
        <w:spacing w:line="240" w:lineRule="auto" w:before="139" w:after="0"/>
        <w:ind w:left="2240" w:right="0" w:hanging="720"/>
        <w:jc w:val="left"/>
        <w:rPr>
          <w:sz w:val="24"/>
        </w:rPr>
      </w:pPr>
      <w:r>
        <w:rPr>
          <w:sz w:val="24"/>
        </w:rPr>
        <w:t>Entorno social y</w:t>
      </w:r>
      <w:r>
        <w:rPr>
          <w:spacing w:val="-5"/>
          <w:sz w:val="24"/>
        </w:rPr>
        <w:t> </w:t>
      </w:r>
      <w:r>
        <w:rPr>
          <w:sz w:val="24"/>
        </w:rPr>
        <w:t>cultural.</w:t>
      </w:r>
    </w:p>
    <w:p>
      <w:pPr>
        <w:pStyle w:val="ListParagraph"/>
        <w:numPr>
          <w:ilvl w:val="2"/>
          <w:numId w:val="7"/>
        </w:numPr>
        <w:tabs>
          <w:tab w:pos="2241" w:val="left" w:leader="none"/>
        </w:tabs>
        <w:spacing w:line="240" w:lineRule="auto" w:before="137" w:after="0"/>
        <w:ind w:left="2240" w:right="0" w:hanging="720"/>
        <w:jc w:val="left"/>
        <w:rPr>
          <w:sz w:val="24"/>
        </w:rPr>
      </w:pPr>
      <w:r>
        <w:rPr>
          <w:sz w:val="24"/>
        </w:rPr>
        <w:t>Entorno</w:t>
      </w:r>
      <w:r>
        <w:rPr>
          <w:spacing w:val="-4"/>
          <w:sz w:val="24"/>
        </w:rPr>
        <w:t> </w:t>
      </w:r>
      <w:r>
        <w:rPr>
          <w:sz w:val="24"/>
        </w:rPr>
        <w:t>ético.</w:t>
      </w:r>
    </w:p>
    <w:p>
      <w:pPr>
        <w:pStyle w:val="ListParagraph"/>
        <w:numPr>
          <w:ilvl w:val="2"/>
          <w:numId w:val="7"/>
        </w:numPr>
        <w:tabs>
          <w:tab w:pos="2241" w:val="left" w:leader="none"/>
        </w:tabs>
        <w:spacing w:line="240" w:lineRule="auto" w:before="139" w:after="0"/>
        <w:ind w:left="2240" w:right="0" w:hanging="720"/>
        <w:jc w:val="left"/>
        <w:rPr>
          <w:sz w:val="24"/>
        </w:rPr>
      </w:pPr>
      <w:r>
        <w:rPr>
          <w:sz w:val="24"/>
        </w:rPr>
        <w:t>Actividad de</w:t>
      </w:r>
      <w:r>
        <w:rPr>
          <w:spacing w:val="-10"/>
          <w:sz w:val="24"/>
        </w:rPr>
        <w:t> </w:t>
      </w:r>
      <w:r>
        <w:rPr>
          <w:sz w:val="24"/>
        </w:rPr>
        <w:t>Aprendizaje.</w:t>
      </w:r>
    </w:p>
    <w:p>
      <w:pPr>
        <w:spacing w:after="0" w:line="240" w:lineRule="auto"/>
        <w:jc w:val="left"/>
        <w:rPr>
          <w:sz w:val="24"/>
        </w:rPr>
        <w:sectPr>
          <w:pgSz w:w="12240" w:h="15840"/>
          <w:pgMar w:header="0" w:footer="779" w:top="1380" w:bottom="960" w:left="1360" w:right="1600"/>
        </w:sectPr>
      </w:pPr>
    </w:p>
    <w:p>
      <w:pPr>
        <w:pStyle w:val="Heading2"/>
        <w:numPr>
          <w:ilvl w:val="1"/>
          <w:numId w:val="8"/>
        </w:numPr>
        <w:tabs>
          <w:tab w:pos="515" w:val="left" w:leader="none"/>
        </w:tabs>
        <w:spacing w:line="240" w:lineRule="auto" w:before="57" w:after="0"/>
        <w:ind w:left="514" w:right="0" w:hanging="405"/>
        <w:jc w:val="both"/>
      </w:pPr>
      <w:bookmarkStart w:name="_bookmark1" w:id="2"/>
      <w:bookmarkEnd w:id="2"/>
      <w:r>
        <w:rPr>
          <w:b w:val="0"/>
        </w:rPr>
      </w:r>
      <w:bookmarkStart w:name="_bookmark1" w:id="3"/>
      <w:bookmarkEnd w:id="3"/>
      <w:r>
        <w:rPr/>
        <w:t>E</w:t>
      </w:r>
      <w:r>
        <w:rPr/>
        <w:t>NTIDAD</w:t>
      </w:r>
      <w:r>
        <w:rPr>
          <w:spacing w:val="-9"/>
        </w:rPr>
        <w:t> </w:t>
      </w:r>
      <w:r>
        <w:rPr/>
        <w:t>ECONÓMICA.</w:t>
      </w:r>
    </w:p>
    <w:p>
      <w:pPr>
        <w:pStyle w:val="BodyText"/>
        <w:rPr>
          <w:b/>
        </w:rPr>
      </w:pPr>
    </w:p>
    <w:p>
      <w:pPr>
        <w:pStyle w:val="BodyText"/>
        <w:rPr>
          <w:b/>
        </w:rPr>
      </w:pPr>
    </w:p>
    <w:p>
      <w:pPr>
        <w:pStyle w:val="Heading2"/>
        <w:numPr>
          <w:ilvl w:val="2"/>
          <w:numId w:val="8"/>
        </w:numPr>
        <w:tabs>
          <w:tab w:pos="830" w:val="left" w:leader="none"/>
        </w:tabs>
        <w:spacing w:line="240" w:lineRule="auto" w:before="0" w:after="0"/>
        <w:ind w:left="829" w:right="0" w:hanging="720"/>
        <w:jc w:val="both"/>
      </w:pPr>
      <w:bookmarkStart w:name="_bookmark2" w:id="4"/>
      <w:bookmarkEnd w:id="4"/>
      <w:r>
        <w:rPr>
          <w:b w:val="0"/>
        </w:rPr>
      </w:r>
      <w:bookmarkStart w:name="_bookmark2" w:id="5"/>
      <w:bookmarkEnd w:id="5"/>
      <w:r>
        <w:rPr/>
        <w:t>C</w:t>
      </w:r>
      <w:r>
        <w:rPr/>
        <w:t>oncepto.</w:t>
      </w:r>
    </w:p>
    <w:p>
      <w:pPr>
        <w:pStyle w:val="BodyText"/>
        <w:spacing w:line="360" w:lineRule="auto" w:before="137"/>
        <w:ind w:left="109" w:right="117"/>
        <w:jc w:val="both"/>
      </w:pPr>
      <w:r>
        <w:rPr/>
        <w:t>Es</w:t>
      </w:r>
      <w:r>
        <w:rPr>
          <w:spacing w:val="-4"/>
        </w:rPr>
        <w:t> </w:t>
      </w:r>
      <w:r>
        <w:rPr/>
        <w:t>una</w:t>
      </w:r>
      <w:r>
        <w:rPr>
          <w:spacing w:val="-6"/>
        </w:rPr>
        <w:t> </w:t>
      </w:r>
      <w:r>
        <w:rPr/>
        <w:t>unidad</w:t>
      </w:r>
      <w:r>
        <w:rPr>
          <w:spacing w:val="-6"/>
        </w:rPr>
        <w:t> </w:t>
      </w:r>
      <w:r>
        <w:rPr/>
        <w:t>económica</w:t>
      </w:r>
      <w:r>
        <w:rPr>
          <w:spacing w:val="-4"/>
        </w:rPr>
        <w:t> </w:t>
      </w:r>
      <w:r>
        <w:rPr/>
        <w:t>y</w:t>
      </w:r>
      <w:r>
        <w:rPr>
          <w:spacing w:val="-7"/>
        </w:rPr>
        <w:t> </w:t>
      </w:r>
      <w:r>
        <w:rPr/>
        <w:t>social</w:t>
      </w:r>
      <w:r>
        <w:rPr>
          <w:spacing w:val="-4"/>
        </w:rPr>
        <w:t> </w:t>
      </w:r>
      <w:r>
        <w:rPr/>
        <w:t>que</w:t>
      </w:r>
      <w:r>
        <w:rPr>
          <w:spacing w:val="-6"/>
        </w:rPr>
        <w:t> </w:t>
      </w:r>
      <w:r>
        <w:rPr/>
        <w:t>está</w:t>
      </w:r>
      <w:r>
        <w:rPr>
          <w:spacing w:val="-5"/>
        </w:rPr>
        <w:t> </w:t>
      </w:r>
      <w:r>
        <w:rPr/>
        <w:t>conformada</w:t>
      </w:r>
      <w:r>
        <w:rPr>
          <w:spacing w:val="-6"/>
        </w:rPr>
        <w:t> </w:t>
      </w:r>
      <w:r>
        <w:rPr/>
        <w:t>por</w:t>
      </w:r>
      <w:r>
        <w:rPr>
          <w:spacing w:val="-7"/>
        </w:rPr>
        <w:t> </w:t>
      </w:r>
      <w:r>
        <w:rPr/>
        <w:t>un</w:t>
      </w:r>
      <w:r>
        <w:rPr>
          <w:spacing w:val="-6"/>
        </w:rPr>
        <w:t> </w:t>
      </w:r>
      <w:r>
        <w:rPr/>
        <w:t>conjunto</w:t>
      </w:r>
      <w:r>
        <w:rPr>
          <w:spacing w:val="-5"/>
        </w:rPr>
        <w:t> </w:t>
      </w:r>
      <w:r>
        <w:rPr/>
        <w:t>de</w:t>
      </w:r>
      <w:r>
        <w:rPr>
          <w:spacing w:val="-6"/>
        </w:rPr>
        <w:t> </w:t>
      </w:r>
      <w:r>
        <w:rPr/>
        <w:t>factores</w:t>
      </w:r>
      <w:r>
        <w:rPr>
          <w:spacing w:val="-7"/>
        </w:rPr>
        <w:t> </w:t>
      </w:r>
      <w:r>
        <w:rPr/>
        <w:t>y elementos</w:t>
      </w:r>
      <w:r>
        <w:rPr>
          <w:spacing w:val="-15"/>
        </w:rPr>
        <w:t> </w:t>
      </w:r>
      <w:r>
        <w:rPr>
          <w:u w:val="single"/>
        </w:rPr>
        <w:t>humanos</w:t>
      </w:r>
      <w:r>
        <w:rPr/>
        <w:t>,</w:t>
      </w:r>
      <w:r>
        <w:rPr>
          <w:spacing w:val="-17"/>
        </w:rPr>
        <w:t> </w:t>
      </w:r>
      <w:r>
        <w:rPr>
          <w:u w:val="single"/>
        </w:rPr>
        <w:t>materiales</w:t>
      </w:r>
      <w:r>
        <w:rPr>
          <w:spacing w:val="-14"/>
          <w:u w:val="single"/>
        </w:rPr>
        <w:t> </w:t>
      </w:r>
      <w:r>
        <w:rPr/>
        <w:t>y</w:t>
      </w:r>
      <w:r>
        <w:rPr>
          <w:spacing w:val="-17"/>
        </w:rPr>
        <w:t> </w:t>
      </w:r>
      <w:r>
        <w:rPr>
          <w:u w:val="single"/>
        </w:rPr>
        <w:t>financieros</w:t>
      </w:r>
      <w:r>
        <w:rPr/>
        <w:t>,</w:t>
      </w:r>
      <w:r>
        <w:rPr>
          <w:spacing w:val="-15"/>
        </w:rPr>
        <w:t> </w:t>
      </w:r>
      <w:r>
        <w:rPr/>
        <w:t>con</w:t>
      </w:r>
      <w:r>
        <w:rPr>
          <w:spacing w:val="-15"/>
        </w:rPr>
        <w:t> </w:t>
      </w:r>
      <w:r>
        <w:rPr/>
        <w:t>cierta</w:t>
      </w:r>
      <w:r>
        <w:rPr>
          <w:spacing w:val="35"/>
        </w:rPr>
        <w:t> </w:t>
      </w:r>
      <w:r>
        <w:rPr/>
        <w:t>estructura</w:t>
      </w:r>
      <w:r>
        <w:rPr>
          <w:spacing w:val="-17"/>
        </w:rPr>
        <w:t> </w:t>
      </w:r>
      <w:r>
        <w:rPr/>
        <w:t>organizativa,</w:t>
      </w:r>
      <w:r>
        <w:rPr>
          <w:spacing w:val="-15"/>
        </w:rPr>
        <w:t> </w:t>
      </w:r>
      <w:r>
        <w:rPr/>
        <w:t>cuya función es abastecer a la sociedad de productos y servicios y que persigue distintos objetivos dependiendo de cada</w:t>
      </w:r>
      <w:r>
        <w:rPr>
          <w:spacing w:val="-15"/>
        </w:rPr>
        <w:t> </w:t>
      </w:r>
      <w:r>
        <w:rPr/>
        <w:t>empresa.</w:t>
      </w:r>
    </w:p>
    <w:p>
      <w:pPr>
        <w:pStyle w:val="BodyText"/>
      </w:pPr>
    </w:p>
    <w:p>
      <w:pPr>
        <w:pStyle w:val="Heading2"/>
        <w:numPr>
          <w:ilvl w:val="2"/>
          <w:numId w:val="8"/>
        </w:numPr>
        <w:tabs>
          <w:tab w:pos="830" w:val="left" w:leader="none"/>
        </w:tabs>
        <w:spacing w:line="240" w:lineRule="auto" w:before="142" w:after="0"/>
        <w:ind w:left="829" w:right="0" w:hanging="720"/>
        <w:jc w:val="both"/>
      </w:pPr>
      <w:bookmarkStart w:name="_bookmark3" w:id="6"/>
      <w:bookmarkEnd w:id="6"/>
      <w:r>
        <w:rPr>
          <w:b w:val="0"/>
        </w:rPr>
      </w:r>
      <w:bookmarkStart w:name="_bookmark3" w:id="7"/>
      <w:bookmarkEnd w:id="7"/>
      <w:r>
        <w:rPr/>
        <w:t>Clas</w:t>
      </w:r>
      <w:r>
        <w:rPr/>
        <w:t>ificación.</w:t>
      </w:r>
    </w:p>
    <w:p>
      <w:pPr>
        <w:pStyle w:val="BodyText"/>
        <w:spacing w:before="137"/>
        <w:ind w:left="109"/>
        <w:jc w:val="both"/>
      </w:pPr>
      <w:r>
        <w:rPr/>
        <w:t>Las empresas en general se clasifican de acuerdo a cuatro características:</w:t>
      </w:r>
    </w:p>
    <w:p>
      <w:pPr>
        <w:pStyle w:val="BodyText"/>
        <w:rPr>
          <w:sz w:val="20"/>
        </w:rPr>
      </w:pPr>
    </w:p>
    <w:p>
      <w:pPr>
        <w:pStyle w:val="BodyText"/>
        <w:spacing w:before="4"/>
        <w:rPr>
          <w:sz w:val="26"/>
        </w:rPr>
      </w:pPr>
      <w:r>
        <w:rPr/>
        <w:pict>
          <v:group style="position:absolute;margin-left:79.074997pt;margin-top:17.103012pt;width:442.25pt;height:189.05pt;mso-position-horizontal-relative:page;mso-position-vertical-relative:paragraph;z-index:1192;mso-wrap-distance-left:0;mso-wrap-distance-right:0" coordorigin="1581,342" coordsize="8845,3781">
            <v:shape style="position:absolute;left:4886;top:1377;width:2196;height:1438" type="#_x0000_t75" stroked="false">
              <v:imagedata r:id="rId8" o:title=""/>
            </v:shape>
            <v:shape style="position:absolute;left:5230;top:364;width:1510;height:1142" type="#_x0000_t75" stroked="false">
              <v:imagedata r:id="rId9" o:title=""/>
            </v:shape>
            <v:shape style="position:absolute;left:7006;top:2159;width:1006;height:62" type="#_x0000_t75" stroked="false">
              <v:imagedata r:id="rId10" o:title=""/>
            </v:shape>
            <v:shape style="position:absolute;left:7915;top:1641;width:1627;height:1142" type="#_x0000_t75" stroked="false">
              <v:imagedata r:id="rId11" o:title=""/>
            </v:shape>
            <v:shape style="position:absolute;left:5959;top:2701;width:50;height:336" type="#_x0000_t75" stroked="false">
              <v:imagedata r:id="rId12" o:title=""/>
            </v:shape>
            <v:shape style="position:absolute;left:5131;top:2977;width:1706;height:1145" type="#_x0000_t75" stroked="false">
              <v:imagedata r:id="rId13" o:title=""/>
            </v:shape>
            <v:shape style="position:absolute;left:3886;top:2181;width:1075;height:53" type="#_x0000_t75" stroked="false">
              <v:imagedata r:id="rId14" o:title=""/>
            </v:shape>
            <v:shape style="position:absolute;left:2436;top:1672;width:1546;height:1142" type="#_x0000_t75" stroked="false">
              <v:imagedata r:id="rId15" o:title=""/>
            </v:shape>
            <v:rect style="position:absolute;left:1602;top:363;width:8803;height:3646" filled="false" stroked="true" strokeweight="2.04pt" strokecolor="#385d89"/>
            <v:shape style="position:absolute;left:5605;top:787;width:758;height:221" type="#_x0000_t202" filled="false" stroked="false">
              <v:textbox inset="0,0,0,0">
                <w:txbxContent>
                  <w:p>
                    <w:pPr>
                      <w:spacing w:line="221" w:lineRule="exact" w:before="0"/>
                      <w:ind w:left="0" w:right="0" w:firstLine="0"/>
                      <w:jc w:val="left"/>
                      <w:rPr>
                        <w:rFonts w:ascii="Franklin Gothic Medium" w:hAnsi="Franklin Gothic Medium"/>
                        <w:sz w:val="22"/>
                      </w:rPr>
                    </w:pPr>
                    <w:r>
                      <w:rPr>
                        <w:rFonts w:ascii="Franklin Gothic Medium" w:hAnsi="Franklin Gothic Medium"/>
                        <w:color w:val="FFFFFF"/>
                        <w:w w:val="95"/>
                        <w:sz w:val="22"/>
                      </w:rPr>
                      <w:t>Tamaño</w:t>
                    </w:r>
                  </w:p>
                </w:txbxContent>
              </v:textbox>
              <w10:wrap type="none"/>
            </v:shape>
            <v:shape style="position:absolute;left:2910;top:2094;width:599;height:221" type="#_x0000_t202" filled="false" stroked="false">
              <v:textbox inset="0,0,0,0">
                <w:txbxContent>
                  <w:p>
                    <w:pPr>
                      <w:spacing w:line="221" w:lineRule="exact" w:before="0"/>
                      <w:ind w:left="0" w:right="-19" w:firstLine="0"/>
                      <w:jc w:val="left"/>
                      <w:rPr>
                        <w:rFonts w:ascii="Franklin Gothic Medium"/>
                        <w:sz w:val="22"/>
                      </w:rPr>
                    </w:pPr>
                    <w:r>
                      <w:rPr>
                        <w:rFonts w:ascii="Franklin Gothic Medium"/>
                        <w:color w:val="FFFFFF"/>
                        <w:spacing w:val="-1"/>
                        <w:sz w:val="22"/>
                      </w:rPr>
                      <w:t>Sector</w:t>
                    </w:r>
                  </w:p>
                </w:txbxContent>
              </v:textbox>
              <w10:wrap type="none"/>
            </v:shape>
            <v:shape style="position:absolute;left:5291;top:2094;width:1387;height:221" type="#_x0000_t202" filled="false" stroked="false">
              <v:textbox inset="0,0,0,0">
                <w:txbxContent>
                  <w:p>
                    <w:pPr>
                      <w:spacing w:line="221" w:lineRule="exact" w:before="0"/>
                      <w:ind w:left="0" w:right="0" w:firstLine="0"/>
                      <w:jc w:val="left"/>
                      <w:rPr>
                        <w:rFonts w:ascii="Franklin Gothic Medium" w:hAnsi="Franklin Gothic Medium"/>
                        <w:sz w:val="22"/>
                      </w:rPr>
                    </w:pPr>
                    <w:r>
                      <w:rPr>
                        <w:rFonts w:ascii="Franklin Gothic Medium" w:hAnsi="Franklin Gothic Medium"/>
                        <w:color w:val="FFFFFF"/>
                        <w:w w:val="95"/>
                        <w:sz w:val="22"/>
                      </w:rPr>
                      <w:t>Características</w:t>
                    </w:r>
                  </w:p>
                </w:txbxContent>
              </v:textbox>
              <w10:wrap type="none"/>
            </v:shape>
            <v:shape style="position:absolute;left:8389;top:1952;width:683;height:444" type="#_x0000_t202" filled="false" stroked="false">
              <v:textbox inset="0,0,0,0">
                <w:txbxContent>
                  <w:p>
                    <w:pPr>
                      <w:spacing w:line="224" w:lineRule="exact" w:before="0"/>
                      <w:ind w:left="0" w:right="0" w:firstLine="43"/>
                      <w:jc w:val="left"/>
                      <w:rPr>
                        <w:rFonts w:ascii="Franklin Gothic Medium" w:hAnsi="Franklin Gothic Medium"/>
                        <w:sz w:val="22"/>
                      </w:rPr>
                    </w:pPr>
                    <w:r>
                      <w:rPr>
                        <w:rFonts w:ascii="Franklin Gothic Medium" w:hAnsi="Franklin Gothic Medium"/>
                        <w:color w:val="FFFFFF"/>
                        <w:sz w:val="22"/>
                      </w:rPr>
                      <w:t>Forma </w:t>
                    </w:r>
                    <w:r>
                      <w:rPr>
                        <w:rFonts w:ascii="Franklin Gothic Medium" w:hAnsi="Franklin Gothic Medium"/>
                        <w:color w:val="FFFFFF"/>
                        <w:w w:val="95"/>
                        <w:sz w:val="22"/>
                      </w:rPr>
                      <w:t>jurídica</w:t>
                    </w:r>
                  </w:p>
                </w:txbxContent>
              </v:textbox>
              <w10:wrap type="none"/>
            </v:shape>
            <v:shape style="position:absolute;left:5500;top:3289;width:971;height:444" type="#_x0000_t202" filled="false" stroked="false">
              <v:textbox inset="0,0,0,0">
                <w:txbxContent>
                  <w:p>
                    <w:pPr>
                      <w:spacing w:line="224" w:lineRule="exact" w:before="0"/>
                      <w:ind w:left="0" w:right="0" w:firstLine="160"/>
                      <w:jc w:val="left"/>
                      <w:rPr>
                        <w:rFonts w:ascii="Franklin Gothic Medium" w:hAnsi="Franklin Gothic Medium"/>
                        <w:sz w:val="22"/>
                      </w:rPr>
                    </w:pPr>
                    <w:r>
                      <w:rPr>
                        <w:rFonts w:ascii="Franklin Gothic Medium" w:hAnsi="Franklin Gothic Medium"/>
                        <w:color w:val="FFFFFF"/>
                        <w:sz w:val="22"/>
                      </w:rPr>
                      <w:t>Ámbito </w:t>
                    </w:r>
                    <w:r>
                      <w:rPr>
                        <w:rFonts w:ascii="Franklin Gothic Medium" w:hAnsi="Franklin Gothic Medium"/>
                        <w:color w:val="FFFFFF"/>
                        <w:w w:val="95"/>
                        <w:sz w:val="22"/>
                      </w:rPr>
                      <w:t>geográfico</w:t>
                    </w:r>
                  </w:p>
                </w:txbxContent>
              </v:textbox>
              <w10:wrap type="none"/>
            </v:shape>
            <w10:wrap type="topAndBottom"/>
          </v:group>
        </w:pict>
      </w:r>
    </w:p>
    <w:p>
      <w:pPr>
        <w:spacing w:before="178"/>
        <w:ind w:left="1991" w:right="2003" w:firstLine="0"/>
        <w:jc w:val="center"/>
        <w:rPr>
          <w:sz w:val="20"/>
        </w:rPr>
      </w:pPr>
      <w:r>
        <w:rPr>
          <w:sz w:val="20"/>
        </w:rPr>
        <w:t>Figura 1. Clasificación general de las empresas.</w:t>
      </w:r>
    </w:p>
    <w:p>
      <w:pPr>
        <w:spacing w:before="0"/>
        <w:ind w:left="1991" w:right="2002" w:firstLine="0"/>
        <w:jc w:val="center"/>
        <w:rPr>
          <w:sz w:val="20"/>
        </w:rPr>
      </w:pPr>
      <w:r>
        <w:rPr>
          <w:sz w:val="20"/>
        </w:rPr>
        <w:t>Autoría propia.</w:t>
      </w:r>
    </w:p>
    <w:p>
      <w:pPr>
        <w:pStyle w:val="BodyText"/>
        <w:spacing w:before="11"/>
        <w:rPr>
          <w:sz w:val="29"/>
        </w:rPr>
      </w:pPr>
    </w:p>
    <w:p>
      <w:pPr>
        <w:spacing w:before="0"/>
        <w:ind w:left="109" w:right="0" w:firstLine="0"/>
        <w:jc w:val="both"/>
        <w:rPr>
          <w:i/>
          <w:sz w:val="24"/>
        </w:rPr>
      </w:pPr>
      <w:r>
        <w:rPr>
          <w:i/>
          <w:sz w:val="24"/>
          <w:u w:val="single"/>
        </w:rPr>
        <w:t>Clasificación de la empresa turística según su tamaño.</w:t>
      </w:r>
    </w:p>
    <w:p>
      <w:pPr>
        <w:pStyle w:val="BodyText"/>
        <w:rPr>
          <w:i/>
          <w:sz w:val="20"/>
        </w:rPr>
      </w:pPr>
    </w:p>
    <w:p>
      <w:pPr>
        <w:pStyle w:val="BodyText"/>
        <w:spacing w:before="2"/>
        <w:rPr>
          <w:i/>
          <w:sz w:val="22"/>
        </w:rPr>
      </w:pPr>
    </w:p>
    <w:p>
      <w:pPr>
        <w:pStyle w:val="BodyText"/>
        <w:spacing w:line="360" w:lineRule="auto" w:before="70"/>
        <w:ind w:left="109" w:right="115"/>
        <w:jc w:val="both"/>
      </w:pPr>
      <w:r>
        <w:rPr/>
        <w:t>El</w:t>
      </w:r>
      <w:r>
        <w:rPr>
          <w:spacing w:val="-9"/>
        </w:rPr>
        <w:t> </w:t>
      </w:r>
      <w:r>
        <w:rPr/>
        <w:t>tamaño</w:t>
      </w:r>
      <w:r>
        <w:rPr>
          <w:spacing w:val="-10"/>
        </w:rPr>
        <w:t> </w:t>
      </w:r>
      <w:r>
        <w:rPr/>
        <w:t>o</w:t>
      </w:r>
      <w:r>
        <w:rPr>
          <w:spacing w:val="-10"/>
        </w:rPr>
        <w:t> </w:t>
      </w:r>
      <w:r>
        <w:rPr/>
        <w:t>la</w:t>
      </w:r>
      <w:r>
        <w:rPr>
          <w:spacing w:val="-10"/>
        </w:rPr>
        <w:t> </w:t>
      </w:r>
      <w:r>
        <w:rPr/>
        <w:t>dimensión</w:t>
      </w:r>
      <w:r>
        <w:rPr>
          <w:spacing w:val="-10"/>
        </w:rPr>
        <w:t> </w:t>
      </w:r>
      <w:r>
        <w:rPr/>
        <w:t>de</w:t>
      </w:r>
      <w:r>
        <w:rPr>
          <w:spacing w:val="-10"/>
        </w:rPr>
        <w:t> </w:t>
      </w:r>
      <w:r>
        <w:rPr/>
        <w:t>una</w:t>
      </w:r>
      <w:r>
        <w:rPr>
          <w:spacing w:val="-10"/>
        </w:rPr>
        <w:t> </w:t>
      </w:r>
      <w:r>
        <w:rPr/>
        <w:t>empresa</w:t>
      </w:r>
      <w:r>
        <w:rPr>
          <w:spacing w:val="-9"/>
        </w:rPr>
        <w:t> </w:t>
      </w:r>
      <w:r>
        <w:rPr/>
        <w:t>es</w:t>
      </w:r>
      <w:r>
        <w:rPr>
          <w:spacing w:val="-13"/>
        </w:rPr>
        <w:t> </w:t>
      </w:r>
      <w:r>
        <w:rPr/>
        <w:t>una</w:t>
      </w:r>
      <w:r>
        <w:rPr>
          <w:spacing w:val="-10"/>
        </w:rPr>
        <w:t> </w:t>
      </w:r>
      <w:r>
        <w:rPr/>
        <w:t>de</w:t>
      </w:r>
      <w:r>
        <w:rPr>
          <w:spacing w:val="-7"/>
        </w:rPr>
        <w:t> </w:t>
      </w:r>
      <w:r>
        <w:rPr/>
        <w:t>las</w:t>
      </w:r>
      <w:r>
        <w:rPr>
          <w:spacing w:val="-12"/>
        </w:rPr>
        <w:t> </w:t>
      </w:r>
      <w:r>
        <w:rPr/>
        <w:t>formas</w:t>
      </w:r>
      <w:r>
        <w:rPr>
          <w:spacing w:val="-11"/>
        </w:rPr>
        <w:t> </w:t>
      </w:r>
      <w:r>
        <w:rPr/>
        <w:t>de</w:t>
      </w:r>
      <w:r>
        <w:rPr>
          <w:spacing w:val="-10"/>
        </w:rPr>
        <w:t> </w:t>
      </w:r>
      <w:r>
        <w:rPr/>
        <w:t>diferenciación</w:t>
      </w:r>
      <w:r>
        <w:rPr>
          <w:spacing w:val="-10"/>
        </w:rPr>
        <w:t> </w:t>
      </w:r>
      <w:r>
        <w:rPr/>
        <w:t>más importante, pues la pertenencia al grupo de las empresas de mayor o menor tamaño tiene notables consecuencias para la</w:t>
      </w:r>
      <w:r>
        <w:rPr>
          <w:spacing w:val="-21"/>
        </w:rPr>
        <w:t> </w:t>
      </w:r>
      <w:r>
        <w:rPr/>
        <w:t>organización.</w:t>
      </w:r>
    </w:p>
    <w:p>
      <w:pPr>
        <w:pStyle w:val="BodyText"/>
      </w:pPr>
    </w:p>
    <w:p>
      <w:pPr>
        <w:pStyle w:val="BodyText"/>
        <w:spacing w:line="360" w:lineRule="auto" w:before="142"/>
        <w:ind w:left="109" w:right="126"/>
        <w:jc w:val="both"/>
      </w:pPr>
      <w:r>
        <w:rPr/>
        <w:t>Para medir el tamaño se utilizan varios criterios que son complementarios, los más comunes son:</w:t>
      </w:r>
    </w:p>
    <w:p>
      <w:pPr>
        <w:spacing w:after="0" w:line="360" w:lineRule="auto"/>
        <w:jc w:val="both"/>
        <w:sectPr>
          <w:pgSz w:w="12240" w:h="15840"/>
          <w:pgMar w:header="0" w:footer="779" w:top="1360" w:bottom="960" w:left="1360" w:right="1580"/>
        </w:sectPr>
      </w:pPr>
    </w:p>
    <w:p>
      <w:pPr>
        <w:pStyle w:val="ListParagraph"/>
        <w:numPr>
          <w:ilvl w:val="0"/>
          <w:numId w:val="9"/>
        </w:numPr>
        <w:tabs>
          <w:tab w:pos="830" w:val="left" w:leader="none"/>
        </w:tabs>
        <w:spacing w:line="240" w:lineRule="auto" w:before="57" w:after="0"/>
        <w:ind w:left="829" w:right="0" w:hanging="360"/>
        <w:jc w:val="left"/>
        <w:rPr>
          <w:sz w:val="24"/>
        </w:rPr>
      </w:pPr>
      <w:r>
        <w:rPr>
          <w:sz w:val="24"/>
        </w:rPr>
        <w:t>Número de trabajadores</w:t>
      </w:r>
      <w:r>
        <w:rPr>
          <w:spacing w:val="-14"/>
          <w:sz w:val="24"/>
        </w:rPr>
        <w:t> </w:t>
      </w:r>
      <w:r>
        <w:rPr>
          <w:sz w:val="24"/>
        </w:rPr>
        <w:t>empleados.</w:t>
      </w:r>
    </w:p>
    <w:p>
      <w:pPr>
        <w:pStyle w:val="ListParagraph"/>
        <w:numPr>
          <w:ilvl w:val="0"/>
          <w:numId w:val="9"/>
        </w:numPr>
        <w:tabs>
          <w:tab w:pos="830" w:val="left" w:leader="none"/>
        </w:tabs>
        <w:spacing w:line="240" w:lineRule="auto" w:before="137" w:after="0"/>
        <w:ind w:left="829" w:right="0" w:hanging="360"/>
        <w:jc w:val="left"/>
        <w:rPr>
          <w:sz w:val="24"/>
        </w:rPr>
      </w:pPr>
      <w:r>
        <w:rPr>
          <w:sz w:val="24"/>
        </w:rPr>
        <w:t>Volumen de</w:t>
      </w:r>
      <w:r>
        <w:rPr>
          <w:spacing w:val="-7"/>
          <w:sz w:val="24"/>
        </w:rPr>
        <w:t> </w:t>
      </w:r>
      <w:r>
        <w:rPr>
          <w:sz w:val="24"/>
        </w:rPr>
        <w:t>ventas.</w:t>
      </w:r>
    </w:p>
    <w:p>
      <w:pPr>
        <w:pStyle w:val="ListParagraph"/>
        <w:numPr>
          <w:ilvl w:val="0"/>
          <w:numId w:val="9"/>
        </w:numPr>
        <w:tabs>
          <w:tab w:pos="830" w:val="left" w:leader="none"/>
        </w:tabs>
        <w:spacing w:line="240" w:lineRule="auto" w:before="139" w:after="0"/>
        <w:ind w:left="829" w:right="0" w:hanging="360"/>
        <w:jc w:val="left"/>
        <w:rPr>
          <w:sz w:val="24"/>
        </w:rPr>
      </w:pPr>
      <w:r>
        <w:rPr>
          <w:sz w:val="24"/>
        </w:rPr>
        <w:t>Activos que</w:t>
      </w:r>
      <w:r>
        <w:rPr>
          <w:spacing w:val="-6"/>
          <w:sz w:val="24"/>
        </w:rPr>
        <w:t> </w:t>
      </w:r>
      <w:r>
        <w:rPr>
          <w:sz w:val="24"/>
        </w:rPr>
        <w:t>poseen.</w:t>
      </w:r>
    </w:p>
    <w:p>
      <w:pPr>
        <w:pStyle w:val="BodyText"/>
        <w:rPr>
          <w:sz w:val="20"/>
        </w:rPr>
      </w:pPr>
    </w:p>
    <w:p>
      <w:pPr>
        <w:pStyle w:val="BodyText"/>
        <w:rPr>
          <w:sz w:val="27"/>
        </w:rPr>
      </w:pPr>
      <w:r>
        <w:rPr/>
        <w:pict>
          <v:group style="position:absolute;margin-left:155.399994pt;margin-top:17.493008pt;width:330.15pt;height:131.8pt;mso-position-horizontal-relative:page;mso-position-vertical-relative:paragraph;z-index:1384;mso-wrap-distance-left:0;mso-wrap-distance-right:0" coordorigin="3108,350" coordsize="6603,2636">
            <v:shape style="position:absolute;left:3108;top:1615;width:1651;height:1056" type="#_x0000_t75" stroked="false">
              <v:imagedata r:id="rId16" o:title=""/>
            </v:shape>
            <v:shape style="position:absolute;left:4334;top:1192;width:427;height:427" type="#_x0000_t75" stroked="false">
              <v:imagedata r:id="rId17" o:title=""/>
            </v:shape>
            <v:shape style="position:absolute;left:4757;top:1207;width:1651;height:1056" type="#_x0000_t75" stroked="false">
              <v:imagedata r:id="rId18" o:title=""/>
            </v:shape>
            <v:shape style="position:absolute;left:5986;top:784;width:427;height:427" type="#_x0000_t75" stroked="false">
              <v:imagedata r:id="rId19" o:title=""/>
            </v:shape>
            <v:shape style="position:absolute;left:6408;top:799;width:1651;height:1054" type="#_x0000_t75" stroked="false">
              <v:imagedata r:id="rId20" o:title=""/>
            </v:shape>
            <v:shape style="position:absolute;left:7634;top:376;width:427;height:427" type="#_x0000_t75" stroked="false">
              <v:imagedata r:id="rId21" o:title=""/>
            </v:shape>
            <v:shape style="position:absolute;left:8057;top:388;width:1654;height:1056" type="#_x0000_t75" stroked="false">
              <v:imagedata r:id="rId22" o:title=""/>
            </v:shape>
            <v:rect style="position:absolute;left:3176;top:370;width:6454;height:2594" filled="false" stroked="true" strokeweight="2.04pt" strokecolor="#385d89"/>
            <v:shape style="position:absolute;left:8586;top:649;width:749;height:380" type="#_x0000_t202" filled="false" stroked="false">
              <v:textbox inset="0,0,0,0">
                <w:txbxContent>
                  <w:p>
                    <w:pPr>
                      <w:spacing w:line="173" w:lineRule="exact" w:before="0"/>
                      <w:ind w:left="0" w:right="-15" w:firstLine="72"/>
                      <w:jc w:val="left"/>
                      <w:rPr>
                        <w:rFonts w:ascii="Calibri"/>
                        <w:sz w:val="18"/>
                      </w:rPr>
                    </w:pPr>
                    <w:r>
                      <w:rPr>
                        <w:rFonts w:ascii="Calibri"/>
                        <w:sz w:val="18"/>
                      </w:rPr>
                      <w:t>Grandes</w:t>
                    </w:r>
                  </w:p>
                  <w:p>
                    <w:pPr>
                      <w:spacing w:line="206" w:lineRule="exact" w:before="0"/>
                      <w:ind w:left="0" w:right="-15" w:firstLine="0"/>
                      <w:jc w:val="left"/>
                      <w:rPr>
                        <w:rFonts w:ascii="Calibri"/>
                        <w:sz w:val="18"/>
                      </w:rPr>
                    </w:pPr>
                    <w:r>
                      <w:rPr>
                        <w:rFonts w:ascii="Calibri"/>
                        <w:spacing w:val="-1"/>
                        <w:sz w:val="18"/>
                      </w:rPr>
                      <w:t>empresas.</w:t>
                    </w:r>
                  </w:p>
                </w:txbxContent>
              </v:textbox>
              <w10:wrap type="none"/>
            </v:shape>
            <v:shape style="position:absolute;left:6936;top:1057;width:749;height:380" type="#_x0000_t202" filled="false" stroked="false">
              <v:textbox inset="0,0,0,0">
                <w:txbxContent>
                  <w:p>
                    <w:pPr>
                      <w:spacing w:line="173" w:lineRule="exact" w:before="0"/>
                      <w:ind w:left="0" w:right="-7" w:firstLine="19"/>
                      <w:jc w:val="left"/>
                      <w:rPr>
                        <w:rFonts w:ascii="Calibri"/>
                        <w:sz w:val="18"/>
                      </w:rPr>
                    </w:pPr>
                    <w:r>
                      <w:rPr>
                        <w:rFonts w:ascii="Calibri"/>
                        <w:sz w:val="18"/>
                      </w:rPr>
                      <w:t>Medianas</w:t>
                    </w:r>
                  </w:p>
                  <w:p>
                    <w:pPr>
                      <w:spacing w:line="206" w:lineRule="exact" w:before="0"/>
                      <w:ind w:left="0" w:right="-15" w:firstLine="0"/>
                      <w:jc w:val="left"/>
                      <w:rPr>
                        <w:rFonts w:ascii="Calibri"/>
                        <w:sz w:val="18"/>
                      </w:rPr>
                    </w:pPr>
                    <w:r>
                      <w:rPr>
                        <w:rFonts w:ascii="Calibri"/>
                        <w:spacing w:val="-1"/>
                        <w:sz w:val="18"/>
                      </w:rPr>
                      <w:t>empresas.</w:t>
                    </w:r>
                  </w:p>
                </w:txbxContent>
              </v:textbox>
              <w10:wrap type="none"/>
            </v:shape>
            <v:shape style="position:absolute;left:5285;top:1466;width:749;height:380" type="#_x0000_t202" filled="false" stroked="false">
              <v:textbox inset="0,0,0,0">
                <w:txbxContent>
                  <w:p>
                    <w:pPr>
                      <w:spacing w:line="173" w:lineRule="exact" w:before="0"/>
                      <w:ind w:left="0" w:right="-5" w:firstLine="21"/>
                      <w:jc w:val="left"/>
                      <w:rPr>
                        <w:rFonts w:ascii="Calibri" w:hAnsi="Calibri"/>
                        <w:sz w:val="18"/>
                      </w:rPr>
                    </w:pPr>
                    <w:r>
                      <w:rPr>
                        <w:rFonts w:ascii="Calibri" w:hAnsi="Calibri"/>
                        <w:sz w:val="18"/>
                      </w:rPr>
                      <w:t>Pequeñas</w:t>
                    </w:r>
                  </w:p>
                  <w:p>
                    <w:pPr>
                      <w:spacing w:line="206" w:lineRule="exact" w:before="0"/>
                      <w:ind w:left="0" w:right="-15" w:firstLine="0"/>
                      <w:jc w:val="left"/>
                      <w:rPr>
                        <w:rFonts w:ascii="Calibri"/>
                        <w:sz w:val="18"/>
                      </w:rPr>
                    </w:pPr>
                    <w:r>
                      <w:rPr>
                        <w:rFonts w:ascii="Calibri"/>
                        <w:spacing w:val="-1"/>
                        <w:sz w:val="18"/>
                      </w:rPr>
                      <w:t>empresas.</w:t>
                    </w:r>
                  </w:p>
                </w:txbxContent>
              </v:textbox>
              <w10:wrap type="none"/>
            </v:shape>
            <v:shape style="position:absolute;left:8538;top:1396;width:869;height:380" type="#_x0000_t202" filled="false" stroked="false">
              <v:textbox inset="0,0,0,0">
                <w:txbxContent>
                  <w:p>
                    <w:pPr>
                      <w:spacing w:line="173" w:lineRule="exact" w:before="0"/>
                      <w:ind w:left="0" w:right="-20" w:firstLine="19"/>
                      <w:jc w:val="left"/>
                      <w:rPr>
                        <w:rFonts w:ascii="Calibri" w:hAnsi="Calibri"/>
                        <w:sz w:val="18"/>
                      </w:rPr>
                    </w:pPr>
                    <w:r>
                      <w:rPr>
                        <w:rFonts w:ascii="Calibri" w:hAnsi="Calibri"/>
                        <w:sz w:val="18"/>
                      </w:rPr>
                      <w:t>Más de 250</w:t>
                    </w:r>
                  </w:p>
                  <w:p>
                    <w:pPr>
                      <w:spacing w:line="206" w:lineRule="exact" w:before="0"/>
                      <w:ind w:left="0" w:right="-2" w:firstLine="0"/>
                      <w:jc w:val="left"/>
                      <w:rPr>
                        <w:rFonts w:ascii="Calibri"/>
                        <w:sz w:val="18"/>
                      </w:rPr>
                    </w:pPr>
                    <w:r>
                      <w:rPr>
                        <w:rFonts w:ascii="Calibri"/>
                        <w:sz w:val="18"/>
                      </w:rPr>
                      <w:t>empleados.</w:t>
                    </w:r>
                  </w:p>
                </w:txbxContent>
              </v:textbox>
              <w10:wrap type="none"/>
            </v:shape>
            <v:shape style="position:absolute;left:3421;top:1874;width:1178;height:180" type="#_x0000_t202" filled="false" stroked="false">
              <v:textbox inset="0,0,0,0">
                <w:txbxContent>
                  <w:p>
                    <w:pPr>
                      <w:spacing w:line="180" w:lineRule="exact" w:before="0"/>
                      <w:ind w:left="0" w:right="-10" w:firstLine="0"/>
                      <w:jc w:val="left"/>
                      <w:rPr>
                        <w:rFonts w:ascii="Calibri"/>
                        <w:sz w:val="18"/>
                      </w:rPr>
                    </w:pPr>
                    <w:r>
                      <w:rPr>
                        <w:rFonts w:ascii="Calibri"/>
                        <w:spacing w:val="-1"/>
                        <w:sz w:val="18"/>
                      </w:rPr>
                      <w:t>Microempresas.</w:t>
                    </w:r>
                  </w:p>
                </w:txbxContent>
              </v:textbox>
              <w10:wrap type="none"/>
            </v:shape>
            <v:shape style="position:absolute;left:6784;top:1804;width:1054;height:380" type="#_x0000_t202" filled="false" stroked="false">
              <v:textbox inset="0,0,0,0">
                <w:txbxContent>
                  <w:p>
                    <w:pPr>
                      <w:spacing w:line="173" w:lineRule="exact" w:before="0"/>
                      <w:ind w:left="-1" w:right="0" w:firstLine="0"/>
                      <w:jc w:val="center"/>
                      <w:rPr>
                        <w:rFonts w:ascii="Calibri"/>
                        <w:sz w:val="18"/>
                      </w:rPr>
                    </w:pPr>
                    <w:r>
                      <w:rPr>
                        <w:rFonts w:ascii="Calibri"/>
                        <w:sz w:val="18"/>
                      </w:rPr>
                      <w:t>Entre 50 y</w:t>
                    </w:r>
                    <w:r>
                      <w:rPr>
                        <w:rFonts w:ascii="Calibri"/>
                        <w:spacing w:val="-4"/>
                        <w:sz w:val="18"/>
                      </w:rPr>
                      <w:t> </w:t>
                    </w:r>
                    <w:r>
                      <w:rPr>
                        <w:rFonts w:ascii="Calibri"/>
                        <w:sz w:val="18"/>
                      </w:rPr>
                      <w:t>250</w:t>
                    </w:r>
                  </w:p>
                  <w:p>
                    <w:pPr>
                      <w:spacing w:line="206" w:lineRule="exact" w:before="0"/>
                      <w:ind w:left="0" w:right="0" w:firstLine="0"/>
                      <w:jc w:val="center"/>
                      <w:rPr>
                        <w:rFonts w:ascii="Calibri"/>
                        <w:sz w:val="18"/>
                      </w:rPr>
                    </w:pPr>
                    <w:r>
                      <w:rPr>
                        <w:rFonts w:ascii="Calibri"/>
                        <w:sz w:val="18"/>
                      </w:rPr>
                      <w:t>empleados.</w:t>
                    </w:r>
                  </w:p>
                </w:txbxContent>
              </v:textbox>
              <w10:wrap type="none"/>
            </v:shape>
            <v:shape style="position:absolute;left:3534;top:2212;width:2601;height:589" type="#_x0000_t202" filled="false" stroked="false">
              <v:textbox inset="0,0,0,0">
                <w:txbxContent>
                  <w:p>
                    <w:pPr>
                      <w:spacing w:line="174" w:lineRule="exact" w:before="0"/>
                      <w:ind w:left="1650" w:right="-18" w:firstLine="0"/>
                      <w:jc w:val="left"/>
                      <w:rPr>
                        <w:rFonts w:ascii="Calibri"/>
                        <w:sz w:val="18"/>
                      </w:rPr>
                    </w:pPr>
                    <w:r>
                      <w:rPr>
                        <w:rFonts w:ascii="Calibri"/>
                        <w:sz w:val="18"/>
                      </w:rPr>
                      <w:t>Menos de</w:t>
                    </w:r>
                    <w:r>
                      <w:rPr>
                        <w:rFonts w:ascii="Calibri"/>
                        <w:spacing w:val="-3"/>
                        <w:sz w:val="18"/>
                      </w:rPr>
                      <w:t> </w:t>
                    </w:r>
                    <w:r>
                      <w:rPr>
                        <w:rFonts w:ascii="Calibri"/>
                        <w:sz w:val="18"/>
                      </w:rPr>
                      <w:t>50</w:t>
                    </w:r>
                  </w:p>
                  <w:p>
                    <w:pPr>
                      <w:tabs>
                        <w:tab w:pos="1702" w:val="left" w:leader="none"/>
                      </w:tabs>
                      <w:spacing w:line="196" w:lineRule="exact" w:before="15"/>
                      <w:ind w:left="52" w:right="48" w:hanging="53"/>
                      <w:jc w:val="left"/>
                      <w:rPr>
                        <w:rFonts w:ascii="Calibri"/>
                        <w:sz w:val="18"/>
                      </w:rPr>
                    </w:pPr>
                    <w:r>
                      <w:rPr>
                        <w:rFonts w:ascii="Calibri"/>
                        <w:sz w:val="18"/>
                      </w:rPr>
                      <w:t>Menos de</w:t>
                    </w:r>
                    <w:r>
                      <w:rPr>
                        <w:rFonts w:ascii="Calibri"/>
                        <w:spacing w:val="-2"/>
                        <w:sz w:val="18"/>
                      </w:rPr>
                      <w:t> </w:t>
                    </w:r>
                    <w:r>
                      <w:rPr>
                        <w:rFonts w:ascii="Calibri"/>
                        <w:sz w:val="18"/>
                      </w:rPr>
                      <w:t>10</w:t>
                      <w:tab/>
                    </w:r>
                    <w:r>
                      <w:rPr>
                        <w:rFonts w:ascii="Calibri"/>
                        <w:spacing w:val="-1"/>
                        <w:position w:val="1"/>
                        <w:sz w:val="18"/>
                      </w:rPr>
                      <w:t>empleados. </w:t>
                    </w:r>
                    <w:r>
                      <w:rPr>
                        <w:rFonts w:ascii="Calibri"/>
                        <w:sz w:val="18"/>
                      </w:rPr>
                      <w:t>empleados.</w:t>
                    </w:r>
                  </w:p>
                </w:txbxContent>
              </v:textbox>
              <w10:wrap type="none"/>
            </v:shape>
            <w10:wrap type="topAndBottom"/>
          </v:group>
        </w:pict>
      </w:r>
    </w:p>
    <w:p>
      <w:pPr>
        <w:spacing w:line="229" w:lineRule="exact" w:before="130"/>
        <w:ind w:left="2435" w:right="212" w:firstLine="0"/>
        <w:jc w:val="left"/>
        <w:rPr>
          <w:sz w:val="20"/>
        </w:rPr>
      </w:pPr>
      <w:r>
        <w:rPr>
          <w:sz w:val="20"/>
        </w:rPr>
        <w:t>Figura 2. Clasificación de las empresas según su tamaño.</w:t>
      </w:r>
    </w:p>
    <w:p>
      <w:pPr>
        <w:spacing w:line="229" w:lineRule="exact" w:before="0"/>
        <w:ind w:left="1991" w:right="2002" w:firstLine="0"/>
        <w:jc w:val="center"/>
        <w:rPr>
          <w:sz w:val="20"/>
        </w:rPr>
      </w:pPr>
      <w:r>
        <w:rPr>
          <w:sz w:val="20"/>
        </w:rPr>
        <w:t>Autoría propia.</w:t>
      </w:r>
    </w:p>
    <w:p>
      <w:pPr>
        <w:pStyle w:val="BodyText"/>
        <w:spacing w:before="11"/>
        <w:rPr>
          <w:sz w:val="29"/>
        </w:rPr>
      </w:pPr>
    </w:p>
    <w:p>
      <w:pPr>
        <w:spacing w:before="0"/>
        <w:ind w:left="109" w:right="212" w:firstLine="0"/>
        <w:jc w:val="left"/>
        <w:rPr>
          <w:sz w:val="24"/>
        </w:rPr>
      </w:pPr>
      <w:r>
        <w:rPr>
          <w:i/>
          <w:sz w:val="24"/>
          <w:u w:val="single"/>
        </w:rPr>
        <w:t>Clasificación según su actividad</w:t>
      </w:r>
      <w:r>
        <w:rPr>
          <w:sz w:val="24"/>
          <w:u w:val="single"/>
        </w:rPr>
        <w:t>.</w:t>
      </w:r>
    </w:p>
    <w:p>
      <w:pPr>
        <w:pStyle w:val="BodyText"/>
        <w:rPr>
          <w:sz w:val="20"/>
        </w:rPr>
      </w:pPr>
    </w:p>
    <w:p>
      <w:pPr>
        <w:pStyle w:val="BodyText"/>
        <w:spacing w:before="2"/>
        <w:rPr>
          <w:sz w:val="22"/>
        </w:rPr>
      </w:pPr>
    </w:p>
    <w:p>
      <w:pPr>
        <w:pStyle w:val="BodyText"/>
        <w:spacing w:line="360" w:lineRule="auto" w:before="69"/>
        <w:ind w:left="109" w:right="113"/>
        <w:jc w:val="both"/>
      </w:pPr>
      <w:r>
        <w:rPr/>
        <w:pict>
          <v:group style="position:absolute;margin-left:91.440002pt;margin-top:89.415863pt;width:413.65pt;height:225.5pt;mso-position-horizontal-relative:page;mso-position-vertical-relative:paragraph;z-index:1528;mso-wrap-distance-left:0;mso-wrap-distance-right:0" coordorigin="1829,1788" coordsize="8273,4510">
            <v:shape style="position:absolute;left:1829;top:1788;width:1320;height:1838" type="#_x0000_t75" stroked="false">
              <v:imagedata r:id="rId23" o:title=""/>
            </v:shape>
            <v:shape style="position:absolute;left:2990;top:1803;width:7066;height:1238" type="#_x0000_t75" stroked="false">
              <v:imagedata r:id="rId24" o:title=""/>
            </v:shape>
            <v:shape style="position:absolute;left:1829;top:3125;width:1320;height:1836" type="#_x0000_t75" stroked="false">
              <v:imagedata r:id="rId25" o:title=""/>
            </v:shape>
            <v:shape style="position:absolute;left:2990;top:3140;width:7078;height:1236" type="#_x0000_t75" stroked="false">
              <v:imagedata r:id="rId26" o:title=""/>
            </v:shape>
            <v:shape style="position:absolute;left:1829;top:4462;width:1320;height:1836" type="#_x0000_t75" stroked="false">
              <v:imagedata r:id="rId27" o:title=""/>
            </v:shape>
            <v:shape style="position:absolute;left:2990;top:4476;width:7111;height:1236" type="#_x0000_t75" stroked="false">
              <v:imagedata r:id="rId28" o:title=""/>
            </v:shape>
            <v:rect style="position:absolute;left:1897;top:1823;width:8081;height:4334" filled="false" stroked="true" strokeweight="2.04pt" strokecolor="#385d89"/>
            <v:shape style="position:absolute;left:2143;top:2474;width:694;height:421" type="#_x0000_t202" filled="false" stroked="false">
              <v:textbox inset="0,0,0,0">
                <w:txbxContent>
                  <w:p>
                    <w:pPr>
                      <w:spacing w:line="192" w:lineRule="exact" w:before="0"/>
                      <w:ind w:left="0" w:right="0" w:firstLine="88"/>
                      <w:jc w:val="left"/>
                      <w:rPr>
                        <w:rFonts w:ascii="Calibri"/>
                        <w:sz w:val="20"/>
                      </w:rPr>
                    </w:pPr>
                    <w:r>
                      <w:rPr>
                        <w:rFonts w:ascii="Calibri"/>
                        <w:sz w:val="20"/>
                      </w:rPr>
                      <w:t>Sector</w:t>
                    </w:r>
                  </w:p>
                  <w:p>
                    <w:pPr>
                      <w:spacing w:line="229" w:lineRule="exact" w:before="0"/>
                      <w:ind w:left="0" w:right="0" w:firstLine="0"/>
                      <w:jc w:val="left"/>
                      <w:rPr>
                        <w:rFonts w:ascii="Calibri"/>
                        <w:sz w:val="20"/>
                      </w:rPr>
                    </w:pPr>
                    <w:r>
                      <w:rPr>
                        <w:rFonts w:ascii="Calibri"/>
                        <w:w w:val="95"/>
                        <w:sz w:val="20"/>
                      </w:rPr>
                      <w:t>Primario</w:t>
                    </w:r>
                  </w:p>
                </w:txbxContent>
              </v:textbox>
              <w10:wrap type="none"/>
            </v:shape>
            <v:shape style="position:absolute;left:3431;top:2088;width:6244;height:610" type="#_x0000_t202" filled="false" stroked="false">
              <v:textbox inset="0,0,0,0">
                <w:txbxContent>
                  <w:p>
                    <w:pPr>
                      <w:spacing w:line="173" w:lineRule="exact" w:before="0"/>
                      <w:ind w:left="-1" w:right="0" w:firstLine="0"/>
                      <w:jc w:val="center"/>
                      <w:rPr>
                        <w:rFonts w:ascii="Calibri" w:hAnsi="Calibri"/>
                        <w:sz w:val="18"/>
                      </w:rPr>
                    </w:pPr>
                    <w:r>
                      <w:rPr>
                        <w:rFonts w:ascii="Calibri" w:hAnsi="Calibri"/>
                        <w:sz w:val="18"/>
                      </w:rPr>
                      <w:t>•Son aquellas actividades cuyos elementos básicos se encuentran directamente en</w:t>
                    </w:r>
                    <w:r>
                      <w:rPr>
                        <w:rFonts w:ascii="Calibri" w:hAnsi="Calibri"/>
                        <w:spacing w:val="-11"/>
                        <w:sz w:val="18"/>
                      </w:rPr>
                      <w:t> </w:t>
                    </w:r>
                    <w:r>
                      <w:rPr>
                        <w:rFonts w:ascii="Calibri" w:hAnsi="Calibri"/>
                        <w:sz w:val="18"/>
                      </w:rPr>
                      <w:t>la</w:t>
                    </w:r>
                  </w:p>
                  <w:p>
                    <w:pPr>
                      <w:spacing w:line="209" w:lineRule="exact" w:before="0"/>
                      <w:ind w:left="76" w:right="0" w:firstLine="0"/>
                      <w:jc w:val="center"/>
                      <w:rPr>
                        <w:rFonts w:ascii="Calibri"/>
                        <w:sz w:val="18"/>
                      </w:rPr>
                    </w:pPr>
                    <w:r>
                      <w:rPr>
                        <w:rFonts w:ascii="Calibri"/>
                        <w:sz w:val="18"/>
                      </w:rPr>
                      <w:t>naturaleza.</w:t>
                    </w:r>
                  </w:p>
                  <w:p>
                    <w:pPr>
                      <w:spacing w:line="216" w:lineRule="exact" w:before="10"/>
                      <w:ind w:left="283" w:right="301" w:firstLine="0"/>
                      <w:jc w:val="center"/>
                      <w:rPr>
                        <w:rFonts w:ascii="Calibri" w:hAnsi="Calibri"/>
                        <w:sz w:val="18"/>
                      </w:rPr>
                    </w:pPr>
                    <w:r>
                      <w:rPr>
                        <w:rFonts w:ascii="Calibri" w:hAnsi="Calibri"/>
                        <w:sz w:val="18"/>
                      </w:rPr>
                      <w:t>•Agricultura, ganadería, pesca, caza, minería, la extracción de petróleo y gas.</w:t>
                    </w:r>
                  </w:p>
                </w:txbxContent>
              </v:textbox>
              <w10:wrap type="none"/>
            </v:shape>
            <v:shape style="position:absolute;left:2037;top:3425;width:7830;height:806" type="#_x0000_t202" filled="false" stroked="false">
              <v:textbox inset="0,0,0,0">
                <w:txbxContent>
                  <w:p>
                    <w:pPr>
                      <w:spacing w:line="173" w:lineRule="exact" w:before="0"/>
                      <w:ind w:left="1201" w:right="0" w:firstLine="0"/>
                      <w:jc w:val="center"/>
                      <w:rPr>
                        <w:rFonts w:ascii="Calibri" w:hAnsi="Calibri"/>
                        <w:sz w:val="18"/>
                      </w:rPr>
                    </w:pPr>
                    <w:r>
                      <w:rPr>
                        <w:rFonts w:ascii="Calibri" w:hAnsi="Calibri"/>
                        <w:sz w:val="18"/>
                      </w:rPr>
                      <w:t>•Agrupa todas las actividades industriales, es decir, aquellas que son objeto de un proceso</w:t>
                    </w:r>
                  </w:p>
                  <w:p>
                    <w:pPr>
                      <w:spacing w:line="190" w:lineRule="exact" w:before="0"/>
                      <w:ind w:left="1274" w:right="0" w:firstLine="0"/>
                      <w:jc w:val="center"/>
                      <w:rPr>
                        <w:rFonts w:ascii="Calibri" w:hAnsi="Calibri"/>
                        <w:sz w:val="18"/>
                      </w:rPr>
                    </w:pPr>
                    <w:r>
                      <w:rPr>
                        <w:rFonts w:ascii="Calibri" w:hAnsi="Calibri"/>
                        <w:sz w:val="18"/>
                      </w:rPr>
                      <w:t>de transformación de materias primas y componentes en productos terminados .</w:t>
                    </w:r>
                  </w:p>
                  <w:p>
                    <w:pPr>
                      <w:tabs>
                        <w:tab w:pos="2608" w:val="left" w:leader="none"/>
                      </w:tabs>
                      <w:spacing w:line="226" w:lineRule="exact" w:before="0"/>
                      <w:ind w:left="194" w:right="0" w:firstLine="0"/>
                      <w:jc w:val="left"/>
                      <w:rPr>
                        <w:rFonts w:ascii="Calibri" w:hAnsi="Calibri"/>
                        <w:sz w:val="18"/>
                      </w:rPr>
                    </w:pPr>
                    <w:r>
                      <w:rPr>
                        <w:rFonts w:ascii="Calibri" w:hAnsi="Calibri"/>
                        <w:position w:val="3"/>
                        <w:sz w:val="20"/>
                      </w:rPr>
                      <w:t>Sector</w:t>
                      <w:tab/>
                    </w:r>
                    <w:r>
                      <w:rPr>
                        <w:rFonts w:ascii="Calibri" w:hAnsi="Calibri"/>
                        <w:sz w:val="18"/>
                      </w:rPr>
                      <w:t>•Construcción, textil, la transformación</w:t>
                    </w:r>
                    <w:r>
                      <w:rPr>
                        <w:rFonts w:ascii="Calibri" w:hAnsi="Calibri"/>
                        <w:spacing w:val="-17"/>
                        <w:sz w:val="18"/>
                      </w:rPr>
                      <w:t> </w:t>
                    </w:r>
                    <w:r>
                      <w:rPr>
                        <w:rFonts w:ascii="Calibri" w:hAnsi="Calibri"/>
                        <w:sz w:val="18"/>
                      </w:rPr>
                      <w:t>alimentaria.</w:t>
                    </w:r>
                  </w:p>
                  <w:p>
                    <w:pPr>
                      <w:spacing w:line="217" w:lineRule="exact" w:before="0"/>
                      <w:ind w:left="0" w:right="0" w:firstLine="0"/>
                      <w:jc w:val="left"/>
                      <w:rPr>
                        <w:rFonts w:ascii="Calibri"/>
                        <w:sz w:val="20"/>
                      </w:rPr>
                    </w:pPr>
                    <w:r>
                      <w:rPr>
                        <w:rFonts w:ascii="Calibri"/>
                        <w:sz w:val="20"/>
                      </w:rPr>
                      <w:t>Secundario</w:t>
                    </w:r>
                  </w:p>
                </w:txbxContent>
              </v:textbox>
              <w10:wrap type="none"/>
            </v:shape>
            <v:shape style="position:absolute;left:2136;top:5146;width:710;height:420" type="#_x0000_t202" filled="false" stroked="false">
              <v:textbox inset="0,0,0,0">
                <w:txbxContent>
                  <w:p>
                    <w:pPr>
                      <w:spacing w:line="191" w:lineRule="exact" w:before="0"/>
                      <w:ind w:left="0" w:right="-16" w:firstLine="96"/>
                      <w:jc w:val="left"/>
                      <w:rPr>
                        <w:rFonts w:ascii="Calibri"/>
                        <w:sz w:val="20"/>
                      </w:rPr>
                    </w:pPr>
                    <w:r>
                      <w:rPr>
                        <w:rFonts w:ascii="Calibri"/>
                        <w:sz w:val="20"/>
                      </w:rPr>
                      <w:t>Sector</w:t>
                    </w:r>
                  </w:p>
                  <w:p>
                    <w:pPr>
                      <w:spacing w:line="229" w:lineRule="exact" w:before="0"/>
                      <w:ind w:left="0" w:right="-16" w:firstLine="0"/>
                      <w:jc w:val="left"/>
                      <w:rPr>
                        <w:rFonts w:ascii="Calibri"/>
                        <w:sz w:val="20"/>
                      </w:rPr>
                    </w:pPr>
                    <w:r>
                      <w:rPr>
                        <w:rFonts w:ascii="Calibri"/>
                        <w:spacing w:val="-1"/>
                        <w:sz w:val="20"/>
                      </w:rPr>
                      <w:t>Terciario</w:t>
                    </w:r>
                  </w:p>
                </w:txbxContent>
              </v:textbox>
              <w10:wrap type="none"/>
            </v:shape>
            <v:shape style="position:absolute;left:3205;top:4662;width:6697;height:807" type="#_x0000_t202" filled="false" stroked="false">
              <v:textbox inset="0,0,0,0">
                <w:txbxContent>
                  <w:p>
                    <w:pPr>
                      <w:spacing w:line="173" w:lineRule="exact" w:before="0"/>
                      <w:ind w:left="-1" w:right="0" w:firstLine="0"/>
                      <w:jc w:val="center"/>
                      <w:rPr>
                        <w:rFonts w:ascii="Calibri" w:hAnsi="Calibri"/>
                        <w:sz w:val="18"/>
                      </w:rPr>
                    </w:pPr>
                    <w:r>
                      <w:rPr>
                        <w:rFonts w:ascii="Calibri" w:hAnsi="Calibri"/>
                        <w:sz w:val="18"/>
                      </w:rPr>
                      <w:t>•En el se insertan todas las actividades que tienen como elemento principal el</w:t>
                    </w:r>
                    <w:r>
                      <w:rPr>
                        <w:rFonts w:ascii="Calibri" w:hAnsi="Calibri"/>
                        <w:spacing w:val="-13"/>
                        <w:sz w:val="18"/>
                      </w:rPr>
                      <w:t> </w:t>
                    </w:r>
                    <w:r>
                      <w:rPr>
                        <w:rFonts w:ascii="Calibri" w:hAnsi="Calibri"/>
                        <w:sz w:val="18"/>
                      </w:rPr>
                      <w:t>componente</w:t>
                    </w:r>
                  </w:p>
                  <w:p>
                    <w:pPr>
                      <w:spacing w:line="209" w:lineRule="exact" w:before="0"/>
                      <w:ind w:left="71" w:right="0" w:firstLine="0"/>
                      <w:jc w:val="center"/>
                      <w:rPr>
                        <w:rFonts w:ascii="Calibri"/>
                        <w:sz w:val="18"/>
                      </w:rPr>
                    </w:pPr>
                    <w:r>
                      <w:rPr>
                        <w:rFonts w:ascii="Calibri"/>
                        <w:sz w:val="18"/>
                      </w:rPr>
                      <w:t>humano que presta servicios.</w:t>
                    </w:r>
                  </w:p>
                  <w:p>
                    <w:pPr>
                      <w:spacing w:line="196" w:lineRule="exact" w:before="25"/>
                      <w:ind w:left="65" w:right="83" w:firstLine="0"/>
                      <w:jc w:val="center"/>
                      <w:rPr>
                        <w:rFonts w:ascii="Calibri" w:hAnsi="Calibri"/>
                        <w:sz w:val="18"/>
                      </w:rPr>
                    </w:pPr>
                    <w:r>
                      <w:rPr>
                        <w:rFonts w:ascii="Calibri" w:hAnsi="Calibri"/>
                        <w:sz w:val="18"/>
                      </w:rPr>
                      <w:t>•Comercio mayorista y minorista, los restaurantes y cafeterías, los hoteles, el transporte, las comunicaciones, los servicios profesionales, los servicios recreativos y culturales.</w:t>
                    </w:r>
                  </w:p>
                </w:txbxContent>
              </v:textbox>
              <w10:wrap type="none"/>
            </v:shape>
            <w10:wrap type="topAndBottom"/>
          </v:group>
        </w:pict>
      </w:r>
      <w:r>
        <w:rPr/>
        <w:t>La clasificación de las empresas según su sector de actividad, también es muy importante, ya que la pertenencia a un sector determinado implica ciertas características en cuanto a la estructura de la empresa, a su gestión y a sus comportamientos.</w:t>
      </w:r>
    </w:p>
    <w:p>
      <w:pPr>
        <w:spacing w:before="155"/>
        <w:ind w:left="1991" w:right="2009" w:firstLine="0"/>
        <w:jc w:val="center"/>
        <w:rPr>
          <w:sz w:val="20"/>
        </w:rPr>
      </w:pPr>
      <w:r>
        <w:rPr>
          <w:sz w:val="20"/>
        </w:rPr>
        <w:t>Figura 3. Clasificación de las empresas según su actividad.</w:t>
      </w:r>
    </w:p>
    <w:p>
      <w:pPr>
        <w:spacing w:before="0"/>
        <w:ind w:left="1991" w:right="2002" w:firstLine="0"/>
        <w:jc w:val="center"/>
        <w:rPr>
          <w:sz w:val="20"/>
        </w:rPr>
      </w:pPr>
      <w:r>
        <w:rPr>
          <w:sz w:val="20"/>
        </w:rPr>
        <w:t>Autoría propia.</w:t>
      </w:r>
    </w:p>
    <w:p>
      <w:pPr>
        <w:spacing w:after="0"/>
        <w:jc w:val="center"/>
        <w:rPr>
          <w:sz w:val="20"/>
        </w:rPr>
        <w:sectPr>
          <w:pgSz w:w="12240" w:h="15840"/>
          <w:pgMar w:header="0" w:footer="779" w:top="1360" w:bottom="960" w:left="1360" w:right="1580"/>
        </w:sectPr>
      </w:pPr>
    </w:p>
    <w:p>
      <w:pPr>
        <w:spacing w:before="54"/>
        <w:ind w:left="109" w:right="0" w:firstLine="0"/>
        <w:jc w:val="left"/>
        <w:rPr>
          <w:i/>
          <w:sz w:val="24"/>
        </w:rPr>
      </w:pPr>
      <w:r>
        <w:rPr>
          <w:i/>
          <w:sz w:val="24"/>
          <w:u w:val="single"/>
        </w:rPr>
        <w:t>Clasificación según su ámbito geográfico.</w:t>
      </w:r>
    </w:p>
    <w:p>
      <w:pPr>
        <w:pStyle w:val="BodyText"/>
        <w:rPr>
          <w:i/>
          <w:sz w:val="20"/>
        </w:rPr>
      </w:pPr>
    </w:p>
    <w:p>
      <w:pPr>
        <w:pStyle w:val="BodyText"/>
        <w:spacing w:before="2"/>
        <w:rPr>
          <w:i/>
          <w:sz w:val="22"/>
        </w:rPr>
      </w:pPr>
    </w:p>
    <w:p>
      <w:pPr>
        <w:pStyle w:val="BodyText"/>
        <w:spacing w:line="360" w:lineRule="auto" w:before="69"/>
        <w:ind w:left="109"/>
      </w:pPr>
      <w:r>
        <w:rPr/>
        <w:t>En</w:t>
      </w:r>
      <w:r>
        <w:rPr>
          <w:spacing w:val="-16"/>
        </w:rPr>
        <w:t> </w:t>
      </w:r>
      <w:r>
        <w:rPr/>
        <w:t>el</w:t>
      </w:r>
      <w:r>
        <w:rPr>
          <w:spacing w:val="-17"/>
        </w:rPr>
        <w:t> </w:t>
      </w:r>
      <w:r>
        <w:rPr/>
        <w:t>sector</w:t>
      </w:r>
      <w:r>
        <w:rPr>
          <w:spacing w:val="-17"/>
        </w:rPr>
        <w:t> </w:t>
      </w:r>
      <w:r>
        <w:rPr/>
        <w:t>turístico</w:t>
      </w:r>
      <w:r>
        <w:rPr>
          <w:spacing w:val="-16"/>
        </w:rPr>
        <w:t> </w:t>
      </w:r>
      <w:r>
        <w:rPr/>
        <w:t>es</w:t>
      </w:r>
      <w:r>
        <w:rPr>
          <w:spacing w:val="-19"/>
        </w:rPr>
        <w:t> </w:t>
      </w:r>
      <w:r>
        <w:rPr/>
        <w:t>muy</w:t>
      </w:r>
      <w:r>
        <w:rPr>
          <w:spacing w:val="-19"/>
        </w:rPr>
        <w:t> </w:t>
      </w:r>
      <w:r>
        <w:rPr/>
        <w:t>importante</w:t>
      </w:r>
      <w:r>
        <w:rPr>
          <w:spacing w:val="-18"/>
        </w:rPr>
        <w:t> </w:t>
      </w:r>
      <w:r>
        <w:rPr/>
        <w:t>para</w:t>
      </w:r>
      <w:r>
        <w:rPr>
          <w:spacing w:val="-19"/>
        </w:rPr>
        <w:t> </w:t>
      </w:r>
      <w:r>
        <w:rPr/>
        <w:t>poder</w:t>
      </w:r>
      <w:r>
        <w:rPr>
          <w:spacing w:val="-17"/>
        </w:rPr>
        <w:t> </w:t>
      </w:r>
      <w:r>
        <w:rPr/>
        <w:t>tener</w:t>
      </w:r>
      <w:r>
        <w:rPr>
          <w:spacing w:val="-19"/>
        </w:rPr>
        <w:t> </w:t>
      </w:r>
      <w:r>
        <w:rPr/>
        <w:t>una</w:t>
      </w:r>
      <w:r>
        <w:rPr>
          <w:spacing w:val="-18"/>
        </w:rPr>
        <w:t> </w:t>
      </w:r>
      <w:r>
        <w:rPr/>
        <w:t>referencia</w:t>
      </w:r>
      <w:r>
        <w:rPr>
          <w:spacing w:val="-16"/>
        </w:rPr>
        <w:t> </w:t>
      </w:r>
      <w:r>
        <w:rPr/>
        <w:t>de</w:t>
      </w:r>
      <w:r>
        <w:rPr>
          <w:spacing w:val="-16"/>
        </w:rPr>
        <w:t> </w:t>
      </w:r>
      <w:r>
        <w:rPr/>
        <w:t>los</w:t>
      </w:r>
      <w:r>
        <w:rPr>
          <w:spacing w:val="-16"/>
        </w:rPr>
        <w:t> </w:t>
      </w:r>
      <w:r>
        <w:rPr/>
        <w:t>hoteles, restaurantes, agencias de</w:t>
      </w:r>
      <w:r>
        <w:rPr>
          <w:spacing w:val="-9"/>
        </w:rPr>
        <w:t> </w:t>
      </w:r>
      <w:r>
        <w:rPr/>
        <w:t>viaje.</w:t>
      </w:r>
    </w:p>
    <w:p>
      <w:pPr>
        <w:pStyle w:val="BodyText"/>
        <w:spacing w:line="360" w:lineRule="auto" w:before="5"/>
        <w:ind w:left="109"/>
      </w:pPr>
      <w:r>
        <w:rPr/>
        <w:t>En el ámbito geográfico de operaciones de la empresa es un criterio de compra de muchos turistas.</w:t>
      </w:r>
    </w:p>
    <w:p>
      <w:pPr>
        <w:pStyle w:val="BodyText"/>
        <w:rPr>
          <w:sz w:val="20"/>
        </w:rPr>
      </w:pPr>
    </w:p>
    <w:p>
      <w:pPr>
        <w:pStyle w:val="BodyText"/>
        <w:spacing w:before="1"/>
        <w:rPr>
          <w:sz w:val="18"/>
        </w:rPr>
      </w:pPr>
      <w:r>
        <w:rPr/>
        <w:pict>
          <v:group style="position:absolute;margin-left:74.995003pt;margin-top:12.354905pt;width:473.45pt;height:147.75pt;mso-position-horizontal-relative:page;mso-position-vertical-relative:paragraph;z-index:1696;mso-wrap-distance-left:0;mso-wrap-distance-right:0" coordorigin="1500,247" coordsize="9469,2955">
            <v:shape style="position:absolute;left:1548;top:247;width:2441;height:2774" type="#_x0000_t75" stroked="false">
              <v:imagedata r:id="rId29" o:title=""/>
            </v:shape>
            <v:shape style="position:absolute;left:2242;top:405;width:1018;height:1015" type="#_x0000_t75" stroked="false">
              <v:imagedata r:id="rId30" o:title=""/>
            </v:shape>
            <v:shape style="position:absolute;left:3876;top:247;width:2398;height:2774" type="#_x0000_t75" stroked="false">
              <v:imagedata r:id="rId31" o:title=""/>
            </v:shape>
            <v:shape style="position:absolute;left:4567;top:405;width:1015;height:1015" type="#_x0000_t75" stroked="false">
              <v:imagedata r:id="rId32" o:title=""/>
            </v:shape>
            <v:shape style="position:absolute;left:6202;top:247;width:2407;height:2774" type="#_x0000_t75" stroked="false">
              <v:imagedata r:id="rId33" o:title=""/>
            </v:shape>
            <v:shape style="position:absolute;left:6893;top:405;width:1015;height:1015" type="#_x0000_t75" stroked="false">
              <v:imagedata r:id="rId34" o:title=""/>
            </v:shape>
            <v:shape style="position:absolute;left:8527;top:247;width:2395;height:2774" type="#_x0000_t75" stroked="false">
              <v:imagedata r:id="rId35" o:title=""/>
            </v:shape>
            <v:shape style="position:absolute;left:9216;top:405;width:1018;height:1015" type="#_x0000_t75" stroked="false">
              <v:imagedata r:id="rId36" o:title=""/>
            </v:shape>
            <v:shape style="position:absolute;left:1920;top:2354;width:8635;height:535" type="#_x0000_t75" stroked="false">
              <v:imagedata r:id="rId37" o:title=""/>
            </v:shape>
            <v:rect style="position:absolute;left:1520;top:289;width:9427;height:2892" filled="false" stroked="true" strokeweight="2.04pt" strokecolor="#385d89"/>
            <v:shape style="position:absolute;left:1716;top:1487;width:2069;height:759" type="#_x0000_t202" filled="false" stroked="false">
              <v:textbox inset="0,0,0,0">
                <w:txbxContent>
                  <w:p>
                    <w:pPr>
                      <w:spacing w:line="164" w:lineRule="exact" w:before="0"/>
                      <w:ind w:left="0" w:right="0" w:firstLine="0"/>
                      <w:jc w:val="center"/>
                      <w:rPr>
                        <w:rFonts w:ascii="Calibri"/>
                        <w:b/>
                        <w:sz w:val="16"/>
                      </w:rPr>
                    </w:pPr>
                    <w:r>
                      <w:rPr>
                        <w:rFonts w:ascii="Calibri"/>
                        <w:b/>
                        <w:sz w:val="16"/>
                      </w:rPr>
                      <w:t>Locales</w:t>
                    </w:r>
                  </w:p>
                  <w:p>
                    <w:pPr>
                      <w:spacing w:line="216" w:lineRule="auto" w:before="64"/>
                      <w:ind w:left="-1" w:right="0" w:firstLine="0"/>
                      <w:jc w:val="center"/>
                      <w:rPr>
                        <w:rFonts w:ascii="Calibri"/>
                        <w:sz w:val="16"/>
                      </w:rPr>
                    </w:pPr>
                    <w:r>
                      <w:rPr>
                        <w:rFonts w:ascii="Calibri"/>
                        <w:sz w:val="16"/>
                      </w:rPr>
                      <w:t>La mayor parte de su actividad la desarrolla en una ciudad o</w:t>
                    </w:r>
                    <w:r>
                      <w:rPr>
                        <w:rFonts w:ascii="Calibri"/>
                        <w:spacing w:val="-9"/>
                        <w:sz w:val="16"/>
                      </w:rPr>
                      <w:t> </w:t>
                    </w:r>
                    <w:r>
                      <w:rPr>
                        <w:rFonts w:ascii="Calibri"/>
                        <w:sz w:val="16"/>
                      </w:rPr>
                      <w:t>en un</w:t>
                    </w:r>
                    <w:r>
                      <w:rPr>
                        <w:rFonts w:ascii="Calibri"/>
                        <w:spacing w:val="-7"/>
                        <w:sz w:val="16"/>
                      </w:rPr>
                      <w:t> </w:t>
                    </w:r>
                    <w:r>
                      <w:rPr>
                        <w:rFonts w:ascii="Calibri"/>
                        <w:sz w:val="16"/>
                      </w:rPr>
                      <w:t>pueblo.</w:t>
                    </w:r>
                  </w:p>
                </w:txbxContent>
              </v:textbox>
              <w10:wrap type="none"/>
            </v:shape>
            <v:shape style="position:absolute;left:4714;top:1453;width:724;height:161" type="#_x0000_t202" filled="false" stroked="false">
              <v:textbox inset="0,0,0,0">
                <w:txbxContent>
                  <w:p>
                    <w:pPr>
                      <w:spacing w:line="161" w:lineRule="exact" w:before="0"/>
                      <w:ind w:left="0" w:right="-17" w:firstLine="0"/>
                      <w:jc w:val="left"/>
                      <w:rPr>
                        <w:rFonts w:ascii="Calibri"/>
                        <w:b/>
                        <w:sz w:val="16"/>
                      </w:rPr>
                    </w:pPr>
                    <w:r>
                      <w:rPr>
                        <w:rFonts w:ascii="Calibri"/>
                        <w:b/>
                        <w:sz w:val="16"/>
                      </w:rPr>
                      <w:t>Regionales</w:t>
                    </w:r>
                  </w:p>
                </w:txbxContent>
              </v:textbox>
              <w10:wrap type="none"/>
            </v:shape>
            <v:shape style="position:absolute;left:4068;top:1943;width:2014;height:336" type="#_x0000_t202" filled="false" stroked="false">
              <v:textbox inset="0,0,0,0">
                <w:txbxContent>
                  <w:p>
                    <w:pPr>
                      <w:spacing w:line="154" w:lineRule="exact" w:before="0"/>
                      <w:ind w:left="0" w:right="0" w:firstLine="0"/>
                      <w:jc w:val="center"/>
                      <w:rPr>
                        <w:rFonts w:ascii="Calibri"/>
                        <w:sz w:val="16"/>
                      </w:rPr>
                    </w:pPr>
                    <w:r>
                      <w:rPr>
                        <w:rFonts w:ascii="Calibri"/>
                        <w:sz w:val="16"/>
                      </w:rPr>
                      <w:t>Se extiende por toda una</w:t>
                    </w:r>
                  </w:p>
                  <w:p>
                    <w:pPr>
                      <w:spacing w:line="182" w:lineRule="exact" w:before="0"/>
                      <w:ind w:left="0" w:right="0" w:firstLine="0"/>
                      <w:jc w:val="center"/>
                      <w:rPr>
                        <w:rFonts w:ascii="Calibri"/>
                        <w:sz w:val="16"/>
                      </w:rPr>
                    </w:pPr>
                    <w:r>
                      <w:rPr>
                        <w:rFonts w:ascii="Calibri"/>
                        <w:sz w:val="16"/>
                      </w:rPr>
                      <w:t>comunidad a la que</w:t>
                    </w:r>
                    <w:r>
                      <w:rPr>
                        <w:rFonts w:ascii="Calibri"/>
                        <w:spacing w:val="-14"/>
                        <w:sz w:val="16"/>
                      </w:rPr>
                      <w:t> </w:t>
                    </w:r>
                    <w:r>
                      <w:rPr>
                        <w:rFonts w:ascii="Calibri"/>
                        <w:sz w:val="16"/>
                      </w:rPr>
                      <w:t>pertenece.</w:t>
                    </w:r>
                  </w:p>
                </w:txbxContent>
              </v:textbox>
              <w10:wrap type="none"/>
            </v:shape>
            <v:shape style="position:absolute;left:6398;top:1487;width:2013;height:759" type="#_x0000_t202" filled="false" stroked="false">
              <v:textbox inset="0,0,0,0">
                <w:txbxContent>
                  <w:p>
                    <w:pPr>
                      <w:spacing w:line="164" w:lineRule="exact" w:before="0"/>
                      <w:ind w:left="620" w:right="626" w:firstLine="0"/>
                      <w:jc w:val="center"/>
                      <w:rPr>
                        <w:rFonts w:ascii="Calibri"/>
                        <w:b/>
                        <w:sz w:val="16"/>
                      </w:rPr>
                    </w:pPr>
                    <w:r>
                      <w:rPr>
                        <w:rFonts w:ascii="Calibri"/>
                        <w:b/>
                        <w:sz w:val="16"/>
                      </w:rPr>
                      <w:t>Nacionales</w:t>
                    </w:r>
                  </w:p>
                  <w:p>
                    <w:pPr>
                      <w:spacing w:line="216" w:lineRule="auto" w:before="64"/>
                      <w:ind w:left="-1" w:right="0" w:firstLine="0"/>
                      <w:jc w:val="center"/>
                      <w:rPr>
                        <w:rFonts w:ascii="Calibri" w:hAnsi="Calibri"/>
                        <w:sz w:val="16"/>
                      </w:rPr>
                    </w:pPr>
                    <w:r>
                      <w:rPr>
                        <w:rFonts w:ascii="Calibri" w:hAnsi="Calibri"/>
                        <w:sz w:val="16"/>
                      </w:rPr>
                      <w:t>Operan en un solo país,</w:t>
                    </w:r>
                    <w:r>
                      <w:rPr>
                        <w:rFonts w:ascii="Calibri" w:hAnsi="Calibri"/>
                        <w:spacing w:val="-6"/>
                        <w:sz w:val="16"/>
                      </w:rPr>
                      <w:t> </w:t>
                    </w:r>
                    <w:r>
                      <w:rPr>
                        <w:rFonts w:ascii="Calibri" w:hAnsi="Calibri"/>
                        <w:sz w:val="16"/>
                      </w:rPr>
                      <w:t>dentro de este extiende su actividad por distintas</w:t>
                    </w:r>
                    <w:r>
                      <w:rPr>
                        <w:rFonts w:ascii="Calibri" w:hAnsi="Calibri"/>
                        <w:spacing w:val="-10"/>
                        <w:sz w:val="16"/>
                      </w:rPr>
                      <w:t> </w:t>
                    </w:r>
                    <w:r>
                      <w:rPr>
                        <w:rFonts w:ascii="Calibri" w:hAnsi="Calibri"/>
                        <w:sz w:val="16"/>
                      </w:rPr>
                      <w:t>regiones.</w:t>
                    </w:r>
                  </w:p>
                </w:txbxContent>
              </v:textbox>
              <w10:wrap type="none"/>
            </v:shape>
            <v:shape style="position:absolute;left:9211;top:1541;width:1032;height:161" type="#_x0000_t202" filled="false" stroked="false">
              <v:textbox inset="0,0,0,0">
                <w:txbxContent>
                  <w:p>
                    <w:pPr>
                      <w:spacing w:line="161" w:lineRule="exact" w:before="0"/>
                      <w:ind w:left="0" w:right="-16" w:firstLine="0"/>
                      <w:jc w:val="left"/>
                      <w:rPr>
                        <w:rFonts w:ascii="Calibri"/>
                        <w:b/>
                        <w:sz w:val="16"/>
                      </w:rPr>
                    </w:pPr>
                    <w:r>
                      <w:rPr>
                        <w:rFonts w:ascii="Calibri"/>
                        <w:b/>
                        <w:sz w:val="16"/>
                      </w:rPr>
                      <w:t>Internacionales</w:t>
                    </w:r>
                  </w:p>
                </w:txbxContent>
              </v:textbox>
              <w10:wrap type="none"/>
            </v:shape>
            <v:shape style="position:absolute;left:8861;top:2031;width:1731;height:161" type="#_x0000_t202" filled="false" stroked="false">
              <v:textbox inset="0,0,0,0">
                <w:txbxContent>
                  <w:p>
                    <w:pPr>
                      <w:spacing w:line="161" w:lineRule="exact" w:before="0"/>
                      <w:ind w:left="0" w:right="-19" w:firstLine="0"/>
                      <w:jc w:val="left"/>
                      <w:rPr>
                        <w:rFonts w:ascii="Calibri" w:hAnsi="Calibri"/>
                        <w:sz w:val="16"/>
                      </w:rPr>
                    </w:pPr>
                    <w:r>
                      <w:rPr>
                        <w:rFonts w:ascii="Calibri" w:hAnsi="Calibri"/>
                        <w:sz w:val="16"/>
                      </w:rPr>
                      <w:t>Operan en más de un país.</w:t>
                    </w:r>
                  </w:p>
                </w:txbxContent>
              </v:textbox>
              <w10:wrap type="none"/>
            </v:shape>
            <w10:wrap type="topAndBottom"/>
          </v:group>
        </w:pict>
      </w:r>
    </w:p>
    <w:p>
      <w:pPr>
        <w:spacing w:before="5"/>
        <w:ind w:left="1591" w:right="2030" w:firstLine="0"/>
        <w:jc w:val="center"/>
        <w:rPr>
          <w:sz w:val="20"/>
        </w:rPr>
      </w:pPr>
      <w:r>
        <w:rPr>
          <w:sz w:val="20"/>
        </w:rPr>
        <w:t>Figura 4. Clasificación de las empresas según su ámbito geográfico.</w:t>
      </w:r>
    </w:p>
    <w:p>
      <w:pPr>
        <w:spacing w:before="0"/>
        <w:ind w:left="1591" w:right="2022" w:firstLine="0"/>
        <w:jc w:val="center"/>
        <w:rPr>
          <w:sz w:val="20"/>
        </w:rPr>
      </w:pPr>
      <w:r>
        <w:rPr>
          <w:sz w:val="20"/>
        </w:rPr>
        <w:t>Autoría propia.</w:t>
      </w:r>
    </w:p>
    <w:p>
      <w:pPr>
        <w:pStyle w:val="BodyText"/>
        <w:rPr>
          <w:sz w:val="20"/>
        </w:rPr>
      </w:pPr>
    </w:p>
    <w:p>
      <w:pPr>
        <w:pStyle w:val="BodyText"/>
        <w:rPr>
          <w:sz w:val="20"/>
        </w:rPr>
      </w:pPr>
    </w:p>
    <w:p>
      <w:pPr>
        <w:pStyle w:val="BodyText"/>
        <w:spacing w:before="10"/>
        <w:rPr>
          <w:sz w:val="25"/>
        </w:rPr>
      </w:pPr>
    </w:p>
    <w:p>
      <w:pPr>
        <w:spacing w:before="0"/>
        <w:ind w:left="109" w:right="0" w:firstLine="0"/>
        <w:jc w:val="left"/>
        <w:rPr>
          <w:i/>
          <w:sz w:val="24"/>
        </w:rPr>
      </w:pPr>
      <w:r>
        <w:rPr>
          <w:i/>
          <w:sz w:val="24"/>
          <w:u w:val="single"/>
        </w:rPr>
        <w:t>Clasificación según su forma jurídica.</w:t>
      </w:r>
    </w:p>
    <w:p>
      <w:pPr>
        <w:pStyle w:val="BodyText"/>
        <w:rPr>
          <w:i/>
          <w:sz w:val="20"/>
        </w:rPr>
      </w:pPr>
    </w:p>
    <w:p>
      <w:pPr>
        <w:pStyle w:val="BodyText"/>
        <w:spacing w:before="2"/>
        <w:rPr>
          <w:i/>
          <w:sz w:val="22"/>
        </w:rPr>
      </w:pPr>
    </w:p>
    <w:p>
      <w:pPr>
        <w:pStyle w:val="BodyText"/>
        <w:spacing w:line="360" w:lineRule="auto" w:before="69"/>
        <w:ind w:left="109" w:right="538"/>
        <w:jc w:val="both"/>
      </w:pPr>
      <w:r>
        <w:rPr/>
        <w:t>Otro</w:t>
      </w:r>
      <w:r>
        <w:rPr>
          <w:spacing w:val="-10"/>
        </w:rPr>
        <w:t> </w:t>
      </w:r>
      <w:r>
        <w:rPr/>
        <w:t>importante</w:t>
      </w:r>
      <w:r>
        <w:rPr>
          <w:spacing w:val="-9"/>
        </w:rPr>
        <w:t> </w:t>
      </w:r>
      <w:r>
        <w:rPr/>
        <w:t>criterio</w:t>
      </w:r>
      <w:r>
        <w:rPr>
          <w:spacing w:val="-12"/>
        </w:rPr>
        <w:t> </w:t>
      </w:r>
      <w:r>
        <w:rPr/>
        <w:t>de</w:t>
      </w:r>
      <w:r>
        <w:rPr>
          <w:spacing w:val="-9"/>
        </w:rPr>
        <w:t> </w:t>
      </w:r>
      <w:r>
        <w:rPr/>
        <w:t>clasificación</w:t>
      </w:r>
      <w:r>
        <w:rPr>
          <w:spacing w:val="-9"/>
        </w:rPr>
        <w:t> </w:t>
      </w:r>
      <w:r>
        <w:rPr/>
        <w:t>de</w:t>
      </w:r>
      <w:r>
        <w:rPr>
          <w:spacing w:val="-12"/>
        </w:rPr>
        <w:t> </w:t>
      </w:r>
      <w:r>
        <w:rPr/>
        <w:t>empresas</w:t>
      </w:r>
      <w:r>
        <w:rPr>
          <w:spacing w:val="-6"/>
        </w:rPr>
        <w:t> </w:t>
      </w:r>
      <w:r>
        <w:rPr/>
        <w:t>turísticas,</w:t>
      </w:r>
      <w:r>
        <w:rPr>
          <w:spacing w:val="-10"/>
        </w:rPr>
        <w:t> </w:t>
      </w:r>
      <w:r>
        <w:rPr/>
        <w:t>por</w:t>
      </w:r>
      <w:r>
        <w:rPr>
          <w:spacing w:val="-11"/>
        </w:rPr>
        <w:t> </w:t>
      </w:r>
      <w:r>
        <w:rPr/>
        <w:t>las</w:t>
      </w:r>
      <w:r>
        <w:rPr>
          <w:spacing w:val="-10"/>
        </w:rPr>
        <w:t> </w:t>
      </w:r>
      <w:r>
        <w:rPr/>
        <w:t>consecuencias que tiene en su organización, en sus sistemas de gestión y en la responsabilidad de sus propietarios es la forma jurídica que adopte la</w:t>
      </w:r>
      <w:r>
        <w:rPr>
          <w:spacing w:val="-20"/>
        </w:rPr>
        <w:t> </w:t>
      </w:r>
      <w:r>
        <w:rPr/>
        <w:t>misma.</w:t>
      </w:r>
    </w:p>
    <w:p>
      <w:pPr>
        <w:pStyle w:val="BodyText"/>
      </w:pPr>
    </w:p>
    <w:p>
      <w:pPr>
        <w:pStyle w:val="ListParagraph"/>
        <w:numPr>
          <w:ilvl w:val="0"/>
          <w:numId w:val="10"/>
        </w:numPr>
        <w:tabs>
          <w:tab w:pos="830" w:val="left" w:leader="none"/>
        </w:tabs>
        <w:spacing w:line="360" w:lineRule="auto" w:before="142" w:after="0"/>
        <w:ind w:left="829" w:right="546" w:hanging="360"/>
        <w:jc w:val="left"/>
        <w:rPr>
          <w:sz w:val="24"/>
        </w:rPr>
      </w:pPr>
      <w:r>
        <w:rPr>
          <w:sz w:val="24"/>
        </w:rPr>
        <w:t>Personas físicas: Unidad de negocios independientes de su propietario, con responsabilidad y capital propio. Se distingue por una Razón</w:t>
      </w:r>
      <w:r>
        <w:rPr>
          <w:spacing w:val="-26"/>
          <w:sz w:val="24"/>
        </w:rPr>
        <w:t> </w:t>
      </w:r>
      <w:r>
        <w:rPr>
          <w:sz w:val="24"/>
        </w:rPr>
        <w:t>Social.</w:t>
      </w:r>
    </w:p>
    <w:p>
      <w:pPr>
        <w:pStyle w:val="BodyText"/>
      </w:pPr>
    </w:p>
    <w:p>
      <w:pPr>
        <w:pStyle w:val="ListParagraph"/>
        <w:numPr>
          <w:ilvl w:val="0"/>
          <w:numId w:val="10"/>
        </w:numPr>
        <w:tabs>
          <w:tab w:pos="830" w:val="left" w:leader="none"/>
        </w:tabs>
        <w:spacing w:line="360" w:lineRule="auto" w:before="142" w:after="0"/>
        <w:ind w:left="829" w:right="545" w:hanging="360"/>
        <w:jc w:val="left"/>
        <w:rPr>
          <w:sz w:val="24"/>
        </w:rPr>
      </w:pPr>
      <w:r>
        <w:rPr>
          <w:sz w:val="24"/>
        </w:rPr>
        <w:t>Persona moral: Tiene responsabilidad y capital contable o patrimonio contable propios. Se distingue por una Denominación</w:t>
      </w:r>
      <w:r>
        <w:rPr>
          <w:spacing w:val="-19"/>
          <w:sz w:val="24"/>
        </w:rPr>
        <w:t> </w:t>
      </w:r>
      <w:r>
        <w:rPr>
          <w:sz w:val="24"/>
        </w:rPr>
        <w:t>Social.</w:t>
      </w:r>
    </w:p>
    <w:p>
      <w:pPr>
        <w:spacing w:after="0" w:line="360" w:lineRule="auto"/>
        <w:jc w:val="left"/>
        <w:rPr>
          <w:sz w:val="24"/>
        </w:rPr>
        <w:sectPr>
          <w:pgSz w:w="12240" w:h="15840"/>
          <w:pgMar w:header="0" w:footer="779" w:top="1360" w:bottom="960" w:left="1360" w:right="1160"/>
        </w:sectPr>
      </w:pPr>
    </w:p>
    <w:p>
      <w:pPr>
        <w:pStyle w:val="BodyText"/>
        <w:spacing w:line="360" w:lineRule="auto" w:before="57"/>
        <w:ind w:left="109" w:right="124"/>
        <w:jc w:val="both"/>
      </w:pPr>
      <w:r>
        <w:rPr/>
        <w:t>La</w:t>
      </w:r>
      <w:r>
        <w:rPr>
          <w:spacing w:val="-16"/>
        </w:rPr>
        <w:t> </w:t>
      </w:r>
      <w:r>
        <w:rPr/>
        <w:t>clasificación</w:t>
      </w:r>
      <w:r>
        <w:rPr>
          <w:spacing w:val="-18"/>
        </w:rPr>
        <w:t> </w:t>
      </w:r>
      <w:r>
        <w:rPr/>
        <w:t>de</w:t>
      </w:r>
      <w:r>
        <w:rPr>
          <w:spacing w:val="-16"/>
        </w:rPr>
        <w:t> </w:t>
      </w:r>
      <w:r>
        <w:rPr/>
        <w:t>las</w:t>
      </w:r>
      <w:r>
        <w:rPr>
          <w:spacing w:val="-18"/>
        </w:rPr>
        <w:t> </w:t>
      </w:r>
      <w:r>
        <w:rPr/>
        <w:t>empresas</w:t>
      </w:r>
      <w:r>
        <w:rPr>
          <w:spacing w:val="-16"/>
        </w:rPr>
        <w:t> </w:t>
      </w:r>
      <w:r>
        <w:rPr/>
        <w:t>turísticas</w:t>
      </w:r>
      <w:r>
        <w:rPr>
          <w:spacing w:val="-16"/>
        </w:rPr>
        <w:t> </w:t>
      </w:r>
      <w:r>
        <w:rPr/>
        <w:t>se</w:t>
      </w:r>
      <w:r>
        <w:rPr>
          <w:spacing w:val="-18"/>
        </w:rPr>
        <w:t> </w:t>
      </w:r>
      <w:r>
        <w:rPr/>
        <w:t>da</w:t>
      </w:r>
      <w:r>
        <w:rPr>
          <w:spacing w:val="-16"/>
        </w:rPr>
        <w:t> </w:t>
      </w:r>
      <w:r>
        <w:rPr/>
        <w:t>de</w:t>
      </w:r>
      <w:r>
        <w:rPr>
          <w:spacing w:val="-18"/>
        </w:rPr>
        <w:t> </w:t>
      </w:r>
      <w:r>
        <w:rPr/>
        <w:t>acuerdo</w:t>
      </w:r>
      <w:r>
        <w:rPr>
          <w:spacing w:val="-16"/>
        </w:rPr>
        <w:t> </w:t>
      </w:r>
      <w:r>
        <w:rPr/>
        <w:t>a</w:t>
      </w:r>
      <w:r>
        <w:rPr>
          <w:spacing w:val="-16"/>
        </w:rPr>
        <w:t> </w:t>
      </w:r>
      <w:r>
        <w:rPr/>
        <w:t>las</w:t>
      </w:r>
      <w:r>
        <w:rPr>
          <w:spacing w:val="-16"/>
        </w:rPr>
        <w:t> </w:t>
      </w:r>
      <w:r>
        <w:rPr/>
        <w:t>características</w:t>
      </w:r>
      <w:r>
        <w:rPr>
          <w:spacing w:val="-16"/>
        </w:rPr>
        <w:t> </w:t>
      </w:r>
      <w:r>
        <w:rPr/>
        <w:t>antes mencionadas de la siguiente</w:t>
      </w:r>
      <w:r>
        <w:rPr>
          <w:spacing w:val="-15"/>
        </w:rPr>
        <w:t> </w:t>
      </w:r>
      <w:r>
        <w:rPr/>
        <w:t>forma:</w:t>
      </w:r>
    </w:p>
    <w:p>
      <w:pPr>
        <w:pStyle w:val="BodyText"/>
        <w:rPr>
          <w:sz w:val="20"/>
        </w:rPr>
      </w:pPr>
    </w:p>
    <w:p>
      <w:pPr>
        <w:pStyle w:val="BodyText"/>
        <w:rPr>
          <w:sz w:val="13"/>
        </w:rPr>
      </w:pPr>
      <w:r>
        <w:rPr/>
        <w:pict>
          <v:group style="position:absolute;margin-left:74.275002pt;margin-top:9.469893pt;width:451pt;height:152.8pt;mso-position-horizontal-relative:page;mso-position-vertical-relative:paragraph;z-index:1744;mso-wrap-distance-left:0;mso-wrap-distance-right:0" coordorigin="1486,189" coordsize="9020,3056">
            <v:shape style="position:absolute;left:1526;top:247;width:8952;height:2957" type="#_x0000_t75" stroked="false">
              <v:imagedata r:id="rId39" o:title=""/>
            </v:shape>
            <v:shape style="position:absolute;left:1506;top:210;width:8979;height:3015" type="#_x0000_t202" filled="false" stroked="true" strokeweight="2.04pt" strokecolor="#385d89">
              <v:textbox inset="0,0,0,0">
                <w:txbxContent>
                  <w:p>
                    <w:pPr>
                      <w:spacing w:line="240" w:lineRule="auto" w:before="5"/>
                      <w:rPr>
                        <w:sz w:val="20"/>
                      </w:rPr>
                    </w:pPr>
                  </w:p>
                  <w:p>
                    <w:pPr>
                      <w:spacing w:before="0"/>
                      <w:ind w:left="183" w:right="0" w:firstLine="0"/>
                      <w:jc w:val="left"/>
                      <w:rPr>
                        <w:rFonts w:ascii="Franklin Gothic Medium" w:hAnsi="Franklin Gothic Medium"/>
                        <w:sz w:val="20"/>
                      </w:rPr>
                    </w:pPr>
                    <w:r>
                      <w:rPr>
                        <w:rFonts w:ascii="Franklin Gothic Medium" w:hAnsi="Franklin Gothic Medium"/>
                        <w:color w:val="FFFFFF"/>
                        <w:sz w:val="20"/>
                      </w:rPr>
                      <w:t>De alojamiento turístico. (Hospedaje, moteles, albergues)</w:t>
                    </w:r>
                  </w:p>
                  <w:p>
                    <w:pPr>
                      <w:spacing w:line="240" w:lineRule="auto" w:before="0"/>
                      <w:rPr>
                        <w:sz w:val="20"/>
                      </w:rPr>
                    </w:pPr>
                  </w:p>
                  <w:p>
                    <w:pPr>
                      <w:spacing w:line="240" w:lineRule="auto" w:before="7"/>
                      <w:rPr>
                        <w:sz w:val="15"/>
                      </w:rPr>
                    </w:pPr>
                  </w:p>
                  <w:p>
                    <w:pPr>
                      <w:spacing w:line="215" w:lineRule="exact" w:before="0"/>
                      <w:ind w:left="183" w:right="0" w:firstLine="0"/>
                      <w:jc w:val="left"/>
                      <w:rPr>
                        <w:rFonts w:ascii="Franklin Gothic Medium" w:hAnsi="Franklin Gothic Medium"/>
                        <w:sz w:val="20"/>
                      </w:rPr>
                    </w:pPr>
                    <w:r>
                      <w:rPr>
                        <w:rFonts w:ascii="Franklin Gothic Medium" w:hAnsi="Franklin Gothic Medium"/>
                        <w:color w:val="FFFFFF"/>
                        <w:sz w:val="20"/>
                      </w:rPr>
                      <w:t>De mediación entre usuario y oferente del producto.  (Agencias de viajes: Organización de servicios</w:t>
                    </w:r>
                  </w:p>
                  <w:p>
                    <w:pPr>
                      <w:spacing w:line="215" w:lineRule="exact" w:before="0"/>
                      <w:ind w:left="183" w:right="0" w:firstLine="0"/>
                      <w:jc w:val="left"/>
                      <w:rPr>
                        <w:rFonts w:ascii="Franklin Gothic Medium" w:hAnsi="Franklin Gothic Medium"/>
                        <w:sz w:val="20"/>
                      </w:rPr>
                    </w:pPr>
                    <w:r>
                      <w:rPr>
                        <w:rFonts w:ascii="Franklin Gothic Medium" w:hAnsi="Franklin Gothic Medium"/>
                        <w:color w:val="FFFFFF"/>
                        <w:sz w:val="20"/>
                      </w:rPr>
                      <w:t>turísticos)</w:t>
                    </w:r>
                  </w:p>
                  <w:p>
                    <w:pPr>
                      <w:spacing w:line="240" w:lineRule="auto" w:before="0"/>
                      <w:rPr>
                        <w:sz w:val="20"/>
                      </w:rPr>
                    </w:pPr>
                  </w:p>
                  <w:p>
                    <w:pPr>
                      <w:spacing w:before="174"/>
                      <w:ind w:left="183" w:right="0" w:firstLine="0"/>
                      <w:jc w:val="left"/>
                      <w:rPr>
                        <w:rFonts w:ascii="Franklin Gothic Medium" w:hAnsi="Franklin Gothic Medium"/>
                        <w:sz w:val="20"/>
                      </w:rPr>
                    </w:pPr>
                    <w:r>
                      <w:rPr>
                        <w:rFonts w:ascii="Franklin Gothic Medium" w:hAnsi="Franklin Gothic Medium"/>
                        <w:color w:val="FFFFFF"/>
                        <w:sz w:val="20"/>
                      </w:rPr>
                      <w:t>De restauración. (Cafeterías, bares, centros nocturnos y similares)</w:t>
                    </w:r>
                  </w:p>
                  <w:p>
                    <w:pPr>
                      <w:spacing w:line="240" w:lineRule="auto" w:before="0"/>
                      <w:rPr>
                        <w:sz w:val="20"/>
                      </w:rPr>
                    </w:pPr>
                  </w:p>
                  <w:p>
                    <w:pPr>
                      <w:spacing w:line="240" w:lineRule="auto" w:before="10"/>
                      <w:rPr>
                        <w:sz w:val="15"/>
                      </w:rPr>
                    </w:pPr>
                  </w:p>
                  <w:p>
                    <w:pPr>
                      <w:spacing w:line="204" w:lineRule="exact" w:before="0"/>
                      <w:ind w:left="183" w:right="0" w:firstLine="0"/>
                      <w:jc w:val="left"/>
                      <w:rPr>
                        <w:rFonts w:ascii="Franklin Gothic Medium" w:hAnsi="Franklin Gothic Medium"/>
                        <w:sz w:val="20"/>
                      </w:rPr>
                    </w:pPr>
                    <w:r>
                      <w:rPr>
                        <w:rFonts w:ascii="Franklin Gothic Medium" w:hAnsi="Franklin Gothic Medium"/>
                        <w:color w:val="FFFFFF"/>
                        <w:sz w:val="20"/>
                      </w:rPr>
                      <w:t>Las empresas turísticas de servicios complementarios. ( Centros recreativos turísticos: Parques temáticos, tipo deportivo, medioambiental, cultural, recreativos o de salud) (Guía de turista)</w:t>
                    </w:r>
                  </w:p>
                </w:txbxContent>
              </v:textbox>
              <w10:wrap type="none"/>
            </v:shape>
            <w10:wrap type="topAndBottom"/>
          </v:group>
        </w:pict>
      </w:r>
    </w:p>
    <w:p>
      <w:pPr>
        <w:spacing w:before="113"/>
        <w:ind w:left="2598" w:right="212" w:firstLine="0"/>
        <w:jc w:val="left"/>
        <w:rPr>
          <w:sz w:val="20"/>
        </w:rPr>
      </w:pPr>
      <w:r>
        <w:rPr>
          <w:sz w:val="20"/>
        </w:rPr>
        <w:t>Figura 5. Clasificación de empresas turísticas.</w:t>
      </w:r>
    </w:p>
    <w:p>
      <w:pPr>
        <w:spacing w:before="0"/>
        <w:ind w:left="109" w:right="212" w:firstLine="3878"/>
        <w:jc w:val="left"/>
        <w:rPr>
          <w:sz w:val="20"/>
        </w:rPr>
      </w:pPr>
      <w:r>
        <w:rPr>
          <w:sz w:val="20"/>
        </w:rPr>
        <w:t>Autoría propia.</w:t>
      </w:r>
    </w:p>
    <w:p>
      <w:pPr>
        <w:pStyle w:val="BodyText"/>
        <w:rPr>
          <w:sz w:val="20"/>
        </w:rPr>
      </w:pPr>
    </w:p>
    <w:p>
      <w:pPr>
        <w:pStyle w:val="BodyText"/>
        <w:rPr>
          <w:sz w:val="20"/>
        </w:rPr>
      </w:pPr>
    </w:p>
    <w:p>
      <w:pPr>
        <w:spacing w:before="160"/>
        <w:ind w:left="109" w:right="0" w:firstLine="0"/>
        <w:jc w:val="both"/>
        <w:rPr>
          <w:i/>
          <w:sz w:val="24"/>
        </w:rPr>
      </w:pPr>
      <w:r>
        <w:rPr>
          <w:i/>
          <w:sz w:val="24"/>
        </w:rPr>
        <w:t>EMPRESAS DE ALOJAMIENTOS TURÍSTICOS.</w:t>
      </w:r>
    </w:p>
    <w:p>
      <w:pPr>
        <w:pStyle w:val="BodyText"/>
        <w:spacing w:before="7"/>
        <w:rPr>
          <w:i/>
        </w:rPr>
      </w:pPr>
    </w:p>
    <w:p>
      <w:pPr>
        <w:pStyle w:val="BodyText"/>
        <w:spacing w:line="360" w:lineRule="auto"/>
        <w:ind w:left="109" w:right="115"/>
        <w:jc w:val="both"/>
      </w:pPr>
      <w:r>
        <w:rPr/>
        <w:t>Son empresas de alojamiento turístico aquellas que se dedican, de manera profesional y habitual, a proporcionar hospedaje o residencia, mediante precio, a las personas que lo demandan, con o sin prestación de otros servicios.</w:t>
      </w:r>
    </w:p>
    <w:p>
      <w:pPr>
        <w:pStyle w:val="BodyText"/>
        <w:spacing w:before="7"/>
      </w:pPr>
    </w:p>
    <w:p>
      <w:pPr>
        <w:spacing w:before="0"/>
        <w:ind w:left="109" w:right="0" w:firstLine="0"/>
        <w:jc w:val="both"/>
        <w:rPr>
          <w:i/>
          <w:sz w:val="24"/>
        </w:rPr>
      </w:pPr>
      <w:r>
        <w:rPr>
          <w:i/>
          <w:sz w:val="24"/>
        </w:rPr>
        <w:t>EMPRESAS DE MEDIACIÓN ENTRE USUARIO Y OFERENTE DEL PRODUCTO</w:t>
      </w:r>
    </w:p>
    <w:p>
      <w:pPr>
        <w:pStyle w:val="BodyText"/>
        <w:rPr>
          <w:i/>
        </w:rPr>
      </w:pPr>
    </w:p>
    <w:p>
      <w:pPr>
        <w:pStyle w:val="BodyText"/>
        <w:spacing w:line="360" w:lineRule="auto" w:before="144"/>
        <w:ind w:left="109" w:right="127"/>
        <w:jc w:val="both"/>
      </w:pPr>
      <w:r>
        <w:rPr/>
        <w:t>Se considerarán empresas de mediación entre usuario y oferente del producto turístico:</w:t>
      </w:r>
    </w:p>
    <w:p>
      <w:pPr>
        <w:pStyle w:val="BodyText"/>
        <w:spacing w:before="7"/>
      </w:pPr>
    </w:p>
    <w:p>
      <w:pPr>
        <w:pStyle w:val="BodyText"/>
        <w:spacing w:line="360" w:lineRule="auto"/>
        <w:ind w:left="109" w:right="122"/>
        <w:jc w:val="both"/>
      </w:pPr>
      <w:r>
        <w:rPr/>
        <w:t>Las</w:t>
      </w:r>
      <w:r>
        <w:rPr>
          <w:spacing w:val="-16"/>
        </w:rPr>
        <w:t> </w:t>
      </w:r>
      <w:r>
        <w:rPr/>
        <w:t>Agencias</w:t>
      </w:r>
      <w:r>
        <w:rPr>
          <w:spacing w:val="-16"/>
        </w:rPr>
        <w:t> </w:t>
      </w:r>
      <w:r>
        <w:rPr/>
        <w:t>de</w:t>
      </w:r>
      <w:r>
        <w:rPr>
          <w:spacing w:val="-16"/>
        </w:rPr>
        <w:t> </w:t>
      </w:r>
      <w:r>
        <w:rPr/>
        <w:t>Viajes,</w:t>
      </w:r>
      <w:r>
        <w:rPr>
          <w:spacing w:val="-16"/>
        </w:rPr>
        <w:t> </w:t>
      </w:r>
      <w:r>
        <w:rPr/>
        <w:t>considerando</w:t>
      </w:r>
      <w:r>
        <w:rPr>
          <w:spacing w:val="-16"/>
        </w:rPr>
        <w:t> </w:t>
      </w:r>
      <w:r>
        <w:rPr/>
        <w:t>como</w:t>
      </w:r>
      <w:r>
        <w:rPr>
          <w:spacing w:val="-16"/>
        </w:rPr>
        <w:t> </w:t>
      </w:r>
      <w:r>
        <w:rPr/>
        <w:t>tales</w:t>
      </w:r>
      <w:r>
        <w:rPr>
          <w:spacing w:val="-16"/>
        </w:rPr>
        <w:t> </w:t>
      </w:r>
      <w:r>
        <w:rPr/>
        <w:t>aquellas</w:t>
      </w:r>
      <w:r>
        <w:rPr>
          <w:spacing w:val="-16"/>
        </w:rPr>
        <w:t> </w:t>
      </w:r>
      <w:r>
        <w:rPr/>
        <w:t>personas</w:t>
      </w:r>
      <w:r>
        <w:rPr>
          <w:spacing w:val="-19"/>
        </w:rPr>
        <w:t> </w:t>
      </w:r>
      <w:r>
        <w:rPr/>
        <w:t>físicas</w:t>
      </w:r>
      <w:r>
        <w:rPr>
          <w:spacing w:val="-16"/>
        </w:rPr>
        <w:t> </w:t>
      </w:r>
      <w:r>
        <w:rPr/>
        <w:t>o</w:t>
      </w:r>
      <w:r>
        <w:rPr>
          <w:spacing w:val="-16"/>
        </w:rPr>
        <w:t> </w:t>
      </w:r>
      <w:r>
        <w:rPr/>
        <w:t>jurídicas dedicadas profesional y comercialmente, en exclusividad, a la mediación y organización de servicios</w:t>
      </w:r>
      <w:r>
        <w:rPr>
          <w:spacing w:val="-12"/>
        </w:rPr>
        <w:t> </w:t>
      </w:r>
      <w:r>
        <w:rPr/>
        <w:t>turísticos.</w:t>
      </w:r>
    </w:p>
    <w:p>
      <w:pPr>
        <w:pStyle w:val="BodyText"/>
        <w:spacing w:before="10"/>
      </w:pPr>
    </w:p>
    <w:p>
      <w:pPr>
        <w:pStyle w:val="BodyText"/>
        <w:spacing w:line="360" w:lineRule="auto"/>
        <w:ind w:left="109" w:right="123"/>
        <w:jc w:val="both"/>
      </w:pPr>
      <w:r>
        <w:rPr/>
        <w:t>Aquellas que tengan por objeto la comercialización, intermediación, organización y prestación de cualesquiera servicios turísticos cuando éstos no constituyan el objeto propio de la actividad de Agencia de Viajes y reglamentariamente se califiquen como turísticas.</w:t>
      </w:r>
    </w:p>
    <w:p>
      <w:pPr>
        <w:spacing w:after="0" w:line="360" w:lineRule="auto"/>
        <w:jc w:val="both"/>
        <w:sectPr>
          <w:footerReference w:type="default" r:id="rId38"/>
          <w:pgSz w:w="12240" w:h="15840"/>
          <w:pgMar w:footer="779" w:header="0" w:top="1360" w:bottom="960" w:left="1360" w:right="1580"/>
        </w:sectPr>
      </w:pPr>
    </w:p>
    <w:p>
      <w:pPr>
        <w:pStyle w:val="BodyText"/>
        <w:spacing w:line="360" w:lineRule="auto" w:before="57"/>
        <w:ind w:left="109" w:right="104"/>
        <w:jc w:val="both"/>
      </w:pPr>
      <w:r>
        <w:rPr/>
        <w:t>Las agrupaciones de empresas turísticas que tengan por objeto la comercialización común de ofertas turísticas o la centralización de reservas y reglamentariamente se califiquen como turísticas.</w:t>
      </w:r>
    </w:p>
    <w:p>
      <w:pPr>
        <w:pStyle w:val="BodyText"/>
        <w:spacing w:before="5"/>
      </w:pPr>
    </w:p>
    <w:p>
      <w:pPr>
        <w:spacing w:before="0"/>
        <w:ind w:left="109" w:right="0" w:firstLine="0"/>
        <w:jc w:val="both"/>
        <w:rPr>
          <w:i/>
          <w:sz w:val="24"/>
        </w:rPr>
      </w:pPr>
      <w:r>
        <w:rPr>
          <w:i/>
          <w:sz w:val="24"/>
        </w:rPr>
        <w:t>EMPRESAS DE RESTAURACIÓN</w:t>
      </w:r>
    </w:p>
    <w:p>
      <w:pPr>
        <w:pStyle w:val="BodyText"/>
        <w:rPr>
          <w:i/>
        </w:rPr>
      </w:pPr>
    </w:p>
    <w:p>
      <w:pPr>
        <w:pStyle w:val="BodyText"/>
        <w:spacing w:line="360" w:lineRule="auto" w:before="144"/>
        <w:ind w:left="109" w:right="99"/>
        <w:jc w:val="both"/>
      </w:pPr>
      <w:r>
        <w:rPr/>
        <w:t>Las</w:t>
      </w:r>
      <w:r>
        <w:rPr>
          <w:spacing w:val="-17"/>
        </w:rPr>
        <w:t> </w:t>
      </w:r>
      <w:r>
        <w:rPr/>
        <w:t>empresas</w:t>
      </w:r>
      <w:r>
        <w:rPr>
          <w:spacing w:val="-17"/>
        </w:rPr>
        <w:t> </w:t>
      </w:r>
      <w:r>
        <w:rPr/>
        <w:t>de</w:t>
      </w:r>
      <w:r>
        <w:rPr>
          <w:spacing w:val="-17"/>
        </w:rPr>
        <w:t> </w:t>
      </w:r>
      <w:r>
        <w:rPr/>
        <w:t>restauración,</w:t>
      </w:r>
      <w:r>
        <w:rPr>
          <w:spacing w:val="-17"/>
        </w:rPr>
        <w:t> </w:t>
      </w:r>
      <w:r>
        <w:rPr/>
        <w:t>cualquiera</w:t>
      </w:r>
      <w:r>
        <w:rPr>
          <w:spacing w:val="-17"/>
        </w:rPr>
        <w:t> </w:t>
      </w:r>
      <w:r>
        <w:rPr/>
        <w:t>que</w:t>
      </w:r>
      <w:r>
        <w:rPr>
          <w:spacing w:val="-17"/>
        </w:rPr>
        <w:t> </w:t>
      </w:r>
      <w:r>
        <w:rPr/>
        <w:t>sea</w:t>
      </w:r>
      <w:r>
        <w:rPr>
          <w:spacing w:val="-17"/>
        </w:rPr>
        <w:t> </w:t>
      </w:r>
      <w:r>
        <w:rPr/>
        <w:t>su</w:t>
      </w:r>
      <w:r>
        <w:rPr>
          <w:spacing w:val="-19"/>
        </w:rPr>
        <w:t> </w:t>
      </w:r>
      <w:r>
        <w:rPr/>
        <w:t>denominación,</w:t>
      </w:r>
      <w:r>
        <w:rPr>
          <w:spacing w:val="-17"/>
        </w:rPr>
        <w:t> </w:t>
      </w:r>
      <w:r>
        <w:rPr/>
        <w:t>son</w:t>
      </w:r>
      <w:r>
        <w:rPr>
          <w:spacing w:val="-17"/>
        </w:rPr>
        <w:t> </w:t>
      </w:r>
      <w:r>
        <w:rPr/>
        <w:t>aquellas</w:t>
      </w:r>
      <w:r>
        <w:rPr>
          <w:spacing w:val="-17"/>
        </w:rPr>
        <w:t> </w:t>
      </w:r>
      <w:r>
        <w:rPr/>
        <w:t>que se dedican de forma habitual y profesional a suministrar desde establecimientos,</w:t>
      </w:r>
      <w:r>
        <w:rPr>
          <w:spacing w:val="-41"/>
        </w:rPr>
        <w:t> </w:t>
      </w:r>
      <w:r>
        <w:rPr/>
        <w:t>fijos o</w:t>
      </w:r>
      <w:r>
        <w:rPr>
          <w:spacing w:val="-12"/>
        </w:rPr>
        <w:t> </w:t>
      </w:r>
      <w:r>
        <w:rPr/>
        <w:t>móviles,</w:t>
      </w:r>
      <w:r>
        <w:rPr>
          <w:spacing w:val="-10"/>
        </w:rPr>
        <w:t> </w:t>
      </w:r>
      <w:r>
        <w:rPr/>
        <w:t>abiertos</w:t>
      </w:r>
      <w:r>
        <w:rPr>
          <w:spacing w:val="-13"/>
        </w:rPr>
        <w:t> </w:t>
      </w:r>
      <w:r>
        <w:rPr/>
        <w:t>al</w:t>
      </w:r>
      <w:r>
        <w:rPr>
          <w:spacing w:val="-11"/>
        </w:rPr>
        <w:t> </w:t>
      </w:r>
      <w:r>
        <w:rPr/>
        <w:t>público,</w:t>
      </w:r>
      <w:r>
        <w:rPr>
          <w:spacing w:val="-12"/>
        </w:rPr>
        <w:t> </w:t>
      </w:r>
      <w:r>
        <w:rPr/>
        <w:t>mediante</w:t>
      </w:r>
      <w:r>
        <w:rPr>
          <w:spacing w:val="-11"/>
        </w:rPr>
        <w:t> </w:t>
      </w:r>
      <w:r>
        <w:rPr/>
        <w:t>precio,</w:t>
      </w:r>
      <w:r>
        <w:rPr>
          <w:spacing w:val="-10"/>
        </w:rPr>
        <w:t> </w:t>
      </w:r>
      <w:r>
        <w:rPr/>
        <w:t>comidas</w:t>
      </w:r>
      <w:r>
        <w:rPr>
          <w:spacing w:val="-13"/>
        </w:rPr>
        <w:t> </w:t>
      </w:r>
      <w:r>
        <w:rPr/>
        <w:t>y/o</w:t>
      </w:r>
      <w:r>
        <w:rPr>
          <w:spacing w:val="-9"/>
        </w:rPr>
        <w:t> </w:t>
      </w:r>
      <w:r>
        <w:rPr/>
        <w:t>bebidas</w:t>
      </w:r>
      <w:r>
        <w:rPr>
          <w:spacing w:val="-13"/>
        </w:rPr>
        <w:t> </w:t>
      </w:r>
      <w:r>
        <w:rPr/>
        <w:t>para</w:t>
      </w:r>
      <w:r>
        <w:rPr>
          <w:spacing w:val="-10"/>
        </w:rPr>
        <w:t> </w:t>
      </w:r>
      <w:r>
        <w:rPr/>
        <w:t>consumir</w:t>
      </w:r>
      <w:r>
        <w:rPr>
          <w:spacing w:val="-14"/>
        </w:rPr>
        <w:t> </w:t>
      </w:r>
      <w:r>
        <w:rPr/>
        <w:t>en el propio establecimiento o fuera de él. También serán de aplicación las presentes disposiciones,</w:t>
      </w:r>
      <w:r>
        <w:rPr>
          <w:spacing w:val="-12"/>
        </w:rPr>
        <w:t> </w:t>
      </w:r>
      <w:r>
        <w:rPr/>
        <w:t>cuando</w:t>
      </w:r>
      <w:r>
        <w:rPr>
          <w:spacing w:val="-14"/>
        </w:rPr>
        <w:t> </w:t>
      </w:r>
      <w:r>
        <w:rPr/>
        <w:t>las</w:t>
      </w:r>
      <w:r>
        <w:rPr>
          <w:spacing w:val="-12"/>
        </w:rPr>
        <w:t> </w:t>
      </w:r>
      <w:r>
        <w:rPr/>
        <w:t>actividades</w:t>
      </w:r>
      <w:r>
        <w:rPr>
          <w:spacing w:val="-9"/>
        </w:rPr>
        <w:t> </w:t>
      </w:r>
      <w:r>
        <w:rPr/>
        <w:t>anteriormente</w:t>
      </w:r>
      <w:r>
        <w:rPr>
          <w:spacing w:val="-11"/>
        </w:rPr>
        <w:t> </w:t>
      </w:r>
      <w:r>
        <w:rPr/>
        <w:t>descritas</w:t>
      </w:r>
      <w:r>
        <w:rPr>
          <w:spacing w:val="-13"/>
        </w:rPr>
        <w:t> </w:t>
      </w:r>
      <w:r>
        <w:rPr/>
        <w:t>se</w:t>
      </w:r>
      <w:r>
        <w:rPr>
          <w:spacing w:val="-14"/>
        </w:rPr>
        <w:t> </w:t>
      </w:r>
      <w:r>
        <w:rPr/>
        <w:t>presten</w:t>
      </w:r>
      <w:r>
        <w:rPr>
          <w:spacing w:val="-12"/>
        </w:rPr>
        <w:t> </w:t>
      </w:r>
      <w:r>
        <w:rPr/>
        <w:t>con</w:t>
      </w:r>
      <w:r>
        <w:rPr>
          <w:spacing w:val="-12"/>
        </w:rPr>
        <w:t> </w:t>
      </w:r>
      <w:r>
        <w:rPr/>
        <w:t>carácter complementario en locales de pública</w:t>
      </w:r>
      <w:r>
        <w:rPr>
          <w:spacing w:val="-22"/>
        </w:rPr>
        <w:t> </w:t>
      </w:r>
      <w:r>
        <w:rPr/>
        <w:t>concurrencia.</w:t>
      </w:r>
    </w:p>
    <w:p>
      <w:pPr>
        <w:pStyle w:val="BodyText"/>
        <w:spacing w:before="5"/>
      </w:pPr>
    </w:p>
    <w:p>
      <w:pPr>
        <w:spacing w:before="0"/>
        <w:ind w:left="109" w:right="0" w:firstLine="0"/>
        <w:jc w:val="both"/>
        <w:rPr>
          <w:i/>
          <w:sz w:val="24"/>
        </w:rPr>
      </w:pPr>
      <w:r>
        <w:rPr>
          <w:i/>
          <w:sz w:val="24"/>
        </w:rPr>
        <w:t>EMPRESAS TURÍSTICAS DE SERVICIOS COMPLEMENTARIOS.</w:t>
      </w:r>
    </w:p>
    <w:p>
      <w:pPr>
        <w:pStyle w:val="BodyText"/>
        <w:rPr>
          <w:i/>
        </w:rPr>
      </w:pPr>
    </w:p>
    <w:p>
      <w:pPr>
        <w:pStyle w:val="BodyText"/>
        <w:spacing w:line="360" w:lineRule="auto" w:before="144"/>
        <w:ind w:left="109" w:right="102"/>
        <w:jc w:val="both"/>
      </w:pPr>
      <w:r>
        <w:rPr/>
        <w:t>Son empresas de servicios turísticos complementarios los Centros recreativos turísticos. Parques temáticos y aquéllas dedicadas a proporcionar, mediante precio, actividades y servicios para el esparcimiento y recreo de sus clientes, de tipo deportivo, medioambiental, cultural, recreativas o de salud y que reglamentariamente se clasifiquen como tales.</w:t>
      </w:r>
    </w:p>
    <w:p>
      <w:pPr>
        <w:pStyle w:val="BodyText"/>
        <w:spacing w:before="7"/>
      </w:pPr>
    </w:p>
    <w:p>
      <w:pPr>
        <w:pStyle w:val="Heading2"/>
        <w:numPr>
          <w:ilvl w:val="2"/>
          <w:numId w:val="8"/>
        </w:numPr>
        <w:tabs>
          <w:tab w:pos="830" w:val="left" w:leader="none"/>
        </w:tabs>
        <w:spacing w:line="240" w:lineRule="auto" w:before="0" w:after="0"/>
        <w:ind w:left="829" w:right="0" w:hanging="720"/>
        <w:jc w:val="both"/>
      </w:pPr>
      <w:bookmarkStart w:name="_bookmark4" w:id="8"/>
      <w:bookmarkEnd w:id="8"/>
      <w:r>
        <w:rPr>
          <w:b w:val="0"/>
        </w:rPr>
      </w:r>
      <w:bookmarkStart w:name="_bookmark4" w:id="9"/>
      <w:bookmarkEnd w:id="9"/>
      <w:r>
        <w:rPr/>
        <w:t>Ob</w:t>
      </w:r>
      <w:r>
        <w:rPr/>
        <w:t>jetivos de las empresas</w:t>
      </w:r>
      <w:r>
        <w:rPr>
          <w:spacing w:val="-13"/>
        </w:rPr>
        <w:t> </w:t>
      </w:r>
      <w:r>
        <w:rPr/>
        <w:t>turísticas.</w:t>
      </w:r>
    </w:p>
    <w:p>
      <w:pPr>
        <w:pStyle w:val="BodyText"/>
        <w:spacing w:line="360" w:lineRule="auto" w:before="137"/>
        <w:ind w:left="109" w:right="99"/>
        <w:jc w:val="both"/>
      </w:pPr>
      <w:r>
        <w:rPr/>
        <w:t>Tienen por objeto de su actividad la prestación, mediante precio, de servicios de alojamiento, restauración, mediación entre los usuarios y los oferentes de servicios turísticos o cualesquiera otras directamente relacionadas con el turismo que sean calificadas como tales.</w:t>
      </w:r>
    </w:p>
    <w:p>
      <w:pPr>
        <w:pStyle w:val="BodyText"/>
        <w:spacing w:before="3"/>
        <w:ind w:left="109"/>
        <w:jc w:val="both"/>
      </w:pPr>
      <w:r>
        <w:rPr/>
        <w:t>Las empresas turísticas buscan cumplir con sus objetivos en cuanto a:</w:t>
      </w:r>
    </w:p>
    <w:p>
      <w:pPr>
        <w:pStyle w:val="BodyText"/>
      </w:pPr>
    </w:p>
    <w:p>
      <w:pPr>
        <w:pStyle w:val="BodyText"/>
      </w:pPr>
    </w:p>
    <w:p>
      <w:pPr>
        <w:pStyle w:val="ListParagraph"/>
        <w:numPr>
          <w:ilvl w:val="3"/>
          <w:numId w:val="8"/>
        </w:numPr>
        <w:tabs>
          <w:tab w:pos="829" w:val="left" w:leader="none"/>
          <w:tab w:pos="830" w:val="left" w:leader="none"/>
        </w:tabs>
        <w:spacing w:line="360" w:lineRule="auto" w:before="0" w:after="0"/>
        <w:ind w:left="829" w:right="102" w:hanging="360"/>
        <w:jc w:val="left"/>
        <w:rPr>
          <w:sz w:val="24"/>
        </w:rPr>
      </w:pPr>
      <w:r>
        <w:rPr>
          <w:b/>
          <w:i/>
          <w:sz w:val="24"/>
        </w:rPr>
        <w:t>Satisfacción</w:t>
      </w:r>
      <w:r>
        <w:rPr>
          <w:b/>
          <w:i/>
          <w:spacing w:val="-16"/>
          <w:sz w:val="24"/>
        </w:rPr>
        <w:t> </w:t>
      </w:r>
      <w:r>
        <w:rPr>
          <w:b/>
          <w:i/>
          <w:sz w:val="24"/>
        </w:rPr>
        <w:t>del</w:t>
      </w:r>
      <w:r>
        <w:rPr>
          <w:b/>
          <w:i/>
          <w:spacing w:val="-16"/>
          <w:sz w:val="24"/>
        </w:rPr>
        <w:t> </w:t>
      </w:r>
      <w:r>
        <w:rPr>
          <w:b/>
          <w:i/>
          <w:sz w:val="24"/>
        </w:rPr>
        <w:t>cliente</w:t>
      </w:r>
      <w:r>
        <w:rPr>
          <w:sz w:val="24"/>
        </w:rPr>
        <w:t>:</w:t>
      </w:r>
      <w:r>
        <w:rPr>
          <w:spacing w:val="-16"/>
          <w:sz w:val="24"/>
        </w:rPr>
        <w:t> </w:t>
      </w:r>
      <w:r>
        <w:rPr>
          <w:sz w:val="24"/>
        </w:rPr>
        <w:t>Se</w:t>
      </w:r>
      <w:r>
        <w:rPr>
          <w:spacing w:val="-16"/>
          <w:sz w:val="24"/>
        </w:rPr>
        <w:t> </w:t>
      </w:r>
      <w:r>
        <w:rPr>
          <w:sz w:val="24"/>
        </w:rPr>
        <w:t>entiende</w:t>
      </w:r>
      <w:r>
        <w:rPr>
          <w:spacing w:val="-16"/>
          <w:sz w:val="24"/>
        </w:rPr>
        <w:t> </w:t>
      </w:r>
      <w:r>
        <w:rPr>
          <w:sz w:val="24"/>
        </w:rPr>
        <w:t>que</w:t>
      </w:r>
      <w:r>
        <w:rPr>
          <w:spacing w:val="-16"/>
          <w:sz w:val="24"/>
        </w:rPr>
        <w:t> </w:t>
      </w:r>
      <w:r>
        <w:rPr>
          <w:sz w:val="24"/>
        </w:rPr>
        <w:t>la</w:t>
      </w:r>
      <w:r>
        <w:rPr>
          <w:spacing w:val="-18"/>
          <w:sz w:val="24"/>
        </w:rPr>
        <w:t> </w:t>
      </w:r>
      <w:r>
        <w:rPr>
          <w:sz w:val="24"/>
        </w:rPr>
        <w:t>empresa</w:t>
      </w:r>
      <w:r>
        <w:rPr>
          <w:spacing w:val="-16"/>
          <w:sz w:val="24"/>
        </w:rPr>
        <w:t> </w:t>
      </w:r>
      <w:r>
        <w:rPr>
          <w:sz w:val="24"/>
        </w:rPr>
        <w:t>turística</w:t>
      </w:r>
      <w:r>
        <w:rPr>
          <w:spacing w:val="-16"/>
          <w:sz w:val="24"/>
        </w:rPr>
        <w:t> </w:t>
      </w:r>
      <w:r>
        <w:rPr>
          <w:sz w:val="24"/>
        </w:rPr>
        <w:t>presta</w:t>
      </w:r>
      <w:r>
        <w:rPr>
          <w:spacing w:val="-16"/>
          <w:sz w:val="24"/>
        </w:rPr>
        <w:t> </w:t>
      </w:r>
      <w:r>
        <w:rPr>
          <w:sz w:val="24"/>
        </w:rPr>
        <w:t>ante</w:t>
      </w:r>
      <w:r>
        <w:rPr>
          <w:spacing w:val="-16"/>
          <w:sz w:val="24"/>
        </w:rPr>
        <w:t> </w:t>
      </w:r>
      <w:r>
        <w:rPr>
          <w:sz w:val="24"/>
        </w:rPr>
        <w:t>todo un servicio. La atención del cliente y la calidad son los dos elementos</w:t>
      </w:r>
      <w:r>
        <w:rPr>
          <w:spacing w:val="-22"/>
          <w:sz w:val="24"/>
        </w:rPr>
        <w:t> </w:t>
      </w:r>
      <w:r>
        <w:rPr>
          <w:sz w:val="24"/>
        </w:rPr>
        <w:t>claves.</w:t>
      </w:r>
    </w:p>
    <w:p>
      <w:pPr>
        <w:pStyle w:val="BodyText"/>
      </w:pPr>
    </w:p>
    <w:p>
      <w:pPr>
        <w:pStyle w:val="ListParagraph"/>
        <w:numPr>
          <w:ilvl w:val="3"/>
          <w:numId w:val="8"/>
        </w:numPr>
        <w:tabs>
          <w:tab w:pos="829" w:val="left" w:leader="none"/>
          <w:tab w:pos="830" w:val="left" w:leader="none"/>
        </w:tabs>
        <w:spacing w:line="240" w:lineRule="auto" w:before="142" w:after="0"/>
        <w:ind w:left="829" w:right="0" w:hanging="360"/>
        <w:jc w:val="left"/>
        <w:rPr>
          <w:sz w:val="24"/>
        </w:rPr>
      </w:pPr>
      <w:r>
        <w:rPr>
          <w:b/>
          <w:i/>
          <w:sz w:val="24"/>
        </w:rPr>
        <w:t>Corrección de la estacionalidad</w:t>
      </w:r>
      <w:r>
        <w:rPr>
          <w:sz w:val="24"/>
        </w:rPr>
        <w:t>. Fechas determinadas. Tiempo</w:t>
      </w:r>
      <w:r>
        <w:rPr>
          <w:spacing w:val="-19"/>
          <w:sz w:val="24"/>
        </w:rPr>
        <w:t> </w:t>
      </w:r>
      <w:r>
        <w:rPr>
          <w:sz w:val="24"/>
        </w:rPr>
        <w:t>libre.</w:t>
      </w:r>
    </w:p>
    <w:p>
      <w:pPr>
        <w:spacing w:after="0" w:line="240" w:lineRule="auto"/>
        <w:jc w:val="left"/>
        <w:rPr>
          <w:sz w:val="24"/>
        </w:rPr>
        <w:sectPr>
          <w:footerReference w:type="default" r:id="rId40"/>
          <w:pgSz w:w="12240" w:h="15840"/>
          <w:pgMar w:footer="779" w:header="0" w:top="1360" w:bottom="960" w:left="1360" w:right="1600"/>
          <w:pgNumType w:start="11"/>
        </w:sectPr>
      </w:pPr>
    </w:p>
    <w:p>
      <w:pPr>
        <w:pStyle w:val="ListParagraph"/>
        <w:numPr>
          <w:ilvl w:val="3"/>
          <w:numId w:val="8"/>
        </w:numPr>
        <w:tabs>
          <w:tab w:pos="849" w:val="left" w:leader="none"/>
          <w:tab w:pos="850" w:val="left" w:leader="none"/>
        </w:tabs>
        <w:spacing w:line="240" w:lineRule="auto" w:before="57" w:after="0"/>
        <w:ind w:left="849" w:right="0" w:hanging="360"/>
        <w:jc w:val="left"/>
        <w:rPr>
          <w:sz w:val="24"/>
        </w:rPr>
      </w:pPr>
      <w:r>
        <w:rPr>
          <w:b/>
          <w:i/>
          <w:sz w:val="24"/>
        </w:rPr>
        <w:t>Dimensión óptima y flexibilidad</w:t>
      </w:r>
      <w:r>
        <w:rPr>
          <w:sz w:val="24"/>
        </w:rPr>
        <w:t>. Capacidad de adaptarse a los</w:t>
      </w:r>
      <w:r>
        <w:rPr>
          <w:spacing w:val="-19"/>
          <w:sz w:val="24"/>
        </w:rPr>
        <w:t> </w:t>
      </w:r>
      <w:r>
        <w:rPr>
          <w:sz w:val="24"/>
        </w:rPr>
        <w:t>cambios.</w:t>
      </w:r>
    </w:p>
    <w:p>
      <w:pPr>
        <w:pStyle w:val="BodyText"/>
      </w:pPr>
    </w:p>
    <w:p>
      <w:pPr>
        <w:pStyle w:val="BodyText"/>
        <w:spacing w:before="11"/>
        <w:rPr>
          <w:sz w:val="32"/>
        </w:rPr>
      </w:pPr>
    </w:p>
    <w:p>
      <w:pPr>
        <w:pStyle w:val="Heading2"/>
        <w:ind w:left="129" w:right="625"/>
        <w:jc w:val="left"/>
      </w:pPr>
      <w:bookmarkStart w:name="_bookmark5" w:id="10"/>
      <w:bookmarkEnd w:id="10"/>
      <w:r>
        <w:rPr>
          <w:b w:val="0"/>
        </w:rPr>
      </w:r>
      <w:r>
        <w:rPr/>
        <w:t>1.1.4. Recursos.</w:t>
      </w:r>
    </w:p>
    <w:p>
      <w:pPr>
        <w:pStyle w:val="BodyText"/>
        <w:spacing w:line="360" w:lineRule="auto" w:before="41"/>
        <w:ind w:left="129" w:right="625"/>
      </w:pPr>
      <w:r>
        <w:rPr/>
        <w:t>Toda entidad económica consta de tres factores para su buen funcionamiento, el factor humano, el factor material y el financiero.</w:t>
      </w:r>
    </w:p>
    <w:p>
      <w:pPr>
        <w:pStyle w:val="BodyText"/>
      </w:pPr>
    </w:p>
    <w:p>
      <w:pPr>
        <w:pStyle w:val="BodyText"/>
        <w:spacing w:before="142"/>
        <w:ind w:left="129" w:right="625"/>
      </w:pPr>
      <w:r>
        <w:rPr>
          <w:u w:val="single"/>
        </w:rPr>
        <w:t>Componente humano.</w:t>
      </w:r>
    </w:p>
    <w:p>
      <w:pPr>
        <w:pStyle w:val="BodyText"/>
        <w:spacing w:before="137"/>
        <w:ind w:left="129" w:right="625"/>
      </w:pPr>
      <w:r>
        <w:rPr/>
        <w:pict>
          <v:group style="position:absolute;margin-left:72.595001pt;margin-top:26.960871pt;width:486.4pt;height:111.5pt;mso-position-horizontal-relative:page;mso-position-vertical-relative:paragraph;z-index:1792;mso-wrap-distance-left:0;mso-wrap-distance-right:0" coordorigin="1452,539" coordsize="9728,2230">
            <v:shape style="position:absolute;left:1522;top:1087;width:1903;height:1195" type="#_x0000_t75" stroked="false">
              <v:imagedata r:id="rId41" o:title=""/>
            </v:shape>
            <v:shape style="position:absolute;left:3461;top:1087;width:1901;height:1195" type="#_x0000_t75" stroked="false">
              <v:imagedata r:id="rId42" o:title=""/>
            </v:shape>
            <v:shape style="position:absolute;left:5400;top:1096;width:1901;height:1198" type="#_x0000_t75" stroked="false">
              <v:imagedata r:id="rId43" o:title=""/>
            </v:shape>
            <v:shape style="position:absolute;left:7339;top:1087;width:1901;height:1195" type="#_x0000_t75" stroked="false">
              <v:imagedata r:id="rId44" o:title=""/>
            </v:shape>
            <v:shape style="position:absolute;left:9276;top:1087;width:1903;height:1195" type="#_x0000_t75" stroked="false">
              <v:imagedata r:id="rId45" o:title=""/>
            </v:shape>
            <v:shape style="position:absolute;left:1472;top:560;width:9641;height:2189" type="#_x0000_t202" filled="false" stroked="true" strokeweight="2.04pt" strokecolor="#385d89">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
                      <w:rPr>
                        <w:sz w:val="22"/>
                      </w:rPr>
                    </w:pPr>
                  </w:p>
                  <w:p>
                    <w:pPr>
                      <w:tabs>
                        <w:tab w:pos="2643" w:val="left" w:leader="none"/>
                        <w:tab w:pos="4383" w:val="left" w:leader="none"/>
                        <w:tab w:pos="6381" w:val="left" w:leader="none"/>
                        <w:tab w:pos="8184" w:val="left" w:leader="none"/>
                      </w:tabs>
                      <w:spacing w:before="0"/>
                      <w:ind w:left="476" w:right="0" w:firstLine="0"/>
                      <w:jc w:val="left"/>
                      <w:rPr>
                        <w:rFonts w:ascii="Franklin Gothic Medium"/>
                        <w:sz w:val="20"/>
                      </w:rPr>
                    </w:pPr>
                    <w:r>
                      <w:rPr>
                        <w:rFonts w:ascii="Franklin Gothic Medium"/>
                        <w:color w:val="FFFFFF"/>
                        <w:position w:val="1"/>
                        <w:sz w:val="20"/>
                      </w:rPr>
                      <w:t>Propietarios</w:t>
                      <w:tab/>
                      <w:t>Socios</w:t>
                      <w:tab/>
                    </w:r>
                    <w:r>
                      <w:rPr>
                        <w:rFonts w:ascii="Franklin Gothic Medium"/>
                        <w:color w:val="FFFFFF"/>
                        <w:sz w:val="20"/>
                      </w:rPr>
                      <w:t>Accionistas</w:t>
                      <w:tab/>
                    </w:r>
                    <w:r>
                      <w:rPr>
                        <w:rFonts w:ascii="Franklin Gothic Medium"/>
                        <w:color w:val="FFFFFF"/>
                        <w:position w:val="1"/>
                        <w:sz w:val="20"/>
                      </w:rPr>
                      <w:t>Directivos</w:t>
                      <w:tab/>
                      <w:t>Trabajadores</w:t>
                    </w:r>
                  </w:p>
                </w:txbxContent>
              </v:textbox>
              <w10:wrap type="none"/>
            </v:shape>
            <w10:wrap type="topAndBottom"/>
          </v:group>
        </w:pict>
      </w:r>
      <w:r>
        <w:rPr/>
        <w:t>Grupo de personas con determinada relación y entre los cuales encontramos:</w:t>
      </w:r>
    </w:p>
    <w:p>
      <w:pPr>
        <w:pStyle w:val="BodyText"/>
        <w:spacing w:before="10"/>
        <w:rPr>
          <w:sz w:val="21"/>
        </w:rPr>
      </w:pPr>
    </w:p>
    <w:p>
      <w:pPr>
        <w:spacing w:before="1"/>
        <w:ind w:left="3519" w:right="4134" w:firstLine="0"/>
        <w:jc w:val="center"/>
        <w:rPr>
          <w:sz w:val="20"/>
        </w:rPr>
      </w:pPr>
      <w:r>
        <w:rPr>
          <w:sz w:val="20"/>
        </w:rPr>
        <w:t>Figura 6. Factor humano.</w:t>
      </w:r>
    </w:p>
    <w:p>
      <w:pPr>
        <w:spacing w:before="31"/>
        <w:ind w:left="3519" w:right="4130" w:firstLine="0"/>
        <w:jc w:val="center"/>
        <w:rPr>
          <w:sz w:val="20"/>
        </w:rPr>
      </w:pPr>
      <w:r>
        <w:rPr>
          <w:sz w:val="20"/>
        </w:rPr>
        <w:t>Autoría propia.</w:t>
      </w:r>
    </w:p>
    <w:p>
      <w:pPr>
        <w:pStyle w:val="BodyText"/>
        <w:rPr>
          <w:sz w:val="23"/>
        </w:rPr>
      </w:pPr>
    </w:p>
    <w:p>
      <w:pPr>
        <w:pStyle w:val="BodyText"/>
        <w:spacing w:before="1"/>
        <w:ind w:left="129" w:right="625"/>
      </w:pPr>
      <w:r>
        <w:rPr>
          <w:u w:val="single"/>
        </w:rPr>
        <w:t>Componentes económicos o técnicos.</w:t>
      </w:r>
    </w:p>
    <w:p>
      <w:pPr>
        <w:pStyle w:val="BodyText"/>
        <w:rPr>
          <w:sz w:val="20"/>
        </w:rPr>
      </w:pPr>
    </w:p>
    <w:p>
      <w:pPr>
        <w:pStyle w:val="BodyText"/>
        <w:spacing w:before="5"/>
        <w:rPr>
          <w:sz w:val="19"/>
        </w:rPr>
      </w:pPr>
    </w:p>
    <w:p>
      <w:pPr>
        <w:pStyle w:val="BodyText"/>
        <w:spacing w:line="360" w:lineRule="auto"/>
        <w:ind w:left="129" w:right="625"/>
      </w:pPr>
      <w:r>
        <w:rPr/>
        <w:t>Lo constituyen todos los elementos materiales necesarios para que una empresa desarrolle su actividad.</w:t>
      </w:r>
    </w:p>
    <w:p>
      <w:pPr>
        <w:pStyle w:val="BodyText"/>
        <w:ind w:left="1206"/>
        <w:rPr>
          <w:sz w:val="20"/>
        </w:rPr>
      </w:pPr>
      <w:r>
        <w:rPr>
          <w:sz w:val="20"/>
        </w:rPr>
        <w:pict>
          <v:group style="width:346.45pt;height:205.1pt;mso-position-horizontal-relative:char;mso-position-vertical-relative:line" coordorigin="0,0" coordsize="6929,4102">
            <v:shape style="position:absolute;left:3135;top:41;width:1538;height:1507" type="#_x0000_t75" stroked="false">
              <v:imagedata r:id="rId46" o:title=""/>
            </v:shape>
            <v:shape style="position:absolute;left:1750;top:41;width:1452;height:1507" type="#_x0000_t75" stroked="false">
              <v:imagedata r:id="rId47" o:title=""/>
            </v:shape>
            <v:shape style="position:absolute;left:2391;top:1162;width:1330;height:1507" type="#_x0000_t75" stroked="false">
              <v:imagedata r:id="rId48" o:title=""/>
            </v:shape>
            <v:shape style="position:absolute;left:3653;top:1203;width:1502;height:1507" type="#_x0000_t75" stroked="false">
              <v:imagedata r:id="rId49" o:title=""/>
            </v:shape>
            <v:shape style="position:absolute;left:1810;top:2364;width:2630;height:1510" type="#_x0000_t75" stroked="false">
              <v:imagedata r:id="rId50" o:title=""/>
            </v:shape>
            <v:rect style="position:absolute;left:20;top:20;width:6888;height:4061" filled="false" stroked="true" strokeweight="2.04pt" strokecolor="#385d89"/>
            <v:shape style="position:absolute;left:2151;top:693;width:648;height:140" type="#_x0000_t202" filled="false" stroked="false">
              <v:textbox inset="0,0,0,0">
                <w:txbxContent>
                  <w:p>
                    <w:pPr>
                      <w:spacing w:line="140" w:lineRule="exact" w:before="0"/>
                      <w:ind w:left="0" w:right="-17" w:firstLine="0"/>
                      <w:jc w:val="left"/>
                      <w:rPr>
                        <w:rFonts w:ascii="Calibri"/>
                        <w:sz w:val="14"/>
                      </w:rPr>
                    </w:pPr>
                    <w:r>
                      <w:rPr>
                        <w:rFonts w:ascii="Calibri"/>
                        <w:color w:val="FFFFFF"/>
                        <w:spacing w:val="-1"/>
                        <w:sz w:val="14"/>
                      </w:rPr>
                      <w:t>Maquinaria</w:t>
                    </w:r>
                  </w:p>
                </w:txbxContent>
              </v:textbox>
              <w10:wrap type="none"/>
            </v:shape>
            <v:shape style="position:absolute;left:3536;top:693;width:736;height:140" type="#_x0000_t202" filled="false" stroked="false">
              <v:textbox inset="0,0,0,0">
                <w:txbxContent>
                  <w:p>
                    <w:pPr>
                      <w:spacing w:line="140" w:lineRule="exact" w:before="0"/>
                      <w:ind w:left="0" w:right="-11" w:firstLine="0"/>
                      <w:jc w:val="left"/>
                      <w:rPr>
                        <w:rFonts w:ascii="Calibri"/>
                        <w:sz w:val="14"/>
                      </w:rPr>
                    </w:pPr>
                    <w:r>
                      <w:rPr>
                        <w:rFonts w:ascii="Calibri"/>
                        <w:color w:val="FFFFFF"/>
                        <w:spacing w:val="-1"/>
                        <w:sz w:val="14"/>
                      </w:rPr>
                      <w:t>Instalaciones</w:t>
                    </w:r>
                  </w:p>
                </w:txbxContent>
              </v:textbox>
              <w10:wrap type="none"/>
            </v:shape>
            <v:shape style="position:absolute;left:2851;top:1815;width:409;height:140" type="#_x0000_t202" filled="false" stroked="false">
              <v:textbox inset="0,0,0,0">
                <w:txbxContent>
                  <w:p>
                    <w:pPr>
                      <w:spacing w:line="139" w:lineRule="exact" w:before="0"/>
                      <w:ind w:left="0" w:right="-18" w:firstLine="0"/>
                      <w:jc w:val="left"/>
                      <w:rPr>
                        <w:rFonts w:ascii="Calibri"/>
                        <w:sz w:val="14"/>
                      </w:rPr>
                    </w:pPr>
                    <w:r>
                      <w:rPr>
                        <w:rFonts w:ascii="Calibri"/>
                        <w:color w:val="FFFFFF"/>
                        <w:spacing w:val="-1"/>
                        <w:sz w:val="14"/>
                      </w:rPr>
                      <w:t>Edificio</w:t>
                    </w:r>
                  </w:p>
                </w:txbxContent>
              </v:textbox>
              <w10:wrap type="none"/>
            </v:shape>
            <v:shape style="position:absolute;left:4019;top:1856;width:770;height:140" type="#_x0000_t202" filled="false" stroked="false">
              <v:textbox inset="0,0,0,0">
                <w:txbxContent>
                  <w:p>
                    <w:pPr>
                      <w:spacing w:line="139" w:lineRule="exact" w:before="0"/>
                      <w:ind w:left="0" w:right="-16" w:firstLine="0"/>
                      <w:jc w:val="left"/>
                      <w:rPr>
                        <w:rFonts w:ascii="Calibri"/>
                        <w:sz w:val="14"/>
                      </w:rPr>
                    </w:pPr>
                    <w:r>
                      <w:rPr>
                        <w:rFonts w:ascii="Calibri"/>
                        <w:color w:val="FFFFFF"/>
                        <w:spacing w:val="-1"/>
                        <w:sz w:val="14"/>
                      </w:rPr>
                      <w:t>Herramientas</w:t>
                    </w:r>
                  </w:p>
                </w:txbxContent>
              </v:textbox>
              <w10:wrap type="none"/>
            </v:shape>
            <v:shape style="position:absolute;left:2254;top:3019;width:443;height:140" type="#_x0000_t202" filled="false" stroked="false">
              <v:textbox inset="0,0,0,0">
                <w:txbxContent>
                  <w:p>
                    <w:pPr>
                      <w:spacing w:line="139" w:lineRule="exact" w:before="0"/>
                      <w:ind w:left="0" w:right="-5" w:firstLine="0"/>
                      <w:jc w:val="left"/>
                      <w:rPr>
                        <w:rFonts w:ascii="Calibri"/>
                        <w:sz w:val="14"/>
                      </w:rPr>
                    </w:pPr>
                    <w:r>
                      <w:rPr>
                        <w:rFonts w:ascii="Calibri"/>
                        <w:color w:val="FFFFFF"/>
                        <w:w w:val="95"/>
                        <w:sz w:val="14"/>
                      </w:rPr>
                      <w:t>Equipos</w:t>
                    </w:r>
                  </w:p>
                </w:txbxContent>
              </v:textbox>
              <w10:wrap type="none"/>
            </v:shape>
            <v:shape style="position:absolute;left:3524;top:2942;width:503;height:296" type="#_x0000_t202" filled="false" stroked="false">
              <v:textbox inset="0,0,0,0">
                <w:txbxContent>
                  <w:p>
                    <w:pPr>
                      <w:spacing w:line="135" w:lineRule="exact" w:before="0"/>
                      <w:ind w:left="43" w:right="-15" w:hanging="44"/>
                      <w:jc w:val="left"/>
                      <w:rPr>
                        <w:rFonts w:ascii="Calibri"/>
                        <w:sz w:val="14"/>
                      </w:rPr>
                    </w:pPr>
                    <w:r>
                      <w:rPr>
                        <w:rFonts w:ascii="Calibri"/>
                        <w:color w:val="FFFFFF"/>
                        <w:spacing w:val="-1"/>
                        <w:sz w:val="14"/>
                      </w:rPr>
                      <w:t>Materias</w:t>
                    </w:r>
                  </w:p>
                  <w:p>
                    <w:pPr>
                      <w:spacing w:line="161" w:lineRule="exact" w:before="0"/>
                      <w:ind w:left="43" w:right="-15" w:firstLine="0"/>
                      <w:jc w:val="left"/>
                      <w:rPr>
                        <w:rFonts w:ascii="Calibri"/>
                        <w:sz w:val="14"/>
                      </w:rPr>
                    </w:pPr>
                    <w:r>
                      <w:rPr>
                        <w:rFonts w:ascii="Calibri"/>
                        <w:color w:val="FFFFFF"/>
                        <w:sz w:val="14"/>
                      </w:rPr>
                      <w:t>primas.</w:t>
                    </w:r>
                  </w:p>
                </w:txbxContent>
              </v:textbox>
              <w10:wrap type="none"/>
            </v:shape>
          </v:group>
        </w:pict>
      </w:r>
      <w:r>
        <w:rPr>
          <w:sz w:val="20"/>
        </w:rPr>
      </w:r>
    </w:p>
    <w:p>
      <w:pPr>
        <w:spacing w:before="48"/>
        <w:ind w:left="3519" w:right="4132" w:firstLine="0"/>
        <w:jc w:val="center"/>
        <w:rPr>
          <w:sz w:val="20"/>
        </w:rPr>
      </w:pPr>
      <w:r>
        <w:rPr>
          <w:sz w:val="20"/>
        </w:rPr>
        <w:t>Figura 7. Factor material.</w:t>
      </w:r>
    </w:p>
    <w:p>
      <w:pPr>
        <w:spacing w:before="0"/>
        <w:ind w:left="3519" w:right="4130" w:firstLine="0"/>
        <w:jc w:val="center"/>
        <w:rPr>
          <w:sz w:val="20"/>
        </w:rPr>
      </w:pPr>
      <w:r>
        <w:rPr>
          <w:sz w:val="20"/>
        </w:rPr>
        <w:t>Autoría propia.</w:t>
      </w:r>
    </w:p>
    <w:p>
      <w:pPr>
        <w:spacing w:after="0"/>
        <w:jc w:val="center"/>
        <w:rPr>
          <w:sz w:val="20"/>
        </w:rPr>
        <w:sectPr>
          <w:pgSz w:w="12240" w:h="15840"/>
          <w:pgMar w:header="0" w:footer="779" w:top="1360" w:bottom="960" w:left="1340" w:right="960"/>
        </w:sectPr>
      </w:pPr>
    </w:p>
    <w:p>
      <w:pPr>
        <w:pStyle w:val="BodyText"/>
        <w:spacing w:before="57"/>
        <w:ind w:left="109" w:right="212"/>
      </w:pPr>
      <w:r>
        <w:rPr>
          <w:u w:val="single"/>
        </w:rPr>
        <w:t>Componente financiero.</w:t>
      </w:r>
    </w:p>
    <w:p>
      <w:pPr>
        <w:pStyle w:val="BodyText"/>
        <w:rPr>
          <w:sz w:val="20"/>
        </w:rPr>
      </w:pPr>
    </w:p>
    <w:p>
      <w:pPr>
        <w:pStyle w:val="BodyText"/>
        <w:spacing w:before="11"/>
        <w:rPr>
          <w:sz w:val="21"/>
        </w:rPr>
      </w:pPr>
    </w:p>
    <w:p>
      <w:pPr>
        <w:pStyle w:val="BodyText"/>
        <w:spacing w:line="360" w:lineRule="auto" w:before="69"/>
        <w:ind w:left="109" w:right="122"/>
        <w:jc w:val="both"/>
      </w:pPr>
      <w:r>
        <w:rPr/>
        <w:t>Para</w:t>
      </w:r>
      <w:r>
        <w:rPr>
          <w:spacing w:val="-8"/>
        </w:rPr>
        <w:t> </w:t>
      </w:r>
      <w:r>
        <w:rPr/>
        <w:t>adquirir</w:t>
      </w:r>
      <w:r>
        <w:rPr>
          <w:spacing w:val="-9"/>
        </w:rPr>
        <w:t> </w:t>
      </w:r>
      <w:r>
        <w:rPr/>
        <w:t>los</w:t>
      </w:r>
      <w:r>
        <w:rPr>
          <w:spacing w:val="-7"/>
        </w:rPr>
        <w:t> </w:t>
      </w:r>
      <w:r>
        <w:rPr/>
        <w:t>bienes</w:t>
      </w:r>
      <w:r>
        <w:rPr>
          <w:spacing w:val="-8"/>
        </w:rPr>
        <w:t> </w:t>
      </w:r>
      <w:r>
        <w:rPr/>
        <w:t>materiales</w:t>
      </w:r>
      <w:r>
        <w:rPr>
          <w:spacing w:val="-7"/>
        </w:rPr>
        <w:t> </w:t>
      </w:r>
      <w:r>
        <w:rPr/>
        <w:t>y</w:t>
      </w:r>
      <w:r>
        <w:rPr>
          <w:spacing w:val="-10"/>
        </w:rPr>
        <w:t> </w:t>
      </w:r>
      <w:r>
        <w:rPr/>
        <w:t>para</w:t>
      </w:r>
      <w:r>
        <w:rPr>
          <w:spacing w:val="-8"/>
        </w:rPr>
        <w:t> </w:t>
      </w:r>
      <w:r>
        <w:rPr/>
        <w:t>remunerar</w:t>
      </w:r>
      <w:r>
        <w:rPr>
          <w:spacing w:val="-8"/>
        </w:rPr>
        <w:t> </w:t>
      </w:r>
      <w:r>
        <w:rPr/>
        <w:t>a</w:t>
      </w:r>
      <w:r>
        <w:rPr>
          <w:spacing w:val="-7"/>
        </w:rPr>
        <w:t> </w:t>
      </w:r>
      <w:r>
        <w:rPr/>
        <w:t>las</w:t>
      </w:r>
      <w:r>
        <w:rPr>
          <w:spacing w:val="-8"/>
        </w:rPr>
        <w:t> </w:t>
      </w:r>
      <w:r>
        <w:rPr/>
        <w:t>personas</w:t>
      </w:r>
      <w:r>
        <w:rPr>
          <w:spacing w:val="-8"/>
        </w:rPr>
        <w:t> </w:t>
      </w:r>
      <w:r>
        <w:rPr/>
        <w:t>de</w:t>
      </w:r>
      <w:r>
        <w:rPr>
          <w:spacing w:val="-7"/>
        </w:rPr>
        <w:t> </w:t>
      </w:r>
      <w:r>
        <w:rPr/>
        <w:t>la</w:t>
      </w:r>
      <w:r>
        <w:rPr>
          <w:spacing w:val="-10"/>
        </w:rPr>
        <w:t> </w:t>
      </w:r>
      <w:r>
        <w:rPr/>
        <w:t>empresa</w:t>
      </w:r>
      <w:r>
        <w:rPr>
          <w:spacing w:val="-7"/>
        </w:rPr>
        <w:t> </w:t>
      </w:r>
      <w:r>
        <w:rPr/>
        <w:t>es necesario contar con recursos financieros</w:t>
      </w:r>
      <w:r>
        <w:rPr>
          <w:spacing w:val="-17"/>
        </w:rPr>
        <w:t> </w:t>
      </w:r>
      <w:r>
        <w:rPr/>
        <w:t>apropiados.</w:t>
      </w:r>
    </w:p>
    <w:p>
      <w:pPr>
        <w:pStyle w:val="BodyText"/>
        <w:rPr>
          <w:sz w:val="20"/>
        </w:rPr>
      </w:pPr>
    </w:p>
    <w:p>
      <w:pPr>
        <w:pStyle w:val="BodyText"/>
        <w:spacing w:before="1"/>
        <w:rPr>
          <w:sz w:val="13"/>
        </w:rPr>
      </w:pPr>
      <w:r>
        <w:rPr/>
        <w:drawing>
          <wp:anchor distT="0" distB="0" distL="0" distR="0" allowOverlap="1" layoutInCell="1" locked="0" behindDoc="0" simplePos="0" relativeHeight="1984">
            <wp:simplePos x="0" y="0"/>
            <wp:positionH relativeFrom="page">
              <wp:posOffset>1421891</wp:posOffset>
            </wp:positionH>
            <wp:positionV relativeFrom="paragraph">
              <wp:posOffset>120330</wp:posOffset>
            </wp:positionV>
            <wp:extent cx="4792459" cy="1141571"/>
            <wp:effectExtent l="0" t="0" r="0" b="0"/>
            <wp:wrapTopAndBottom/>
            <wp:docPr id="3" name="image45.jpeg" descr=""/>
            <wp:cNvGraphicFramePr>
              <a:graphicFrameLocks noChangeAspect="1"/>
            </wp:cNvGraphicFramePr>
            <a:graphic>
              <a:graphicData uri="http://schemas.openxmlformats.org/drawingml/2006/picture">
                <pic:pic>
                  <pic:nvPicPr>
                    <pic:cNvPr id="4" name="image45.jpeg"/>
                    <pic:cNvPicPr/>
                  </pic:nvPicPr>
                  <pic:blipFill>
                    <a:blip r:embed="rId51" cstate="print"/>
                    <a:stretch>
                      <a:fillRect/>
                    </a:stretch>
                  </pic:blipFill>
                  <pic:spPr>
                    <a:xfrm>
                      <a:off x="0" y="0"/>
                      <a:ext cx="4792459" cy="1141571"/>
                    </a:xfrm>
                    <a:prstGeom prst="rect">
                      <a:avLst/>
                    </a:prstGeom>
                  </pic:spPr>
                </pic:pic>
              </a:graphicData>
            </a:graphic>
          </wp:anchor>
        </w:drawing>
      </w:r>
    </w:p>
    <w:p>
      <w:pPr>
        <w:spacing w:before="110"/>
        <w:ind w:left="1991" w:right="2008" w:firstLine="0"/>
        <w:jc w:val="center"/>
        <w:rPr>
          <w:sz w:val="20"/>
        </w:rPr>
      </w:pPr>
      <w:r>
        <w:rPr>
          <w:sz w:val="20"/>
        </w:rPr>
        <w:t>Figura 8. Factor financiero.</w:t>
      </w:r>
    </w:p>
    <w:p>
      <w:pPr>
        <w:spacing w:before="0"/>
        <w:ind w:left="1991" w:right="2002" w:firstLine="0"/>
        <w:jc w:val="center"/>
        <w:rPr>
          <w:sz w:val="20"/>
        </w:rPr>
      </w:pPr>
      <w:r>
        <w:rPr>
          <w:sz w:val="20"/>
        </w:rPr>
        <w:t>Autoría propia.</w:t>
      </w:r>
    </w:p>
    <w:p>
      <w:pPr>
        <w:pStyle w:val="BodyText"/>
        <w:rPr>
          <w:sz w:val="20"/>
        </w:rPr>
      </w:pPr>
    </w:p>
    <w:p>
      <w:pPr>
        <w:pStyle w:val="BodyText"/>
        <w:rPr>
          <w:sz w:val="20"/>
        </w:rPr>
      </w:pPr>
    </w:p>
    <w:p>
      <w:pPr>
        <w:pStyle w:val="BodyText"/>
        <w:rPr>
          <w:sz w:val="26"/>
        </w:rPr>
      </w:pPr>
    </w:p>
    <w:p>
      <w:pPr>
        <w:pStyle w:val="Heading2"/>
        <w:numPr>
          <w:ilvl w:val="1"/>
          <w:numId w:val="11"/>
        </w:numPr>
        <w:tabs>
          <w:tab w:pos="710" w:val="left" w:leader="none"/>
        </w:tabs>
        <w:spacing w:line="240" w:lineRule="auto" w:before="0" w:after="0"/>
        <w:ind w:left="709" w:right="0" w:hanging="600"/>
        <w:jc w:val="both"/>
      </w:pPr>
      <w:bookmarkStart w:name="_bookmark6" w:id="11"/>
      <w:bookmarkEnd w:id="11"/>
      <w:r>
        <w:rPr>
          <w:b w:val="0"/>
        </w:rPr>
      </w:r>
      <w:bookmarkStart w:name="_bookmark6" w:id="12"/>
      <w:bookmarkEnd w:id="12"/>
      <w:r>
        <w:rPr/>
        <w:t>E</w:t>
      </w:r>
      <w:r>
        <w:rPr/>
        <w:t>NTORNOS.</w:t>
      </w:r>
    </w:p>
    <w:p>
      <w:pPr>
        <w:pStyle w:val="BodyText"/>
        <w:spacing w:line="360" w:lineRule="auto" w:before="137"/>
        <w:ind w:left="109" w:right="116"/>
        <w:jc w:val="both"/>
      </w:pPr>
      <w:r>
        <w:rPr/>
        <w:t>Las</w:t>
      </w:r>
      <w:r>
        <w:rPr>
          <w:spacing w:val="-4"/>
        </w:rPr>
        <w:t> </w:t>
      </w:r>
      <w:r>
        <w:rPr/>
        <w:t>empresas</w:t>
      </w:r>
      <w:r>
        <w:rPr>
          <w:spacing w:val="-4"/>
        </w:rPr>
        <w:t> </w:t>
      </w:r>
      <w:r>
        <w:rPr/>
        <w:t>no</w:t>
      </w:r>
      <w:r>
        <w:rPr>
          <w:spacing w:val="-6"/>
        </w:rPr>
        <w:t> </w:t>
      </w:r>
      <w:r>
        <w:rPr/>
        <w:t>dependen</w:t>
      </w:r>
      <w:r>
        <w:rPr>
          <w:spacing w:val="-4"/>
        </w:rPr>
        <w:t> </w:t>
      </w:r>
      <w:r>
        <w:rPr/>
        <w:t>de</w:t>
      </w:r>
      <w:r>
        <w:rPr>
          <w:spacing w:val="-6"/>
        </w:rPr>
        <w:t> </w:t>
      </w:r>
      <w:r>
        <w:rPr/>
        <w:t>ellas</w:t>
      </w:r>
      <w:r>
        <w:rPr>
          <w:spacing w:val="-4"/>
        </w:rPr>
        <w:t> </w:t>
      </w:r>
      <w:r>
        <w:rPr/>
        <w:t>mismas,</w:t>
      </w:r>
      <w:r>
        <w:rPr>
          <w:spacing w:val="-6"/>
        </w:rPr>
        <w:t> </w:t>
      </w:r>
      <w:r>
        <w:rPr/>
        <w:t>sino</w:t>
      </w:r>
      <w:r>
        <w:rPr>
          <w:spacing w:val="-3"/>
        </w:rPr>
        <w:t> </w:t>
      </w:r>
      <w:r>
        <w:rPr/>
        <w:t>que</w:t>
      </w:r>
      <w:r>
        <w:rPr>
          <w:spacing w:val="-4"/>
        </w:rPr>
        <w:t> </w:t>
      </w:r>
      <w:r>
        <w:rPr/>
        <w:t>todo</w:t>
      </w:r>
      <w:r>
        <w:rPr>
          <w:spacing w:val="-6"/>
        </w:rPr>
        <w:t> </w:t>
      </w:r>
      <w:r>
        <w:rPr/>
        <w:t>aquello</w:t>
      </w:r>
      <w:r>
        <w:rPr>
          <w:spacing w:val="-6"/>
        </w:rPr>
        <w:t> </w:t>
      </w:r>
      <w:r>
        <w:rPr/>
        <w:t>que</w:t>
      </w:r>
      <w:r>
        <w:rPr>
          <w:spacing w:val="-4"/>
        </w:rPr>
        <w:t> </w:t>
      </w:r>
      <w:r>
        <w:rPr/>
        <w:t>le</w:t>
      </w:r>
      <w:r>
        <w:rPr>
          <w:spacing w:val="-4"/>
        </w:rPr>
        <w:t> </w:t>
      </w:r>
      <w:r>
        <w:rPr/>
        <w:t>rodea</w:t>
      </w:r>
      <w:r>
        <w:rPr>
          <w:spacing w:val="-4"/>
        </w:rPr>
        <w:t> </w:t>
      </w:r>
      <w:r>
        <w:rPr/>
        <w:t>va</w:t>
      </w:r>
      <w:r>
        <w:rPr>
          <w:spacing w:val="-4"/>
        </w:rPr>
        <w:t> </w:t>
      </w:r>
      <w:r>
        <w:rPr/>
        <w:t>a ejercer una influencia. Existen factores externos que puedan influir en la constitución de una empresa. Ej. Organizaciones ecologistas que no dan facilidades a estas empresas (hoteles, campos de golf, etc.) porque se encuentran en zonas de interés medioambiental, u organizaciones sindicales, para conseguir estabilidad en los empleos</w:t>
      </w:r>
      <w:r>
        <w:rPr>
          <w:spacing w:val="-6"/>
        </w:rPr>
        <w:t> </w:t>
      </w:r>
      <w:r>
        <w:rPr/>
        <w:t>turísticos.</w:t>
      </w:r>
    </w:p>
    <w:p>
      <w:pPr>
        <w:pStyle w:val="BodyText"/>
      </w:pPr>
    </w:p>
    <w:p>
      <w:pPr>
        <w:pStyle w:val="BodyText"/>
        <w:spacing w:line="360" w:lineRule="auto" w:before="142"/>
        <w:ind w:left="109" w:right="126"/>
        <w:jc w:val="both"/>
      </w:pPr>
      <w:r>
        <w:rPr/>
        <w:t>En el entorno general o genérico está formado por aquellos factores que tienen una influencia solo potencial o indirecta en la empresa turística y al mismo tiempo, la capacidad de influencia de la organización en ellos es bastante limitada.</w:t>
      </w:r>
    </w:p>
    <w:p>
      <w:pPr>
        <w:pStyle w:val="BodyText"/>
      </w:pPr>
    </w:p>
    <w:p>
      <w:pPr>
        <w:pStyle w:val="BodyText"/>
        <w:spacing w:line="360" w:lineRule="auto" w:before="142"/>
        <w:ind w:left="109" w:right="125"/>
        <w:jc w:val="both"/>
      </w:pPr>
      <w:r>
        <w:rPr/>
        <w:t>El entorno especifico o inmediato de la empresa turística, está formado por todos los elementos externos a estas y que la influyen de una manera directa, real y relevante. También está compuesto por otras empresas del sector o sectores afines que están en permanente contacto con ellas o que pueden modificar sus resultados con sus acciones. Por tanto son un conjunto de elementos esenciales para que la empresa turística obtenga éxito.</w:t>
      </w:r>
    </w:p>
    <w:p>
      <w:pPr>
        <w:spacing w:after="0" w:line="360" w:lineRule="auto"/>
        <w:jc w:val="both"/>
        <w:sectPr>
          <w:pgSz w:w="12240" w:h="15840"/>
          <w:pgMar w:header="0" w:footer="779" w:top="1360" w:bottom="960" w:left="1360" w:right="1580"/>
        </w:sectPr>
      </w:pPr>
    </w:p>
    <w:p>
      <w:pPr>
        <w:pStyle w:val="BodyText"/>
        <w:rPr>
          <w:sz w:val="20"/>
        </w:rPr>
      </w:pPr>
    </w:p>
    <w:p>
      <w:pPr>
        <w:pStyle w:val="BodyText"/>
        <w:rPr>
          <w:sz w:val="20"/>
        </w:rPr>
      </w:pPr>
    </w:p>
    <w:p>
      <w:pPr>
        <w:pStyle w:val="BodyText"/>
        <w:spacing w:before="8"/>
        <w:rPr>
          <w:sz w:val="18"/>
        </w:rPr>
      </w:pPr>
    </w:p>
    <w:p>
      <w:pPr>
        <w:pStyle w:val="Heading2"/>
        <w:numPr>
          <w:ilvl w:val="2"/>
          <w:numId w:val="11"/>
        </w:numPr>
        <w:tabs>
          <w:tab w:pos="830" w:val="left" w:leader="none"/>
        </w:tabs>
        <w:spacing w:line="240" w:lineRule="auto" w:before="70" w:after="0"/>
        <w:ind w:left="829" w:right="0" w:hanging="720"/>
        <w:jc w:val="both"/>
      </w:pPr>
      <w:bookmarkStart w:name="_bookmark7" w:id="13"/>
      <w:bookmarkEnd w:id="13"/>
      <w:r>
        <w:rPr>
          <w:b w:val="0"/>
        </w:rPr>
      </w:r>
      <w:bookmarkStart w:name="_bookmark7" w:id="14"/>
      <w:bookmarkEnd w:id="14"/>
      <w:r>
        <w:rPr/>
        <w:t>En</w:t>
      </w:r>
      <w:r>
        <w:rPr/>
        <w:t>torno</w:t>
      </w:r>
      <w:r>
        <w:rPr>
          <w:spacing w:val="-2"/>
        </w:rPr>
        <w:t> </w:t>
      </w:r>
      <w:r>
        <w:rPr/>
        <w:t>económico.</w:t>
      </w:r>
    </w:p>
    <w:p>
      <w:pPr>
        <w:pStyle w:val="BodyText"/>
        <w:spacing w:line="360" w:lineRule="auto" w:before="137"/>
        <w:ind w:left="109" w:right="117"/>
        <w:jc w:val="both"/>
      </w:pPr>
      <w:r>
        <w:rPr/>
        <w:t>Existen elementos importantes que hay que estudiar para ver su influencia en la empresa turística. Ej. En el ciclo económico de un país el turismo no es un bien de primera necesidad y el gasto en turismo y en ocio depende si la economía se encuentra</w:t>
      </w:r>
      <w:r>
        <w:rPr>
          <w:spacing w:val="-11"/>
        </w:rPr>
        <w:t> </w:t>
      </w:r>
      <w:r>
        <w:rPr/>
        <w:t>en</w:t>
      </w:r>
      <w:r>
        <w:rPr>
          <w:spacing w:val="-8"/>
        </w:rPr>
        <w:t> </w:t>
      </w:r>
      <w:r>
        <w:rPr/>
        <w:t>pleno</w:t>
      </w:r>
      <w:r>
        <w:rPr>
          <w:spacing w:val="-8"/>
        </w:rPr>
        <w:t> </w:t>
      </w:r>
      <w:r>
        <w:rPr/>
        <w:t>crecimiento</w:t>
      </w:r>
      <w:r>
        <w:rPr>
          <w:spacing w:val="-8"/>
        </w:rPr>
        <w:t> </w:t>
      </w:r>
      <w:r>
        <w:rPr/>
        <w:t>o</w:t>
      </w:r>
      <w:r>
        <w:rPr>
          <w:spacing w:val="-8"/>
        </w:rPr>
        <w:t> </w:t>
      </w:r>
      <w:r>
        <w:rPr/>
        <w:t>en</w:t>
      </w:r>
      <w:r>
        <w:rPr>
          <w:spacing w:val="-8"/>
        </w:rPr>
        <w:t> </w:t>
      </w:r>
      <w:r>
        <w:rPr/>
        <w:t>crisis.</w:t>
      </w:r>
      <w:r>
        <w:rPr>
          <w:spacing w:val="-9"/>
        </w:rPr>
        <w:t> </w:t>
      </w:r>
      <w:r>
        <w:rPr/>
        <w:t>Es</w:t>
      </w:r>
      <w:r>
        <w:rPr>
          <w:spacing w:val="-12"/>
        </w:rPr>
        <w:t> </w:t>
      </w:r>
      <w:r>
        <w:rPr/>
        <w:t>normal</w:t>
      </w:r>
      <w:r>
        <w:rPr>
          <w:spacing w:val="-10"/>
        </w:rPr>
        <w:t> </w:t>
      </w:r>
      <w:r>
        <w:rPr/>
        <w:t>o</w:t>
      </w:r>
      <w:r>
        <w:rPr>
          <w:spacing w:val="-8"/>
        </w:rPr>
        <w:t> </w:t>
      </w:r>
      <w:r>
        <w:rPr/>
        <w:t>habitual</w:t>
      </w:r>
      <w:r>
        <w:rPr>
          <w:spacing w:val="-10"/>
        </w:rPr>
        <w:t> </w:t>
      </w:r>
      <w:r>
        <w:rPr/>
        <w:t>centrar</w:t>
      </w:r>
      <w:r>
        <w:rPr>
          <w:spacing w:val="-3"/>
        </w:rPr>
        <w:t> </w:t>
      </w:r>
      <w:r>
        <w:rPr/>
        <w:t>en</w:t>
      </w:r>
      <w:r>
        <w:rPr>
          <w:spacing w:val="-8"/>
        </w:rPr>
        <w:t> </w:t>
      </w:r>
      <w:r>
        <w:rPr/>
        <w:t>análisis</w:t>
      </w:r>
      <w:r>
        <w:rPr>
          <w:spacing w:val="-10"/>
        </w:rPr>
        <w:t> </w:t>
      </w:r>
      <w:r>
        <w:rPr/>
        <w:t>de estos factores en la situación de los diferentes mercados que vienen señalados por unos</w:t>
      </w:r>
      <w:r>
        <w:rPr>
          <w:spacing w:val="-5"/>
        </w:rPr>
        <w:t> </w:t>
      </w:r>
      <w:r>
        <w:rPr/>
        <w:t>indicadores:</w:t>
      </w:r>
    </w:p>
    <w:p>
      <w:pPr>
        <w:pStyle w:val="ListParagraph"/>
        <w:numPr>
          <w:ilvl w:val="3"/>
          <w:numId w:val="11"/>
        </w:numPr>
        <w:tabs>
          <w:tab w:pos="1549" w:val="left" w:leader="none"/>
          <w:tab w:pos="1550" w:val="left" w:leader="none"/>
        </w:tabs>
        <w:spacing w:line="240" w:lineRule="auto" w:before="2" w:after="0"/>
        <w:ind w:left="1549" w:right="0" w:hanging="360"/>
        <w:jc w:val="left"/>
        <w:rPr>
          <w:sz w:val="24"/>
        </w:rPr>
      </w:pPr>
      <w:r>
        <w:rPr>
          <w:sz w:val="24"/>
        </w:rPr>
        <w:t>Crecimientos</w:t>
      </w:r>
      <w:r>
        <w:rPr>
          <w:spacing w:val="-5"/>
          <w:sz w:val="24"/>
        </w:rPr>
        <w:t> </w:t>
      </w:r>
      <w:r>
        <w:rPr>
          <w:sz w:val="24"/>
        </w:rPr>
        <w:t>económicos.</w:t>
      </w:r>
    </w:p>
    <w:p>
      <w:pPr>
        <w:pStyle w:val="ListParagraph"/>
        <w:numPr>
          <w:ilvl w:val="3"/>
          <w:numId w:val="11"/>
        </w:numPr>
        <w:tabs>
          <w:tab w:pos="1549" w:val="left" w:leader="none"/>
          <w:tab w:pos="1550" w:val="left" w:leader="none"/>
        </w:tabs>
        <w:spacing w:line="240" w:lineRule="auto" w:before="139" w:after="0"/>
        <w:ind w:left="1549" w:right="0" w:hanging="360"/>
        <w:jc w:val="left"/>
        <w:rPr>
          <w:sz w:val="24"/>
        </w:rPr>
      </w:pPr>
      <w:r>
        <w:rPr>
          <w:sz w:val="24"/>
        </w:rPr>
        <w:t>Nivel de precios y</w:t>
      </w:r>
      <w:r>
        <w:rPr>
          <w:spacing w:val="-4"/>
          <w:sz w:val="24"/>
        </w:rPr>
        <w:t> </w:t>
      </w:r>
      <w:r>
        <w:rPr>
          <w:sz w:val="24"/>
        </w:rPr>
        <w:t>salarios.</w:t>
      </w:r>
    </w:p>
    <w:p>
      <w:pPr>
        <w:pStyle w:val="ListParagraph"/>
        <w:numPr>
          <w:ilvl w:val="3"/>
          <w:numId w:val="11"/>
        </w:numPr>
        <w:tabs>
          <w:tab w:pos="1549" w:val="left" w:leader="none"/>
          <w:tab w:pos="1550" w:val="left" w:leader="none"/>
        </w:tabs>
        <w:spacing w:line="240" w:lineRule="auto" w:before="137" w:after="0"/>
        <w:ind w:left="1549" w:right="0" w:hanging="360"/>
        <w:jc w:val="left"/>
        <w:rPr>
          <w:sz w:val="24"/>
        </w:rPr>
      </w:pPr>
      <w:r>
        <w:rPr>
          <w:sz w:val="24"/>
        </w:rPr>
        <w:t>Tasas de actividad y</w:t>
      </w:r>
      <w:r>
        <w:rPr>
          <w:spacing w:val="-6"/>
          <w:sz w:val="24"/>
        </w:rPr>
        <w:t> </w:t>
      </w:r>
      <w:r>
        <w:rPr>
          <w:sz w:val="24"/>
        </w:rPr>
        <w:t>desempleo.</w:t>
      </w:r>
    </w:p>
    <w:p>
      <w:pPr>
        <w:pStyle w:val="ListParagraph"/>
        <w:numPr>
          <w:ilvl w:val="3"/>
          <w:numId w:val="11"/>
        </w:numPr>
        <w:tabs>
          <w:tab w:pos="1549" w:val="left" w:leader="none"/>
          <w:tab w:pos="1550" w:val="left" w:leader="none"/>
        </w:tabs>
        <w:spacing w:line="240" w:lineRule="auto" w:before="139" w:after="0"/>
        <w:ind w:left="1549" w:right="0" w:hanging="360"/>
        <w:jc w:val="left"/>
        <w:rPr>
          <w:sz w:val="24"/>
        </w:rPr>
      </w:pPr>
      <w:r>
        <w:rPr>
          <w:sz w:val="24"/>
        </w:rPr>
        <w:t>El déficit comercial</w:t>
      </w:r>
      <w:r>
        <w:rPr>
          <w:spacing w:val="-8"/>
          <w:sz w:val="24"/>
        </w:rPr>
        <w:t> </w:t>
      </w:r>
      <w:r>
        <w:rPr>
          <w:sz w:val="24"/>
        </w:rPr>
        <w:t>público.</w:t>
      </w:r>
    </w:p>
    <w:p>
      <w:pPr>
        <w:pStyle w:val="ListParagraph"/>
        <w:numPr>
          <w:ilvl w:val="3"/>
          <w:numId w:val="11"/>
        </w:numPr>
        <w:tabs>
          <w:tab w:pos="1549" w:val="left" w:leader="none"/>
          <w:tab w:pos="1550" w:val="left" w:leader="none"/>
        </w:tabs>
        <w:spacing w:line="240" w:lineRule="auto" w:before="137" w:after="0"/>
        <w:ind w:left="1549" w:right="0" w:hanging="360"/>
        <w:jc w:val="left"/>
        <w:rPr>
          <w:sz w:val="24"/>
        </w:rPr>
      </w:pPr>
      <w:r>
        <w:rPr>
          <w:sz w:val="24"/>
        </w:rPr>
        <w:t>Los tipos de interés de</w:t>
      </w:r>
      <w:r>
        <w:rPr>
          <w:spacing w:val="-8"/>
          <w:sz w:val="24"/>
        </w:rPr>
        <w:t> </w:t>
      </w:r>
      <w:r>
        <w:rPr>
          <w:sz w:val="24"/>
        </w:rPr>
        <w:t>cambio.</w:t>
      </w:r>
    </w:p>
    <w:p>
      <w:pPr>
        <w:pStyle w:val="BodyText"/>
      </w:pPr>
    </w:p>
    <w:p>
      <w:pPr>
        <w:pStyle w:val="BodyText"/>
      </w:pPr>
    </w:p>
    <w:p>
      <w:pPr>
        <w:pStyle w:val="BodyText"/>
      </w:pPr>
    </w:p>
    <w:p>
      <w:pPr>
        <w:pStyle w:val="Heading2"/>
        <w:numPr>
          <w:ilvl w:val="2"/>
          <w:numId w:val="11"/>
        </w:numPr>
        <w:tabs>
          <w:tab w:pos="830" w:val="left" w:leader="none"/>
        </w:tabs>
        <w:spacing w:line="240" w:lineRule="auto" w:before="178" w:after="0"/>
        <w:ind w:left="829" w:right="0" w:hanging="720"/>
        <w:jc w:val="both"/>
      </w:pPr>
      <w:bookmarkStart w:name="_bookmark8" w:id="15"/>
      <w:bookmarkEnd w:id="15"/>
      <w:r>
        <w:rPr>
          <w:b w:val="0"/>
        </w:rPr>
      </w:r>
      <w:bookmarkStart w:name="_bookmark8" w:id="16"/>
      <w:bookmarkEnd w:id="16"/>
      <w:r>
        <w:rPr/>
        <w:t>En</w:t>
      </w:r>
      <w:r>
        <w:rPr/>
        <w:t>torno político.</w:t>
      </w:r>
    </w:p>
    <w:p>
      <w:pPr>
        <w:pStyle w:val="BodyText"/>
        <w:spacing w:line="360" w:lineRule="auto" w:before="43"/>
        <w:ind w:left="109" w:right="124"/>
        <w:jc w:val="both"/>
      </w:pPr>
      <w:r>
        <w:rPr/>
        <w:t>El</w:t>
      </w:r>
      <w:r>
        <w:rPr>
          <w:spacing w:val="-17"/>
        </w:rPr>
        <w:t> </w:t>
      </w:r>
      <w:r>
        <w:rPr/>
        <w:t>poder</w:t>
      </w:r>
      <w:r>
        <w:rPr>
          <w:spacing w:val="-17"/>
        </w:rPr>
        <w:t> </w:t>
      </w:r>
      <w:r>
        <w:rPr/>
        <w:t>político</w:t>
      </w:r>
      <w:r>
        <w:rPr>
          <w:spacing w:val="-16"/>
        </w:rPr>
        <w:t> </w:t>
      </w:r>
      <w:r>
        <w:rPr/>
        <w:t>es</w:t>
      </w:r>
      <w:r>
        <w:rPr>
          <w:spacing w:val="-16"/>
        </w:rPr>
        <w:t> </w:t>
      </w:r>
      <w:r>
        <w:rPr/>
        <w:t>uno</w:t>
      </w:r>
      <w:r>
        <w:rPr>
          <w:spacing w:val="-18"/>
        </w:rPr>
        <w:t> </w:t>
      </w:r>
      <w:r>
        <w:rPr/>
        <w:t>de</w:t>
      </w:r>
      <w:r>
        <w:rPr>
          <w:spacing w:val="-16"/>
        </w:rPr>
        <w:t> </w:t>
      </w:r>
      <w:r>
        <w:rPr/>
        <w:t>los</w:t>
      </w:r>
      <w:r>
        <w:rPr>
          <w:spacing w:val="-16"/>
        </w:rPr>
        <w:t> </w:t>
      </w:r>
      <w:r>
        <w:rPr/>
        <w:t>elementos</w:t>
      </w:r>
      <w:r>
        <w:rPr>
          <w:spacing w:val="-16"/>
        </w:rPr>
        <w:t> </w:t>
      </w:r>
      <w:r>
        <w:rPr/>
        <w:t>importantes</w:t>
      </w:r>
      <w:r>
        <w:rPr>
          <w:spacing w:val="-16"/>
        </w:rPr>
        <w:t> </w:t>
      </w:r>
      <w:r>
        <w:rPr/>
        <w:t>a</w:t>
      </w:r>
      <w:r>
        <w:rPr>
          <w:spacing w:val="-16"/>
        </w:rPr>
        <w:t> </w:t>
      </w:r>
      <w:r>
        <w:rPr/>
        <w:t>los</w:t>
      </w:r>
      <w:r>
        <w:rPr>
          <w:spacing w:val="-16"/>
        </w:rPr>
        <w:t> </w:t>
      </w:r>
      <w:r>
        <w:rPr/>
        <w:t>que</w:t>
      </w:r>
      <w:r>
        <w:rPr>
          <w:spacing w:val="-16"/>
        </w:rPr>
        <w:t> </w:t>
      </w:r>
      <w:r>
        <w:rPr/>
        <w:t>se</w:t>
      </w:r>
      <w:r>
        <w:rPr>
          <w:spacing w:val="-16"/>
        </w:rPr>
        <w:t> </w:t>
      </w:r>
      <w:r>
        <w:rPr/>
        <w:t>enfrenta</w:t>
      </w:r>
      <w:r>
        <w:rPr>
          <w:spacing w:val="-15"/>
        </w:rPr>
        <w:t> </w:t>
      </w:r>
      <w:r>
        <w:rPr/>
        <w:t>la</w:t>
      </w:r>
      <w:r>
        <w:rPr>
          <w:spacing w:val="-16"/>
        </w:rPr>
        <w:t> </w:t>
      </w:r>
      <w:r>
        <w:rPr/>
        <w:t>empresa política, por 2</w:t>
      </w:r>
      <w:r>
        <w:rPr>
          <w:spacing w:val="-10"/>
        </w:rPr>
        <w:t> </w:t>
      </w:r>
      <w:r>
        <w:rPr/>
        <w:t>razones:</w:t>
      </w:r>
    </w:p>
    <w:p>
      <w:pPr>
        <w:pStyle w:val="BodyText"/>
      </w:pPr>
    </w:p>
    <w:p>
      <w:pPr>
        <w:pStyle w:val="BodyText"/>
        <w:spacing w:line="360" w:lineRule="auto" w:before="142"/>
        <w:ind w:left="109" w:right="123"/>
        <w:jc w:val="both"/>
      </w:pPr>
      <w:r>
        <w:rPr/>
        <w:t>Porque posee el poder para dictar normas, leyes y reglamentaciones que pueden tener a veces una leve incidencia y otras, una gran importancia en el desarrollo de la gestión de la empresa.</w:t>
      </w:r>
    </w:p>
    <w:p>
      <w:pPr>
        <w:pStyle w:val="BodyText"/>
      </w:pPr>
    </w:p>
    <w:p>
      <w:pPr>
        <w:pStyle w:val="BodyText"/>
        <w:spacing w:line="360" w:lineRule="auto" w:before="142"/>
        <w:ind w:left="109" w:right="124"/>
        <w:jc w:val="both"/>
      </w:pPr>
      <w:r>
        <w:rPr/>
        <w:t>En sus diferentes niveles de gobiernos el poder político afecta en cierta medida a las organizaciones al recibir de ellas tasas, impuestos y ofrecerles infraestructuras y servicios</w:t>
      </w:r>
      <w:r>
        <w:rPr>
          <w:spacing w:val="-10"/>
        </w:rPr>
        <w:t> </w:t>
      </w:r>
      <w:r>
        <w:rPr/>
        <w:t>públicos.</w:t>
      </w:r>
      <w:r>
        <w:rPr>
          <w:spacing w:val="-12"/>
        </w:rPr>
        <w:t> </w:t>
      </w:r>
      <w:r>
        <w:rPr/>
        <w:t>Estas</w:t>
      </w:r>
      <w:r>
        <w:rPr>
          <w:spacing w:val="-10"/>
        </w:rPr>
        <w:t> </w:t>
      </w:r>
      <w:r>
        <w:rPr/>
        <w:t>infraestructuras</w:t>
      </w:r>
      <w:r>
        <w:rPr>
          <w:spacing w:val="-12"/>
        </w:rPr>
        <w:t> </w:t>
      </w:r>
      <w:r>
        <w:rPr/>
        <w:t>han</w:t>
      </w:r>
      <w:r>
        <w:rPr>
          <w:spacing w:val="-12"/>
        </w:rPr>
        <w:t> </w:t>
      </w:r>
      <w:r>
        <w:rPr/>
        <w:t>sido</w:t>
      </w:r>
      <w:r>
        <w:rPr>
          <w:spacing w:val="-11"/>
        </w:rPr>
        <w:t> </w:t>
      </w:r>
      <w:r>
        <w:rPr/>
        <w:t>un</w:t>
      </w:r>
      <w:r>
        <w:rPr>
          <w:spacing w:val="-9"/>
        </w:rPr>
        <w:t> </w:t>
      </w:r>
      <w:r>
        <w:rPr/>
        <w:t>condicionante</w:t>
      </w:r>
      <w:r>
        <w:rPr>
          <w:spacing w:val="-14"/>
        </w:rPr>
        <w:t> </w:t>
      </w:r>
      <w:r>
        <w:rPr/>
        <w:t>tradicional</w:t>
      </w:r>
      <w:r>
        <w:rPr>
          <w:spacing w:val="-13"/>
        </w:rPr>
        <w:t> </w:t>
      </w:r>
      <w:r>
        <w:rPr/>
        <w:t>para</w:t>
      </w:r>
      <w:r>
        <w:rPr>
          <w:spacing w:val="-12"/>
        </w:rPr>
        <w:t> </w:t>
      </w:r>
      <w:r>
        <w:rPr/>
        <w:t>el desarrollo</w:t>
      </w:r>
      <w:r>
        <w:rPr>
          <w:spacing w:val="-16"/>
        </w:rPr>
        <w:t> </w:t>
      </w:r>
      <w:r>
        <w:rPr/>
        <w:t>del</w:t>
      </w:r>
      <w:r>
        <w:rPr>
          <w:spacing w:val="-17"/>
        </w:rPr>
        <w:t> </w:t>
      </w:r>
      <w:r>
        <w:rPr/>
        <w:t>turismo.</w:t>
      </w:r>
      <w:r>
        <w:rPr>
          <w:spacing w:val="-18"/>
        </w:rPr>
        <w:t> </w:t>
      </w:r>
      <w:r>
        <w:rPr/>
        <w:t>Otro</w:t>
      </w:r>
      <w:r>
        <w:rPr>
          <w:spacing w:val="-19"/>
        </w:rPr>
        <w:t> </w:t>
      </w:r>
      <w:r>
        <w:rPr/>
        <w:t>factor</w:t>
      </w:r>
      <w:r>
        <w:rPr>
          <w:spacing w:val="-17"/>
        </w:rPr>
        <w:t> </w:t>
      </w:r>
      <w:r>
        <w:rPr/>
        <w:t>a</w:t>
      </w:r>
      <w:r>
        <w:rPr>
          <w:spacing w:val="-18"/>
        </w:rPr>
        <w:t> </w:t>
      </w:r>
      <w:r>
        <w:rPr/>
        <w:t>tener</w:t>
      </w:r>
      <w:r>
        <w:rPr>
          <w:spacing w:val="-17"/>
        </w:rPr>
        <w:t> </w:t>
      </w:r>
      <w:r>
        <w:rPr/>
        <w:t>en</w:t>
      </w:r>
      <w:r>
        <w:rPr>
          <w:spacing w:val="-18"/>
        </w:rPr>
        <w:t> </w:t>
      </w:r>
      <w:r>
        <w:rPr/>
        <w:t>cuenta</w:t>
      </w:r>
      <w:r>
        <w:rPr>
          <w:spacing w:val="-16"/>
        </w:rPr>
        <w:t> </w:t>
      </w:r>
      <w:r>
        <w:rPr/>
        <w:t>es</w:t>
      </w:r>
      <w:r>
        <w:rPr>
          <w:spacing w:val="-19"/>
        </w:rPr>
        <w:t> </w:t>
      </w:r>
      <w:r>
        <w:rPr/>
        <w:t>el</w:t>
      </w:r>
      <w:r>
        <w:rPr>
          <w:spacing w:val="-17"/>
        </w:rPr>
        <w:t> </w:t>
      </w:r>
      <w:r>
        <w:rPr/>
        <w:t>riesgo</w:t>
      </w:r>
      <w:r>
        <w:rPr>
          <w:spacing w:val="-16"/>
        </w:rPr>
        <w:t> </w:t>
      </w:r>
      <w:r>
        <w:rPr/>
        <w:t>o</w:t>
      </w:r>
      <w:r>
        <w:rPr>
          <w:spacing w:val="-16"/>
        </w:rPr>
        <w:t> </w:t>
      </w:r>
      <w:r>
        <w:rPr/>
        <w:t>la</w:t>
      </w:r>
      <w:r>
        <w:rPr>
          <w:spacing w:val="-21"/>
        </w:rPr>
        <w:t> </w:t>
      </w:r>
      <w:r>
        <w:rPr/>
        <w:t>estabilidad</w:t>
      </w:r>
      <w:r>
        <w:rPr>
          <w:spacing w:val="-16"/>
        </w:rPr>
        <w:t> </w:t>
      </w:r>
      <w:r>
        <w:rPr/>
        <w:t>política de los distintos países y esto presenta una doble perspectiva. Por una parte si la empresa turística se presenta en un país más estable, tendrá más afluencia turística que</w:t>
      </w:r>
      <w:r>
        <w:rPr>
          <w:spacing w:val="-17"/>
        </w:rPr>
        <w:t> </w:t>
      </w:r>
      <w:r>
        <w:rPr/>
        <w:t>en</w:t>
      </w:r>
      <w:r>
        <w:rPr>
          <w:spacing w:val="-19"/>
        </w:rPr>
        <w:t> </w:t>
      </w:r>
      <w:r>
        <w:rPr/>
        <w:t>un</w:t>
      </w:r>
      <w:r>
        <w:rPr>
          <w:spacing w:val="-19"/>
        </w:rPr>
        <w:t> </w:t>
      </w:r>
      <w:r>
        <w:rPr/>
        <w:t>país</w:t>
      </w:r>
      <w:r>
        <w:rPr>
          <w:spacing w:val="-17"/>
        </w:rPr>
        <w:t> </w:t>
      </w:r>
      <w:r>
        <w:rPr/>
        <w:t>con</w:t>
      </w:r>
      <w:r>
        <w:rPr>
          <w:spacing w:val="-19"/>
        </w:rPr>
        <w:t> </w:t>
      </w:r>
      <w:r>
        <w:rPr/>
        <w:t>mayores</w:t>
      </w:r>
      <w:r>
        <w:rPr>
          <w:spacing w:val="-17"/>
        </w:rPr>
        <w:t> </w:t>
      </w:r>
      <w:r>
        <w:rPr/>
        <w:t>problemas</w:t>
      </w:r>
      <w:r>
        <w:rPr>
          <w:spacing w:val="-17"/>
        </w:rPr>
        <w:t> </w:t>
      </w:r>
      <w:r>
        <w:rPr/>
        <w:t>políticos.</w:t>
      </w:r>
      <w:r>
        <w:rPr>
          <w:spacing w:val="-17"/>
        </w:rPr>
        <w:t> </w:t>
      </w:r>
      <w:r>
        <w:rPr/>
        <w:t>Por</w:t>
      </w:r>
      <w:r>
        <w:rPr>
          <w:spacing w:val="-18"/>
        </w:rPr>
        <w:t> </w:t>
      </w:r>
      <w:r>
        <w:rPr/>
        <w:t>otro</w:t>
      </w:r>
      <w:r>
        <w:rPr>
          <w:spacing w:val="-17"/>
        </w:rPr>
        <w:t> </w:t>
      </w:r>
      <w:r>
        <w:rPr/>
        <w:t>lado,</w:t>
      </w:r>
      <w:r>
        <w:rPr>
          <w:spacing w:val="-19"/>
        </w:rPr>
        <w:t> </w:t>
      </w:r>
      <w:r>
        <w:rPr/>
        <w:t>las</w:t>
      </w:r>
      <w:r>
        <w:rPr>
          <w:spacing w:val="-19"/>
        </w:rPr>
        <w:t> </w:t>
      </w:r>
      <w:r>
        <w:rPr/>
        <w:t>empresas</w:t>
      </w:r>
      <w:r>
        <w:rPr>
          <w:spacing w:val="-17"/>
        </w:rPr>
        <w:t> </w:t>
      </w:r>
      <w:r>
        <w:rPr/>
        <w:t>turísticas</w:t>
      </w:r>
    </w:p>
    <w:p>
      <w:pPr>
        <w:spacing w:after="0" w:line="360" w:lineRule="auto"/>
        <w:jc w:val="both"/>
        <w:sectPr>
          <w:pgSz w:w="12240" w:h="15840"/>
          <w:pgMar w:header="0" w:footer="779" w:top="1500" w:bottom="960" w:left="1360" w:right="1580"/>
        </w:sectPr>
      </w:pPr>
    </w:p>
    <w:p>
      <w:pPr>
        <w:pStyle w:val="BodyText"/>
        <w:spacing w:line="360" w:lineRule="auto" w:before="57"/>
        <w:ind w:left="269" w:right="126"/>
        <w:jc w:val="both"/>
      </w:pPr>
      <w:r>
        <w:rPr/>
        <w:t>optan por estrategias de internacionalización es muy importante la estabilidad de los países donde se va a invertir para disminuir el riesgo de inversión.</w:t>
      </w:r>
    </w:p>
    <w:p>
      <w:pPr>
        <w:pStyle w:val="BodyText"/>
      </w:pPr>
    </w:p>
    <w:p>
      <w:pPr>
        <w:pStyle w:val="Heading2"/>
        <w:numPr>
          <w:ilvl w:val="2"/>
          <w:numId w:val="11"/>
        </w:numPr>
        <w:tabs>
          <w:tab w:pos="872" w:val="left" w:leader="none"/>
        </w:tabs>
        <w:spacing w:line="240" w:lineRule="auto" w:before="180" w:after="0"/>
        <w:ind w:left="871" w:right="0" w:hanging="602"/>
        <w:jc w:val="both"/>
      </w:pPr>
      <w:bookmarkStart w:name="_bookmark9" w:id="17"/>
      <w:bookmarkEnd w:id="17"/>
      <w:r>
        <w:rPr>
          <w:b w:val="0"/>
        </w:rPr>
      </w:r>
      <w:bookmarkStart w:name="_bookmark9" w:id="18"/>
      <w:bookmarkEnd w:id="18"/>
      <w:r>
        <w:rPr/>
        <w:t>En</w:t>
      </w:r>
      <w:r>
        <w:rPr/>
        <w:t>torno social y</w:t>
      </w:r>
      <w:r>
        <w:rPr>
          <w:spacing w:val="-8"/>
        </w:rPr>
        <w:t> </w:t>
      </w:r>
      <w:r>
        <w:rPr/>
        <w:t>cultural.</w:t>
      </w:r>
    </w:p>
    <w:p>
      <w:pPr>
        <w:pStyle w:val="BodyText"/>
        <w:spacing w:line="360" w:lineRule="auto" w:before="43"/>
        <w:ind w:left="269" w:right="115"/>
        <w:jc w:val="both"/>
      </w:pPr>
      <w:r>
        <w:rPr/>
        <w:t>Dentro del entorno social y cultural por parte de la empresa turística existen 4 grupos de elementos, que de una forma más o menos importante, van a influir sobre las empresas:</w:t>
      </w:r>
    </w:p>
    <w:p>
      <w:pPr>
        <w:pStyle w:val="BodyText"/>
      </w:pPr>
    </w:p>
    <w:p>
      <w:pPr>
        <w:pStyle w:val="ListParagraph"/>
        <w:numPr>
          <w:ilvl w:val="0"/>
          <w:numId w:val="12"/>
        </w:numPr>
        <w:tabs>
          <w:tab w:pos="464" w:val="left" w:leader="none"/>
        </w:tabs>
        <w:spacing w:line="360" w:lineRule="auto" w:before="139" w:after="0"/>
        <w:ind w:left="463" w:right="115" w:hanging="360"/>
        <w:jc w:val="both"/>
        <w:rPr>
          <w:rFonts w:ascii="Symbol" w:hAnsi="Symbol"/>
          <w:sz w:val="20"/>
        </w:rPr>
      </w:pPr>
      <w:r>
        <w:rPr>
          <w:i/>
          <w:sz w:val="24"/>
        </w:rPr>
        <w:t>Elementos demográficos: </w:t>
      </w:r>
      <w:r>
        <w:rPr>
          <w:sz w:val="24"/>
        </w:rPr>
        <w:t>están relacionados con la población (habitantes, sexo, edad y vienen representados por el </w:t>
      </w:r>
      <w:r>
        <w:rPr>
          <w:i/>
          <w:sz w:val="24"/>
        </w:rPr>
        <w:t>sistema educativo y formativo </w:t>
      </w:r>
      <w:r>
        <w:rPr>
          <w:sz w:val="24"/>
        </w:rPr>
        <w:t>de la sociedad y sus empresas. En el turismo este es un factor fundamental, ya que el grado de especialización y profesionalización de los trabajadores del sector hacen que se presenten servicios de calidad y, que por tanto, se puedan competir con otras empresas de servicios de calidad y con empresas de otros países. El nivel cultural de los países emisores y receptores también es importante, porque marcan los gustos y las expectativas de los turistas y las empresas deben adaptarse a</w:t>
      </w:r>
      <w:r>
        <w:rPr>
          <w:spacing w:val="-29"/>
          <w:sz w:val="24"/>
        </w:rPr>
        <w:t> </w:t>
      </w:r>
      <w:r>
        <w:rPr>
          <w:sz w:val="24"/>
        </w:rPr>
        <w:t>ellas.</w:t>
      </w:r>
    </w:p>
    <w:p>
      <w:pPr>
        <w:pStyle w:val="BodyText"/>
      </w:pPr>
    </w:p>
    <w:p>
      <w:pPr>
        <w:pStyle w:val="ListParagraph"/>
        <w:numPr>
          <w:ilvl w:val="0"/>
          <w:numId w:val="12"/>
        </w:numPr>
        <w:tabs>
          <w:tab w:pos="464" w:val="left" w:leader="none"/>
        </w:tabs>
        <w:spacing w:line="360" w:lineRule="auto" w:before="140" w:after="0"/>
        <w:ind w:left="463" w:right="122" w:hanging="360"/>
        <w:jc w:val="both"/>
        <w:rPr>
          <w:rFonts w:ascii="Symbol" w:hAnsi="Symbol"/>
          <w:sz w:val="20"/>
        </w:rPr>
      </w:pPr>
      <w:r>
        <w:rPr>
          <w:i/>
          <w:sz w:val="24"/>
        </w:rPr>
        <w:t>Sistema</w:t>
      </w:r>
      <w:r>
        <w:rPr>
          <w:i/>
          <w:spacing w:val="-10"/>
          <w:sz w:val="24"/>
        </w:rPr>
        <w:t> </w:t>
      </w:r>
      <w:r>
        <w:rPr>
          <w:i/>
          <w:sz w:val="24"/>
        </w:rPr>
        <w:t>de</w:t>
      </w:r>
      <w:r>
        <w:rPr>
          <w:i/>
          <w:spacing w:val="-10"/>
          <w:sz w:val="24"/>
        </w:rPr>
        <w:t> </w:t>
      </w:r>
      <w:r>
        <w:rPr>
          <w:i/>
          <w:sz w:val="24"/>
        </w:rPr>
        <w:t>valores,</w:t>
      </w:r>
      <w:r>
        <w:rPr>
          <w:i/>
          <w:spacing w:val="-8"/>
          <w:sz w:val="24"/>
        </w:rPr>
        <w:t> </w:t>
      </w:r>
      <w:r>
        <w:rPr>
          <w:sz w:val="24"/>
        </w:rPr>
        <w:t>creencias</w:t>
      </w:r>
      <w:r>
        <w:rPr>
          <w:spacing w:val="-10"/>
          <w:sz w:val="24"/>
        </w:rPr>
        <w:t> </w:t>
      </w:r>
      <w:r>
        <w:rPr>
          <w:sz w:val="24"/>
        </w:rPr>
        <w:t>y</w:t>
      </w:r>
      <w:r>
        <w:rPr>
          <w:spacing w:val="-13"/>
          <w:sz w:val="24"/>
        </w:rPr>
        <w:t> </w:t>
      </w:r>
      <w:r>
        <w:rPr>
          <w:sz w:val="24"/>
        </w:rPr>
        <w:t>normas</w:t>
      </w:r>
      <w:r>
        <w:rPr>
          <w:spacing w:val="-10"/>
          <w:sz w:val="24"/>
        </w:rPr>
        <w:t> </w:t>
      </w:r>
      <w:r>
        <w:rPr>
          <w:sz w:val="24"/>
        </w:rPr>
        <w:t>que</w:t>
      </w:r>
      <w:r>
        <w:rPr>
          <w:spacing w:val="-10"/>
          <w:sz w:val="24"/>
        </w:rPr>
        <w:t> </w:t>
      </w:r>
      <w:r>
        <w:rPr>
          <w:sz w:val="24"/>
        </w:rPr>
        <w:t>imperan</w:t>
      </w:r>
      <w:r>
        <w:rPr>
          <w:spacing w:val="-10"/>
          <w:sz w:val="24"/>
        </w:rPr>
        <w:t> </w:t>
      </w:r>
      <w:r>
        <w:rPr>
          <w:sz w:val="24"/>
        </w:rPr>
        <w:t>en</w:t>
      </w:r>
      <w:r>
        <w:rPr>
          <w:spacing w:val="-10"/>
          <w:sz w:val="24"/>
        </w:rPr>
        <w:t> </w:t>
      </w:r>
      <w:r>
        <w:rPr>
          <w:sz w:val="24"/>
        </w:rPr>
        <w:t>una</w:t>
      </w:r>
      <w:r>
        <w:rPr>
          <w:spacing w:val="-10"/>
          <w:sz w:val="24"/>
        </w:rPr>
        <w:t> </w:t>
      </w:r>
      <w:r>
        <w:rPr>
          <w:sz w:val="24"/>
        </w:rPr>
        <w:t>sociedad</w:t>
      </w:r>
      <w:r>
        <w:rPr>
          <w:spacing w:val="-10"/>
          <w:sz w:val="24"/>
        </w:rPr>
        <w:t> </w:t>
      </w:r>
      <w:r>
        <w:rPr>
          <w:sz w:val="24"/>
        </w:rPr>
        <w:t>determinada. Ej. Ética profesional de las empresas de esa</w:t>
      </w:r>
      <w:r>
        <w:rPr>
          <w:spacing w:val="-17"/>
          <w:sz w:val="24"/>
        </w:rPr>
        <w:t> </w:t>
      </w:r>
      <w:r>
        <w:rPr>
          <w:sz w:val="24"/>
        </w:rPr>
        <w:t>sociedad.</w:t>
      </w:r>
    </w:p>
    <w:p>
      <w:pPr>
        <w:pStyle w:val="BodyText"/>
      </w:pPr>
    </w:p>
    <w:p>
      <w:pPr>
        <w:pStyle w:val="ListParagraph"/>
        <w:numPr>
          <w:ilvl w:val="0"/>
          <w:numId w:val="12"/>
        </w:numPr>
        <w:tabs>
          <w:tab w:pos="464" w:val="left" w:leader="none"/>
        </w:tabs>
        <w:spacing w:line="360" w:lineRule="auto" w:before="139" w:after="0"/>
        <w:ind w:left="463" w:right="118" w:hanging="360"/>
        <w:jc w:val="both"/>
        <w:rPr>
          <w:rFonts w:ascii="Symbol" w:hAnsi="Symbol"/>
          <w:sz w:val="20"/>
        </w:rPr>
      </w:pPr>
      <w:r>
        <w:rPr>
          <w:i/>
          <w:sz w:val="24"/>
        </w:rPr>
        <w:t>Culturales: </w:t>
      </w:r>
      <w:r>
        <w:rPr>
          <w:sz w:val="24"/>
        </w:rPr>
        <w:t>costumbres, estilos de vida, gustos y necesidades de los consumidores etc. Existen 2 elementos característicos y condicionantes para las empresas del sector: Estacionalidad y calidad en el servicio al</w:t>
      </w:r>
      <w:r>
        <w:rPr>
          <w:spacing w:val="-20"/>
          <w:sz w:val="24"/>
        </w:rPr>
        <w:t> </w:t>
      </w:r>
      <w:r>
        <w:rPr>
          <w:sz w:val="24"/>
        </w:rPr>
        <w:t>cliente:</w:t>
      </w:r>
    </w:p>
    <w:p>
      <w:pPr>
        <w:pStyle w:val="BodyText"/>
      </w:pPr>
    </w:p>
    <w:p>
      <w:pPr>
        <w:pStyle w:val="Heading2"/>
        <w:numPr>
          <w:ilvl w:val="2"/>
          <w:numId w:val="11"/>
        </w:numPr>
        <w:tabs>
          <w:tab w:pos="872" w:val="left" w:leader="none"/>
        </w:tabs>
        <w:spacing w:line="240" w:lineRule="auto" w:before="180" w:after="0"/>
        <w:ind w:left="871" w:right="0" w:hanging="602"/>
        <w:jc w:val="both"/>
      </w:pPr>
      <w:bookmarkStart w:name="_bookmark10" w:id="19"/>
      <w:bookmarkEnd w:id="19"/>
      <w:r>
        <w:rPr>
          <w:b w:val="0"/>
        </w:rPr>
      </w:r>
      <w:bookmarkStart w:name="_bookmark10" w:id="20"/>
      <w:bookmarkEnd w:id="20"/>
      <w:r>
        <w:rPr/>
        <w:t>En</w:t>
      </w:r>
      <w:r>
        <w:rPr/>
        <w:t>torno</w:t>
      </w:r>
      <w:r>
        <w:rPr>
          <w:spacing w:val="-5"/>
        </w:rPr>
        <w:t> </w:t>
      </w:r>
      <w:r>
        <w:rPr/>
        <w:t>ético.</w:t>
      </w:r>
    </w:p>
    <w:p>
      <w:pPr>
        <w:pStyle w:val="BodyText"/>
        <w:spacing w:line="360" w:lineRule="auto" w:before="44"/>
        <w:ind w:left="269" w:right="120"/>
        <w:jc w:val="both"/>
      </w:pPr>
      <w:r>
        <w:rPr/>
        <w:t>La Ética es la ciencia normativa de la rectitud de los actos humanos, según los principios últimos y la racionalidad. Es un saber que trata sobre lo bueno del comportamiento humano en la convivencia de los hombres y las mujeres y la aplicación que realizan de los valores morales.</w:t>
      </w:r>
    </w:p>
    <w:p>
      <w:pPr>
        <w:spacing w:after="0" w:line="360" w:lineRule="auto"/>
        <w:jc w:val="both"/>
        <w:sectPr>
          <w:pgSz w:w="12240" w:h="15840"/>
          <w:pgMar w:header="0" w:footer="779" w:top="1360" w:bottom="960" w:left="1200" w:right="1580"/>
        </w:sectPr>
      </w:pPr>
    </w:p>
    <w:p>
      <w:pPr>
        <w:pStyle w:val="BodyText"/>
        <w:spacing w:line="360" w:lineRule="auto" w:before="57"/>
        <w:ind w:left="109" w:right="98"/>
        <w:jc w:val="both"/>
      </w:pPr>
      <w:r>
        <w:rPr/>
        <w:t>El Turismo es una actividad de constantes intercambios culturales, étnicos, lingüísticos, sociales y religiosos. De ahí que su éxito dependa en gran medida de como</w:t>
      </w:r>
      <w:r>
        <w:rPr>
          <w:spacing w:val="-13"/>
        </w:rPr>
        <w:t> </w:t>
      </w:r>
      <w:r>
        <w:rPr/>
        <w:t>logre</w:t>
      </w:r>
      <w:r>
        <w:rPr>
          <w:spacing w:val="-13"/>
        </w:rPr>
        <w:t> </w:t>
      </w:r>
      <w:r>
        <w:rPr/>
        <w:t>armonizar</w:t>
      </w:r>
      <w:r>
        <w:rPr>
          <w:spacing w:val="-12"/>
        </w:rPr>
        <w:t> </w:t>
      </w:r>
      <w:r>
        <w:rPr/>
        <w:t>aspectos</w:t>
      </w:r>
      <w:r>
        <w:rPr>
          <w:spacing w:val="-14"/>
        </w:rPr>
        <w:t> </w:t>
      </w:r>
      <w:r>
        <w:rPr/>
        <w:t>tan</w:t>
      </w:r>
      <w:r>
        <w:rPr>
          <w:spacing w:val="-13"/>
        </w:rPr>
        <w:t> </w:t>
      </w:r>
      <w:r>
        <w:rPr/>
        <w:t>heterogéneos</w:t>
      </w:r>
      <w:r>
        <w:rPr>
          <w:spacing w:val="-8"/>
        </w:rPr>
        <w:t> </w:t>
      </w:r>
      <w:r>
        <w:rPr/>
        <w:t>(diferentes)</w:t>
      </w:r>
      <w:r>
        <w:rPr>
          <w:spacing w:val="-14"/>
        </w:rPr>
        <w:t> </w:t>
      </w:r>
      <w:r>
        <w:rPr/>
        <w:t>como</w:t>
      </w:r>
      <w:r>
        <w:rPr>
          <w:spacing w:val="-15"/>
        </w:rPr>
        <w:t> </w:t>
      </w:r>
      <w:r>
        <w:rPr/>
        <w:t>los</w:t>
      </w:r>
      <w:r>
        <w:rPr>
          <w:spacing w:val="-13"/>
        </w:rPr>
        <w:t> </w:t>
      </w:r>
      <w:r>
        <w:rPr/>
        <w:t>mencionados.</w:t>
      </w:r>
    </w:p>
    <w:p>
      <w:pPr>
        <w:spacing w:after="0" w:line="360" w:lineRule="auto"/>
        <w:jc w:val="both"/>
        <w:sectPr>
          <w:pgSz w:w="12240" w:h="15840"/>
          <w:pgMar w:header="0" w:footer="779" w:top="1360" w:bottom="960" w:left="1360" w:right="1600"/>
        </w:sectPr>
      </w:pPr>
    </w:p>
    <w:p>
      <w:pPr>
        <w:pStyle w:val="Heading2"/>
        <w:numPr>
          <w:ilvl w:val="2"/>
          <w:numId w:val="11"/>
        </w:numPr>
        <w:tabs>
          <w:tab w:pos="714" w:val="left" w:leader="none"/>
        </w:tabs>
        <w:spacing w:line="240" w:lineRule="auto" w:before="54" w:after="0"/>
        <w:ind w:left="714" w:right="0" w:hanging="605"/>
        <w:jc w:val="left"/>
        <w:rPr>
          <w:b w:val="0"/>
        </w:rPr>
      </w:pPr>
      <w:bookmarkStart w:name="_bookmark11" w:id="21"/>
      <w:bookmarkEnd w:id="21"/>
      <w:r>
        <w:rPr>
          <w:b w:val="0"/>
        </w:rPr>
      </w:r>
      <w:bookmarkStart w:name="_bookmark11" w:id="22"/>
      <w:bookmarkEnd w:id="22"/>
      <w:r>
        <w:rPr/>
        <w:t>A</w:t>
      </w:r>
      <w:r>
        <w:rPr/>
        <w:t>ctividad de</w:t>
      </w:r>
      <w:r>
        <w:rPr>
          <w:spacing w:val="-10"/>
        </w:rPr>
        <w:t> </w:t>
      </w:r>
      <w:r>
        <w:rPr/>
        <w:t>aprendizaje</w:t>
      </w:r>
      <w:r>
        <w:rPr>
          <w:b w:val="0"/>
        </w:rPr>
        <w:t>.</w:t>
      </w:r>
    </w:p>
    <w:p>
      <w:pPr>
        <w:pStyle w:val="BodyText"/>
        <w:spacing w:line="360" w:lineRule="auto" w:before="43" w:after="4"/>
        <w:ind w:left="109" w:right="212"/>
      </w:pPr>
      <w:r>
        <w:rPr/>
        <w:t>Instrucciones: Resuelve la siguiente sopa de letras, relacionada con los temas te estudio de la unidad de aprendizaje.</w:t>
      </w:r>
    </w:p>
    <w:p>
      <w:pPr>
        <w:pStyle w:val="BodyText"/>
        <w:ind w:left="108"/>
        <w:rPr>
          <w:sz w:val="20"/>
        </w:rPr>
      </w:pPr>
      <w:r>
        <w:rPr>
          <w:sz w:val="20"/>
        </w:rPr>
        <w:drawing>
          <wp:inline distT="0" distB="0" distL="0" distR="0">
            <wp:extent cx="5761201" cy="5265991"/>
            <wp:effectExtent l="0" t="0" r="0" b="0"/>
            <wp:docPr id="5" name="image46.png" descr=""/>
            <wp:cNvGraphicFramePr>
              <a:graphicFrameLocks noChangeAspect="1"/>
            </wp:cNvGraphicFramePr>
            <a:graphic>
              <a:graphicData uri="http://schemas.openxmlformats.org/drawingml/2006/picture">
                <pic:pic>
                  <pic:nvPicPr>
                    <pic:cNvPr id="6" name="image46.png"/>
                    <pic:cNvPicPr/>
                  </pic:nvPicPr>
                  <pic:blipFill>
                    <a:blip r:embed="rId52" cstate="print"/>
                    <a:stretch>
                      <a:fillRect/>
                    </a:stretch>
                  </pic:blipFill>
                  <pic:spPr>
                    <a:xfrm>
                      <a:off x="0" y="0"/>
                      <a:ext cx="5761201" cy="5265991"/>
                    </a:xfrm>
                    <a:prstGeom prst="rect">
                      <a:avLst/>
                    </a:prstGeom>
                  </pic:spPr>
                </pic:pic>
              </a:graphicData>
            </a:graphic>
          </wp:inline>
        </w:drawing>
      </w:r>
      <w:r>
        <w:rPr>
          <w:sz w:val="20"/>
        </w:rPr>
      </w:r>
    </w:p>
    <w:p>
      <w:pPr>
        <w:pStyle w:val="BodyText"/>
        <w:spacing w:before="1"/>
        <w:rPr>
          <w:sz w:val="10"/>
        </w:rPr>
      </w:pPr>
      <w:r>
        <w:rPr/>
        <w:drawing>
          <wp:anchor distT="0" distB="0" distL="0" distR="0" allowOverlap="1" layoutInCell="1" locked="0" behindDoc="0" simplePos="0" relativeHeight="2008">
            <wp:simplePos x="0" y="0"/>
            <wp:positionH relativeFrom="page">
              <wp:posOffset>932688</wp:posOffset>
            </wp:positionH>
            <wp:positionV relativeFrom="paragraph">
              <wp:posOffset>98425</wp:posOffset>
            </wp:positionV>
            <wp:extent cx="5717026" cy="1360836"/>
            <wp:effectExtent l="0" t="0" r="0" b="0"/>
            <wp:wrapTopAndBottom/>
            <wp:docPr id="7" name="image47.jpeg" descr=""/>
            <wp:cNvGraphicFramePr>
              <a:graphicFrameLocks noChangeAspect="1"/>
            </wp:cNvGraphicFramePr>
            <a:graphic>
              <a:graphicData uri="http://schemas.openxmlformats.org/drawingml/2006/picture">
                <pic:pic>
                  <pic:nvPicPr>
                    <pic:cNvPr id="8" name="image47.jpeg"/>
                    <pic:cNvPicPr/>
                  </pic:nvPicPr>
                  <pic:blipFill>
                    <a:blip r:embed="rId53" cstate="print"/>
                    <a:stretch>
                      <a:fillRect/>
                    </a:stretch>
                  </pic:blipFill>
                  <pic:spPr>
                    <a:xfrm>
                      <a:off x="0" y="0"/>
                      <a:ext cx="5717026" cy="1360836"/>
                    </a:xfrm>
                    <a:prstGeom prst="rect">
                      <a:avLst/>
                    </a:prstGeom>
                  </pic:spPr>
                </pic:pic>
              </a:graphicData>
            </a:graphic>
          </wp:anchor>
        </w:drawing>
      </w:r>
    </w:p>
    <w:p>
      <w:pPr>
        <w:spacing w:after="0"/>
        <w:rPr>
          <w:sz w:val="10"/>
        </w:rPr>
        <w:sectPr>
          <w:pgSz w:w="12240" w:h="15840"/>
          <w:pgMar w:header="0" w:footer="779" w:top="1360" w:bottom="960" w:left="1360" w:right="1580"/>
        </w:sectPr>
      </w:pPr>
    </w:p>
    <w:p>
      <w:pPr>
        <w:pStyle w:val="Heading1"/>
        <w:ind w:left="2209"/>
      </w:pPr>
      <w:bookmarkStart w:name="_bookmark12" w:id="23"/>
      <w:bookmarkEnd w:id="23"/>
      <w:r>
        <w:rPr>
          <w:b w:val="0"/>
        </w:rPr>
      </w:r>
      <w:r>
        <w:rPr/>
        <w:t>UNIDAD II REGISTROS CONTABLES</w:t>
      </w:r>
    </w:p>
    <w:p>
      <w:pPr>
        <w:pStyle w:val="BodyText"/>
        <w:rPr>
          <w:b/>
          <w:sz w:val="20"/>
        </w:rPr>
      </w:pPr>
    </w:p>
    <w:p>
      <w:pPr>
        <w:pStyle w:val="BodyText"/>
        <w:spacing w:before="3"/>
        <w:rPr>
          <w:b/>
          <w:sz w:val="23"/>
        </w:rPr>
      </w:pPr>
    </w:p>
    <w:p>
      <w:pPr>
        <w:pStyle w:val="Heading2"/>
        <w:spacing w:before="70"/>
        <w:jc w:val="left"/>
      </w:pPr>
      <w:r>
        <w:rPr/>
        <w:t>Competencia</w:t>
      </w:r>
    </w:p>
    <w:p>
      <w:pPr>
        <w:pStyle w:val="BodyText"/>
        <w:spacing w:before="10"/>
        <w:rPr>
          <w:b/>
          <w:sz w:val="20"/>
        </w:rPr>
      </w:pPr>
    </w:p>
    <w:p>
      <w:pPr>
        <w:pStyle w:val="BodyText"/>
        <w:spacing w:line="360" w:lineRule="auto"/>
        <w:ind w:left="109"/>
      </w:pPr>
      <w:r>
        <w:rPr/>
        <w:t>Realizar registros contables de transacciones financieras que se realizan en las entidades turísticas.</w:t>
      </w:r>
    </w:p>
    <w:p>
      <w:pPr>
        <w:pStyle w:val="Heading2"/>
        <w:spacing w:before="204"/>
        <w:jc w:val="left"/>
      </w:pPr>
      <w:r>
        <w:rPr/>
        <w:t>Elementos de la competencia</w:t>
      </w:r>
    </w:p>
    <w:p>
      <w:pPr>
        <w:pStyle w:val="BodyText"/>
        <w:spacing w:before="10"/>
        <w:rPr>
          <w:b/>
          <w:sz w:val="20"/>
        </w:rPr>
      </w:pPr>
    </w:p>
    <w:p>
      <w:pPr>
        <w:pStyle w:val="ListParagraph"/>
        <w:numPr>
          <w:ilvl w:val="1"/>
          <w:numId w:val="13"/>
        </w:numPr>
        <w:tabs>
          <w:tab w:pos="817" w:val="left" w:leader="none"/>
          <w:tab w:pos="818" w:val="left" w:leader="none"/>
        </w:tabs>
        <w:spacing w:line="240" w:lineRule="auto" w:before="0" w:after="0"/>
        <w:ind w:left="817" w:right="0" w:hanging="708"/>
        <w:jc w:val="left"/>
        <w:rPr>
          <w:sz w:val="24"/>
        </w:rPr>
      </w:pPr>
      <w:r>
        <w:rPr>
          <w:sz w:val="24"/>
        </w:rPr>
        <w:t>Contabilidad.</w:t>
      </w:r>
    </w:p>
    <w:p>
      <w:pPr>
        <w:pStyle w:val="ListParagraph"/>
        <w:numPr>
          <w:ilvl w:val="2"/>
          <w:numId w:val="13"/>
        </w:numPr>
        <w:tabs>
          <w:tab w:pos="1823" w:val="left" w:leader="none"/>
        </w:tabs>
        <w:spacing w:line="240" w:lineRule="auto" w:before="140" w:after="0"/>
        <w:ind w:left="1822" w:right="0" w:hanging="720"/>
        <w:jc w:val="left"/>
        <w:rPr>
          <w:sz w:val="24"/>
        </w:rPr>
      </w:pPr>
      <w:r>
        <w:rPr>
          <w:sz w:val="24"/>
        </w:rPr>
        <w:t>Concepto.</w:t>
      </w:r>
    </w:p>
    <w:p>
      <w:pPr>
        <w:pStyle w:val="ListParagraph"/>
        <w:numPr>
          <w:ilvl w:val="2"/>
          <w:numId w:val="13"/>
        </w:numPr>
        <w:tabs>
          <w:tab w:pos="1823" w:val="left" w:leader="none"/>
        </w:tabs>
        <w:spacing w:line="240" w:lineRule="auto" w:before="137" w:after="0"/>
        <w:ind w:left="1822" w:right="0" w:hanging="720"/>
        <w:jc w:val="left"/>
        <w:rPr>
          <w:sz w:val="24"/>
        </w:rPr>
      </w:pPr>
      <w:r>
        <w:rPr>
          <w:sz w:val="24"/>
        </w:rPr>
        <w:t>Información</w:t>
      </w:r>
      <w:r>
        <w:rPr>
          <w:spacing w:val="-3"/>
          <w:sz w:val="24"/>
        </w:rPr>
        <w:t> </w:t>
      </w:r>
      <w:r>
        <w:rPr>
          <w:sz w:val="24"/>
        </w:rPr>
        <w:t>financiera.</w:t>
      </w:r>
    </w:p>
    <w:p>
      <w:pPr>
        <w:pStyle w:val="ListParagraph"/>
        <w:numPr>
          <w:ilvl w:val="2"/>
          <w:numId w:val="13"/>
        </w:numPr>
        <w:tabs>
          <w:tab w:pos="1823" w:val="left" w:leader="none"/>
        </w:tabs>
        <w:spacing w:line="240" w:lineRule="auto" w:before="139" w:after="0"/>
        <w:ind w:left="1822" w:right="0" w:hanging="720"/>
        <w:jc w:val="left"/>
        <w:rPr>
          <w:sz w:val="24"/>
        </w:rPr>
      </w:pPr>
      <w:r>
        <w:rPr>
          <w:sz w:val="24"/>
        </w:rPr>
        <w:t>Características.</w:t>
      </w:r>
    </w:p>
    <w:p>
      <w:pPr>
        <w:pStyle w:val="ListParagraph"/>
        <w:numPr>
          <w:ilvl w:val="2"/>
          <w:numId w:val="13"/>
        </w:numPr>
        <w:tabs>
          <w:tab w:pos="1823" w:val="left" w:leader="none"/>
        </w:tabs>
        <w:spacing w:line="240" w:lineRule="auto" w:before="137" w:after="0"/>
        <w:ind w:left="1822" w:right="0" w:hanging="720"/>
        <w:jc w:val="left"/>
        <w:rPr>
          <w:sz w:val="24"/>
        </w:rPr>
      </w:pPr>
      <w:r>
        <w:rPr>
          <w:sz w:val="24"/>
        </w:rPr>
        <w:t>Postulados de</w:t>
      </w:r>
      <w:r>
        <w:rPr>
          <w:spacing w:val="-11"/>
          <w:sz w:val="24"/>
        </w:rPr>
        <w:t> </w:t>
      </w:r>
      <w:r>
        <w:rPr>
          <w:sz w:val="24"/>
        </w:rPr>
        <w:t>contabilidad.</w:t>
      </w:r>
    </w:p>
    <w:p>
      <w:pPr>
        <w:pStyle w:val="ListParagraph"/>
        <w:numPr>
          <w:ilvl w:val="2"/>
          <w:numId w:val="13"/>
        </w:numPr>
        <w:tabs>
          <w:tab w:pos="1823" w:val="left" w:leader="none"/>
        </w:tabs>
        <w:spacing w:line="240" w:lineRule="auto" w:before="139" w:after="0"/>
        <w:ind w:left="1822" w:right="0" w:hanging="720"/>
        <w:jc w:val="left"/>
        <w:rPr>
          <w:sz w:val="24"/>
        </w:rPr>
      </w:pPr>
      <w:r>
        <w:rPr>
          <w:sz w:val="24"/>
        </w:rPr>
        <w:t>Proceso</w:t>
      </w:r>
      <w:r>
        <w:rPr>
          <w:spacing w:val="-5"/>
          <w:sz w:val="24"/>
        </w:rPr>
        <w:t> </w:t>
      </w:r>
      <w:r>
        <w:rPr>
          <w:sz w:val="24"/>
        </w:rPr>
        <w:t>contable.</w:t>
      </w:r>
    </w:p>
    <w:p>
      <w:pPr>
        <w:pStyle w:val="ListParagraph"/>
        <w:numPr>
          <w:ilvl w:val="2"/>
          <w:numId w:val="13"/>
        </w:numPr>
        <w:tabs>
          <w:tab w:pos="1890" w:val="left" w:leader="none"/>
        </w:tabs>
        <w:spacing w:line="240" w:lineRule="auto" w:before="137" w:after="0"/>
        <w:ind w:left="1890" w:right="0" w:hanging="788"/>
        <w:jc w:val="left"/>
        <w:rPr>
          <w:sz w:val="24"/>
        </w:rPr>
      </w:pPr>
      <w:r>
        <w:rPr>
          <w:sz w:val="24"/>
        </w:rPr>
        <w:t>Manual</w:t>
      </w:r>
      <w:r>
        <w:rPr>
          <w:spacing w:val="-7"/>
          <w:sz w:val="24"/>
        </w:rPr>
        <w:t> </w:t>
      </w:r>
      <w:r>
        <w:rPr>
          <w:sz w:val="24"/>
        </w:rPr>
        <w:t>contable.</w:t>
      </w:r>
    </w:p>
    <w:p>
      <w:pPr>
        <w:pStyle w:val="ListParagraph"/>
        <w:numPr>
          <w:ilvl w:val="1"/>
          <w:numId w:val="14"/>
        </w:numPr>
        <w:tabs>
          <w:tab w:pos="829" w:val="left" w:leader="none"/>
          <w:tab w:pos="830" w:val="left" w:leader="none"/>
        </w:tabs>
        <w:spacing w:line="240" w:lineRule="auto" w:before="139" w:after="0"/>
        <w:ind w:left="829" w:right="0" w:hanging="720"/>
        <w:jc w:val="left"/>
        <w:rPr>
          <w:sz w:val="24"/>
        </w:rPr>
      </w:pPr>
      <w:r>
        <w:rPr>
          <w:sz w:val="24"/>
        </w:rPr>
        <w:t>Registro y cálculo de datos en diario y</w:t>
      </w:r>
      <w:r>
        <w:rPr>
          <w:spacing w:val="-12"/>
          <w:sz w:val="24"/>
        </w:rPr>
        <w:t> </w:t>
      </w:r>
      <w:r>
        <w:rPr>
          <w:sz w:val="24"/>
        </w:rPr>
        <w:t>mayor.</w:t>
      </w:r>
    </w:p>
    <w:p>
      <w:pPr>
        <w:pStyle w:val="ListParagraph"/>
        <w:numPr>
          <w:ilvl w:val="2"/>
          <w:numId w:val="14"/>
        </w:numPr>
        <w:tabs>
          <w:tab w:pos="1823" w:val="left" w:leader="none"/>
        </w:tabs>
        <w:spacing w:line="240" w:lineRule="auto" w:before="137" w:after="0"/>
        <w:ind w:left="1822" w:right="0" w:hanging="720"/>
        <w:jc w:val="left"/>
        <w:rPr>
          <w:sz w:val="24"/>
        </w:rPr>
      </w:pPr>
      <w:r>
        <w:rPr>
          <w:sz w:val="24"/>
        </w:rPr>
        <w:t>Libro</w:t>
      </w:r>
      <w:r>
        <w:rPr>
          <w:spacing w:val="-2"/>
          <w:sz w:val="24"/>
        </w:rPr>
        <w:t> </w:t>
      </w:r>
      <w:r>
        <w:rPr>
          <w:sz w:val="24"/>
        </w:rPr>
        <w:t>Diario.</w:t>
      </w:r>
    </w:p>
    <w:p>
      <w:pPr>
        <w:pStyle w:val="ListParagraph"/>
        <w:numPr>
          <w:ilvl w:val="2"/>
          <w:numId w:val="14"/>
        </w:numPr>
        <w:tabs>
          <w:tab w:pos="1823" w:val="left" w:leader="none"/>
        </w:tabs>
        <w:spacing w:line="240" w:lineRule="auto" w:before="137" w:after="0"/>
        <w:ind w:left="1822" w:right="0" w:hanging="720"/>
        <w:jc w:val="left"/>
        <w:rPr>
          <w:sz w:val="24"/>
        </w:rPr>
      </w:pPr>
      <w:r>
        <w:rPr>
          <w:sz w:val="24"/>
        </w:rPr>
        <w:t>Libro</w:t>
      </w:r>
      <w:r>
        <w:rPr>
          <w:spacing w:val="-4"/>
          <w:sz w:val="24"/>
        </w:rPr>
        <w:t> </w:t>
      </w:r>
      <w:r>
        <w:rPr>
          <w:sz w:val="24"/>
        </w:rPr>
        <w:t>Mayor.</w:t>
      </w:r>
    </w:p>
    <w:p>
      <w:pPr>
        <w:pStyle w:val="ListParagraph"/>
        <w:numPr>
          <w:ilvl w:val="1"/>
          <w:numId w:val="14"/>
        </w:numPr>
        <w:tabs>
          <w:tab w:pos="829" w:val="left" w:leader="none"/>
          <w:tab w:pos="830" w:val="left" w:leader="none"/>
        </w:tabs>
        <w:spacing w:line="240" w:lineRule="auto" w:before="139" w:after="0"/>
        <w:ind w:left="829" w:right="0" w:hanging="720"/>
        <w:jc w:val="left"/>
        <w:rPr>
          <w:sz w:val="24"/>
        </w:rPr>
      </w:pPr>
      <w:r>
        <w:rPr>
          <w:sz w:val="24"/>
        </w:rPr>
        <w:t>Balanza de</w:t>
      </w:r>
      <w:r>
        <w:rPr>
          <w:spacing w:val="-9"/>
          <w:sz w:val="24"/>
        </w:rPr>
        <w:t> </w:t>
      </w:r>
      <w:r>
        <w:rPr>
          <w:sz w:val="24"/>
        </w:rPr>
        <w:t>comprobación.</w:t>
      </w:r>
    </w:p>
    <w:p>
      <w:pPr>
        <w:pStyle w:val="ListParagraph"/>
        <w:numPr>
          <w:ilvl w:val="1"/>
          <w:numId w:val="14"/>
        </w:numPr>
        <w:tabs>
          <w:tab w:pos="829" w:val="left" w:leader="none"/>
          <w:tab w:pos="830" w:val="left" w:leader="none"/>
        </w:tabs>
        <w:spacing w:line="240" w:lineRule="auto" w:before="137" w:after="0"/>
        <w:ind w:left="829" w:right="0" w:hanging="720"/>
        <w:jc w:val="left"/>
        <w:rPr>
          <w:sz w:val="24"/>
        </w:rPr>
      </w:pPr>
      <w:r>
        <w:rPr>
          <w:sz w:val="24"/>
        </w:rPr>
        <w:t>Actividad de</w:t>
      </w:r>
      <w:r>
        <w:rPr>
          <w:spacing w:val="-9"/>
          <w:sz w:val="24"/>
        </w:rPr>
        <w:t> </w:t>
      </w:r>
      <w:r>
        <w:rPr>
          <w:sz w:val="24"/>
        </w:rPr>
        <w:t>Aprendizaje.</w:t>
      </w:r>
    </w:p>
    <w:p>
      <w:pPr>
        <w:spacing w:after="0" w:line="240" w:lineRule="auto"/>
        <w:jc w:val="left"/>
        <w:rPr>
          <w:sz w:val="24"/>
        </w:rPr>
        <w:sectPr>
          <w:pgSz w:w="12240" w:h="15840"/>
          <w:pgMar w:header="0" w:footer="779" w:top="1380" w:bottom="960" w:left="1360" w:right="1600"/>
        </w:sectPr>
      </w:pPr>
    </w:p>
    <w:p>
      <w:pPr>
        <w:pStyle w:val="Heading2"/>
        <w:numPr>
          <w:ilvl w:val="1"/>
          <w:numId w:val="15"/>
        </w:numPr>
        <w:tabs>
          <w:tab w:pos="513" w:val="left" w:leader="none"/>
        </w:tabs>
        <w:spacing w:line="240" w:lineRule="auto" w:before="54" w:after="0"/>
        <w:ind w:left="512" w:right="0" w:hanging="403"/>
        <w:jc w:val="both"/>
      </w:pPr>
      <w:bookmarkStart w:name="_bookmark13" w:id="24"/>
      <w:bookmarkEnd w:id="24"/>
      <w:r>
        <w:rPr>
          <w:b w:val="0"/>
        </w:rPr>
      </w:r>
      <w:bookmarkStart w:name="_bookmark13" w:id="25"/>
      <w:bookmarkEnd w:id="25"/>
      <w:r>
        <w:rPr/>
        <w:t>CON</w:t>
      </w:r>
      <w:r>
        <w:rPr/>
        <w:t>TABILIDAD.</w:t>
      </w:r>
    </w:p>
    <w:p>
      <w:pPr>
        <w:pStyle w:val="BodyText"/>
        <w:spacing w:before="1"/>
        <w:rPr>
          <w:b/>
          <w:sz w:val="31"/>
        </w:rPr>
      </w:pPr>
    </w:p>
    <w:p>
      <w:pPr>
        <w:pStyle w:val="Heading2"/>
        <w:numPr>
          <w:ilvl w:val="2"/>
          <w:numId w:val="15"/>
        </w:numPr>
        <w:tabs>
          <w:tab w:pos="711" w:val="left" w:leader="none"/>
        </w:tabs>
        <w:spacing w:line="240" w:lineRule="auto" w:before="0" w:after="0"/>
        <w:ind w:left="710" w:right="0" w:hanging="601"/>
        <w:jc w:val="both"/>
      </w:pPr>
      <w:bookmarkStart w:name="_bookmark14" w:id="26"/>
      <w:bookmarkEnd w:id="26"/>
      <w:r>
        <w:rPr>
          <w:b w:val="0"/>
        </w:rPr>
      </w:r>
      <w:bookmarkStart w:name="_bookmark14" w:id="27"/>
      <w:bookmarkEnd w:id="27"/>
      <w:r>
        <w:rPr/>
        <w:t>Conc</w:t>
      </w:r>
      <w:r>
        <w:rPr/>
        <w:t>epto.</w:t>
      </w:r>
    </w:p>
    <w:p>
      <w:pPr>
        <w:pStyle w:val="BodyText"/>
        <w:spacing w:line="360" w:lineRule="auto" w:before="43"/>
        <w:ind w:left="109" w:right="118"/>
        <w:jc w:val="both"/>
      </w:pPr>
      <w:r>
        <w:rPr/>
        <w:t>La contabilidad es una técnica que se utiliza para el registro de las operaciones que afectan económicamente a una entidad y que produce sistemática y estructuradamente información financiera. Las operaciones que afectan económicamente a una entidad incluyen las transacciones, las transformaciones internas y otros eventos.</w:t>
      </w:r>
    </w:p>
    <w:p>
      <w:pPr>
        <w:pStyle w:val="BodyText"/>
      </w:pPr>
    </w:p>
    <w:p>
      <w:pPr>
        <w:pStyle w:val="BodyText"/>
        <w:spacing w:line="360" w:lineRule="auto" w:before="142"/>
        <w:ind w:left="109" w:right="116"/>
        <w:jc w:val="both"/>
      </w:pPr>
      <w:r>
        <w:rPr/>
        <w:t>Toda</w:t>
      </w:r>
      <w:r>
        <w:rPr>
          <w:spacing w:val="-13"/>
        </w:rPr>
        <w:t> </w:t>
      </w:r>
      <w:r>
        <w:rPr/>
        <w:t>relación</w:t>
      </w:r>
      <w:r>
        <w:rPr>
          <w:spacing w:val="-13"/>
        </w:rPr>
        <w:t> </w:t>
      </w:r>
      <w:r>
        <w:rPr/>
        <w:t>que</w:t>
      </w:r>
      <w:r>
        <w:rPr>
          <w:spacing w:val="-13"/>
        </w:rPr>
        <w:t> </w:t>
      </w:r>
      <w:r>
        <w:rPr/>
        <w:t>una</w:t>
      </w:r>
      <w:r>
        <w:rPr>
          <w:spacing w:val="-16"/>
        </w:rPr>
        <w:t> </w:t>
      </w:r>
      <w:r>
        <w:rPr/>
        <w:t>entidad</w:t>
      </w:r>
      <w:r>
        <w:rPr>
          <w:spacing w:val="-13"/>
        </w:rPr>
        <w:t> </w:t>
      </w:r>
      <w:r>
        <w:rPr/>
        <w:t>entabla</w:t>
      </w:r>
      <w:r>
        <w:rPr>
          <w:spacing w:val="-13"/>
        </w:rPr>
        <w:t> </w:t>
      </w:r>
      <w:r>
        <w:rPr/>
        <w:t>con</w:t>
      </w:r>
      <w:r>
        <w:rPr>
          <w:spacing w:val="-13"/>
        </w:rPr>
        <w:t> </w:t>
      </w:r>
      <w:r>
        <w:rPr/>
        <w:t>otra</w:t>
      </w:r>
      <w:r>
        <w:rPr>
          <w:spacing w:val="-13"/>
        </w:rPr>
        <w:t> </w:t>
      </w:r>
      <w:r>
        <w:rPr/>
        <w:t>similar</w:t>
      </w:r>
      <w:r>
        <w:rPr>
          <w:spacing w:val="-15"/>
        </w:rPr>
        <w:t> </w:t>
      </w:r>
      <w:r>
        <w:rPr/>
        <w:t>o</w:t>
      </w:r>
      <w:r>
        <w:rPr>
          <w:spacing w:val="-13"/>
        </w:rPr>
        <w:t> </w:t>
      </w:r>
      <w:r>
        <w:rPr/>
        <w:t>con</w:t>
      </w:r>
      <w:r>
        <w:rPr>
          <w:spacing w:val="-13"/>
        </w:rPr>
        <w:t> </w:t>
      </w:r>
      <w:r>
        <w:rPr/>
        <w:t>una</w:t>
      </w:r>
      <w:r>
        <w:rPr>
          <w:spacing w:val="-13"/>
        </w:rPr>
        <w:t> </w:t>
      </w:r>
      <w:r>
        <w:rPr/>
        <w:t>persona</w:t>
      </w:r>
      <w:r>
        <w:rPr>
          <w:spacing w:val="-13"/>
        </w:rPr>
        <w:t> </w:t>
      </w:r>
      <w:r>
        <w:rPr/>
        <w:t>y</w:t>
      </w:r>
      <w:r>
        <w:rPr>
          <w:spacing w:val="-16"/>
        </w:rPr>
        <w:t> </w:t>
      </w:r>
      <w:r>
        <w:rPr/>
        <w:t>que</w:t>
      </w:r>
      <w:r>
        <w:rPr>
          <w:spacing w:val="-13"/>
        </w:rPr>
        <w:t> </w:t>
      </w:r>
      <w:r>
        <w:rPr/>
        <w:t>pueda ser cuantificada en términos monetarios deberá ser considerada por la contabilidad para su registro en la información de la entidad, lo cual representa el significado </w:t>
      </w:r>
      <w:r>
        <w:rPr>
          <w:spacing w:val="4"/>
        </w:rPr>
        <w:t>de </w:t>
      </w:r>
      <w:r>
        <w:rPr/>
        <w:t>transacción, que podría ser alguna de las siguientes: compra o venta de mercancía, adquisiciones de mobiliario, créditos solicitados, entre</w:t>
      </w:r>
      <w:r>
        <w:rPr>
          <w:spacing w:val="-19"/>
        </w:rPr>
        <w:t> </w:t>
      </w:r>
      <w:r>
        <w:rPr/>
        <w:t>otras.</w:t>
      </w:r>
    </w:p>
    <w:p>
      <w:pPr>
        <w:pStyle w:val="BodyText"/>
      </w:pPr>
    </w:p>
    <w:p>
      <w:pPr>
        <w:pStyle w:val="BodyText"/>
        <w:spacing w:line="360" w:lineRule="auto" w:before="142"/>
        <w:ind w:left="109" w:right="116"/>
        <w:jc w:val="both"/>
      </w:pPr>
      <w:r>
        <w:rPr/>
        <w:t>Las transformaciones internas corresponden a aquellas modificaciones que se realizan en la empresa con el objeto de mejorar tanto su imagen como su eficiencia en cualquier aspecto y que generan un desembolso de efectivo.</w:t>
      </w:r>
    </w:p>
    <w:p>
      <w:pPr>
        <w:pStyle w:val="BodyText"/>
      </w:pPr>
    </w:p>
    <w:p>
      <w:pPr>
        <w:pStyle w:val="BodyText"/>
        <w:spacing w:line="360" w:lineRule="auto" w:before="142"/>
        <w:ind w:left="109" w:right="114"/>
        <w:jc w:val="both"/>
      </w:pPr>
      <w:r>
        <w:rPr/>
        <w:t>Los otros eventos corresponden a hechos de carácter externo que no pueden ser controlados</w:t>
      </w:r>
      <w:r>
        <w:rPr>
          <w:spacing w:val="-19"/>
        </w:rPr>
        <w:t> </w:t>
      </w:r>
      <w:r>
        <w:rPr/>
        <w:t>por</w:t>
      </w:r>
      <w:r>
        <w:rPr>
          <w:spacing w:val="-19"/>
        </w:rPr>
        <w:t> </w:t>
      </w:r>
      <w:r>
        <w:rPr/>
        <w:t>la</w:t>
      </w:r>
      <w:r>
        <w:rPr>
          <w:spacing w:val="-18"/>
        </w:rPr>
        <w:t> </w:t>
      </w:r>
      <w:r>
        <w:rPr/>
        <w:t>empresa,</w:t>
      </w:r>
      <w:r>
        <w:rPr>
          <w:spacing w:val="-18"/>
        </w:rPr>
        <w:t> </w:t>
      </w:r>
      <w:r>
        <w:rPr/>
        <w:t>pero</w:t>
      </w:r>
      <w:r>
        <w:rPr>
          <w:spacing w:val="-19"/>
        </w:rPr>
        <w:t> </w:t>
      </w:r>
      <w:r>
        <w:rPr/>
        <w:t>que</w:t>
      </w:r>
      <w:r>
        <w:rPr>
          <w:spacing w:val="-18"/>
        </w:rPr>
        <w:t> </w:t>
      </w:r>
      <w:r>
        <w:rPr/>
        <w:t>por</w:t>
      </w:r>
      <w:r>
        <w:rPr>
          <w:spacing w:val="-19"/>
        </w:rPr>
        <w:t> </w:t>
      </w:r>
      <w:r>
        <w:rPr/>
        <w:t>su</w:t>
      </w:r>
      <w:r>
        <w:rPr>
          <w:spacing w:val="-18"/>
        </w:rPr>
        <w:t> </w:t>
      </w:r>
      <w:r>
        <w:rPr/>
        <w:t>importancia</w:t>
      </w:r>
      <w:r>
        <w:rPr>
          <w:spacing w:val="-18"/>
        </w:rPr>
        <w:t> </w:t>
      </w:r>
      <w:r>
        <w:rPr/>
        <w:t>deben</w:t>
      </w:r>
      <w:r>
        <w:rPr>
          <w:spacing w:val="-12"/>
        </w:rPr>
        <w:t> </w:t>
      </w:r>
      <w:r>
        <w:rPr/>
        <w:t>reflejarse</w:t>
      </w:r>
      <w:r>
        <w:rPr>
          <w:spacing w:val="-16"/>
        </w:rPr>
        <w:t> </w:t>
      </w:r>
      <w:r>
        <w:rPr/>
        <w:t>en</w:t>
      </w:r>
      <w:r>
        <w:rPr>
          <w:spacing w:val="-17"/>
        </w:rPr>
        <w:t> </w:t>
      </w:r>
      <w:r>
        <w:rPr/>
        <w:t>el</w:t>
      </w:r>
      <w:r>
        <w:rPr>
          <w:spacing w:val="-17"/>
        </w:rPr>
        <w:t> </w:t>
      </w:r>
      <w:r>
        <w:rPr/>
        <w:t>registro contable de la entidad, como es el caso de la</w:t>
      </w:r>
      <w:r>
        <w:rPr>
          <w:spacing w:val="-20"/>
        </w:rPr>
        <w:t> </w:t>
      </w:r>
      <w:r>
        <w:rPr/>
        <w:t>inflación.</w:t>
      </w:r>
    </w:p>
    <w:p>
      <w:pPr>
        <w:pStyle w:val="BodyText"/>
      </w:pPr>
    </w:p>
    <w:p>
      <w:pPr>
        <w:pStyle w:val="Heading2"/>
        <w:numPr>
          <w:ilvl w:val="2"/>
          <w:numId w:val="15"/>
        </w:numPr>
        <w:tabs>
          <w:tab w:pos="712" w:val="left" w:leader="none"/>
        </w:tabs>
        <w:spacing w:line="240" w:lineRule="auto" w:before="180" w:after="0"/>
        <w:ind w:left="711" w:right="0" w:hanging="602"/>
        <w:jc w:val="both"/>
      </w:pPr>
      <w:bookmarkStart w:name="_bookmark15" w:id="28"/>
      <w:bookmarkEnd w:id="28"/>
      <w:r>
        <w:rPr>
          <w:b w:val="0"/>
        </w:rPr>
      </w:r>
      <w:bookmarkStart w:name="_bookmark15" w:id="29"/>
      <w:bookmarkEnd w:id="29"/>
      <w:r>
        <w:rPr/>
        <w:t>In</w:t>
      </w:r>
      <w:r>
        <w:rPr/>
        <w:t>formación</w:t>
      </w:r>
      <w:r>
        <w:rPr>
          <w:spacing w:val="-9"/>
        </w:rPr>
        <w:t> </w:t>
      </w:r>
      <w:r>
        <w:rPr/>
        <w:t>Financiera.</w:t>
      </w:r>
    </w:p>
    <w:p>
      <w:pPr>
        <w:pStyle w:val="BodyText"/>
        <w:spacing w:line="360" w:lineRule="auto" w:before="43"/>
        <w:ind w:left="109" w:right="116"/>
        <w:jc w:val="both"/>
      </w:pPr>
      <w:r>
        <w:rPr/>
        <w:t>La norma A-1 define la información financiera que emana de la contabilidad como información cuantitativa, expresada en unidades monetarias y descriptiva, que muestra</w:t>
      </w:r>
      <w:r>
        <w:rPr>
          <w:spacing w:val="-11"/>
        </w:rPr>
        <w:t> </w:t>
      </w:r>
      <w:r>
        <w:rPr/>
        <w:t>la</w:t>
      </w:r>
      <w:r>
        <w:rPr>
          <w:spacing w:val="-13"/>
        </w:rPr>
        <w:t> </w:t>
      </w:r>
      <w:r>
        <w:rPr/>
        <w:t>posición</w:t>
      </w:r>
      <w:r>
        <w:rPr>
          <w:spacing w:val="-11"/>
        </w:rPr>
        <w:t> </w:t>
      </w:r>
      <w:r>
        <w:rPr/>
        <w:t>y</w:t>
      </w:r>
      <w:r>
        <w:rPr>
          <w:spacing w:val="-14"/>
        </w:rPr>
        <w:t> </w:t>
      </w:r>
      <w:r>
        <w:rPr/>
        <w:t>el</w:t>
      </w:r>
      <w:r>
        <w:rPr>
          <w:spacing w:val="-12"/>
        </w:rPr>
        <w:t> </w:t>
      </w:r>
      <w:r>
        <w:rPr/>
        <w:t>desempeño</w:t>
      </w:r>
      <w:r>
        <w:rPr>
          <w:spacing w:val="-9"/>
        </w:rPr>
        <w:t> </w:t>
      </w:r>
      <w:r>
        <w:rPr/>
        <w:t>financiero</w:t>
      </w:r>
      <w:r>
        <w:rPr>
          <w:spacing w:val="-11"/>
        </w:rPr>
        <w:t> </w:t>
      </w:r>
      <w:r>
        <w:rPr/>
        <w:t>de</w:t>
      </w:r>
      <w:r>
        <w:rPr>
          <w:spacing w:val="-13"/>
        </w:rPr>
        <w:t> </w:t>
      </w:r>
      <w:r>
        <w:rPr/>
        <w:t>una</w:t>
      </w:r>
      <w:r>
        <w:rPr>
          <w:spacing w:val="-11"/>
        </w:rPr>
        <w:t> </w:t>
      </w:r>
      <w:r>
        <w:rPr/>
        <w:t>entidad</w:t>
      </w:r>
      <w:r>
        <w:rPr>
          <w:spacing w:val="-11"/>
        </w:rPr>
        <w:t> </w:t>
      </w:r>
      <w:r>
        <w:rPr/>
        <w:t>y</w:t>
      </w:r>
      <w:r>
        <w:rPr>
          <w:spacing w:val="-14"/>
        </w:rPr>
        <w:t> </w:t>
      </w:r>
      <w:r>
        <w:rPr/>
        <w:t>cuyo</w:t>
      </w:r>
      <w:r>
        <w:rPr>
          <w:spacing w:val="-11"/>
        </w:rPr>
        <w:t> </w:t>
      </w:r>
      <w:r>
        <w:rPr/>
        <w:t>objetivo</w:t>
      </w:r>
      <w:r>
        <w:rPr>
          <w:spacing w:val="-11"/>
        </w:rPr>
        <w:t> </w:t>
      </w:r>
      <w:r>
        <w:rPr/>
        <w:t>esencial es el de ser útil al usuario general en la toma de decisiones económicas. Su manifestación fundamental son los estados financieros que enfocan esencialmente a proveen</w:t>
      </w:r>
      <w:r>
        <w:rPr>
          <w:spacing w:val="-5"/>
        </w:rPr>
        <w:t> </w:t>
      </w:r>
      <w:r>
        <w:rPr/>
        <w:t>información</w:t>
      </w:r>
      <w:r>
        <w:rPr>
          <w:spacing w:val="-2"/>
        </w:rPr>
        <w:t> </w:t>
      </w:r>
      <w:r>
        <w:rPr/>
        <w:t>que</w:t>
      </w:r>
      <w:r>
        <w:rPr>
          <w:spacing w:val="-5"/>
        </w:rPr>
        <w:t> </w:t>
      </w:r>
      <w:r>
        <w:rPr/>
        <w:t>permita</w:t>
      </w:r>
      <w:r>
        <w:rPr>
          <w:spacing w:val="-5"/>
        </w:rPr>
        <w:t> </w:t>
      </w:r>
      <w:r>
        <w:rPr/>
        <w:t>evaluar</w:t>
      </w:r>
      <w:r>
        <w:rPr>
          <w:spacing w:val="-6"/>
        </w:rPr>
        <w:t> </w:t>
      </w:r>
      <w:r>
        <w:rPr/>
        <w:t>el</w:t>
      </w:r>
      <w:r>
        <w:rPr>
          <w:spacing w:val="-6"/>
        </w:rPr>
        <w:t> </w:t>
      </w:r>
      <w:r>
        <w:rPr/>
        <w:t>desenvolvimiento</w:t>
      </w:r>
      <w:r>
        <w:rPr>
          <w:spacing w:val="-4"/>
        </w:rPr>
        <w:t> </w:t>
      </w:r>
      <w:r>
        <w:rPr/>
        <w:t>de</w:t>
      </w:r>
      <w:r>
        <w:rPr>
          <w:spacing w:val="-5"/>
        </w:rPr>
        <w:t> </w:t>
      </w:r>
      <w:r>
        <w:rPr/>
        <w:t>la</w:t>
      </w:r>
      <w:r>
        <w:rPr>
          <w:spacing w:val="-7"/>
        </w:rPr>
        <w:t> </w:t>
      </w:r>
      <w:r>
        <w:rPr/>
        <w:t>entidad,</w:t>
      </w:r>
      <w:r>
        <w:rPr>
          <w:spacing w:val="-5"/>
        </w:rPr>
        <w:t> </w:t>
      </w:r>
      <w:r>
        <w:rPr/>
        <w:t>así</w:t>
      </w:r>
      <w:r>
        <w:rPr>
          <w:spacing w:val="-7"/>
        </w:rPr>
        <w:t> </w:t>
      </w:r>
      <w:r>
        <w:rPr/>
        <w:t>como proporcionar elementos de juicio para estimar el comportamiento futuro de los flujos de efectivo, entre otros</w:t>
      </w:r>
      <w:r>
        <w:rPr>
          <w:spacing w:val="-11"/>
        </w:rPr>
        <w:t> </w:t>
      </w:r>
      <w:r>
        <w:rPr/>
        <w:t>aspectos.</w:t>
      </w:r>
    </w:p>
    <w:p>
      <w:pPr>
        <w:spacing w:after="0" w:line="360" w:lineRule="auto"/>
        <w:jc w:val="both"/>
        <w:sectPr>
          <w:pgSz w:w="12240" w:h="15840"/>
          <w:pgMar w:header="0" w:footer="779" w:top="1360" w:bottom="960" w:left="1360" w:right="1580"/>
        </w:sectPr>
      </w:pPr>
    </w:p>
    <w:p>
      <w:pPr>
        <w:pStyle w:val="BodyText"/>
        <w:spacing w:before="7"/>
        <w:rPr>
          <w:sz w:val="22"/>
        </w:rPr>
      </w:pPr>
    </w:p>
    <w:p>
      <w:pPr>
        <w:pStyle w:val="BodyText"/>
        <w:spacing w:line="360" w:lineRule="auto" w:before="69"/>
        <w:ind w:left="129" w:right="113"/>
        <w:jc w:val="both"/>
      </w:pPr>
      <w:r>
        <w:rPr/>
        <w:t>Esta definición de información financiera nos hace pensar en que esta deberá ser útil no sólo para la propia entidad, sino que debido a la multiplicidad de personas y relaciones que interactúan con la empresa, debe proveer información útil para cualquier usuario que esté interesado en ella, por lo que, para cumplir esta premisa, deberá tener el carácter de uso y aplicación general.</w:t>
      </w:r>
    </w:p>
    <w:p>
      <w:pPr>
        <w:pStyle w:val="BodyText"/>
      </w:pPr>
    </w:p>
    <w:p>
      <w:pPr>
        <w:pStyle w:val="BodyText"/>
        <w:spacing w:before="9"/>
        <w:rPr>
          <w:sz w:val="27"/>
        </w:rPr>
      </w:pPr>
    </w:p>
    <w:p>
      <w:pPr>
        <w:pStyle w:val="Heading2"/>
        <w:numPr>
          <w:ilvl w:val="2"/>
          <w:numId w:val="15"/>
        </w:numPr>
        <w:tabs>
          <w:tab w:pos="698" w:val="left" w:leader="none"/>
        </w:tabs>
        <w:spacing w:line="240" w:lineRule="auto" w:before="0" w:after="0"/>
        <w:ind w:left="698" w:right="0" w:hanging="569"/>
        <w:jc w:val="both"/>
      </w:pPr>
      <w:bookmarkStart w:name="_bookmark16" w:id="30"/>
      <w:bookmarkEnd w:id="30"/>
      <w:r>
        <w:rPr>
          <w:b w:val="0"/>
        </w:rPr>
      </w:r>
      <w:bookmarkStart w:name="_bookmark16" w:id="31"/>
      <w:bookmarkEnd w:id="31"/>
      <w:r>
        <w:rPr/>
        <w:t>Car</w:t>
      </w:r>
      <w:r>
        <w:rPr/>
        <w:t>acteristicas.</w:t>
      </w:r>
    </w:p>
    <w:p>
      <w:pPr>
        <w:pStyle w:val="BodyText"/>
        <w:spacing w:line="360" w:lineRule="auto" w:before="44"/>
        <w:ind w:left="129" w:right="117"/>
        <w:jc w:val="both"/>
      </w:pPr>
      <w:r>
        <w:rPr/>
        <w:t>La utilidad es la característica fundamental de los estados financieros, consiste en la cualidad de adecuarse las necesidades comunes del usuario general y constituye el punto de partida.</w:t>
      </w:r>
    </w:p>
    <w:p>
      <w:pPr>
        <w:pStyle w:val="BodyText"/>
        <w:rPr>
          <w:sz w:val="20"/>
        </w:rPr>
      </w:pPr>
    </w:p>
    <w:p>
      <w:pPr>
        <w:pStyle w:val="BodyText"/>
        <w:spacing w:before="3"/>
        <w:rPr>
          <w:sz w:val="15"/>
        </w:rPr>
      </w:pPr>
      <w:r>
        <w:rPr/>
        <w:pict>
          <v:group style="position:absolute;margin-left:72.355003pt;margin-top:10.764892pt;width:421.85pt;height:198.65pt;mso-position-horizontal-relative:page;mso-position-vertical-relative:paragraph;z-index:2224;mso-wrap-distance-left:0;mso-wrap-distance-right:0" coordorigin="1447,215" coordsize="8437,3973">
            <v:shape style="position:absolute;left:2690;top:215;width:1570;height:854" type="#_x0000_t75" stroked="false">
              <v:imagedata r:id="rId55" o:title=""/>
            </v:shape>
            <v:shape style="position:absolute;left:2878;top:959;width:806;height:523" type="#_x0000_t75" stroked="false">
              <v:imagedata r:id="rId56" o:title=""/>
            </v:shape>
            <v:shape style="position:absolute;left:3598;top:1101;width:1495;height:782" type="#_x0000_t75" stroked="false">
              <v:imagedata r:id="rId57" o:title=""/>
            </v:shape>
            <v:shape style="position:absolute;left:2878;top:959;width:782;height:1332" type="#_x0000_t75" stroked="false">
              <v:imagedata r:id="rId58" o:title=""/>
            </v:shape>
            <v:shape style="position:absolute;left:3574;top:1905;width:1543;height:794" type="#_x0000_t75" stroked="false">
              <v:imagedata r:id="rId59" o:title=""/>
            </v:shape>
            <v:shape style="position:absolute;left:2878;top:959;width:806;height:2078" type="#_x0000_t75" stroked="false">
              <v:imagedata r:id="rId60" o:title=""/>
            </v:shape>
            <v:shape style="position:absolute;left:3552;top:2685;width:1632;height:727" type="#_x0000_t75" stroked="false">
              <v:imagedata r:id="rId61" o:title=""/>
            </v:shape>
            <v:shape style="position:absolute;left:2878;top:959;width:806;height:2844" type="#_x0000_t75" stroked="false">
              <v:imagedata r:id="rId62" o:title=""/>
            </v:shape>
            <v:shape style="position:absolute;left:3598;top:3467;width:1591;height:691" type="#_x0000_t75" stroked="false">
              <v:imagedata r:id="rId63" o:title=""/>
            </v:shape>
            <v:shape style="position:absolute;left:5542;top:215;width:1570;height:854" type="#_x0000_t75" stroked="false">
              <v:imagedata r:id="rId64" o:title=""/>
            </v:shape>
            <v:shape style="position:absolute;left:5729;top:959;width:806;height:698" type="#_x0000_t75" stroked="false">
              <v:imagedata r:id="rId65" o:title=""/>
            </v:shape>
            <v:shape style="position:absolute;left:6451;top:1101;width:2647;height:1135" type="#_x0000_t75" stroked="false">
              <v:imagedata r:id="rId66" o:title=""/>
            </v:shape>
            <v:shape style="position:absolute;left:5729;top:959;width:871;height:1838" type="#_x0000_t75" stroked="false">
              <v:imagedata r:id="rId67" o:title=""/>
            </v:shape>
            <v:shape style="position:absolute;left:6516;top:2231;width:2513;height:1152" type="#_x0000_t75" stroked="false">
              <v:imagedata r:id="rId68" o:title=""/>
            </v:shape>
            <v:rect style="position:absolute;left:1468;top:240;width:8395;height:3926" filled="false" stroked="true" strokeweight="2.04pt" strokecolor="#385d89"/>
            <v:shape style="position:absolute;left:3128;top:522;width:697;height:180" type="#_x0000_t202" filled="false" stroked="false">
              <v:textbox inset="0,0,0,0">
                <w:txbxContent>
                  <w:p>
                    <w:pPr>
                      <w:spacing w:line="180" w:lineRule="exact" w:before="0"/>
                      <w:ind w:left="0" w:right="-20" w:firstLine="0"/>
                      <w:jc w:val="left"/>
                      <w:rPr>
                        <w:rFonts w:ascii="Calibri"/>
                        <w:sz w:val="18"/>
                      </w:rPr>
                    </w:pPr>
                    <w:r>
                      <w:rPr>
                        <w:rFonts w:ascii="Calibri"/>
                        <w:color w:val="FFFFFF"/>
                        <w:sz w:val="18"/>
                      </w:rPr>
                      <w:t>Primarios</w:t>
                    </w:r>
                  </w:p>
                </w:txbxContent>
              </v:textbox>
              <w10:wrap type="none"/>
            </v:shape>
            <v:shape style="position:absolute;left:5886;top:522;width:884;height:180" type="#_x0000_t202" filled="false" stroked="false">
              <v:textbox inset="0,0,0,0">
                <w:txbxContent>
                  <w:p>
                    <w:pPr>
                      <w:spacing w:line="180" w:lineRule="exact" w:before="0"/>
                      <w:ind w:left="0" w:right="-13" w:firstLine="0"/>
                      <w:jc w:val="left"/>
                      <w:rPr>
                        <w:rFonts w:ascii="Calibri"/>
                        <w:sz w:val="18"/>
                      </w:rPr>
                    </w:pPr>
                    <w:r>
                      <w:rPr>
                        <w:rFonts w:ascii="Calibri"/>
                        <w:color w:val="FFFFFF"/>
                        <w:spacing w:val="-1"/>
                        <w:sz w:val="18"/>
                      </w:rPr>
                      <w:t>Secundarios</w:t>
                    </w:r>
                  </w:p>
                </w:txbxContent>
              </v:textbox>
              <w10:wrap type="none"/>
            </v:shape>
            <v:shape style="position:absolute;left:3865;top:1372;width:959;height:180" type="#_x0000_t202" filled="false" stroked="false">
              <v:textbox inset="0,0,0,0">
                <w:txbxContent>
                  <w:p>
                    <w:pPr>
                      <w:spacing w:line="180" w:lineRule="exact" w:before="0"/>
                      <w:ind w:left="0" w:right="-10" w:firstLine="0"/>
                      <w:jc w:val="left"/>
                      <w:rPr>
                        <w:rFonts w:ascii="Calibri"/>
                        <w:sz w:val="18"/>
                      </w:rPr>
                    </w:pPr>
                    <w:r>
                      <w:rPr>
                        <w:rFonts w:ascii="Calibri"/>
                        <w:spacing w:val="-1"/>
                        <w:sz w:val="18"/>
                      </w:rPr>
                      <w:t>Confiabilidad</w:t>
                    </w:r>
                  </w:p>
                </w:txbxContent>
              </v:textbox>
              <w10:wrap type="none"/>
            </v:shape>
            <v:shape style="position:absolute;left:6657;top:1350;width:2225;height:576" type="#_x0000_t202" filled="false" stroked="false">
              <v:textbox inset="0,0,0,0">
                <w:txbxContent>
                  <w:p>
                    <w:pPr>
                      <w:spacing w:line="173" w:lineRule="exact" w:before="0"/>
                      <w:ind w:left="0" w:right="-20" w:firstLine="33"/>
                      <w:jc w:val="left"/>
                      <w:rPr>
                        <w:rFonts w:ascii="Calibri"/>
                        <w:sz w:val="18"/>
                      </w:rPr>
                    </w:pPr>
                    <w:r>
                      <w:rPr>
                        <w:rFonts w:ascii="Calibri"/>
                        <w:sz w:val="18"/>
                      </w:rPr>
                      <w:t>Veracidad, representatividad,</w:t>
                    </w:r>
                  </w:p>
                  <w:p>
                    <w:pPr>
                      <w:spacing w:line="196" w:lineRule="exact" w:before="4"/>
                      <w:ind w:left="271" w:right="-20" w:hanging="272"/>
                      <w:jc w:val="left"/>
                      <w:rPr>
                        <w:rFonts w:ascii="Calibri" w:hAnsi="Calibri"/>
                        <w:sz w:val="18"/>
                      </w:rPr>
                    </w:pPr>
                    <w:r>
                      <w:rPr>
                        <w:rFonts w:ascii="Calibri" w:hAnsi="Calibri"/>
                        <w:sz w:val="18"/>
                      </w:rPr>
                      <w:t>objetividad, verificabilidad y la información suficiente.</w:t>
                    </w:r>
                  </w:p>
                </w:txbxContent>
              </v:textbox>
              <w10:wrap type="none"/>
            </v:shape>
            <v:shape style="position:absolute;left:3955;top:2181;width:783;height:180" type="#_x0000_t202" filled="false" stroked="false">
              <v:textbox inset="0,0,0,0">
                <w:txbxContent>
                  <w:p>
                    <w:pPr>
                      <w:spacing w:line="180" w:lineRule="exact" w:before="0"/>
                      <w:ind w:left="0" w:right="-11" w:firstLine="0"/>
                      <w:jc w:val="left"/>
                      <w:rPr>
                        <w:rFonts w:ascii="Calibri"/>
                        <w:sz w:val="18"/>
                      </w:rPr>
                    </w:pPr>
                    <w:r>
                      <w:rPr>
                        <w:rFonts w:ascii="Calibri"/>
                        <w:spacing w:val="-1"/>
                        <w:sz w:val="18"/>
                      </w:rPr>
                      <w:t>Relevancia</w:t>
                    </w:r>
                  </w:p>
                </w:txbxContent>
              </v:textbox>
              <w10:wrap type="none"/>
            </v:shape>
            <v:shape style="position:absolute;left:3732;top:2929;width:1276;height:180" type="#_x0000_t202" filled="false" stroked="false">
              <v:textbox inset="0,0,0,0">
                <w:txbxContent>
                  <w:p>
                    <w:pPr>
                      <w:spacing w:line="180" w:lineRule="exact" w:before="0"/>
                      <w:ind w:left="0" w:right="-10" w:firstLine="0"/>
                      <w:jc w:val="left"/>
                      <w:rPr>
                        <w:rFonts w:ascii="Calibri"/>
                        <w:sz w:val="18"/>
                      </w:rPr>
                    </w:pPr>
                    <w:r>
                      <w:rPr>
                        <w:rFonts w:ascii="Calibri"/>
                        <w:spacing w:val="-1"/>
                        <w:sz w:val="18"/>
                      </w:rPr>
                      <w:t>Comprensibilidad</w:t>
                    </w:r>
                  </w:p>
                </w:txbxContent>
              </v:textbox>
              <w10:wrap type="none"/>
            </v:shape>
            <v:shape style="position:absolute;left:6798;top:2490;width:1946;height:576" type="#_x0000_t202" filled="false" stroked="false">
              <v:textbox inset="0,0,0,0">
                <w:txbxContent>
                  <w:p>
                    <w:pPr>
                      <w:spacing w:line="173" w:lineRule="exact" w:before="0"/>
                      <w:ind w:left="9" w:right="-20" w:hanging="10"/>
                      <w:jc w:val="left"/>
                      <w:rPr>
                        <w:rFonts w:ascii="Calibri" w:hAnsi="Calibri"/>
                        <w:sz w:val="18"/>
                      </w:rPr>
                    </w:pPr>
                    <w:r>
                      <w:rPr>
                        <w:rFonts w:ascii="Calibri" w:hAnsi="Calibri"/>
                        <w:sz w:val="18"/>
                      </w:rPr>
                      <w:t>Posibilidad de predicción y</w:t>
                    </w:r>
                  </w:p>
                  <w:p>
                    <w:pPr>
                      <w:spacing w:line="196" w:lineRule="exact" w:before="4"/>
                      <w:ind w:left="676" w:right="-12" w:hanging="668"/>
                      <w:jc w:val="left"/>
                      <w:rPr>
                        <w:rFonts w:ascii="Calibri" w:hAnsi="Calibri"/>
                        <w:sz w:val="18"/>
                      </w:rPr>
                    </w:pPr>
                    <w:r>
                      <w:rPr>
                        <w:rFonts w:ascii="Calibri" w:hAnsi="Calibri"/>
                        <w:sz w:val="18"/>
                      </w:rPr>
                      <w:t>confirmación, importancia relativa.</w:t>
                    </w:r>
                  </w:p>
                </w:txbxContent>
              </v:textbox>
              <w10:wrap type="none"/>
            </v:shape>
            <v:shape style="position:absolute;left:3817;top:3693;width:1156;height:180" type="#_x0000_t202" filled="false" stroked="false">
              <v:textbox inset="0,0,0,0">
                <w:txbxContent>
                  <w:p>
                    <w:pPr>
                      <w:spacing w:line="180" w:lineRule="exact" w:before="0"/>
                      <w:ind w:left="0" w:right="-9" w:firstLine="0"/>
                      <w:jc w:val="left"/>
                      <w:rPr>
                        <w:rFonts w:ascii="Calibri"/>
                        <w:sz w:val="18"/>
                      </w:rPr>
                    </w:pPr>
                    <w:r>
                      <w:rPr>
                        <w:rFonts w:ascii="Calibri"/>
                        <w:spacing w:val="-1"/>
                        <w:sz w:val="18"/>
                      </w:rPr>
                      <w:t>Comparabilidad</w:t>
                    </w:r>
                  </w:p>
                </w:txbxContent>
              </v:textbox>
              <w10:wrap type="none"/>
            </v:shape>
            <w10:wrap type="topAndBottom"/>
          </v:group>
        </w:pict>
      </w:r>
    </w:p>
    <w:p>
      <w:pPr>
        <w:spacing w:before="188"/>
        <w:ind w:left="2235" w:right="2231" w:firstLine="0"/>
        <w:jc w:val="center"/>
        <w:rPr>
          <w:sz w:val="20"/>
        </w:rPr>
      </w:pPr>
      <w:r>
        <w:rPr>
          <w:sz w:val="20"/>
        </w:rPr>
        <w:t>Figura 9. Características de la Información Financiera.</w:t>
      </w:r>
    </w:p>
    <w:p>
      <w:pPr>
        <w:spacing w:before="0"/>
        <w:ind w:left="2235" w:right="2229" w:firstLine="0"/>
        <w:jc w:val="center"/>
        <w:rPr>
          <w:sz w:val="20"/>
        </w:rPr>
      </w:pPr>
      <w:r>
        <w:rPr>
          <w:sz w:val="20"/>
        </w:rPr>
        <w:t>Autoría propia.</w:t>
      </w:r>
    </w:p>
    <w:p>
      <w:pPr>
        <w:pStyle w:val="BodyText"/>
        <w:rPr>
          <w:sz w:val="20"/>
        </w:rPr>
      </w:pPr>
    </w:p>
    <w:p>
      <w:pPr>
        <w:pStyle w:val="BodyText"/>
        <w:rPr>
          <w:sz w:val="20"/>
        </w:rPr>
      </w:pPr>
    </w:p>
    <w:p>
      <w:pPr>
        <w:pStyle w:val="BodyText"/>
        <w:spacing w:before="2"/>
        <w:rPr>
          <w:sz w:val="26"/>
        </w:rPr>
      </w:pPr>
    </w:p>
    <w:p>
      <w:pPr>
        <w:pStyle w:val="ListParagraph"/>
        <w:numPr>
          <w:ilvl w:val="3"/>
          <w:numId w:val="15"/>
        </w:numPr>
        <w:tabs>
          <w:tab w:pos="850" w:val="left" w:leader="none"/>
        </w:tabs>
        <w:spacing w:line="357" w:lineRule="auto" w:before="0" w:after="0"/>
        <w:ind w:left="849" w:right="113" w:hanging="360"/>
        <w:jc w:val="both"/>
        <w:rPr>
          <w:sz w:val="24"/>
        </w:rPr>
      </w:pPr>
      <w:r>
        <w:rPr>
          <w:sz w:val="24"/>
        </w:rPr>
        <w:t>Confiabilidad. La información financiera posee esta cualidad cuando su contenido es congruente con las transacciones, transformaciones internas y eventos sucedidos y el usuario general la utiliza para tomar decisiones basándose en ella. Para ser confiable la información debe (características secundarias):</w:t>
      </w:r>
    </w:p>
    <w:p>
      <w:pPr>
        <w:spacing w:after="0" w:line="357" w:lineRule="auto"/>
        <w:jc w:val="both"/>
        <w:rPr>
          <w:sz w:val="24"/>
        </w:rPr>
        <w:sectPr>
          <w:footerReference w:type="default" r:id="rId54"/>
          <w:pgSz w:w="12240" w:h="15840"/>
          <w:pgMar w:footer="779" w:header="0" w:top="1500" w:bottom="960" w:left="1340" w:right="1580"/>
        </w:sectPr>
      </w:pPr>
    </w:p>
    <w:p>
      <w:pPr>
        <w:pStyle w:val="ListParagraph"/>
        <w:numPr>
          <w:ilvl w:val="0"/>
          <w:numId w:val="16"/>
        </w:numPr>
        <w:tabs>
          <w:tab w:pos="1190" w:val="left" w:leader="none"/>
        </w:tabs>
        <w:spacing w:line="360" w:lineRule="auto" w:before="57" w:after="0"/>
        <w:ind w:left="1189" w:right="121" w:hanging="360"/>
        <w:jc w:val="left"/>
        <w:rPr>
          <w:sz w:val="24"/>
        </w:rPr>
      </w:pPr>
      <w:r>
        <w:rPr>
          <w:sz w:val="24"/>
        </w:rPr>
        <w:t>Reflejar en su contenido, transacciones, transformaciones internas y otros eventos realmente sucedidos</w:t>
      </w:r>
      <w:r>
        <w:rPr>
          <w:spacing w:val="-14"/>
          <w:sz w:val="24"/>
        </w:rPr>
        <w:t> </w:t>
      </w:r>
      <w:r>
        <w:rPr>
          <w:b/>
          <w:sz w:val="24"/>
        </w:rPr>
        <w:t>(veracidad</w:t>
      </w:r>
      <w:r>
        <w:rPr>
          <w:sz w:val="24"/>
        </w:rPr>
        <w:t>)</w:t>
      </w:r>
    </w:p>
    <w:p>
      <w:pPr>
        <w:pStyle w:val="BodyText"/>
      </w:pPr>
    </w:p>
    <w:p>
      <w:pPr>
        <w:pStyle w:val="ListParagraph"/>
        <w:numPr>
          <w:ilvl w:val="0"/>
          <w:numId w:val="16"/>
        </w:numPr>
        <w:tabs>
          <w:tab w:pos="1190" w:val="left" w:leader="none"/>
          <w:tab w:pos="2020" w:val="left" w:leader="none"/>
          <w:tab w:pos="3649" w:val="left" w:leader="none"/>
          <w:tab w:pos="4399" w:val="left" w:leader="none"/>
          <w:tab w:pos="4855" w:val="left" w:leader="none"/>
          <w:tab w:pos="6097" w:val="left" w:leader="none"/>
          <w:tab w:pos="6418" w:val="left" w:leader="none"/>
          <w:tab w:pos="6809" w:val="left" w:leader="none"/>
          <w:tab w:pos="7414" w:val="left" w:leader="none"/>
          <w:tab w:pos="7869" w:val="left" w:leader="none"/>
        </w:tabs>
        <w:spacing w:line="360" w:lineRule="auto" w:before="142" w:after="0"/>
        <w:ind w:left="1189" w:right="124" w:hanging="360"/>
        <w:jc w:val="left"/>
        <w:rPr>
          <w:b/>
          <w:sz w:val="24"/>
        </w:rPr>
      </w:pPr>
      <w:r>
        <w:rPr>
          <w:sz w:val="24"/>
        </w:rPr>
        <w:t>Tener</w:t>
        <w:tab/>
        <w:t>concordancia</w:t>
        <w:tab/>
        <w:t>entre</w:t>
        <w:tab/>
        <w:t>su</w:t>
        <w:tab/>
        <w:t>contenido</w:t>
        <w:tab/>
        <w:t>y</w:t>
        <w:tab/>
        <w:t>lo</w:t>
        <w:tab/>
        <w:t>que</w:t>
        <w:tab/>
        <w:t>se</w:t>
        <w:tab/>
      </w:r>
      <w:r>
        <w:rPr>
          <w:spacing w:val="-1"/>
          <w:sz w:val="24"/>
        </w:rPr>
        <w:t>pretende </w:t>
      </w:r>
      <w:r>
        <w:rPr>
          <w:sz w:val="24"/>
        </w:rPr>
        <w:t>representar</w:t>
      </w:r>
      <w:r>
        <w:rPr>
          <w:spacing w:val="-6"/>
          <w:sz w:val="24"/>
        </w:rPr>
        <w:t> </w:t>
      </w:r>
      <w:r>
        <w:rPr>
          <w:b/>
          <w:sz w:val="24"/>
        </w:rPr>
        <w:t>(representatividad)</w:t>
      </w:r>
    </w:p>
    <w:p>
      <w:pPr>
        <w:pStyle w:val="BodyText"/>
        <w:rPr>
          <w:b/>
        </w:rPr>
      </w:pPr>
    </w:p>
    <w:p>
      <w:pPr>
        <w:pStyle w:val="ListParagraph"/>
        <w:numPr>
          <w:ilvl w:val="0"/>
          <w:numId w:val="16"/>
        </w:numPr>
        <w:tabs>
          <w:tab w:pos="1190" w:val="left" w:leader="none"/>
        </w:tabs>
        <w:spacing w:line="240" w:lineRule="auto" w:before="142" w:after="0"/>
        <w:ind w:left="1189" w:right="0" w:hanging="360"/>
        <w:jc w:val="left"/>
        <w:rPr>
          <w:b/>
          <w:sz w:val="24"/>
        </w:rPr>
      </w:pPr>
      <w:r>
        <w:rPr>
          <w:sz w:val="24"/>
        </w:rPr>
        <w:t>Encontrarse libre de sesgo o prejuicio</w:t>
      </w:r>
      <w:r>
        <w:rPr>
          <w:spacing w:val="-15"/>
          <w:sz w:val="24"/>
        </w:rPr>
        <w:t> </w:t>
      </w:r>
      <w:r>
        <w:rPr>
          <w:sz w:val="24"/>
        </w:rPr>
        <w:t>(</w:t>
      </w:r>
      <w:r>
        <w:rPr>
          <w:b/>
          <w:sz w:val="24"/>
        </w:rPr>
        <w:t>objetividad)</w:t>
      </w:r>
    </w:p>
    <w:p>
      <w:pPr>
        <w:pStyle w:val="BodyText"/>
        <w:rPr>
          <w:b/>
        </w:rPr>
      </w:pPr>
    </w:p>
    <w:p>
      <w:pPr>
        <w:pStyle w:val="BodyText"/>
        <w:rPr>
          <w:b/>
        </w:rPr>
      </w:pPr>
    </w:p>
    <w:p>
      <w:pPr>
        <w:pStyle w:val="ListParagraph"/>
        <w:numPr>
          <w:ilvl w:val="0"/>
          <w:numId w:val="16"/>
        </w:numPr>
        <w:tabs>
          <w:tab w:pos="1190" w:val="left" w:leader="none"/>
        </w:tabs>
        <w:spacing w:line="240" w:lineRule="auto" w:before="0" w:after="0"/>
        <w:ind w:left="1189" w:right="0" w:hanging="360"/>
        <w:jc w:val="left"/>
        <w:rPr>
          <w:b/>
          <w:sz w:val="24"/>
        </w:rPr>
      </w:pPr>
      <w:r>
        <w:rPr>
          <w:sz w:val="24"/>
        </w:rPr>
        <w:t>Poder comprobarse y validarse</w:t>
      </w:r>
      <w:r>
        <w:rPr>
          <w:spacing w:val="-13"/>
          <w:sz w:val="24"/>
        </w:rPr>
        <w:t> </w:t>
      </w:r>
      <w:r>
        <w:rPr>
          <w:b/>
          <w:sz w:val="24"/>
        </w:rPr>
        <w:t>(verificabilidad)</w:t>
      </w:r>
    </w:p>
    <w:p>
      <w:pPr>
        <w:pStyle w:val="BodyText"/>
        <w:rPr>
          <w:b/>
        </w:rPr>
      </w:pPr>
    </w:p>
    <w:p>
      <w:pPr>
        <w:pStyle w:val="BodyText"/>
        <w:rPr>
          <w:b/>
        </w:rPr>
      </w:pPr>
    </w:p>
    <w:p>
      <w:pPr>
        <w:pStyle w:val="ListParagraph"/>
        <w:numPr>
          <w:ilvl w:val="0"/>
          <w:numId w:val="16"/>
        </w:numPr>
        <w:tabs>
          <w:tab w:pos="1190" w:val="left" w:leader="none"/>
        </w:tabs>
        <w:spacing w:line="360" w:lineRule="auto" w:before="0" w:after="0"/>
        <w:ind w:left="1189" w:right="121" w:hanging="360"/>
        <w:jc w:val="left"/>
        <w:rPr>
          <w:b/>
          <w:sz w:val="24"/>
        </w:rPr>
      </w:pPr>
      <w:r>
        <w:rPr>
          <w:sz w:val="24"/>
        </w:rPr>
        <w:t>Contener toda aquella información que ejerza influencia en la toma de decisiones de los usuarios generales </w:t>
      </w:r>
      <w:r>
        <w:rPr>
          <w:b/>
          <w:sz w:val="24"/>
        </w:rPr>
        <w:t>(información</w:t>
      </w:r>
      <w:r>
        <w:rPr>
          <w:b/>
          <w:spacing w:val="-17"/>
          <w:sz w:val="24"/>
        </w:rPr>
        <w:t> </w:t>
      </w:r>
      <w:r>
        <w:rPr>
          <w:b/>
          <w:sz w:val="24"/>
        </w:rPr>
        <w:t>suficiente)</w:t>
      </w:r>
    </w:p>
    <w:p>
      <w:pPr>
        <w:pStyle w:val="BodyText"/>
        <w:rPr>
          <w:b/>
        </w:rPr>
      </w:pPr>
    </w:p>
    <w:p>
      <w:pPr>
        <w:pStyle w:val="ListParagraph"/>
        <w:numPr>
          <w:ilvl w:val="0"/>
          <w:numId w:val="12"/>
        </w:numPr>
        <w:tabs>
          <w:tab w:pos="470" w:val="left" w:leader="none"/>
        </w:tabs>
        <w:spacing w:line="355" w:lineRule="auto" w:before="142" w:after="0"/>
        <w:ind w:left="469" w:right="116" w:hanging="360"/>
        <w:jc w:val="both"/>
        <w:rPr>
          <w:rFonts w:ascii="Symbol" w:hAnsi="Symbol"/>
          <w:sz w:val="24"/>
        </w:rPr>
      </w:pPr>
      <w:r>
        <w:rPr>
          <w:sz w:val="24"/>
        </w:rPr>
        <w:t>Relevancia.</w:t>
      </w:r>
      <w:r>
        <w:rPr>
          <w:spacing w:val="-7"/>
          <w:sz w:val="24"/>
        </w:rPr>
        <w:t> </w:t>
      </w:r>
      <w:r>
        <w:rPr>
          <w:sz w:val="24"/>
        </w:rPr>
        <w:t>La</w:t>
      </w:r>
      <w:r>
        <w:rPr>
          <w:spacing w:val="-8"/>
          <w:sz w:val="24"/>
        </w:rPr>
        <w:t> </w:t>
      </w:r>
      <w:r>
        <w:rPr>
          <w:sz w:val="24"/>
        </w:rPr>
        <w:t>información</w:t>
      </w:r>
      <w:r>
        <w:rPr>
          <w:spacing w:val="-10"/>
          <w:sz w:val="24"/>
        </w:rPr>
        <w:t> </w:t>
      </w:r>
      <w:r>
        <w:rPr>
          <w:sz w:val="24"/>
        </w:rPr>
        <w:t>financiera</w:t>
      </w:r>
      <w:r>
        <w:rPr>
          <w:spacing w:val="-10"/>
          <w:sz w:val="24"/>
        </w:rPr>
        <w:t> </w:t>
      </w:r>
      <w:r>
        <w:rPr>
          <w:sz w:val="24"/>
        </w:rPr>
        <w:t>posee</w:t>
      </w:r>
      <w:r>
        <w:rPr>
          <w:spacing w:val="-10"/>
          <w:sz w:val="24"/>
        </w:rPr>
        <w:t> </w:t>
      </w:r>
      <w:r>
        <w:rPr>
          <w:sz w:val="24"/>
        </w:rPr>
        <w:t>esta</w:t>
      </w:r>
      <w:r>
        <w:rPr>
          <w:spacing w:val="-8"/>
          <w:sz w:val="24"/>
        </w:rPr>
        <w:t> </w:t>
      </w:r>
      <w:r>
        <w:rPr>
          <w:sz w:val="24"/>
        </w:rPr>
        <w:t>cualidad</w:t>
      </w:r>
      <w:r>
        <w:rPr>
          <w:spacing w:val="-8"/>
          <w:sz w:val="24"/>
        </w:rPr>
        <w:t> </w:t>
      </w:r>
      <w:r>
        <w:rPr>
          <w:sz w:val="24"/>
        </w:rPr>
        <w:t>cuando</w:t>
      </w:r>
      <w:r>
        <w:rPr>
          <w:spacing w:val="-10"/>
          <w:sz w:val="24"/>
        </w:rPr>
        <w:t> </w:t>
      </w:r>
      <w:r>
        <w:rPr>
          <w:sz w:val="24"/>
        </w:rPr>
        <w:t>influye</w:t>
      </w:r>
      <w:r>
        <w:rPr>
          <w:spacing w:val="-8"/>
          <w:sz w:val="24"/>
        </w:rPr>
        <w:t> </w:t>
      </w:r>
      <w:r>
        <w:rPr>
          <w:sz w:val="24"/>
        </w:rPr>
        <w:t>en</w:t>
      </w:r>
      <w:r>
        <w:rPr>
          <w:spacing w:val="-8"/>
          <w:sz w:val="24"/>
        </w:rPr>
        <w:t> </w:t>
      </w:r>
      <w:r>
        <w:rPr>
          <w:sz w:val="24"/>
        </w:rPr>
        <w:t>la toma</w:t>
      </w:r>
      <w:r>
        <w:rPr>
          <w:spacing w:val="-6"/>
          <w:sz w:val="24"/>
        </w:rPr>
        <w:t> </w:t>
      </w:r>
      <w:r>
        <w:rPr>
          <w:sz w:val="24"/>
        </w:rPr>
        <w:t>de</w:t>
      </w:r>
      <w:r>
        <w:rPr>
          <w:spacing w:val="-6"/>
          <w:sz w:val="24"/>
        </w:rPr>
        <w:t> </w:t>
      </w:r>
      <w:r>
        <w:rPr>
          <w:sz w:val="24"/>
        </w:rPr>
        <w:t>decisiones</w:t>
      </w:r>
      <w:r>
        <w:rPr>
          <w:spacing w:val="-9"/>
          <w:sz w:val="24"/>
        </w:rPr>
        <w:t> </w:t>
      </w:r>
      <w:r>
        <w:rPr>
          <w:sz w:val="24"/>
        </w:rPr>
        <w:t>económicas</w:t>
      </w:r>
      <w:r>
        <w:rPr>
          <w:spacing w:val="-6"/>
          <w:sz w:val="24"/>
        </w:rPr>
        <w:t> </w:t>
      </w:r>
      <w:r>
        <w:rPr>
          <w:sz w:val="24"/>
        </w:rPr>
        <w:t>de</w:t>
      </w:r>
      <w:r>
        <w:rPr>
          <w:spacing w:val="-6"/>
          <w:sz w:val="24"/>
        </w:rPr>
        <w:t> </w:t>
      </w:r>
      <w:r>
        <w:rPr>
          <w:sz w:val="24"/>
        </w:rPr>
        <w:t>quienes</w:t>
      </w:r>
      <w:r>
        <w:rPr>
          <w:spacing w:val="-7"/>
          <w:sz w:val="24"/>
        </w:rPr>
        <w:t> </w:t>
      </w:r>
      <w:r>
        <w:rPr>
          <w:sz w:val="24"/>
        </w:rPr>
        <w:t>la</w:t>
      </w:r>
      <w:r>
        <w:rPr>
          <w:spacing w:val="-6"/>
          <w:sz w:val="24"/>
        </w:rPr>
        <w:t> </w:t>
      </w:r>
      <w:r>
        <w:rPr>
          <w:sz w:val="24"/>
        </w:rPr>
        <w:t>utilizan.</w:t>
      </w:r>
      <w:r>
        <w:rPr>
          <w:spacing w:val="-6"/>
          <w:sz w:val="24"/>
        </w:rPr>
        <w:t> </w:t>
      </w:r>
      <w:r>
        <w:rPr>
          <w:sz w:val="24"/>
        </w:rPr>
        <w:t>Para</w:t>
      </w:r>
      <w:r>
        <w:rPr>
          <w:spacing w:val="-7"/>
          <w:sz w:val="24"/>
        </w:rPr>
        <w:t> </w:t>
      </w:r>
      <w:r>
        <w:rPr>
          <w:sz w:val="24"/>
        </w:rPr>
        <w:t>que</w:t>
      </w:r>
      <w:r>
        <w:rPr>
          <w:spacing w:val="-6"/>
          <w:sz w:val="24"/>
        </w:rPr>
        <w:t> </w:t>
      </w:r>
      <w:r>
        <w:rPr>
          <w:sz w:val="24"/>
        </w:rPr>
        <w:t>la</w:t>
      </w:r>
      <w:r>
        <w:rPr>
          <w:spacing w:val="-6"/>
          <w:sz w:val="24"/>
        </w:rPr>
        <w:t> </w:t>
      </w:r>
      <w:r>
        <w:rPr>
          <w:sz w:val="24"/>
        </w:rPr>
        <w:t>información sea relevante debe (características</w:t>
      </w:r>
      <w:r>
        <w:rPr>
          <w:spacing w:val="-18"/>
          <w:sz w:val="24"/>
        </w:rPr>
        <w:t> </w:t>
      </w:r>
      <w:r>
        <w:rPr>
          <w:sz w:val="24"/>
        </w:rPr>
        <w:t>secundarias):</w:t>
      </w:r>
    </w:p>
    <w:p>
      <w:pPr>
        <w:pStyle w:val="BodyText"/>
      </w:pPr>
    </w:p>
    <w:p>
      <w:pPr>
        <w:pStyle w:val="ListParagraph"/>
        <w:numPr>
          <w:ilvl w:val="0"/>
          <w:numId w:val="17"/>
        </w:numPr>
        <w:tabs>
          <w:tab w:pos="1166" w:val="left" w:leader="none"/>
        </w:tabs>
        <w:spacing w:line="360" w:lineRule="auto" w:before="147" w:after="0"/>
        <w:ind w:left="829" w:right="116" w:firstLine="53"/>
        <w:jc w:val="both"/>
        <w:rPr>
          <w:b/>
          <w:sz w:val="24"/>
        </w:rPr>
      </w:pPr>
      <w:r>
        <w:rPr>
          <w:sz w:val="24"/>
        </w:rPr>
        <w:t>Servir de base en la elaboración de predicciones en la elaboración de predicciones y en su confirmación (</w:t>
      </w:r>
      <w:r>
        <w:rPr>
          <w:b/>
          <w:sz w:val="24"/>
        </w:rPr>
        <w:t>Posibilidad de predicción y confirmación)</w:t>
      </w:r>
    </w:p>
    <w:p>
      <w:pPr>
        <w:pStyle w:val="BodyText"/>
        <w:rPr>
          <w:b/>
        </w:rPr>
      </w:pPr>
    </w:p>
    <w:p>
      <w:pPr>
        <w:pStyle w:val="ListParagraph"/>
        <w:numPr>
          <w:ilvl w:val="0"/>
          <w:numId w:val="17"/>
        </w:numPr>
        <w:tabs>
          <w:tab w:pos="1166" w:val="left" w:leader="none"/>
        </w:tabs>
        <w:spacing w:line="360" w:lineRule="auto" w:before="142" w:after="0"/>
        <w:ind w:left="829" w:right="117" w:firstLine="53"/>
        <w:jc w:val="both"/>
        <w:rPr>
          <w:b/>
          <w:sz w:val="24"/>
        </w:rPr>
      </w:pPr>
      <w:r>
        <w:rPr>
          <w:sz w:val="24"/>
        </w:rPr>
        <w:t>Mostrar los aspectos más significativos de la entidad reconocidos contablemente </w:t>
      </w:r>
      <w:r>
        <w:rPr>
          <w:b/>
          <w:sz w:val="24"/>
        </w:rPr>
        <w:t>(importancia</w:t>
      </w:r>
      <w:r>
        <w:rPr>
          <w:b/>
          <w:spacing w:val="-10"/>
          <w:sz w:val="24"/>
        </w:rPr>
        <w:t> </w:t>
      </w:r>
      <w:r>
        <w:rPr>
          <w:b/>
          <w:sz w:val="24"/>
        </w:rPr>
        <w:t>relativa).</w:t>
      </w:r>
    </w:p>
    <w:p>
      <w:pPr>
        <w:pStyle w:val="BodyText"/>
        <w:rPr>
          <w:b/>
        </w:rPr>
      </w:pPr>
    </w:p>
    <w:p>
      <w:pPr>
        <w:pStyle w:val="ListParagraph"/>
        <w:numPr>
          <w:ilvl w:val="0"/>
          <w:numId w:val="12"/>
        </w:numPr>
        <w:tabs>
          <w:tab w:pos="469" w:val="left" w:leader="none"/>
          <w:tab w:pos="470" w:val="left" w:leader="none"/>
        </w:tabs>
        <w:spacing w:line="240" w:lineRule="auto" w:before="142" w:after="0"/>
        <w:ind w:left="469" w:right="0" w:hanging="360"/>
        <w:jc w:val="left"/>
        <w:rPr>
          <w:rFonts w:ascii="Symbol"/>
          <w:sz w:val="24"/>
        </w:rPr>
      </w:pPr>
      <w:r>
        <w:rPr>
          <w:sz w:val="24"/>
        </w:rPr>
        <w:t>Comprensibilidad. Que facilite su entendimiento a los</w:t>
      </w:r>
      <w:r>
        <w:rPr>
          <w:spacing w:val="-21"/>
          <w:sz w:val="24"/>
        </w:rPr>
        <w:t> </w:t>
      </w:r>
      <w:r>
        <w:rPr>
          <w:sz w:val="24"/>
        </w:rPr>
        <w:t>usuarios.</w:t>
      </w:r>
    </w:p>
    <w:p>
      <w:pPr>
        <w:pStyle w:val="ListParagraph"/>
        <w:numPr>
          <w:ilvl w:val="0"/>
          <w:numId w:val="12"/>
        </w:numPr>
        <w:tabs>
          <w:tab w:pos="470" w:val="left" w:leader="none"/>
        </w:tabs>
        <w:spacing w:line="355" w:lineRule="auto" w:before="136" w:after="0"/>
        <w:ind w:left="469" w:right="118" w:hanging="360"/>
        <w:jc w:val="both"/>
        <w:rPr>
          <w:rFonts w:ascii="Symbol" w:hAnsi="Symbol"/>
          <w:sz w:val="24"/>
        </w:rPr>
      </w:pPr>
      <w:r>
        <w:rPr>
          <w:sz w:val="24"/>
        </w:rPr>
        <w:t>Comparabilidad. Debe permitir a los usuarios generales identificar y analizar las diferencias y similitudes con la información de la misma entidad y con la</w:t>
      </w:r>
      <w:r>
        <w:rPr>
          <w:spacing w:val="-36"/>
          <w:sz w:val="24"/>
        </w:rPr>
        <w:t> </w:t>
      </w:r>
      <w:r>
        <w:rPr>
          <w:sz w:val="24"/>
        </w:rPr>
        <w:t>de otras entidades, a lo largo del</w:t>
      </w:r>
      <w:r>
        <w:rPr>
          <w:spacing w:val="-12"/>
          <w:sz w:val="24"/>
        </w:rPr>
        <w:t> </w:t>
      </w:r>
      <w:r>
        <w:rPr>
          <w:sz w:val="24"/>
        </w:rPr>
        <w:t>tiempo.</w:t>
      </w:r>
    </w:p>
    <w:p>
      <w:pPr>
        <w:spacing w:after="0" w:line="355" w:lineRule="auto"/>
        <w:jc w:val="both"/>
        <w:rPr>
          <w:rFonts w:ascii="Symbol" w:hAnsi="Symbol"/>
          <w:sz w:val="24"/>
        </w:rPr>
        <w:sectPr>
          <w:footerReference w:type="default" r:id="rId69"/>
          <w:pgSz w:w="12240" w:h="15840"/>
          <w:pgMar w:footer="779" w:header="0" w:top="1360" w:bottom="960" w:left="1720" w:right="1580"/>
          <w:pgNumType w:start="21"/>
        </w:sectPr>
      </w:pPr>
    </w:p>
    <w:p>
      <w:pPr>
        <w:pStyle w:val="BodyText"/>
        <w:spacing w:before="57"/>
        <w:ind w:left="109"/>
        <w:jc w:val="both"/>
      </w:pPr>
      <w:r>
        <w:rPr/>
        <w:t>RESTRICCIONES A LAS CARACTERÍSTICAS CUALITATIVAS.</w:t>
      </w:r>
    </w:p>
    <w:p>
      <w:pPr>
        <w:pStyle w:val="ListParagraph"/>
        <w:numPr>
          <w:ilvl w:val="1"/>
          <w:numId w:val="12"/>
        </w:numPr>
        <w:tabs>
          <w:tab w:pos="830" w:val="left" w:leader="none"/>
        </w:tabs>
        <w:spacing w:line="352" w:lineRule="auto" w:before="137" w:after="0"/>
        <w:ind w:left="829" w:right="125" w:hanging="360"/>
        <w:jc w:val="both"/>
        <w:rPr>
          <w:sz w:val="24"/>
        </w:rPr>
      </w:pPr>
      <w:r>
        <w:rPr>
          <w:sz w:val="24"/>
        </w:rPr>
        <w:t>Oportunidad. Debe emitirse a tiempo antes de que pierda su capacidad de influir en la toma de</w:t>
      </w:r>
      <w:r>
        <w:rPr>
          <w:spacing w:val="-12"/>
          <w:sz w:val="24"/>
        </w:rPr>
        <w:t> </w:t>
      </w:r>
      <w:r>
        <w:rPr>
          <w:sz w:val="24"/>
        </w:rPr>
        <w:t>decisiones.</w:t>
      </w:r>
    </w:p>
    <w:p>
      <w:pPr>
        <w:pStyle w:val="ListParagraph"/>
        <w:numPr>
          <w:ilvl w:val="1"/>
          <w:numId w:val="12"/>
        </w:numPr>
        <w:tabs>
          <w:tab w:pos="830" w:val="left" w:leader="none"/>
        </w:tabs>
        <w:spacing w:line="350" w:lineRule="auto" w:before="11" w:after="0"/>
        <w:ind w:left="829" w:right="121" w:hanging="360"/>
        <w:jc w:val="both"/>
        <w:rPr>
          <w:sz w:val="24"/>
        </w:rPr>
      </w:pPr>
      <w:r>
        <w:rPr>
          <w:sz w:val="24"/>
        </w:rPr>
        <w:t>Relación entre costo y beneficio. Los beneficios derivados de la información deben exceder el costo de</w:t>
      </w:r>
      <w:r>
        <w:rPr>
          <w:spacing w:val="-17"/>
          <w:sz w:val="24"/>
        </w:rPr>
        <w:t> </w:t>
      </w:r>
      <w:r>
        <w:rPr>
          <w:sz w:val="24"/>
        </w:rPr>
        <w:t>obtenerla.</w:t>
      </w:r>
    </w:p>
    <w:p>
      <w:pPr>
        <w:pStyle w:val="ListParagraph"/>
        <w:numPr>
          <w:ilvl w:val="1"/>
          <w:numId w:val="12"/>
        </w:numPr>
        <w:tabs>
          <w:tab w:pos="830" w:val="left" w:leader="none"/>
        </w:tabs>
        <w:spacing w:line="355" w:lineRule="auto" w:before="16" w:after="0"/>
        <w:ind w:left="829" w:right="125" w:hanging="360"/>
        <w:jc w:val="both"/>
        <w:rPr>
          <w:sz w:val="24"/>
        </w:rPr>
      </w:pPr>
      <w:r>
        <w:rPr>
          <w:sz w:val="24"/>
        </w:rPr>
        <w:t>Equilibrio entre características cualitativas. Implica que su cumplimiento debe dirigirse a la búsqueda de un punto óptimo, más que hacia la consecución de niveles máximos de todas las características</w:t>
      </w:r>
      <w:r>
        <w:rPr>
          <w:spacing w:val="-18"/>
          <w:sz w:val="24"/>
        </w:rPr>
        <w:t> </w:t>
      </w:r>
      <w:r>
        <w:rPr>
          <w:sz w:val="24"/>
        </w:rPr>
        <w:t>cualitativas.</w:t>
      </w:r>
    </w:p>
    <w:p>
      <w:pPr>
        <w:pStyle w:val="BodyText"/>
      </w:pPr>
    </w:p>
    <w:p>
      <w:pPr>
        <w:pStyle w:val="Heading2"/>
        <w:numPr>
          <w:ilvl w:val="2"/>
          <w:numId w:val="15"/>
        </w:numPr>
        <w:tabs>
          <w:tab w:pos="695" w:val="left" w:leader="none"/>
        </w:tabs>
        <w:spacing w:line="240" w:lineRule="auto" w:before="186" w:after="0"/>
        <w:ind w:left="694" w:right="0" w:hanging="585"/>
        <w:jc w:val="both"/>
      </w:pPr>
      <w:bookmarkStart w:name="_bookmark17" w:id="32"/>
      <w:bookmarkEnd w:id="32"/>
      <w:r>
        <w:rPr>
          <w:b w:val="0"/>
        </w:rPr>
      </w:r>
      <w:bookmarkStart w:name="_bookmark17" w:id="33"/>
      <w:bookmarkEnd w:id="33"/>
      <w:r>
        <w:rPr>
          <w:w w:val="95"/>
        </w:rPr>
        <w:t>P</w:t>
      </w:r>
      <w:r>
        <w:rPr>
          <w:w w:val="95"/>
        </w:rPr>
        <w:t>ostulados de la</w:t>
      </w:r>
      <w:r>
        <w:rPr>
          <w:spacing w:val="7"/>
          <w:w w:val="95"/>
        </w:rPr>
        <w:t> </w:t>
      </w:r>
      <w:r>
        <w:rPr>
          <w:w w:val="95"/>
        </w:rPr>
        <w:t>Contabilidad.</w:t>
      </w:r>
    </w:p>
    <w:p>
      <w:pPr>
        <w:pStyle w:val="BodyText"/>
        <w:spacing w:before="9"/>
        <w:rPr>
          <w:b/>
          <w:sz w:val="34"/>
        </w:rPr>
      </w:pPr>
    </w:p>
    <w:p>
      <w:pPr>
        <w:spacing w:before="1"/>
        <w:ind w:left="109" w:right="0" w:firstLine="0"/>
        <w:jc w:val="both"/>
        <w:rPr>
          <w:b/>
          <w:sz w:val="24"/>
        </w:rPr>
      </w:pPr>
      <w:r>
        <w:rPr>
          <w:b/>
          <w:sz w:val="24"/>
        </w:rPr>
        <w:t>Objetivo.</w:t>
      </w:r>
    </w:p>
    <w:p>
      <w:pPr>
        <w:pStyle w:val="BodyText"/>
        <w:rPr>
          <w:b/>
        </w:rPr>
      </w:pPr>
    </w:p>
    <w:p>
      <w:pPr>
        <w:pStyle w:val="BodyText"/>
        <w:rPr>
          <w:b/>
        </w:rPr>
      </w:pPr>
    </w:p>
    <w:p>
      <w:pPr>
        <w:pStyle w:val="BodyText"/>
        <w:spacing w:line="360" w:lineRule="auto"/>
        <w:ind w:left="109" w:right="116"/>
        <w:jc w:val="both"/>
      </w:pPr>
      <w:r>
        <w:rPr/>
        <w:t>Definir los fundamentos que configuran el sistema de información contable y rigen el ambiente bajo el cual debe operar, debido a lo cual tienen influencia sobre cada una de las fases que comprenden dicho sistema contable.</w:t>
      </w:r>
    </w:p>
    <w:p>
      <w:pPr>
        <w:pStyle w:val="BodyText"/>
      </w:pPr>
    </w:p>
    <w:p>
      <w:pPr>
        <w:pStyle w:val="BodyText"/>
        <w:spacing w:line="360" w:lineRule="auto" w:before="142"/>
        <w:ind w:left="109" w:right="116"/>
        <w:jc w:val="both"/>
      </w:pPr>
      <w:r>
        <w:rPr/>
        <w:t>Lo anterior significa básicamente que incide de forma directa en la identificación, análisis, interpretación, captación, procesamiento y, finalmente, en el reconocimiento contable</w:t>
      </w:r>
      <w:r>
        <w:rPr>
          <w:spacing w:val="-11"/>
        </w:rPr>
        <w:t> </w:t>
      </w:r>
      <w:r>
        <w:rPr/>
        <w:t>de</w:t>
      </w:r>
      <w:r>
        <w:rPr>
          <w:spacing w:val="-11"/>
        </w:rPr>
        <w:t> </w:t>
      </w:r>
      <w:r>
        <w:rPr/>
        <w:t>las</w:t>
      </w:r>
      <w:r>
        <w:rPr>
          <w:spacing w:val="-11"/>
        </w:rPr>
        <w:t> </w:t>
      </w:r>
      <w:r>
        <w:rPr/>
        <w:t>operaciones</w:t>
      </w:r>
      <w:r>
        <w:rPr>
          <w:spacing w:val="-14"/>
        </w:rPr>
        <w:t> </w:t>
      </w:r>
      <w:r>
        <w:rPr/>
        <w:t>económicas</w:t>
      </w:r>
      <w:r>
        <w:rPr>
          <w:spacing w:val="-11"/>
        </w:rPr>
        <w:t> </w:t>
      </w:r>
      <w:r>
        <w:rPr/>
        <w:t>que</w:t>
      </w:r>
      <w:r>
        <w:rPr>
          <w:spacing w:val="-11"/>
        </w:rPr>
        <w:t> </w:t>
      </w:r>
      <w:r>
        <w:rPr/>
        <w:t>la</w:t>
      </w:r>
      <w:r>
        <w:rPr>
          <w:spacing w:val="-11"/>
        </w:rPr>
        <w:t> </w:t>
      </w:r>
      <w:r>
        <w:rPr/>
        <w:t>empresa</w:t>
      </w:r>
      <w:r>
        <w:rPr>
          <w:spacing w:val="-11"/>
        </w:rPr>
        <w:t> </w:t>
      </w:r>
      <w:r>
        <w:rPr/>
        <w:t>realiza</w:t>
      </w:r>
      <w:r>
        <w:rPr>
          <w:spacing w:val="-11"/>
        </w:rPr>
        <w:t> </w:t>
      </w:r>
      <w:r>
        <w:rPr/>
        <w:t>con</w:t>
      </w:r>
      <w:r>
        <w:rPr>
          <w:spacing w:val="-11"/>
        </w:rPr>
        <w:t> </w:t>
      </w:r>
      <w:r>
        <w:rPr/>
        <w:t>terceros,</w:t>
      </w:r>
      <w:r>
        <w:rPr>
          <w:spacing w:val="-11"/>
        </w:rPr>
        <w:t> </w:t>
      </w:r>
      <w:r>
        <w:rPr/>
        <w:t>con</w:t>
      </w:r>
      <w:r>
        <w:rPr>
          <w:spacing w:val="-9"/>
        </w:rPr>
        <w:t> </w:t>
      </w:r>
      <w:r>
        <w:rPr/>
        <w:t>ella misma de forma interna y como resultado de eventos externos y ajenos a la propia entidad.</w:t>
      </w:r>
    </w:p>
    <w:p>
      <w:pPr>
        <w:pStyle w:val="BodyText"/>
        <w:spacing w:before="2"/>
      </w:pPr>
    </w:p>
    <w:p>
      <w:pPr>
        <w:pStyle w:val="Heading2"/>
      </w:pPr>
      <w:r>
        <w:rPr/>
        <w:t>Características</w:t>
      </w:r>
    </w:p>
    <w:p>
      <w:pPr>
        <w:pStyle w:val="BodyText"/>
        <w:spacing w:before="2"/>
        <w:rPr>
          <w:b/>
        </w:rPr>
      </w:pPr>
    </w:p>
    <w:p>
      <w:pPr>
        <w:pStyle w:val="BodyText"/>
        <w:ind w:left="675" w:right="212"/>
      </w:pPr>
      <w:r>
        <w:rPr/>
        <w:t>Surgen como:</w:t>
      </w:r>
    </w:p>
    <w:p>
      <w:pPr>
        <w:pStyle w:val="ListParagraph"/>
        <w:numPr>
          <w:ilvl w:val="3"/>
          <w:numId w:val="15"/>
        </w:numPr>
        <w:tabs>
          <w:tab w:pos="830" w:val="left" w:leader="none"/>
        </w:tabs>
        <w:spacing w:line="350" w:lineRule="auto" w:before="138" w:after="0"/>
        <w:ind w:left="829" w:right="128" w:hanging="360"/>
        <w:jc w:val="both"/>
        <w:rPr>
          <w:sz w:val="24"/>
        </w:rPr>
      </w:pPr>
      <w:r>
        <w:rPr>
          <w:sz w:val="24"/>
        </w:rPr>
        <w:t>Generalizaciones o abstracciones del entorno en el que se desenvuelve la empresa.</w:t>
      </w:r>
    </w:p>
    <w:p>
      <w:pPr>
        <w:pStyle w:val="ListParagraph"/>
        <w:numPr>
          <w:ilvl w:val="3"/>
          <w:numId w:val="15"/>
        </w:numPr>
        <w:tabs>
          <w:tab w:pos="830" w:val="left" w:leader="none"/>
        </w:tabs>
        <w:spacing w:line="350" w:lineRule="auto" w:before="16" w:after="0"/>
        <w:ind w:left="829" w:right="126" w:hanging="360"/>
        <w:jc w:val="both"/>
        <w:rPr>
          <w:sz w:val="24"/>
        </w:rPr>
      </w:pPr>
      <w:r>
        <w:rPr>
          <w:sz w:val="24"/>
        </w:rPr>
        <w:t>Derivación de la experiencia, de los hábitos y de las formas de pensamiento impuestas por la práctica de los</w:t>
      </w:r>
      <w:r>
        <w:rPr>
          <w:spacing w:val="-14"/>
          <w:sz w:val="24"/>
        </w:rPr>
        <w:t> </w:t>
      </w:r>
      <w:r>
        <w:rPr>
          <w:sz w:val="24"/>
        </w:rPr>
        <w:t>negocios.</w:t>
      </w:r>
    </w:p>
    <w:p>
      <w:pPr>
        <w:pStyle w:val="ListParagraph"/>
        <w:numPr>
          <w:ilvl w:val="3"/>
          <w:numId w:val="15"/>
        </w:numPr>
        <w:tabs>
          <w:tab w:pos="830" w:val="left" w:leader="none"/>
        </w:tabs>
        <w:spacing w:line="352" w:lineRule="auto" w:before="14" w:after="0"/>
        <w:ind w:left="829" w:right="115" w:hanging="360"/>
        <w:jc w:val="both"/>
        <w:rPr>
          <w:sz w:val="24"/>
        </w:rPr>
      </w:pPr>
      <w:r>
        <w:rPr>
          <w:sz w:val="24"/>
        </w:rPr>
        <w:t>La aplicación en congruencia con los objetivos de la información financiera y sus características</w:t>
      </w:r>
      <w:r>
        <w:rPr>
          <w:spacing w:val="-9"/>
          <w:sz w:val="24"/>
        </w:rPr>
        <w:t> </w:t>
      </w:r>
      <w:r>
        <w:rPr>
          <w:sz w:val="24"/>
        </w:rPr>
        <w:t>cualitativas.</w:t>
      </w:r>
    </w:p>
    <w:p>
      <w:pPr>
        <w:spacing w:after="0" w:line="352" w:lineRule="auto"/>
        <w:jc w:val="both"/>
        <w:rPr>
          <w:sz w:val="24"/>
        </w:rPr>
        <w:sectPr>
          <w:pgSz w:w="12240" w:h="15840"/>
          <w:pgMar w:header="0" w:footer="779" w:top="1360" w:bottom="960" w:left="1360" w:right="1580"/>
        </w:sectPr>
      </w:pPr>
    </w:p>
    <w:p>
      <w:pPr>
        <w:pStyle w:val="BodyText"/>
        <w:rPr>
          <w:sz w:val="20"/>
        </w:rPr>
      </w:pPr>
    </w:p>
    <w:p>
      <w:pPr>
        <w:pStyle w:val="BodyText"/>
        <w:rPr>
          <w:sz w:val="20"/>
        </w:rPr>
      </w:pPr>
    </w:p>
    <w:p>
      <w:pPr>
        <w:pStyle w:val="BodyText"/>
        <w:spacing w:before="8"/>
        <w:rPr>
          <w:sz w:val="18"/>
        </w:rPr>
      </w:pPr>
    </w:p>
    <w:p>
      <w:pPr>
        <w:pStyle w:val="BodyText"/>
        <w:spacing w:before="70"/>
        <w:ind w:left="109"/>
      </w:pPr>
      <w:r>
        <w:rPr/>
        <w:t>Tienen como características el hecho de que:</w:t>
      </w:r>
    </w:p>
    <w:p>
      <w:pPr>
        <w:pStyle w:val="BodyText"/>
      </w:pPr>
    </w:p>
    <w:p>
      <w:pPr>
        <w:pStyle w:val="BodyText"/>
      </w:pPr>
    </w:p>
    <w:p>
      <w:pPr>
        <w:pStyle w:val="ListParagraph"/>
        <w:numPr>
          <w:ilvl w:val="3"/>
          <w:numId w:val="15"/>
        </w:numPr>
        <w:tabs>
          <w:tab w:pos="830" w:val="left" w:leader="none"/>
        </w:tabs>
        <w:spacing w:line="350" w:lineRule="auto" w:before="0" w:after="0"/>
        <w:ind w:left="829" w:right="104" w:hanging="360"/>
        <w:jc w:val="both"/>
        <w:rPr>
          <w:sz w:val="24"/>
        </w:rPr>
      </w:pPr>
      <w:r>
        <w:rPr>
          <w:sz w:val="24"/>
        </w:rPr>
        <w:t>Vinculan al sistema de información contable con el entorno en el que éste opera.</w:t>
      </w:r>
    </w:p>
    <w:p>
      <w:pPr>
        <w:pStyle w:val="ListParagraph"/>
        <w:numPr>
          <w:ilvl w:val="3"/>
          <w:numId w:val="15"/>
        </w:numPr>
        <w:tabs>
          <w:tab w:pos="830" w:val="left" w:leader="none"/>
        </w:tabs>
        <w:spacing w:line="352" w:lineRule="auto" w:before="14" w:after="0"/>
        <w:ind w:left="829" w:right="105" w:hanging="360"/>
        <w:jc w:val="both"/>
        <w:rPr>
          <w:sz w:val="24"/>
        </w:rPr>
      </w:pPr>
      <w:r>
        <w:rPr>
          <w:sz w:val="24"/>
        </w:rPr>
        <w:t>Guían la acción normativa de manera conjunta con el resto de los conceptos básicos que integran el marco</w:t>
      </w:r>
      <w:r>
        <w:rPr>
          <w:spacing w:val="-15"/>
          <w:sz w:val="24"/>
        </w:rPr>
        <w:t> </w:t>
      </w:r>
      <w:r>
        <w:rPr>
          <w:sz w:val="24"/>
        </w:rPr>
        <w:t>conceptual.</w:t>
      </w:r>
    </w:p>
    <w:p>
      <w:pPr>
        <w:pStyle w:val="ListParagraph"/>
        <w:numPr>
          <w:ilvl w:val="3"/>
          <w:numId w:val="15"/>
        </w:numPr>
        <w:tabs>
          <w:tab w:pos="830" w:val="left" w:leader="none"/>
        </w:tabs>
        <w:spacing w:line="355" w:lineRule="auto" w:before="12" w:after="0"/>
        <w:ind w:left="829" w:right="101" w:hanging="360"/>
        <w:jc w:val="both"/>
        <w:rPr>
          <w:sz w:val="24"/>
        </w:rPr>
      </w:pPr>
      <w:r>
        <w:rPr>
          <w:sz w:val="24"/>
        </w:rPr>
        <w:t>Dan pauta para explicar en qué momento y cómo deben reconocerse los efectos derivados de las operaciones que lleva a cabo una entidad y de otros eventos que la</w:t>
      </w:r>
      <w:r>
        <w:rPr>
          <w:spacing w:val="-9"/>
          <w:sz w:val="24"/>
        </w:rPr>
        <w:t> </w:t>
      </w:r>
      <w:r>
        <w:rPr>
          <w:sz w:val="24"/>
        </w:rPr>
        <w:t>afectan.</w:t>
      </w:r>
    </w:p>
    <w:p>
      <w:pPr>
        <w:pStyle w:val="BodyText"/>
      </w:pPr>
    </w:p>
    <w:p>
      <w:pPr>
        <w:pStyle w:val="BodyText"/>
      </w:pPr>
    </w:p>
    <w:p>
      <w:pPr>
        <w:pStyle w:val="BodyText"/>
        <w:spacing w:before="8"/>
      </w:pPr>
    </w:p>
    <w:p>
      <w:pPr>
        <w:spacing w:before="0"/>
        <w:ind w:left="109" w:right="0" w:firstLine="0"/>
        <w:jc w:val="left"/>
        <w:rPr>
          <w:sz w:val="24"/>
        </w:rPr>
      </w:pPr>
      <w:r>
        <w:rPr>
          <w:sz w:val="24"/>
        </w:rPr>
        <w:t>Los </w:t>
      </w:r>
      <w:r>
        <w:rPr>
          <w:b/>
          <w:sz w:val="24"/>
        </w:rPr>
        <w:t>postulados básicos </w:t>
      </w:r>
      <w:r>
        <w:rPr>
          <w:sz w:val="24"/>
        </w:rPr>
        <w:t>son ocho:</w:t>
      </w:r>
    </w:p>
    <w:p>
      <w:pPr>
        <w:pStyle w:val="BodyText"/>
      </w:pPr>
    </w:p>
    <w:p>
      <w:pPr>
        <w:pStyle w:val="ListParagraph"/>
        <w:numPr>
          <w:ilvl w:val="0"/>
          <w:numId w:val="18"/>
        </w:numPr>
        <w:tabs>
          <w:tab w:pos="2151" w:val="left" w:leader="none"/>
          <w:tab w:pos="2152" w:val="left" w:leader="none"/>
        </w:tabs>
        <w:spacing w:line="240" w:lineRule="auto" w:before="139" w:after="0"/>
        <w:ind w:left="2151" w:right="0" w:hanging="422"/>
        <w:jc w:val="left"/>
        <w:rPr>
          <w:sz w:val="24"/>
        </w:rPr>
      </w:pPr>
      <w:r>
        <w:rPr>
          <w:sz w:val="24"/>
        </w:rPr>
        <w:t>Sustancia</w:t>
      </w:r>
      <w:r>
        <w:rPr>
          <w:spacing w:val="17"/>
          <w:sz w:val="24"/>
        </w:rPr>
        <w:t> </w:t>
      </w:r>
      <w:r>
        <w:rPr>
          <w:sz w:val="24"/>
        </w:rPr>
        <w:t>económica</w:t>
      </w:r>
    </w:p>
    <w:p>
      <w:pPr>
        <w:pStyle w:val="ListParagraph"/>
        <w:numPr>
          <w:ilvl w:val="0"/>
          <w:numId w:val="18"/>
        </w:numPr>
        <w:tabs>
          <w:tab w:pos="2151" w:val="left" w:leader="none"/>
          <w:tab w:pos="2152" w:val="left" w:leader="none"/>
        </w:tabs>
        <w:spacing w:line="240" w:lineRule="auto" w:before="137" w:after="0"/>
        <w:ind w:left="2151" w:right="0" w:hanging="422"/>
        <w:jc w:val="left"/>
        <w:rPr>
          <w:sz w:val="24"/>
        </w:rPr>
      </w:pPr>
      <w:r>
        <w:rPr>
          <w:sz w:val="24"/>
        </w:rPr>
        <w:t>Entidad</w:t>
      </w:r>
      <w:r>
        <w:rPr>
          <w:spacing w:val="12"/>
          <w:sz w:val="24"/>
        </w:rPr>
        <w:t> </w:t>
      </w:r>
      <w:r>
        <w:rPr>
          <w:sz w:val="24"/>
        </w:rPr>
        <w:t>económica</w:t>
      </w:r>
    </w:p>
    <w:p>
      <w:pPr>
        <w:pStyle w:val="ListParagraph"/>
        <w:numPr>
          <w:ilvl w:val="0"/>
          <w:numId w:val="18"/>
        </w:numPr>
        <w:tabs>
          <w:tab w:pos="2168" w:val="left" w:leader="none"/>
          <w:tab w:pos="2169" w:val="left" w:leader="none"/>
        </w:tabs>
        <w:spacing w:line="240" w:lineRule="auto" w:before="139" w:after="0"/>
        <w:ind w:left="2168" w:right="0" w:hanging="439"/>
        <w:jc w:val="left"/>
        <w:rPr>
          <w:sz w:val="24"/>
        </w:rPr>
      </w:pPr>
      <w:r>
        <w:rPr>
          <w:sz w:val="24"/>
        </w:rPr>
        <w:t>Negocio en</w:t>
      </w:r>
      <w:r>
        <w:rPr>
          <w:spacing w:val="31"/>
          <w:sz w:val="24"/>
        </w:rPr>
        <w:t> </w:t>
      </w:r>
      <w:r>
        <w:rPr>
          <w:sz w:val="24"/>
        </w:rPr>
        <w:t>marcha</w:t>
      </w:r>
    </w:p>
    <w:p>
      <w:pPr>
        <w:pStyle w:val="ListParagraph"/>
        <w:numPr>
          <w:ilvl w:val="0"/>
          <w:numId w:val="18"/>
        </w:numPr>
        <w:tabs>
          <w:tab w:pos="2151" w:val="left" w:leader="none"/>
          <w:tab w:pos="2152" w:val="left" w:leader="none"/>
        </w:tabs>
        <w:spacing w:line="240" w:lineRule="auto" w:before="137" w:after="0"/>
        <w:ind w:left="2151" w:right="0" w:hanging="422"/>
        <w:jc w:val="left"/>
        <w:rPr>
          <w:sz w:val="24"/>
        </w:rPr>
      </w:pPr>
      <w:r>
        <w:rPr>
          <w:sz w:val="24"/>
        </w:rPr>
        <w:t>Devengación</w:t>
      </w:r>
      <w:r>
        <w:rPr>
          <w:spacing w:val="19"/>
          <w:sz w:val="24"/>
        </w:rPr>
        <w:t> </w:t>
      </w:r>
      <w:r>
        <w:rPr>
          <w:sz w:val="24"/>
        </w:rPr>
        <w:t>contable</w:t>
      </w:r>
    </w:p>
    <w:p>
      <w:pPr>
        <w:pStyle w:val="ListParagraph"/>
        <w:numPr>
          <w:ilvl w:val="0"/>
          <w:numId w:val="18"/>
        </w:numPr>
        <w:tabs>
          <w:tab w:pos="2151" w:val="left" w:leader="none"/>
          <w:tab w:pos="2152" w:val="left" w:leader="none"/>
        </w:tabs>
        <w:spacing w:line="240" w:lineRule="auto" w:before="139" w:after="0"/>
        <w:ind w:left="2151" w:right="0" w:hanging="422"/>
        <w:jc w:val="left"/>
        <w:rPr>
          <w:sz w:val="24"/>
        </w:rPr>
      </w:pPr>
      <w:r>
        <w:rPr>
          <w:sz w:val="24"/>
        </w:rPr>
        <w:t>Asociación de costos y gastos con </w:t>
      </w:r>
      <w:r>
        <w:rPr>
          <w:spacing w:val="8"/>
          <w:sz w:val="24"/>
        </w:rPr>
        <w:t> </w:t>
      </w:r>
      <w:r>
        <w:rPr>
          <w:sz w:val="24"/>
        </w:rPr>
        <w:t>ingresos</w:t>
      </w:r>
    </w:p>
    <w:p>
      <w:pPr>
        <w:pStyle w:val="ListParagraph"/>
        <w:numPr>
          <w:ilvl w:val="0"/>
          <w:numId w:val="18"/>
        </w:numPr>
        <w:tabs>
          <w:tab w:pos="2180" w:val="left" w:leader="none"/>
          <w:tab w:pos="2181" w:val="left" w:leader="none"/>
        </w:tabs>
        <w:spacing w:line="240" w:lineRule="auto" w:before="137" w:after="0"/>
        <w:ind w:left="2180" w:right="0" w:hanging="451"/>
        <w:jc w:val="left"/>
        <w:rPr>
          <w:sz w:val="24"/>
        </w:rPr>
      </w:pPr>
      <w:r>
        <w:rPr>
          <w:sz w:val="24"/>
        </w:rPr>
        <w:t>Valuación</w:t>
      </w:r>
    </w:p>
    <w:p>
      <w:pPr>
        <w:pStyle w:val="ListParagraph"/>
        <w:numPr>
          <w:ilvl w:val="0"/>
          <w:numId w:val="18"/>
        </w:numPr>
        <w:tabs>
          <w:tab w:pos="2151" w:val="left" w:leader="none"/>
          <w:tab w:pos="2152" w:val="left" w:leader="none"/>
        </w:tabs>
        <w:spacing w:line="240" w:lineRule="auto" w:before="139" w:after="0"/>
        <w:ind w:left="2151" w:right="0" w:hanging="422"/>
        <w:jc w:val="left"/>
        <w:rPr>
          <w:sz w:val="24"/>
        </w:rPr>
      </w:pPr>
      <w:r>
        <w:rPr>
          <w:sz w:val="24"/>
        </w:rPr>
        <w:t>Dualidad</w:t>
      </w:r>
      <w:r>
        <w:rPr>
          <w:spacing w:val="18"/>
          <w:sz w:val="24"/>
        </w:rPr>
        <w:t> </w:t>
      </w:r>
      <w:r>
        <w:rPr>
          <w:sz w:val="24"/>
        </w:rPr>
        <w:t>económica</w:t>
      </w:r>
    </w:p>
    <w:p>
      <w:pPr>
        <w:pStyle w:val="ListParagraph"/>
        <w:numPr>
          <w:ilvl w:val="0"/>
          <w:numId w:val="18"/>
        </w:numPr>
        <w:tabs>
          <w:tab w:pos="2151" w:val="left" w:leader="none"/>
          <w:tab w:pos="2152" w:val="left" w:leader="none"/>
        </w:tabs>
        <w:spacing w:line="240" w:lineRule="auto" w:before="137" w:after="0"/>
        <w:ind w:left="2151" w:right="0" w:hanging="422"/>
        <w:jc w:val="left"/>
        <w:rPr>
          <w:sz w:val="24"/>
        </w:rPr>
      </w:pPr>
      <w:r>
        <w:rPr>
          <w:sz w:val="24"/>
        </w:rPr>
        <w:t>Consistencia</w:t>
      </w:r>
    </w:p>
    <w:p>
      <w:pPr>
        <w:pStyle w:val="BodyText"/>
      </w:pPr>
    </w:p>
    <w:p>
      <w:pPr>
        <w:pStyle w:val="BodyText"/>
      </w:pPr>
    </w:p>
    <w:p>
      <w:pPr>
        <w:pStyle w:val="BodyText"/>
      </w:pPr>
    </w:p>
    <w:p>
      <w:pPr>
        <w:pStyle w:val="BodyText"/>
        <w:spacing w:line="360" w:lineRule="auto"/>
        <w:ind w:left="109" w:right="192"/>
      </w:pPr>
      <w:r>
        <w:rPr/>
        <w:t>Hablemos primero de los tres que  captan  la  esencia  económica,  delimitan  al  ente y asumen su continuidad que se incluyen el cuadro   y se </w:t>
      </w:r>
      <w:r>
        <w:rPr>
          <w:spacing w:val="33"/>
        </w:rPr>
        <w:t> </w:t>
      </w:r>
      <w:r>
        <w:rPr/>
        <w:t>desarrolla:</w:t>
      </w:r>
    </w:p>
    <w:p>
      <w:pPr>
        <w:pStyle w:val="BodyText"/>
      </w:pPr>
    </w:p>
    <w:p>
      <w:pPr>
        <w:pStyle w:val="Heading2"/>
        <w:numPr>
          <w:ilvl w:val="0"/>
          <w:numId w:val="19"/>
        </w:numPr>
        <w:tabs>
          <w:tab w:pos="861" w:val="left" w:leader="none"/>
          <w:tab w:pos="2209" w:val="left" w:leader="none"/>
        </w:tabs>
        <w:spacing w:line="240" w:lineRule="auto" w:before="142" w:after="0"/>
        <w:ind w:left="536" w:right="0" w:hanging="67"/>
        <w:jc w:val="left"/>
      </w:pPr>
      <w:r>
        <w:rPr/>
        <w:t>Sustancia</w:t>
        <w:tab/>
        <w:t>económica.</w:t>
      </w:r>
    </w:p>
    <w:p>
      <w:pPr>
        <w:pStyle w:val="BodyText"/>
        <w:spacing w:line="360" w:lineRule="auto" w:before="137"/>
        <w:ind w:left="536"/>
      </w:pPr>
      <w:r>
        <w:rPr/>
        <w:t>Nos dice que la sustancia económica debe prevalecer en la delimitación y operación del sistema contable.</w:t>
      </w:r>
    </w:p>
    <w:p>
      <w:pPr>
        <w:spacing w:after="0" w:line="360" w:lineRule="auto"/>
        <w:sectPr>
          <w:pgSz w:w="12240" w:h="15840"/>
          <w:pgMar w:header="0" w:footer="779" w:top="1500" w:bottom="960" w:left="1360" w:right="1600"/>
        </w:sectPr>
      </w:pPr>
    </w:p>
    <w:p>
      <w:pPr>
        <w:pStyle w:val="BodyText"/>
        <w:spacing w:before="57"/>
        <w:ind w:left="536"/>
        <w:jc w:val="both"/>
      </w:pPr>
      <w:r>
        <w:rPr/>
        <w:t>Esto podemos entenderlo fácilmente si pensamos en el siguiente ejemplo:</w:t>
      </w:r>
    </w:p>
    <w:p>
      <w:pPr>
        <w:pStyle w:val="BodyText"/>
      </w:pPr>
    </w:p>
    <w:p>
      <w:pPr>
        <w:pStyle w:val="BodyText"/>
      </w:pPr>
    </w:p>
    <w:p>
      <w:pPr>
        <w:pStyle w:val="BodyText"/>
        <w:spacing w:line="360" w:lineRule="auto"/>
        <w:ind w:left="536" w:right="116"/>
        <w:jc w:val="both"/>
      </w:pPr>
      <w:r>
        <w:rPr/>
        <w:t>La</w:t>
      </w:r>
      <w:r>
        <w:rPr>
          <w:spacing w:val="-6"/>
        </w:rPr>
        <w:t> </w:t>
      </w:r>
      <w:r>
        <w:rPr/>
        <w:t>empresa</w:t>
      </w:r>
      <w:r>
        <w:rPr>
          <w:spacing w:val="-6"/>
        </w:rPr>
        <w:t> </w:t>
      </w:r>
      <w:r>
        <w:rPr/>
        <w:t>registra</w:t>
      </w:r>
      <w:r>
        <w:rPr>
          <w:spacing w:val="-7"/>
        </w:rPr>
        <w:t> </w:t>
      </w:r>
      <w:r>
        <w:rPr/>
        <w:t>la</w:t>
      </w:r>
      <w:r>
        <w:rPr>
          <w:spacing w:val="-9"/>
        </w:rPr>
        <w:t> </w:t>
      </w:r>
      <w:r>
        <w:rPr/>
        <w:t>renta</w:t>
      </w:r>
      <w:r>
        <w:rPr>
          <w:spacing w:val="-8"/>
        </w:rPr>
        <w:t> </w:t>
      </w:r>
      <w:r>
        <w:rPr/>
        <w:t>de</w:t>
      </w:r>
      <w:r>
        <w:rPr>
          <w:spacing w:val="-8"/>
        </w:rPr>
        <w:t> </w:t>
      </w:r>
      <w:r>
        <w:rPr/>
        <w:t>un</w:t>
      </w:r>
      <w:r>
        <w:rPr>
          <w:spacing w:val="-8"/>
        </w:rPr>
        <w:t> </w:t>
      </w:r>
      <w:r>
        <w:rPr/>
        <w:t>edifico</w:t>
      </w:r>
      <w:r>
        <w:rPr>
          <w:spacing w:val="-9"/>
        </w:rPr>
        <w:t> </w:t>
      </w:r>
      <w:r>
        <w:rPr/>
        <w:t>en</w:t>
      </w:r>
      <w:r>
        <w:rPr>
          <w:spacing w:val="-8"/>
        </w:rPr>
        <w:t> </w:t>
      </w:r>
      <w:r>
        <w:rPr/>
        <w:t>su</w:t>
      </w:r>
      <w:r>
        <w:rPr>
          <w:spacing w:val="-6"/>
        </w:rPr>
        <w:t> </w:t>
      </w:r>
      <w:r>
        <w:rPr/>
        <w:t>contabilidad,</w:t>
      </w:r>
      <w:r>
        <w:rPr>
          <w:spacing w:val="-6"/>
        </w:rPr>
        <w:t> </w:t>
      </w:r>
      <w:r>
        <w:rPr/>
        <w:t>cuenta</w:t>
      </w:r>
      <w:r>
        <w:rPr>
          <w:spacing w:val="-8"/>
        </w:rPr>
        <w:t> </w:t>
      </w:r>
      <w:r>
        <w:rPr/>
        <w:t>con</w:t>
      </w:r>
      <w:r>
        <w:rPr>
          <w:spacing w:val="-8"/>
        </w:rPr>
        <w:t> </w:t>
      </w:r>
      <w:r>
        <w:rPr/>
        <w:t>el</w:t>
      </w:r>
      <w:r>
        <w:rPr>
          <w:spacing w:val="-5"/>
        </w:rPr>
        <w:t> </w:t>
      </w:r>
      <w:r>
        <w:rPr/>
        <w:t>recibo correspondiente y además elabora el cheque y lo entrega, pero en ningún momento ocupa el edificio; es más, la mayoría de los empleados desconocen la existencia del mismo. La sustancia de esta operación es el edificio, y aun cuando existe documentación que acredita la renta del mismo y se paga, la compañía no lo</w:t>
      </w:r>
      <w:r>
        <w:rPr>
          <w:spacing w:val="-14"/>
        </w:rPr>
        <w:t> </w:t>
      </w:r>
      <w:r>
        <w:rPr/>
        <w:t>ocupa,</w:t>
      </w:r>
      <w:r>
        <w:rPr>
          <w:spacing w:val="-14"/>
        </w:rPr>
        <w:t> </w:t>
      </w:r>
      <w:r>
        <w:rPr/>
        <w:t>por</w:t>
      </w:r>
      <w:r>
        <w:rPr>
          <w:spacing w:val="-16"/>
        </w:rPr>
        <w:t> </w:t>
      </w:r>
      <w:r>
        <w:rPr/>
        <w:t>lo</w:t>
      </w:r>
      <w:r>
        <w:rPr>
          <w:spacing w:val="-14"/>
        </w:rPr>
        <w:t> </w:t>
      </w:r>
      <w:r>
        <w:rPr/>
        <w:t>que</w:t>
      </w:r>
      <w:r>
        <w:rPr>
          <w:spacing w:val="-14"/>
        </w:rPr>
        <w:t> </w:t>
      </w:r>
      <w:r>
        <w:rPr/>
        <w:t>esta</w:t>
      </w:r>
      <w:r>
        <w:rPr>
          <w:spacing w:val="-14"/>
        </w:rPr>
        <w:t> </w:t>
      </w:r>
      <w:r>
        <w:rPr/>
        <w:t>transacción,</w:t>
      </w:r>
      <w:r>
        <w:rPr>
          <w:spacing w:val="-14"/>
        </w:rPr>
        <w:t> </w:t>
      </w:r>
      <w:r>
        <w:rPr/>
        <w:t>aun</w:t>
      </w:r>
      <w:r>
        <w:rPr>
          <w:spacing w:val="-14"/>
        </w:rPr>
        <w:t> </w:t>
      </w:r>
      <w:r>
        <w:rPr/>
        <w:t>cuando</w:t>
      </w:r>
      <w:r>
        <w:rPr>
          <w:spacing w:val="-9"/>
        </w:rPr>
        <w:t> </w:t>
      </w:r>
      <w:r>
        <w:rPr/>
        <w:t>cumple</w:t>
      </w:r>
      <w:r>
        <w:rPr>
          <w:spacing w:val="-14"/>
        </w:rPr>
        <w:t> </w:t>
      </w:r>
      <w:r>
        <w:rPr/>
        <w:t>con</w:t>
      </w:r>
      <w:r>
        <w:rPr>
          <w:spacing w:val="-17"/>
        </w:rPr>
        <w:t> </w:t>
      </w:r>
      <w:r>
        <w:rPr/>
        <w:t>todos</w:t>
      </w:r>
      <w:r>
        <w:rPr>
          <w:spacing w:val="-15"/>
        </w:rPr>
        <w:t> </w:t>
      </w:r>
      <w:r>
        <w:rPr/>
        <w:t>lo</w:t>
      </w:r>
      <w:r>
        <w:rPr>
          <w:spacing w:val="-14"/>
        </w:rPr>
        <w:t> </w:t>
      </w:r>
      <w:r>
        <w:rPr/>
        <w:t>parámetros legales para su reconocimiento no debería ser registrada en la contabilidad ni mucho menos pagada, ya que sólo representa una salida de dinero y no se hace uso del bien en beneficio de la</w:t>
      </w:r>
      <w:r>
        <w:rPr>
          <w:spacing w:val="-12"/>
        </w:rPr>
        <w:t> </w:t>
      </w:r>
      <w:r>
        <w:rPr/>
        <w:t>entidad.</w:t>
      </w:r>
    </w:p>
    <w:p>
      <w:pPr>
        <w:pStyle w:val="BodyText"/>
        <w:spacing w:before="2"/>
      </w:pPr>
    </w:p>
    <w:p>
      <w:pPr>
        <w:pStyle w:val="Heading2"/>
        <w:numPr>
          <w:ilvl w:val="0"/>
          <w:numId w:val="19"/>
        </w:numPr>
        <w:tabs>
          <w:tab w:pos="928" w:val="left" w:leader="none"/>
        </w:tabs>
        <w:spacing w:line="240" w:lineRule="auto" w:before="0" w:after="0"/>
        <w:ind w:left="927" w:right="0" w:hanging="391"/>
        <w:jc w:val="both"/>
      </w:pPr>
      <w:r>
        <w:rPr/>
        <w:t>Entidad     </w:t>
      </w:r>
      <w:r>
        <w:rPr>
          <w:spacing w:val="22"/>
        </w:rPr>
        <w:t> </w:t>
      </w:r>
      <w:r>
        <w:rPr/>
        <w:t>económica.</w:t>
      </w:r>
    </w:p>
    <w:p>
      <w:pPr>
        <w:pStyle w:val="BodyText"/>
        <w:spacing w:line="360" w:lineRule="auto" w:before="139"/>
        <w:ind w:left="536" w:right="118"/>
        <w:jc w:val="both"/>
      </w:pPr>
      <w:r>
        <w:rPr/>
        <w:t>Representa la unidad identificable que realiza actividades económicas, es la empresa en sí misma.</w:t>
      </w:r>
    </w:p>
    <w:p>
      <w:pPr>
        <w:pStyle w:val="BodyText"/>
      </w:pPr>
    </w:p>
    <w:p>
      <w:pPr>
        <w:pStyle w:val="Heading2"/>
        <w:numPr>
          <w:ilvl w:val="0"/>
          <w:numId w:val="19"/>
        </w:numPr>
        <w:tabs>
          <w:tab w:pos="861" w:val="left" w:leader="none"/>
        </w:tabs>
        <w:spacing w:line="240" w:lineRule="auto" w:before="142" w:after="0"/>
        <w:ind w:left="860" w:right="0" w:hanging="391"/>
        <w:jc w:val="both"/>
      </w:pPr>
      <w:r>
        <w:rPr/>
        <w:t>Negocio en</w:t>
      </w:r>
      <w:r>
        <w:rPr>
          <w:spacing w:val="-4"/>
        </w:rPr>
        <w:t> </w:t>
      </w:r>
      <w:r>
        <w:rPr/>
        <w:t>marcha.</w:t>
      </w:r>
    </w:p>
    <w:p>
      <w:pPr>
        <w:pStyle w:val="BodyText"/>
        <w:spacing w:line="360" w:lineRule="auto" w:before="139"/>
        <w:ind w:left="536" w:right="119"/>
        <w:jc w:val="both"/>
      </w:pPr>
      <w:r>
        <w:rPr/>
        <w:t>Nos</w:t>
      </w:r>
      <w:r>
        <w:rPr>
          <w:spacing w:val="-7"/>
        </w:rPr>
        <w:t> </w:t>
      </w:r>
      <w:r>
        <w:rPr/>
        <w:t>dice</w:t>
      </w:r>
      <w:r>
        <w:rPr>
          <w:spacing w:val="-7"/>
        </w:rPr>
        <w:t> </w:t>
      </w:r>
      <w:r>
        <w:rPr/>
        <w:t>que</w:t>
      </w:r>
      <w:r>
        <w:rPr>
          <w:spacing w:val="-7"/>
        </w:rPr>
        <w:t> </w:t>
      </w:r>
      <w:r>
        <w:rPr/>
        <w:t>la</w:t>
      </w:r>
      <w:r>
        <w:rPr>
          <w:spacing w:val="-7"/>
        </w:rPr>
        <w:t> </w:t>
      </w:r>
      <w:r>
        <w:rPr/>
        <w:t>entidad</w:t>
      </w:r>
      <w:r>
        <w:rPr>
          <w:spacing w:val="-7"/>
        </w:rPr>
        <w:t> </w:t>
      </w:r>
      <w:r>
        <w:rPr/>
        <w:t>económica</w:t>
      </w:r>
      <w:r>
        <w:rPr>
          <w:spacing w:val="-7"/>
        </w:rPr>
        <w:t> </w:t>
      </w:r>
      <w:r>
        <w:rPr/>
        <w:t>se</w:t>
      </w:r>
      <w:r>
        <w:rPr>
          <w:spacing w:val="-7"/>
        </w:rPr>
        <w:t> </w:t>
      </w:r>
      <w:r>
        <w:rPr/>
        <w:t>presume</w:t>
      </w:r>
      <w:r>
        <w:rPr>
          <w:spacing w:val="-7"/>
        </w:rPr>
        <w:t> </w:t>
      </w:r>
      <w:r>
        <w:rPr/>
        <w:t>en</w:t>
      </w:r>
      <w:r>
        <w:rPr>
          <w:spacing w:val="-2"/>
        </w:rPr>
        <w:t> </w:t>
      </w:r>
      <w:r>
        <w:rPr/>
        <w:t>existencia</w:t>
      </w:r>
      <w:r>
        <w:rPr>
          <w:spacing w:val="-7"/>
        </w:rPr>
        <w:t> </w:t>
      </w:r>
      <w:r>
        <w:rPr/>
        <w:t>permanente,</w:t>
      </w:r>
      <w:r>
        <w:rPr>
          <w:spacing w:val="-7"/>
        </w:rPr>
        <w:t> </w:t>
      </w:r>
      <w:r>
        <w:rPr/>
        <w:t>dentro de un horizonte de tiempo limitado y salvo prueba en contrario. Mientras que no se demuestre lo contrario a través de la información financiera, la empresa se considera en operación</w:t>
      </w:r>
      <w:r>
        <w:rPr>
          <w:spacing w:val="-8"/>
        </w:rPr>
        <w:t> </w:t>
      </w:r>
      <w:r>
        <w:rPr/>
        <w:t>continua.</w:t>
      </w:r>
    </w:p>
    <w:p>
      <w:pPr>
        <w:pStyle w:val="BodyText"/>
      </w:pPr>
    </w:p>
    <w:p>
      <w:pPr>
        <w:pStyle w:val="BodyText"/>
      </w:pPr>
    </w:p>
    <w:p>
      <w:pPr>
        <w:pStyle w:val="BodyText"/>
        <w:spacing w:line="360" w:lineRule="auto" w:before="142"/>
        <w:ind w:left="109" w:right="212"/>
      </w:pPr>
      <w:r>
        <w:rPr/>
        <w:t>Los cinco postulados restantes conforman las bases para el reconocimiento contable de las </w:t>
      </w:r>
      <w:r>
        <w:rPr>
          <w:b/>
        </w:rPr>
        <w:t>transacciones internas </w:t>
      </w:r>
      <w:r>
        <w:rPr/>
        <w:t>que llevan a cabo los entes,</w:t>
      </w:r>
      <w:r>
        <w:rPr>
          <w:spacing w:val="9"/>
        </w:rPr>
        <w:t> </w:t>
      </w:r>
      <w:r>
        <w:rPr/>
        <w:t>son:</w:t>
      </w:r>
    </w:p>
    <w:p>
      <w:pPr>
        <w:pStyle w:val="BodyText"/>
        <w:spacing w:before="5"/>
      </w:pPr>
    </w:p>
    <w:p>
      <w:pPr>
        <w:pStyle w:val="ListParagraph"/>
        <w:numPr>
          <w:ilvl w:val="0"/>
          <w:numId w:val="19"/>
        </w:numPr>
        <w:tabs>
          <w:tab w:pos="796" w:val="left" w:leader="none"/>
        </w:tabs>
        <w:spacing w:line="360" w:lineRule="auto" w:before="0" w:after="0"/>
        <w:ind w:left="536" w:right="116" w:firstLine="0"/>
        <w:jc w:val="both"/>
        <w:rPr>
          <w:sz w:val="24"/>
        </w:rPr>
      </w:pPr>
      <w:r>
        <w:rPr>
          <w:b/>
          <w:sz w:val="24"/>
        </w:rPr>
        <w:t>Devengación</w:t>
      </w:r>
      <w:r>
        <w:rPr>
          <w:b/>
          <w:spacing w:val="-15"/>
          <w:sz w:val="24"/>
        </w:rPr>
        <w:t> </w:t>
      </w:r>
      <w:r>
        <w:rPr>
          <w:b/>
          <w:sz w:val="24"/>
        </w:rPr>
        <w:t>contable.</w:t>
      </w:r>
      <w:r>
        <w:rPr>
          <w:b/>
          <w:spacing w:val="-10"/>
          <w:sz w:val="24"/>
        </w:rPr>
        <w:t> </w:t>
      </w:r>
      <w:r>
        <w:rPr>
          <w:sz w:val="24"/>
        </w:rPr>
        <w:t>Nos</w:t>
      </w:r>
      <w:r>
        <w:rPr>
          <w:spacing w:val="-13"/>
          <w:sz w:val="24"/>
        </w:rPr>
        <w:t> </w:t>
      </w:r>
      <w:r>
        <w:rPr>
          <w:sz w:val="24"/>
        </w:rPr>
        <w:t>indica</w:t>
      </w:r>
      <w:r>
        <w:rPr>
          <w:spacing w:val="-14"/>
          <w:sz w:val="24"/>
        </w:rPr>
        <w:t> </w:t>
      </w:r>
      <w:r>
        <w:rPr>
          <w:sz w:val="24"/>
        </w:rPr>
        <w:t>que</w:t>
      </w:r>
      <w:r>
        <w:rPr>
          <w:spacing w:val="-14"/>
          <w:sz w:val="24"/>
        </w:rPr>
        <w:t> </w:t>
      </w:r>
      <w:r>
        <w:rPr>
          <w:sz w:val="24"/>
        </w:rPr>
        <w:t>todas</w:t>
      </w:r>
      <w:r>
        <w:rPr>
          <w:spacing w:val="-13"/>
          <w:sz w:val="24"/>
        </w:rPr>
        <w:t> </w:t>
      </w:r>
      <w:r>
        <w:rPr>
          <w:sz w:val="24"/>
        </w:rPr>
        <w:t>las</w:t>
      </w:r>
      <w:r>
        <w:rPr>
          <w:spacing w:val="-14"/>
          <w:sz w:val="24"/>
        </w:rPr>
        <w:t> </w:t>
      </w:r>
      <w:r>
        <w:rPr>
          <w:sz w:val="24"/>
        </w:rPr>
        <w:t>operaciones</w:t>
      </w:r>
      <w:r>
        <w:rPr>
          <w:spacing w:val="-15"/>
          <w:sz w:val="24"/>
        </w:rPr>
        <w:t> </w:t>
      </w:r>
      <w:r>
        <w:rPr>
          <w:sz w:val="24"/>
        </w:rPr>
        <w:t>económicas</w:t>
      </w:r>
      <w:r>
        <w:rPr>
          <w:spacing w:val="-8"/>
          <w:sz w:val="24"/>
        </w:rPr>
        <w:t> </w:t>
      </w:r>
      <w:r>
        <w:rPr>
          <w:spacing w:val="-2"/>
          <w:sz w:val="24"/>
        </w:rPr>
        <w:t>que </w:t>
      </w:r>
      <w:r>
        <w:rPr>
          <w:sz w:val="24"/>
        </w:rPr>
        <w:t>realiza una entidad deben reconocerse en su totalidad en el momento en que se conocen.</w:t>
      </w:r>
    </w:p>
    <w:p>
      <w:pPr>
        <w:spacing w:after="0" w:line="360" w:lineRule="auto"/>
        <w:jc w:val="both"/>
        <w:rPr>
          <w:sz w:val="24"/>
        </w:rPr>
        <w:sectPr>
          <w:pgSz w:w="12240" w:h="15840"/>
          <w:pgMar w:header="0" w:footer="779" w:top="1360" w:bottom="960" w:left="1360" w:right="1580"/>
        </w:sectPr>
      </w:pPr>
    </w:p>
    <w:p>
      <w:pPr>
        <w:pStyle w:val="ListParagraph"/>
        <w:numPr>
          <w:ilvl w:val="0"/>
          <w:numId w:val="19"/>
        </w:numPr>
        <w:tabs>
          <w:tab w:pos="796" w:val="left" w:leader="none"/>
        </w:tabs>
        <w:spacing w:line="360" w:lineRule="auto" w:before="57" w:after="0"/>
        <w:ind w:left="536" w:right="536" w:firstLine="0"/>
        <w:jc w:val="both"/>
        <w:rPr>
          <w:sz w:val="24"/>
        </w:rPr>
      </w:pPr>
      <w:r>
        <w:rPr>
          <w:b/>
          <w:sz w:val="24"/>
        </w:rPr>
        <w:t>Asociación</w:t>
      </w:r>
      <w:r>
        <w:rPr>
          <w:b/>
          <w:spacing w:val="-14"/>
          <w:sz w:val="24"/>
        </w:rPr>
        <w:t> </w:t>
      </w:r>
      <w:r>
        <w:rPr>
          <w:b/>
          <w:sz w:val="24"/>
        </w:rPr>
        <w:t>de</w:t>
      </w:r>
      <w:r>
        <w:rPr>
          <w:b/>
          <w:spacing w:val="-13"/>
          <w:sz w:val="24"/>
        </w:rPr>
        <w:t> </w:t>
      </w:r>
      <w:r>
        <w:rPr>
          <w:b/>
          <w:sz w:val="24"/>
        </w:rPr>
        <w:t>costos</w:t>
      </w:r>
      <w:r>
        <w:rPr>
          <w:b/>
          <w:spacing w:val="-11"/>
          <w:sz w:val="24"/>
        </w:rPr>
        <w:t> </w:t>
      </w:r>
      <w:r>
        <w:rPr>
          <w:b/>
          <w:sz w:val="24"/>
        </w:rPr>
        <w:t>y</w:t>
      </w:r>
      <w:r>
        <w:rPr>
          <w:b/>
          <w:spacing w:val="-20"/>
          <w:sz w:val="24"/>
        </w:rPr>
        <w:t> </w:t>
      </w:r>
      <w:r>
        <w:rPr>
          <w:b/>
          <w:sz w:val="24"/>
        </w:rPr>
        <w:t>gastos</w:t>
      </w:r>
      <w:r>
        <w:rPr>
          <w:b/>
          <w:spacing w:val="-13"/>
          <w:sz w:val="24"/>
        </w:rPr>
        <w:t> </w:t>
      </w:r>
      <w:r>
        <w:rPr>
          <w:b/>
          <w:sz w:val="24"/>
        </w:rPr>
        <w:t>con</w:t>
      </w:r>
      <w:r>
        <w:rPr>
          <w:b/>
          <w:spacing w:val="-14"/>
          <w:sz w:val="24"/>
        </w:rPr>
        <w:t> </w:t>
      </w:r>
      <w:r>
        <w:rPr>
          <w:b/>
          <w:sz w:val="24"/>
        </w:rPr>
        <w:t>ingresos.</w:t>
      </w:r>
      <w:r>
        <w:rPr>
          <w:b/>
          <w:spacing w:val="-9"/>
          <w:sz w:val="24"/>
        </w:rPr>
        <w:t> </w:t>
      </w:r>
      <w:r>
        <w:rPr>
          <w:sz w:val="24"/>
        </w:rPr>
        <w:t>Nos</w:t>
      </w:r>
      <w:r>
        <w:rPr>
          <w:spacing w:val="-13"/>
          <w:sz w:val="24"/>
        </w:rPr>
        <w:t> </w:t>
      </w:r>
      <w:r>
        <w:rPr>
          <w:sz w:val="24"/>
        </w:rPr>
        <w:t>dice</w:t>
      </w:r>
      <w:r>
        <w:rPr>
          <w:spacing w:val="-13"/>
          <w:sz w:val="24"/>
        </w:rPr>
        <w:t> </w:t>
      </w:r>
      <w:r>
        <w:rPr>
          <w:sz w:val="24"/>
        </w:rPr>
        <w:t>que</w:t>
      </w:r>
      <w:r>
        <w:rPr>
          <w:spacing w:val="-13"/>
          <w:sz w:val="24"/>
        </w:rPr>
        <w:t> </w:t>
      </w:r>
      <w:r>
        <w:rPr>
          <w:sz w:val="24"/>
        </w:rPr>
        <w:t>los</w:t>
      </w:r>
      <w:r>
        <w:rPr>
          <w:spacing w:val="-13"/>
          <w:sz w:val="24"/>
        </w:rPr>
        <w:t> </w:t>
      </w:r>
      <w:r>
        <w:rPr>
          <w:sz w:val="24"/>
        </w:rPr>
        <w:t>costos</w:t>
      </w:r>
      <w:r>
        <w:rPr>
          <w:spacing w:val="-14"/>
          <w:sz w:val="24"/>
        </w:rPr>
        <w:t> </w:t>
      </w:r>
      <w:r>
        <w:rPr>
          <w:sz w:val="24"/>
        </w:rPr>
        <w:t>de</w:t>
      </w:r>
      <w:r>
        <w:rPr>
          <w:spacing w:val="-11"/>
          <w:sz w:val="24"/>
        </w:rPr>
        <w:t> </w:t>
      </w:r>
      <w:r>
        <w:rPr>
          <w:sz w:val="24"/>
        </w:rPr>
        <w:t>una organización deben identificarse con el ingreso que generen en el periodo, es decir, debemos reconocer e identificar de manera eficiente el beneficio que obtenemos por las erogaciones efectuadas con el objeto de que la entidad opere y realice su actividad</w:t>
      </w:r>
      <w:r>
        <w:rPr>
          <w:spacing w:val="-9"/>
          <w:sz w:val="24"/>
        </w:rPr>
        <w:t> </w:t>
      </w:r>
      <w:r>
        <w:rPr>
          <w:sz w:val="24"/>
        </w:rPr>
        <w:t>preponderante.</w:t>
      </w:r>
    </w:p>
    <w:p>
      <w:pPr>
        <w:pStyle w:val="BodyText"/>
      </w:pPr>
    </w:p>
    <w:p>
      <w:pPr>
        <w:pStyle w:val="ListParagraph"/>
        <w:numPr>
          <w:ilvl w:val="0"/>
          <w:numId w:val="19"/>
        </w:numPr>
        <w:tabs>
          <w:tab w:pos="726" w:val="left" w:leader="none"/>
          <w:tab w:pos="8873" w:val="left" w:leader="none"/>
        </w:tabs>
        <w:spacing w:line="360" w:lineRule="auto" w:before="142" w:after="0"/>
        <w:ind w:left="536" w:right="536" w:firstLine="0"/>
        <w:jc w:val="both"/>
        <w:rPr>
          <w:sz w:val="24"/>
        </w:rPr>
      </w:pPr>
      <w:r>
        <w:rPr>
          <w:b/>
          <w:sz w:val="24"/>
        </w:rPr>
        <w:t>Valuación.</w:t>
      </w:r>
      <w:r>
        <w:rPr>
          <w:b/>
          <w:spacing w:val="-14"/>
          <w:sz w:val="24"/>
        </w:rPr>
        <w:t> </w:t>
      </w:r>
      <w:r>
        <w:rPr>
          <w:sz w:val="24"/>
        </w:rPr>
        <w:t>Nos</w:t>
      </w:r>
      <w:r>
        <w:rPr>
          <w:spacing w:val="-14"/>
          <w:sz w:val="24"/>
        </w:rPr>
        <w:t> </w:t>
      </w:r>
      <w:r>
        <w:rPr>
          <w:sz w:val="24"/>
        </w:rPr>
        <w:t>indica</w:t>
      </w:r>
      <w:r>
        <w:rPr>
          <w:spacing w:val="-14"/>
          <w:sz w:val="24"/>
        </w:rPr>
        <w:t> </w:t>
      </w:r>
      <w:r>
        <w:rPr>
          <w:sz w:val="24"/>
        </w:rPr>
        <w:t>que</w:t>
      </w:r>
      <w:r>
        <w:rPr>
          <w:spacing w:val="-14"/>
          <w:sz w:val="24"/>
        </w:rPr>
        <w:t> </w:t>
      </w:r>
      <w:r>
        <w:rPr>
          <w:sz w:val="24"/>
        </w:rPr>
        <w:t>todas</w:t>
      </w:r>
      <w:r>
        <w:rPr>
          <w:spacing w:val="-15"/>
          <w:sz w:val="24"/>
        </w:rPr>
        <w:t> </w:t>
      </w:r>
      <w:r>
        <w:rPr>
          <w:sz w:val="24"/>
        </w:rPr>
        <w:t>las</w:t>
      </w:r>
      <w:r>
        <w:rPr>
          <w:spacing w:val="-17"/>
          <w:sz w:val="24"/>
        </w:rPr>
        <w:t> </w:t>
      </w:r>
      <w:r>
        <w:rPr>
          <w:sz w:val="24"/>
        </w:rPr>
        <w:t>transacciones</w:t>
      </w:r>
      <w:r>
        <w:rPr>
          <w:spacing w:val="-15"/>
          <w:sz w:val="24"/>
        </w:rPr>
        <w:t> </w:t>
      </w:r>
      <w:r>
        <w:rPr>
          <w:sz w:val="24"/>
        </w:rPr>
        <w:t>que</w:t>
      </w:r>
      <w:r>
        <w:rPr>
          <w:spacing w:val="-16"/>
          <w:sz w:val="24"/>
        </w:rPr>
        <w:t> </w:t>
      </w:r>
      <w:r>
        <w:rPr>
          <w:sz w:val="24"/>
        </w:rPr>
        <w:t>la</w:t>
      </w:r>
      <w:r>
        <w:rPr>
          <w:spacing w:val="-17"/>
          <w:sz w:val="24"/>
        </w:rPr>
        <w:t> </w:t>
      </w:r>
      <w:r>
        <w:rPr>
          <w:sz w:val="24"/>
        </w:rPr>
        <w:t>entidad</w:t>
      </w:r>
      <w:r>
        <w:rPr>
          <w:spacing w:val="-16"/>
          <w:sz w:val="24"/>
        </w:rPr>
        <w:t> </w:t>
      </w:r>
      <w:r>
        <w:rPr>
          <w:sz w:val="24"/>
        </w:rPr>
        <w:t>efectúe</w:t>
      </w:r>
      <w:r>
        <w:rPr>
          <w:spacing w:val="-9"/>
          <w:sz w:val="24"/>
        </w:rPr>
        <w:t> </w:t>
      </w:r>
      <w:r>
        <w:rPr>
          <w:sz w:val="24"/>
        </w:rPr>
        <w:t>deben cuantificarse     en  términos  monetarios  de      </w:t>
      </w:r>
      <w:r>
        <w:rPr>
          <w:spacing w:val="37"/>
          <w:sz w:val="24"/>
        </w:rPr>
        <w:t> </w:t>
      </w:r>
      <w:r>
        <w:rPr>
          <w:sz w:val="24"/>
        </w:rPr>
        <w:t>acuerdo       </w:t>
      </w:r>
      <w:r>
        <w:rPr>
          <w:spacing w:val="9"/>
          <w:sz w:val="24"/>
        </w:rPr>
        <w:t> </w:t>
      </w:r>
      <w:r>
        <w:rPr>
          <w:sz w:val="24"/>
        </w:rPr>
        <w:t>con</w:t>
        <w:tab/>
        <w:t>las características del elemento por ser valuado, reconociendo el valor económico más</w:t>
      </w:r>
      <w:r>
        <w:rPr>
          <w:spacing w:val="-5"/>
          <w:sz w:val="24"/>
        </w:rPr>
        <w:t> </w:t>
      </w:r>
      <w:r>
        <w:rPr>
          <w:sz w:val="24"/>
        </w:rPr>
        <w:t>objetivo.</w:t>
      </w:r>
    </w:p>
    <w:p>
      <w:pPr>
        <w:pStyle w:val="BodyText"/>
      </w:pPr>
    </w:p>
    <w:p>
      <w:pPr>
        <w:pStyle w:val="ListParagraph"/>
        <w:numPr>
          <w:ilvl w:val="0"/>
          <w:numId w:val="19"/>
        </w:numPr>
        <w:tabs>
          <w:tab w:pos="798" w:val="left" w:leader="none"/>
        </w:tabs>
        <w:spacing w:line="360" w:lineRule="auto" w:before="142" w:after="0"/>
        <w:ind w:left="536" w:right="536" w:firstLine="0"/>
        <w:jc w:val="both"/>
        <w:rPr>
          <w:sz w:val="24"/>
        </w:rPr>
      </w:pPr>
      <w:r>
        <w:rPr>
          <w:b/>
          <w:sz w:val="24"/>
        </w:rPr>
        <w:t>Dualidad</w:t>
      </w:r>
      <w:r>
        <w:rPr>
          <w:b/>
          <w:spacing w:val="-7"/>
          <w:sz w:val="24"/>
        </w:rPr>
        <w:t> </w:t>
      </w:r>
      <w:r>
        <w:rPr>
          <w:b/>
          <w:sz w:val="24"/>
        </w:rPr>
        <w:t>económica</w:t>
      </w:r>
      <w:r>
        <w:rPr>
          <w:sz w:val="24"/>
        </w:rPr>
        <w:t>.</w:t>
      </w:r>
      <w:r>
        <w:rPr>
          <w:spacing w:val="-6"/>
          <w:sz w:val="24"/>
        </w:rPr>
        <w:t> </w:t>
      </w:r>
      <w:r>
        <w:rPr>
          <w:sz w:val="24"/>
        </w:rPr>
        <w:t>Señala</w:t>
      </w:r>
      <w:r>
        <w:rPr>
          <w:spacing w:val="-6"/>
          <w:sz w:val="24"/>
        </w:rPr>
        <w:t> </w:t>
      </w:r>
      <w:r>
        <w:rPr>
          <w:sz w:val="24"/>
        </w:rPr>
        <w:t>que</w:t>
      </w:r>
      <w:r>
        <w:rPr>
          <w:spacing w:val="-6"/>
          <w:sz w:val="24"/>
        </w:rPr>
        <w:t> </w:t>
      </w:r>
      <w:r>
        <w:rPr>
          <w:sz w:val="24"/>
        </w:rPr>
        <w:t>la</w:t>
      </w:r>
      <w:r>
        <w:rPr>
          <w:spacing w:val="-6"/>
          <w:sz w:val="24"/>
        </w:rPr>
        <w:t> </w:t>
      </w:r>
      <w:r>
        <w:rPr>
          <w:sz w:val="24"/>
        </w:rPr>
        <w:t>entidad</w:t>
      </w:r>
      <w:r>
        <w:rPr>
          <w:spacing w:val="-6"/>
          <w:sz w:val="24"/>
        </w:rPr>
        <w:t> </w:t>
      </w:r>
      <w:r>
        <w:rPr>
          <w:sz w:val="24"/>
        </w:rPr>
        <w:t>está</w:t>
      </w:r>
      <w:r>
        <w:rPr>
          <w:spacing w:val="-6"/>
          <w:sz w:val="24"/>
        </w:rPr>
        <w:t> </w:t>
      </w:r>
      <w:r>
        <w:rPr>
          <w:sz w:val="24"/>
        </w:rPr>
        <w:t>conformada</w:t>
      </w:r>
      <w:r>
        <w:rPr>
          <w:spacing w:val="-6"/>
          <w:sz w:val="24"/>
        </w:rPr>
        <w:t> </w:t>
      </w:r>
      <w:r>
        <w:rPr>
          <w:sz w:val="24"/>
        </w:rPr>
        <w:t>por</w:t>
      </w:r>
      <w:r>
        <w:rPr>
          <w:spacing w:val="-7"/>
          <w:sz w:val="24"/>
        </w:rPr>
        <w:t> </w:t>
      </w:r>
      <w:r>
        <w:rPr>
          <w:sz w:val="24"/>
        </w:rPr>
        <w:t>los</w:t>
      </w:r>
      <w:r>
        <w:rPr>
          <w:spacing w:val="-3"/>
          <w:sz w:val="24"/>
        </w:rPr>
        <w:t> </w:t>
      </w:r>
      <w:r>
        <w:rPr>
          <w:sz w:val="24"/>
        </w:rPr>
        <w:t>recursos que</w:t>
      </w:r>
      <w:r>
        <w:rPr>
          <w:spacing w:val="-7"/>
          <w:sz w:val="24"/>
        </w:rPr>
        <w:t> </w:t>
      </w:r>
      <w:r>
        <w:rPr>
          <w:sz w:val="24"/>
        </w:rPr>
        <w:t>tiene</w:t>
      </w:r>
      <w:r>
        <w:rPr>
          <w:spacing w:val="-10"/>
          <w:sz w:val="24"/>
        </w:rPr>
        <w:t> </w:t>
      </w:r>
      <w:r>
        <w:rPr>
          <w:sz w:val="24"/>
        </w:rPr>
        <w:t>para</w:t>
      </w:r>
      <w:r>
        <w:rPr>
          <w:spacing w:val="-8"/>
          <w:sz w:val="24"/>
        </w:rPr>
        <w:t> </w:t>
      </w:r>
      <w:r>
        <w:rPr>
          <w:sz w:val="24"/>
        </w:rPr>
        <w:t>la</w:t>
      </w:r>
      <w:r>
        <w:rPr>
          <w:spacing w:val="-8"/>
          <w:sz w:val="24"/>
        </w:rPr>
        <w:t> </w:t>
      </w:r>
      <w:r>
        <w:rPr>
          <w:sz w:val="24"/>
        </w:rPr>
        <w:t>consecución</w:t>
      </w:r>
      <w:r>
        <w:rPr>
          <w:spacing w:val="-9"/>
          <w:sz w:val="24"/>
        </w:rPr>
        <w:t> </w:t>
      </w:r>
      <w:r>
        <w:rPr>
          <w:sz w:val="24"/>
        </w:rPr>
        <w:t>de</w:t>
      </w:r>
      <w:r>
        <w:rPr>
          <w:spacing w:val="-7"/>
          <w:sz w:val="24"/>
        </w:rPr>
        <w:t> </w:t>
      </w:r>
      <w:r>
        <w:rPr>
          <w:sz w:val="24"/>
        </w:rPr>
        <w:t>sus</w:t>
      </w:r>
      <w:r>
        <w:rPr>
          <w:spacing w:val="-13"/>
          <w:sz w:val="24"/>
        </w:rPr>
        <w:t> </w:t>
      </w:r>
      <w:r>
        <w:rPr>
          <w:sz w:val="24"/>
        </w:rPr>
        <w:t>fines</w:t>
      </w:r>
      <w:r>
        <w:rPr>
          <w:spacing w:val="-8"/>
          <w:sz w:val="24"/>
        </w:rPr>
        <w:t> </w:t>
      </w:r>
      <w:r>
        <w:rPr>
          <w:sz w:val="24"/>
        </w:rPr>
        <w:t>y</w:t>
      </w:r>
      <w:r>
        <w:rPr>
          <w:spacing w:val="-11"/>
          <w:sz w:val="24"/>
        </w:rPr>
        <w:t> </w:t>
      </w:r>
      <w:r>
        <w:rPr>
          <w:sz w:val="24"/>
        </w:rPr>
        <w:t>por</w:t>
      </w:r>
      <w:r>
        <w:rPr>
          <w:spacing w:val="-9"/>
          <w:sz w:val="24"/>
        </w:rPr>
        <w:t> </w:t>
      </w:r>
      <w:r>
        <w:rPr>
          <w:sz w:val="24"/>
        </w:rPr>
        <w:t>las</w:t>
      </w:r>
      <w:r>
        <w:rPr>
          <w:spacing w:val="-10"/>
          <w:sz w:val="24"/>
        </w:rPr>
        <w:t> </w:t>
      </w:r>
      <w:r>
        <w:rPr>
          <w:sz w:val="24"/>
        </w:rPr>
        <w:t>fuentes</w:t>
      </w:r>
      <w:r>
        <w:rPr>
          <w:spacing w:val="-8"/>
          <w:sz w:val="24"/>
        </w:rPr>
        <w:t> </w:t>
      </w:r>
      <w:r>
        <w:rPr>
          <w:sz w:val="24"/>
        </w:rPr>
        <w:t>a</w:t>
      </w:r>
      <w:r>
        <w:rPr>
          <w:spacing w:val="-5"/>
          <w:sz w:val="24"/>
        </w:rPr>
        <w:t> </w:t>
      </w:r>
      <w:r>
        <w:rPr>
          <w:sz w:val="24"/>
        </w:rPr>
        <w:t>través</w:t>
      </w:r>
      <w:r>
        <w:rPr>
          <w:spacing w:val="-8"/>
          <w:sz w:val="24"/>
        </w:rPr>
        <w:t> </w:t>
      </w:r>
      <w:r>
        <w:rPr>
          <w:sz w:val="24"/>
        </w:rPr>
        <w:t>de</w:t>
      </w:r>
      <w:r>
        <w:rPr>
          <w:spacing w:val="-7"/>
          <w:sz w:val="24"/>
        </w:rPr>
        <w:t> </w:t>
      </w:r>
      <w:r>
        <w:rPr>
          <w:sz w:val="24"/>
        </w:rPr>
        <w:t>las</w:t>
      </w:r>
      <w:r>
        <w:rPr>
          <w:spacing w:val="-8"/>
          <w:sz w:val="24"/>
        </w:rPr>
        <w:t> </w:t>
      </w:r>
      <w:r>
        <w:rPr>
          <w:sz w:val="24"/>
        </w:rPr>
        <w:t>cuales obtiene dichos</w:t>
      </w:r>
      <w:r>
        <w:rPr>
          <w:spacing w:val="-11"/>
          <w:sz w:val="24"/>
        </w:rPr>
        <w:t> </w:t>
      </w:r>
      <w:r>
        <w:rPr>
          <w:sz w:val="24"/>
        </w:rPr>
        <w:t>recursos.</w:t>
      </w:r>
    </w:p>
    <w:p>
      <w:pPr>
        <w:pStyle w:val="BodyText"/>
      </w:pPr>
    </w:p>
    <w:p>
      <w:pPr>
        <w:pStyle w:val="ListParagraph"/>
        <w:numPr>
          <w:ilvl w:val="0"/>
          <w:numId w:val="19"/>
        </w:numPr>
        <w:tabs>
          <w:tab w:pos="796" w:val="left" w:leader="none"/>
        </w:tabs>
        <w:spacing w:line="360" w:lineRule="auto" w:before="142" w:after="0"/>
        <w:ind w:left="536" w:right="535" w:firstLine="0"/>
        <w:jc w:val="both"/>
        <w:rPr>
          <w:sz w:val="24"/>
        </w:rPr>
      </w:pPr>
      <w:r>
        <w:rPr>
          <w:b/>
          <w:sz w:val="24"/>
        </w:rPr>
        <w:t>Consistencia.</w:t>
      </w:r>
      <w:r>
        <w:rPr>
          <w:b/>
          <w:spacing w:val="-10"/>
          <w:sz w:val="24"/>
        </w:rPr>
        <w:t> </w:t>
      </w:r>
      <w:r>
        <w:rPr>
          <w:sz w:val="24"/>
        </w:rPr>
        <w:t>Nos</w:t>
      </w:r>
      <w:r>
        <w:rPr>
          <w:spacing w:val="-13"/>
          <w:sz w:val="24"/>
        </w:rPr>
        <w:t> </w:t>
      </w:r>
      <w:r>
        <w:rPr>
          <w:sz w:val="24"/>
        </w:rPr>
        <w:t>dice</w:t>
      </w:r>
      <w:r>
        <w:rPr>
          <w:spacing w:val="-11"/>
          <w:sz w:val="24"/>
        </w:rPr>
        <w:t> </w:t>
      </w:r>
      <w:r>
        <w:rPr>
          <w:sz w:val="24"/>
        </w:rPr>
        <w:t>que</w:t>
      </w:r>
      <w:r>
        <w:rPr>
          <w:spacing w:val="-11"/>
          <w:sz w:val="24"/>
        </w:rPr>
        <w:t> </w:t>
      </w:r>
      <w:r>
        <w:rPr>
          <w:sz w:val="24"/>
        </w:rPr>
        <w:t>cuando</w:t>
      </w:r>
      <w:r>
        <w:rPr>
          <w:spacing w:val="-11"/>
          <w:sz w:val="24"/>
        </w:rPr>
        <w:t> </w:t>
      </w:r>
      <w:r>
        <w:rPr>
          <w:sz w:val="24"/>
        </w:rPr>
        <w:t>la</w:t>
      </w:r>
      <w:r>
        <w:rPr>
          <w:spacing w:val="-11"/>
          <w:sz w:val="24"/>
        </w:rPr>
        <w:t> </w:t>
      </w:r>
      <w:r>
        <w:rPr>
          <w:sz w:val="24"/>
        </w:rPr>
        <w:t>entidad</w:t>
      </w:r>
      <w:r>
        <w:rPr>
          <w:spacing w:val="-11"/>
          <w:sz w:val="24"/>
        </w:rPr>
        <w:t> </w:t>
      </w:r>
      <w:r>
        <w:rPr>
          <w:sz w:val="24"/>
        </w:rPr>
        <w:t>realiza</w:t>
      </w:r>
      <w:r>
        <w:rPr>
          <w:spacing w:val="-11"/>
          <w:sz w:val="24"/>
        </w:rPr>
        <w:t> </w:t>
      </w:r>
      <w:r>
        <w:rPr>
          <w:sz w:val="24"/>
        </w:rPr>
        <w:t>operaciones</w:t>
      </w:r>
      <w:r>
        <w:rPr>
          <w:spacing w:val="-12"/>
          <w:sz w:val="24"/>
        </w:rPr>
        <w:t> </w:t>
      </w:r>
      <w:r>
        <w:rPr>
          <w:sz w:val="24"/>
        </w:rPr>
        <w:t>similares</w:t>
      </w:r>
      <w:r>
        <w:rPr>
          <w:spacing w:val="-7"/>
          <w:sz w:val="24"/>
        </w:rPr>
        <w:t> </w:t>
      </w:r>
      <w:r>
        <w:rPr>
          <w:sz w:val="24"/>
        </w:rPr>
        <w:t>es importante</w:t>
      </w:r>
      <w:r>
        <w:rPr>
          <w:spacing w:val="-7"/>
          <w:sz w:val="24"/>
        </w:rPr>
        <w:t> </w:t>
      </w:r>
      <w:r>
        <w:rPr>
          <w:sz w:val="24"/>
        </w:rPr>
        <w:t>que</w:t>
      </w:r>
      <w:r>
        <w:rPr>
          <w:spacing w:val="-7"/>
          <w:sz w:val="24"/>
        </w:rPr>
        <w:t> </w:t>
      </w:r>
      <w:r>
        <w:rPr>
          <w:sz w:val="24"/>
        </w:rPr>
        <w:t>aplique</w:t>
      </w:r>
      <w:r>
        <w:rPr>
          <w:spacing w:val="-8"/>
          <w:sz w:val="24"/>
        </w:rPr>
        <w:t> </w:t>
      </w:r>
      <w:r>
        <w:rPr>
          <w:sz w:val="24"/>
        </w:rPr>
        <w:t>el</w:t>
      </w:r>
      <w:r>
        <w:rPr>
          <w:spacing w:val="-7"/>
          <w:sz w:val="24"/>
        </w:rPr>
        <w:t> </w:t>
      </w:r>
      <w:r>
        <w:rPr>
          <w:sz w:val="24"/>
        </w:rPr>
        <w:t>mismo</w:t>
      </w:r>
      <w:r>
        <w:rPr>
          <w:spacing w:val="-7"/>
          <w:sz w:val="24"/>
        </w:rPr>
        <w:t> </w:t>
      </w:r>
      <w:r>
        <w:rPr>
          <w:sz w:val="24"/>
        </w:rPr>
        <w:t>tratamiento</w:t>
      </w:r>
      <w:r>
        <w:rPr>
          <w:spacing w:val="-7"/>
          <w:sz w:val="24"/>
        </w:rPr>
        <w:t> </w:t>
      </w:r>
      <w:r>
        <w:rPr>
          <w:sz w:val="24"/>
        </w:rPr>
        <w:t>contable,</w:t>
      </w:r>
      <w:r>
        <w:rPr>
          <w:spacing w:val="-7"/>
          <w:sz w:val="24"/>
        </w:rPr>
        <w:t> </w:t>
      </w:r>
      <w:r>
        <w:rPr>
          <w:sz w:val="24"/>
        </w:rPr>
        <w:t>el</w:t>
      </w:r>
      <w:r>
        <w:rPr>
          <w:spacing w:val="-7"/>
          <w:sz w:val="24"/>
        </w:rPr>
        <w:t> </w:t>
      </w:r>
      <w:r>
        <w:rPr>
          <w:sz w:val="24"/>
        </w:rPr>
        <w:t>cual</w:t>
      </w:r>
      <w:r>
        <w:rPr>
          <w:spacing w:val="-7"/>
          <w:sz w:val="24"/>
        </w:rPr>
        <w:t> </w:t>
      </w:r>
      <w:r>
        <w:rPr>
          <w:sz w:val="24"/>
        </w:rPr>
        <w:t>debe</w:t>
      </w:r>
      <w:r>
        <w:rPr>
          <w:spacing w:val="1"/>
          <w:sz w:val="24"/>
        </w:rPr>
        <w:t> </w:t>
      </w:r>
      <w:r>
        <w:rPr>
          <w:sz w:val="24"/>
        </w:rPr>
        <w:t>permanecer</w:t>
      </w:r>
      <w:r>
        <w:rPr>
          <w:spacing w:val="-10"/>
          <w:sz w:val="24"/>
        </w:rPr>
        <w:t> </w:t>
      </w:r>
      <w:r>
        <w:rPr>
          <w:sz w:val="24"/>
        </w:rPr>
        <w:t>a través del tiempo en tanto no cambie la esencia económica de las</w:t>
      </w:r>
      <w:r>
        <w:rPr>
          <w:spacing w:val="-22"/>
          <w:sz w:val="24"/>
        </w:rPr>
        <w:t> </w:t>
      </w:r>
      <w:r>
        <w:rPr>
          <w:sz w:val="24"/>
        </w:rPr>
        <w:t>transacciones.</w:t>
      </w:r>
    </w:p>
    <w:p>
      <w:pPr>
        <w:pStyle w:val="BodyText"/>
      </w:pPr>
    </w:p>
    <w:p>
      <w:pPr>
        <w:pStyle w:val="Heading2"/>
        <w:numPr>
          <w:ilvl w:val="2"/>
          <w:numId w:val="15"/>
        </w:numPr>
        <w:tabs>
          <w:tab w:pos="711" w:val="left" w:leader="none"/>
        </w:tabs>
        <w:spacing w:line="240" w:lineRule="auto" w:before="180" w:after="0"/>
        <w:ind w:left="710" w:right="0" w:hanging="601"/>
        <w:jc w:val="left"/>
      </w:pPr>
      <w:bookmarkStart w:name="_bookmark18" w:id="34"/>
      <w:bookmarkEnd w:id="34"/>
      <w:r>
        <w:rPr>
          <w:b w:val="0"/>
        </w:rPr>
      </w:r>
      <w:bookmarkStart w:name="_bookmark18" w:id="35"/>
      <w:bookmarkEnd w:id="35"/>
      <w:r>
        <w:rPr/>
        <w:t>P</w:t>
      </w:r>
      <w:r>
        <w:rPr/>
        <w:t>roceso</w:t>
      </w:r>
      <w:r>
        <w:rPr>
          <w:spacing w:val="-7"/>
        </w:rPr>
        <w:t> </w:t>
      </w:r>
      <w:r>
        <w:rPr/>
        <w:t>contable.</w:t>
      </w:r>
    </w:p>
    <w:p>
      <w:pPr>
        <w:pStyle w:val="BodyText"/>
        <w:spacing w:line="360" w:lineRule="auto" w:before="43" w:after="3"/>
        <w:ind w:left="536" w:right="536"/>
        <w:jc w:val="both"/>
      </w:pPr>
      <w:r>
        <w:rPr/>
        <w:t>El</w:t>
      </w:r>
      <w:r>
        <w:rPr>
          <w:spacing w:val="-12"/>
        </w:rPr>
        <w:t> </w:t>
      </w:r>
      <w:r>
        <w:rPr/>
        <w:t>proceso</w:t>
      </w:r>
      <w:r>
        <w:rPr>
          <w:spacing w:val="-11"/>
        </w:rPr>
        <w:t> </w:t>
      </w:r>
      <w:r>
        <w:rPr/>
        <w:t>contable</w:t>
      </w:r>
      <w:r>
        <w:rPr>
          <w:spacing w:val="-13"/>
        </w:rPr>
        <w:t> </w:t>
      </w:r>
      <w:r>
        <w:rPr/>
        <w:t>es</w:t>
      </w:r>
      <w:r>
        <w:rPr>
          <w:spacing w:val="-14"/>
        </w:rPr>
        <w:t> </w:t>
      </w:r>
      <w:r>
        <w:rPr/>
        <w:t>el</w:t>
      </w:r>
      <w:r>
        <w:rPr>
          <w:spacing w:val="-12"/>
        </w:rPr>
        <w:t> </w:t>
      </w:r>
      <w:r>
        <w:rPr/>
        <w:t>ciclo</w:t>
      </w:r>
      <w:r>
        <w:rPr>
          <w:spacing w:val="-11"/>
        </w:rPr>
        <w:t> </w:t>
      </w:r>
      <w:r>
        <w:rPr/>
        <w:t>mediante</w:t>
      </w:r>
      <w:r>
        <w:rPr>
          <w:spacing w:val="-10"/>
        </w:rPr>
        <w:t> </w:t>
      </w:r>
      <w:r>
        <w:rPr/>
        <w:t>el</w:t>
      </w:r>
      <w:r>
        <w:rPr>
          <w:spacing w:val="-12"/>
        </w:rPr>
        <w:t> </w:t>
      </w:r>
      <w:r>
        <w:rPr/>
        <w:t>cual</w:t>
      </w:r>
      <w:r>
        <w:rPr>
          <w:spacing w:val="-12"/>
        </w:rPr>
        <w:t> </w:t>
      </w:r>
      <w:r>
        <w:rPr/>
        <w:t>las</w:t>
      </w:r>
      <w:r>
        <w:rPr>
          <w:spacing w:val="-11"/>
        </w:rPr>
        <w:t> </w:t>
      </w:r>
      <w:r>
        <w:rPr/>
        <w:t>transacciones</w:t>
      </w:r>
      <w:r>
        <w:rPr>
          <w:spacing w:val="-14"/>
        </w:rPr>
        <w:t> </w:t>
      </w:r>
      <w:r>
        <w:rPr/>
        <w:t>de</w:t>
      </w:r>
      <w:r>
        <w:rPr>
          <w:spacing w:val="-13"/>
        </w:rPr>
        <w:t> </w:t>
      </w:r>
      <w:r>
        <w:rPr/>
        <w:t>una</w:t>
      </w:r>
      <w:r>
        <w:rPr>
          <w:spacing w:val="-13"/>
        </w:rPr>
        <w:t> </w:t>
      </w:r>
      <w:r>
        <w:rPr/>
        <w:t>empresa son registradas y resumidas para la obtención de los Estados Financieros. Este proceso está formado de los siguientes</w:t>
      </w:r>
      <w:r>
        <w:rPr>
          <w:spacing w:val="-16"/>
        </w:rPr>
        <w:t> </w:t>
      </w:r>
      <w:r>
        <w:rPr/>
        <w:t>pasos:</w:t>
      </w:r>
    </w:p>
    <w:p>
      <w:pPr>
        <w:pStyle w:val="BodyText"/>
        <w:ind w:left="536"/>
        <w:rPr>
          <w:sz w:val="20"/>
        </w:rPr>
      </w:pPr>
      <w:r>
        <w:rPr>
          <w:sz w:val="20"/>
        </w:rPr>
        <w:drawing>
          <wp:inline distT="0" distB="0" distL="0" distR="0">
            <wp:extent cx="5805655" cy="1969007"/>
            <wp:effectExtent l="0" t="0" r="0" b="0"/>
            <wp:docPr id="9" name="image62.jpeg" descr=""/>
            <wp:cNvGraphicFramePr>
              <a:graphicFrameLocks noChangeAspect="1"/>
            </wp:cNvGraphicFramePr>
            <a:graphic>
              <a:graphicData uri="http://schemas.openxmlformats.org/drawingml/2006/picture">
                <pic:pic>
                  <pic:nvPicPr>
                    <pic:cNvPr id="10" name="image62.jpeg"/>
                    <pic:cNvPicPr/>
                  </pic:nvPicPr>
                  <pic:blipFill>
                    <a:blip r:embed="rId70" cstate="print"/>
                    <a:stretch>
                      <a:fillRect/>
                    </a:stretch>
                  </pic:blipFill>
                  <pic:spPr>
                    <a:xfrm>
                      <a:off x="0" y="0"/>
                      <a:ext cx="5805655" cy="1969007"/>
                    </a:xfrm>
                    <a:prstGeom prst="rect">
                      <a:avLst/>
                    </a:prstGeom>
                  </pic:spPr>
                </pic:pic>
              </a:graphicData>
            </a:graphic>
          </wp:inline>
        </w:drawing>
      </w:r>
      <w:r>
        <w:rPr>
          <w:sz w:val="20"/>
        </w:rPr>
      </w:r>
    </w:p>
    <w:p>
      <w:pPr>
        <w:spacing w:before="126"/>
        <w:ind w:left="3937" w:right="0" w:firstLine="0"/>
        <w:jc w:val="left"/>
        <w:rPr>
          <w:sz w:val="20"/>
        </w:rPr>
      </w:pPr>
      <w:r>
        <w:rPr>
          <w:sz w:val="20"/>
        </w:rPr>
        <w:t>Figura 10. Proceso contable.</w:t>
      </w:r>
    </w:p>
    <w:p>
      <w:pPr>
        <w:spacing w:after="0"/>
        <w:jc w:val="left"/>
        <w:rPr>
          <w:sz w:val="20"/>
        </w:rPr>
        <w:sectPr>
          <w:pgSz w:w="12240" w:h="15840"/>
          <w:pgMar w:header="0" w:footer="779" w:top="1360" w:bottom="960" w:left="1360" w:right="1160"/>
        </w:sectPr>
      </w:pPr>
    </w:p>
    <w:p>
      <w:pPr>
        <w:pStyle w:val="Heading2"/>
        <w:numPr>
          <w:ilvl w:val="2"/>
          <w:numId w:val="15"/>
        </w:numPr>
        <w:tabs>
          <w:tab w:pos="1257" w:val="left" w:leader="none"/>
        </w:tabs>
        <w:spacing w:line="240" w:lineRule="auto" w:before="57" w:after="0"/>
        <w:ind w:left="1256" w:right="0" w:hanging="720"/>
        <w:jc w:val="left"/>
      </w:pPr>
      <w:bookmarkStart w:name="_bookmark19" w:id="36"/>
      <w:bookmarkEnd w:id="36"/>
      <w:r>
        <w:rPr>
          <w:b w:val="0"/>
        </w:rPr>
      </w:r>
      <w:bookmarkStart w:name="_bookmark19" w:id="37"/>
      <w:bookmarkEnd w:id="37"/>
      <w:r>
        <w:rPr/>
        <w:t>M</w:t>
      </w:r>
      <w:r>
        <w:rPr/>
        <w:t>anual</w:t>
      </w:r>
      <w:r>
        <w:rPr>
          <w:spacing w:val="-2"/>
        </w:rPr>
        <w:t> </w:t>
      </w:r>
      <w:r>
        <w:rPr/>
        <w:t>Contable.</w:t>
      </w:r>
    </w:p>
    <w:p>
      <w:pPr>
        <w:spacing w:line="362" w:lineRule="auto" w:before="134"/>
        <w:ind w:left="109" w:right="91" w:firstLine="0"/>
        <w:jc w:val="left"/>
        <w:rPr>
          <w:sz w:val="24"/>
        </w:rPr>
      </w:pPr>
      <w:r>
        <w:rPr>
          <w:sz w:val="24"/>
        </w:rPr>
        <w:t>El manual contable es también llamado </w:t>
      </w:r>
      <w:r>
        <w:rPr>
          <w:i/>
          <w:sz w:val="24"/>
        </w:rPr>
        <w:t>guía de contabilización, </w:t>
      </w:r>
      <w:r>
        <w:rPr>
          <w:sz w:val="24"/>
        </w:rPr>
        <w:t>sirve de guía cuando se registran transacciones contables.</w:t>
      </w:r>
    </w:p>
    <w:p>
      <w:pPr>
        <w:pStyle w:val="BodyText"/>
      </w:pPr>
    </w:p>
    <w:p>
      <w:pPr>
        <w:pStyle w:val="BodyText"/>
        <w:spacing w:line="360" w:lineRule="auto" w:before="139"/>
        <w:ind w:left="109" w:right="98"/>
        <w:jc w:val="both"/>
      </w:pPr>
      <w:r>
        <w:rPr/>
        <w:t>Es un documento independiente donde, además de los números y títulos de las cuentas,</w:t>
      </w:r>
      <w:r>
        <w:rPr>
          <w:spacing w:val="-11"/>
        </w:rPr>
        <w:t> </w:t>
      </w:r>
      <w:r>
        <w:rPr/>
        <w:t>se</w:t>
      </w:r>
      <w:r>
        <w:rPr>
          <w:spacing w:val="-11"/>
        </w:rPr>
        <w:t> </w:t>
      </w:r>
      <w:r>
        <w:rPr/>
        <w:t>describe</w:t>
      </w:r>
      <w:r>
        <w:rPr>
          <w:spacing w:val="-11"/>
        </w:rPr>
        <w:t> </w:t>
      </w:r>
      <w:r>
        <w:rPr/>
        <w:t>en</w:t>
      </w:r>
      <w:r>
        <w:rPr>
          <w:spacing w:val="-11"/>
        </w:rPr>
        <w:t> </w:t>
      </w:r>
      <w:r>
        <w:rPr/>
        <w:t>forma</w:t>
      </w:r>
      <w:r>
        <w:rPr>
          <w:spacing w:val="-13"/>
        </w:rPr>
        <w:t> </w:t>
      </w:r>
      <w:r>
        <w:rPr/>
        <w:t>detallada</w:t>
      </w:r>
      <w:r>
        <w:rPr>
          <w:spacing w:val="-11"/>
        </w:rPr>
        <w:t> </w:t>
      </w:r>
      <w:r>
        <w:rPr/>
        <w:t>el</w:t>
      </w:r>
      <w:r>
        <w:rPr>
          <w:spacing w:val="-12"/>
        </w:rPr>
        <w:t> </w:t>
      </w:r>
      <w:r>
        <w:rPr/>
        <w:t>tipo</w:t>
      </w:r>
      <w:r>
        <w:rPr>
          <w:spacing w:val="-9"/>
        </w:rPr>
        <w:t> </w:t>
      </w:r>
      <w:r>
        <w:rPr/>
        <w:t>de</w:t>
      </w:r>
      <w:r>
        <w:rPr>
          <w:spacing w:val="-11"/>
        </w:rPr>
        <w:t> </w:t>
      </w:r>
      <w:r>
        <w:rPr/>
        <w:t>transacciones</w:t>
      </w:r>
      <w:r>
        <w:rPr>
          <w:spacing w:val="-10"/>
        </w:rPr>
        <w:t> </w:t>
      </w:r>
      <w:r>
        <w:rPr/>
        <w:t>que</w:t>
      </w:r>
      <w:r>
        <w:rPr>
          <w:spacing w:val="-9"/>
        </w:rPr>
        <w:t> </w:t>
      </w:r>
      <w:r>
        <w:rPr/>
        <w:t>se</w:t>
      </w:r>
      <w:r>
        <w:rPr>
          <w:spacing w:val="-13"/>
        </w:rPr>
        <w:t> </w:t>
      </w:r>
      <w:r>
        <w:rPr/>
        <w:t>debe</w:t>
      </w:r>
      <w:r>
        <w:rPr>
          <w:spacing w:val="-9"/>
        </w:rPr>
        <w:t> </w:t>
      </w:r>
      <w:r>
        <w:rPr/>
        <w:t>registrar en cada una de ellas, junto con los documentos que dan soporte a la transacción así como lo que representa su</w:t>
      </w:r>
      <w:r>
        <w:rPr>
          <w:spacing w:val="-9"/>
        </w:rPr>
        <w:t> </w:t>
      </w:r>
      <w:r>
        <w:rPr/>
        <w:t>saldo.</w:t>
      </w:r>
    </w:p>
    <w:p>
      <w:pPr>
        <w:pStyle w:val="BodyText"/>
        <w:spacing w:before="9"/>
        <w:rPr>
          <w:sz w:val="27"/>
        </w:rPr>
      </w:pPr>
    </w:p>
    <w:p>
      <w:pPr>
        <w:spacing w:before="0"/>
        <w:ind w:left="109" w:right="0" w:firstLine="0"/>
        <w:jc w:val="left"/>
        <w:rPr>
          <w:i/>
          <w:sz w:val="24"/>
        </w:rPr>
      </w:pPr>
      <w:r>
        <w:rPr>
          <w:i/>
          <w:sz w:val="24"/>
        </w:rPr>
        <w:t>Catálogo de cuentas.</w:t>
      </w:r>
    </w:p>
    <w:p>
      <w:pPr>
        <w:pStyle w:val="BodyText"/>
        <w:spacing w:before="3"/>
        <w:rPr>
          <w:i/>
          <w:sz w:val="31"/>
        </w:rPr>
      </w:pPr>
    </w:p>
    <w:p>
      <w:pPr>
        <w:pStyle w:val="BodyText"/>
        <w:spacing w:line="360" w:lineRule="auto"/>
        <w:ind w:left="109" w:right="91"/>
      </w:pPr>
      <w:r>
        <w:rPr/>
        <w:t>Constituye</w:t>
      </w:r>
      <w:r>
        <w:rPr>
          <w:spacing w:val="-8"/>
        </w:rPr>
        <w:t> </w:t>
      </w:r>
      <w:r>
        <w:rPr/>
        <w:t>una</w:t>
      </w:r>
      <w:r>
        <w:rPr>
          <w:spacing w:val="-11"/>
        </w:rPr>
        <w:t> </w:t>
      </w:r>
      <w:r>
        <w:rPr/>
        <w:t>norma</w:t>
      </w:r>
      <w:r>
        <w:rPr>
          <w:spacing w:val="-11"/>
        </w:rPr>
        <w:t> </w:t>
      </w:r>
      <w:r>
        <w:rPr/>
        <w:t>escrita</w:t>
      </w:r>
      <w:r>
        <w:rPr>
          <w:spacing w:val="-8"/>
        </w:rPr>
        <w:t> </w:t>
      </w:r>
      <w:r>
        <w:rPr/>
        <w:t>de</w:t>
      </w:r>
      <w:r>
        <w:rPr>
          <w:spacing w:val="-8"/>
        </w:rPr>
        <w:t> </w:t>
      </w:r>
      <w:r>
        <w:rPr/>
        <w:t>carácter</w:t>
      </w:r>
      <w:r>
        <w:rPr>
          <w:spacing w:val="-10"/>
        </w:rPr>
        <w:t> </w:t>
      </w:r>
      <w:r>
        <w:rPr/>
        <w:t>permanente</w:t>
      </w:r>
      <w:r>
        <w:rPr>
          <w:spacing w:val="-8"/>
        </w:rPr>
        <w:t> </w:t>
      </w:r>
      <w:r>
        <w:rPr/>
        <w:t>que</w:t>
      </w:r>
      <w:r>
        <w:rPr>
          <w:spacing w:val="-8"/>
        </w:rPr>
        <w:t> </w:t>
      </w:r>
      <w:r>
        <w:rPr/>
        <w:t>limita</w:t>
      </w:r>
      <w:r>
        <w:rPr>
          <w:spacing w:val="-8"/>
        </w:rPr>
        <w:t> </w:t>
      </w:r>
      <w:r>
        <w:rPr/>
        <w:t>los</w:t>
      </w:r>
      <w:r>
        <w:rPr>
          <w:spacing w:val="-11"/>
        </w:rPr>
        <w:t> </w:t>
      </w:r>
      <w:r>
        <w:rPr/>
        <w:t>errores</w:t>
      </w:r>
      <w:r>
        <w:rPr>
          <w:spacing w:val="-9"/>
        </w:rPr>
        <w:t> </w:t>
      </w:r>
      <w:r>
        <w:rPr/>
        <w:t>en</w:t>
      </w:r>
      <w:r>
        <w:rPr>
          <w:spacing w:val="-8"/>
        </w:rPr>
        <w:t> </w:t>
      </w:r>
      <w:r>
        <w:rPr/>
        <w:t>que</w:t>
      </w:r>
      <w:r>
        <w:rPr>
          <w:spacing w:val="-8"/>
        </w:rPr>
        <w:t> </w:t>
      </w:r>
      <w:r>
        <w:rPr/>
        <w:t>se pudieran incurrir en la clasificación de las operaciones realizadas; sirve para unificar el criterio de quienes manejan la Contabilidad y constituye una guía para el usuario. Representa la estructura del sistema</w:t>
      </w:r>
      <w:r>
        <w:rPr>
          <w:spacing w:val="-11"/>
        </w:rPr>
        <w:t> </w:t>
      </w:r>
      <w:r>
        <w:rPr/>
        <w:t>contable.</w:t>
      </w:r>
    </w:p>
    <w:p>
      <w:pPr>
        <w:pStyle w:val="BodyText"/>
      </w:pPr>
    </w:p>
    <w:p>
      <w:pPr>
        <w:pStyle w:val="BodyText"/>
        <w:spacing w:before="142"/>
        <w:ind w:left="109"/>
      </w:pPr>
      <w:r>
        <w:rPr/>
        <w:t>Contenido del catálogo de cuentas.</w:t>
      </w:r>
    </w:p>
    <w:p>
      <w:pPr>
        <w:pStyle w:val="BodyText"/>
      </w:pPr>
    </w:p>
    <w:p>
      <w:pPr>
        <w:pStyle w:val="BodyText"/>
      </w:pPr>
    </w:p>
    <w:p>
      <w:pPr>
        <w:pStyle w:val="ListParagraph"/>
        <w:numPr>
          <w:ilvl w:val="0"/>
          <w:numId w:val="20"/>
        </w:numPr>
        <w:tabs>
          <w:tab w:pos="830" w:val="left" w:leader="none"/>
        </w:tabs>
        <w:spacing w:line="240" w:lineRule="auto" w:before="0" w:after="0"/>
        <w:ind w:left="829" w:right="0" w:hanging="360"/>
        <w:jc w:val="left"/>
        <w:rPr>
          <w:sz w:val="24"/>
        </w:rPr>
      </w:pPr>
      <w:r>
        <w:rPr>
          <w:sz w:val="24"/>
        </w:rPr>
        <w:t>El</w:t>
      </w:r>
      <w:r>
        <w:rPr>
          <w:spacing w:val="-2"/>
          <w:sz w:val="24"/>
        </w:rPr>
        <w:t> </w:t>
      </w:r>
      <w:r>
        <w:rPr>
          <w:sz w:val="24"/>
        </w:rPr>
        <w:t>número.</w:t>
      </w:r>
    </w:p>
    <w:p>
      <w:pPr>
        <w:pStyle w:val="ListParagraph"/>
        <w:numPr>
          <w:ilvl w:val="0"/>
          <w:numId w:val="20"/>
        </w:numPr>
        <w:tabs>
          <w:tab w:pos="830" w:val="left" w:leader="none"/>
        </w:tabs>
        <w:spacing w:line="240" w:lineRule="auto" w:before="137" w:after="0"/>
        <w:ind w:left="829" w:right="0" w:hanging="360"/>
        <w:jc w:val="left"/>
        <w:rPr>
          <w:sz w:val="24"/>
        </w:rPr>
      </w:pPr>
      <w:r>
        <w:rPr>
          <w:sz w:val="24"/>
        </w:rPr>
        <w:t>Nombre de cada una de las</w:t>
      </w:r>
      <w:r>
        <w:rPr>
          <w:spacing w:val="-14"/>
          <w:sz w:val="24"/>
        </w:rPr>
        <w:t> </w:t>
      </w:r>
      <w:r>
        <w:rPr>
          <w:sz w:val="24"/>
        </w:rPr>
        <w:t>cuentas.</w:t>
      </w:r>
    </w:p>
    <w:p>
      <w:pPr>
        <w:pStyle w:val="ListParagraph"/>
        <w:numPr>
          <w:ilvl w:val="0"/>
          <w:numId w:val="20"/>
        </w:numPr>
        <w:tabs>
          <w:tab w:pos="830" w:val="left" w:leader="none"/>
        </w:tabs>
        <w:spacing w:line="240" w:lineRule="auto" w:before="139" w:after="0"/>
        <w:ind w:left="829" w:right="0" w:hanging="360"/>
        <w:jc w:val="left"/>
        <w:rPr>
          <w:sz w:val="24"/>
        </w:rPr>
      </w:pPr>
      <w:r>
        <w:rPr>
          <w:sz w:val="24"/>
        </w:rPr>
        <w:t>5 clasificaciones: Activo, Pasivo, Capital, Ingreso y</w:t>
      </w:r>
      <w:r>
        <w:rPr>
          <w:spacing w:val="-20"/>
          <w:sz w:val="24"/>
        </w:rPr>
        <w:t> </w:t>
      </w:r>
      <w:r>
        <w:rPr>
          <w:sz w:val="24"/>
        </w:rPr>
        <w:t>Gasto.</w:t>
      </w:r>
    </w:p>
    <w:p>
      <w:pPr>
        <w:pStyle w:val="ListParagraph"/>
        <w:numPr>
          <w:ilvl w:val="1"/>
          <w:numId w:val="20"/>
        </w:numPr>
        <w:tabs>
          <w:tab w:pos="1550" w:val="left" w:leader="none"/>
        </w:tabs>
        <w:spacing w:line="240" w:lineRule="auto" w:before="137" w:after="0"/>
        <w:ind w:left="1549" w:right="0" w:hanging="360"/>
        <w:jc w:val="left"/>
        <w:rPr>
          <w:sz w:val="24"/>
        </w:rPr>
      </w:pPr>
      <w:r>
        <w:rPr>
          <w:sz w:val="24"/>
        </w:rPr>
        <w:t>Cuentas de Activo comienzan con</w:t>
      </w:r>
      <w:r>
        <w:rPr>
          <w:spacing w:val="-12"/>
          <w:sz w:val="24"/>
        </w:rPr>
        <w:t> </w:t>
      </w:r>
      <w:r>
        <w:rPr>
          <w:sz w:val="24"/>
        </w:rPr>
        <w:t>1.</w:t>
      </w:r>
    </w:p>
    <w:p>
      <w:pPr>
        <w:pStyle w:val="ListParagraph"/>
        <w:numPr>
          <w:ilvl w:val="1"/>
          <w:numId w:val="20"/>
        </w:numPr>
        <w:tabs>
          <w:tab w:pos="1550" w:val="left" w:leader="none"/>
        </w:tabs>
        <w:spacing w:line="240" w:lineRule="auto" w:before="139" w:after="0"/>
        <w:ind w:left="1549" w:right="0" w:hanging="360"/>
        <w:jc w:val="left"/>
        <w:rPr>
          <w:sz w:val="24"/>
        </w:rPr>
      </w:pPr>
      <w:r>
        <w:rPr>
          <w:sz w:val="24"/>
        </w:rPr>
        <w:t>Cuentas de Pasivo comienzan con</w:t>
      </w:r>
      <w:r>
        <w:rPr>
          <w:spacing w:val="-9"/>
          <w:sz w:val="24"/>
        </w:rPr>
        <w:t> </w:t>
      </w:r>
      <w:r>
        <w:rPr>
          <w:sz w:val="24"/>
        </w:rPr>
        <w:t>2.</w:t>
      </w:r>
    </w:p>
    <w:p>
      <w:pPr>
        <w:pStyle w:val="ListParagraph"/>
        <w:numPr>
          <w:ilvl w:val="1"/>
          <w:numId w:val="20"/>
        </w:numPr>
        <w:tabs>
          <w:tab w:pos="1550" w:val="left" w:leader="none"/>
        </w:tabs>
        <w:spacing w:line="240" w:lineRule="auto" w:before="137" w:after="0"/>
        <w:ind w:left="1549" w:right="0" w:hanging="360"/>
        <w:jc w:val="left"/>
        <w:rPr>
          <w:sz w:val="24"/>
        </w:rPr>
      </w:pPr>
      <w:r>
        <w:rPr>
          <w:sz w:val="24"/>
        </w:rPr>
        <w:t>Cuentas de Capital comienzan con</w:t>
      </w:r>
      <w:r>
        <w:rPr>
          <w:spacing w:val="-13"/>
          <w:sz w:val="24"/>
        </w:rPr>
        <w:t> </w:t>
      </w:r>
      <w:r>
        <w:rPr>
          <w:sz w:val="24"/>
        </w:rPr>
        <w:t>3.</w:t>
      </w:r>
    </w:p>
    <w:p>
      <w:pPr>
        <w:pStyle w:val="ListParagraph"/>
        <w:numPr>
          <w:ilvl w:val="1"/>
          <w:numId w:val="20"/>
        </w:numPr>
        <w:tabs>
          <w:tab w:pos="1550" w:val="left" w:leader="none"/>
        </w:tabs>
        <w:spacing w:line="240" w:lineRule="auto" w:before="139" w:after="0"/>
        <w:ind w:left="1549" w:right="0" w:hanging="360"/>
        <w:jc w:val="left"/>
        <w:rPr>
          <w:sz w:val="24"/>
        </w:rPr>
      </w:pPr>
      <w:r>
        <w:rPr>
          <w:sz w:val="24"/>
        </w:rPr>
        <w:t>Cuentas de Ingreso comienzan con</w:t>
      </w:r>
      <w:r>
        <w:rPr>
          <w:spacing w:val="-13"/>
          <w:sz w:val="24"/>
        </w:rPr>
        <w:t> </w:t>
      </w:r>
      <w:r>
        <w:rPr>
          <w:sz w:val="24"/>
        </w:rPr>
        <w:t>4.</w:t>
      </w:r>
    </w:p>
    <w:p>
      <w:pPr>
        <w:pStyle w:val="ListParagraph"/>
        <w:numPr>
          <w:ilvl w:val="1"/>
          <w:numId w:val="20"/>
        </w:numPr>
        <w:tabs>
          <w:tab w:pos="1550" w:val="left" w:leader="none"/>
        </w:tabs>
        <w:spacing w:line="240" w:lineRule="auto" w:before="137" w:after="0"/>
        <w:ind w:left="1549" w:right="0" w:hanging="360"/>
        <w:jc w:val="left"/>
        <w:rPr>
          <w:sz w:val="24"/>
        </w:rPr>
      </w:pPr>
      <w:r>
        <w:rPr>
          <w:sz w:val="24"/>
        </w:rPr>
        <w:t>Cuentas de Gasto comienzan con</w:t>
      </w:r>
      <w:r>
        <w:rPr>
          <w:spacing w:val="-10"/>
          <w:sz w:val="24"/>
        </w:rPr>
        <w:t> </w:t>
      </w:r>
      <w:r>
        <w:rPr>
          <w:sz w:val="24"/>
        </w:rPr>
        <w:t>5.</w:t>
      </w:r>
    </w:p>
    <w:p>
      <w:pPr>
        <w:pStyle w:val="BodyText"/>
      </w:pPr>
    </w:p>
    <w:p>
      <w:pPr>
        <w:pStyle w:val="BodyText"/>
      </w:pPr>
    </w:p>
    <w:p>
      <w:pPr>
        <w:pStyle w:val="BodyText"/>
        <w:spacing w:line="360" w:lineRule="auto"/>
        <w:ind w:left="109"/>
      </w:pPr>
      <w:r>
        <w:rPr/>
        <w:t>Así, todas las cuentas que comiencen en 1 se referirá a activos, el 2 a pasivos y así sucesivamente.</w:t>
      </w:r>
    </w:p>
    <w:p>
      <w:pPr>
        <w:spacing w:after="0" w:line="360" w:lineRule="auto"/>
        <w:sectPr>
          <w:pgSz w:w="12240" w:h="15840"/>
          <w:pgMar w:header="0" w:footer="779" w:top="1360" w:bottom="960" w:left="1360" w:right="1600"/>
        </w:sectPr>
      </w:pPr>
    </w:p>
    <w:p>
      <w:pPr>
        <w:spacing w:before="54"/>
        <w:ind w:left="109" w:right="0" w:firstLine="0"/>
        <w:jc w:val="both"/>
        <w:rPr>
          <w:i/>
          <w:sz w:val="24"/>
        </w:rPr>
      </w:pPr>
      <w:r>
        <w:rPr>
          <w:i/>
          <w:sz w:val="24"/>
        </w:rPr>
        <w:t>La cuenta contable.</w:t>
      </w:r>
    </w:p>
    <w:p>
      <w:pPr>
        <w:pStyle w:val="BodyText"/>
        <w:rPr>
          <w:i/>
        </w:rPr>
      </w:pPr>
    </w:p>
    <w:p>
      <w:pPr>
        <w:pStyle w:val="BodyText"/>
        <w:spacing w:before="2"/>
        <w:rPr>
          <w:i/>
        </w:rPr>
      </w:pPr>
    </w:p>
    <w:p>
      <w:pPr>
        <w:pStyle w:val="BodyText"/>
        <w:spacing w:line="360" w:lineRule="auto"/>
        <w:ind w:left="109" w:right="116"/>
        <w:jc w:val="both"/>
      </w:pPr>
      <w:r>
        <w:rPr/>
        <w:t>El instrumento que la contabilidad utiliza para el registro de las transacciones se denomina cuenta; ahí son anotados los aumentos y disminuciones en los diferentes conceptos que tienen los estados financieros.</w:t>
      </w:r>
    </w:p>
    <w:p>
      <w:pPr>
        <w:pStyle w:val="BodyText"/>
      </w:pPr>
    </w:p>
    <w:p>
      <w:pPr>
        <w:pStyle w:val="BodyText"/>
        <w:spacing w:before="142"/>
        <w:ind w:left="109"/>
        <w:jc w:val="both"/>
      </w:pPr>
      <w:r>
        <w:rPr/>
        <w:t>De acuerdo con Javier Romero proporciona la siguiente definición de cuenta:</w:t>
      </w:r>
    </w:p>
    <w:p>
      <w:pPr>
        <w:pStyle w:val="BodyText"/>
        <w:spacing w:line="360" w:lineRule="auto" w:before="137"/>
        <w:ind w:left="109" w:right="116"/>
        <w:jc w:val="both"/>
      </w:pPr>
      <w:r>
        <w:rPr/>
        <w:t>La cuenta es un registro donde se anotan en forma clara, ordenada y comprensible los aumentos y las disminuciones que sufre un valor o concepto del activo, pasivo o capital contable, como consecuencia de las operaciones realizadas por la entidad.</w:t>
      </w:r>
    </w:p>
    <w:p>
      <w:pPr>
        <w:pStyle w:val="BodyText"/>
      </w:pPr>
    </w:p>
    <w:p>
      <w:pPr>
        <w:pStyle w:val="BodyText"/>
        <w:spacing w:line="360" w:lineRule="auto" w:before="142"/>
        <w:ind w:left="109" w:right="115"/>
        <w:jc w:val="both"/>
      </w:pPr>
      <w:r>
        <w:rPr/>
        <w:t>El objetivo de la cuenta no es otro que llevar el control sistemático y ordenado de las transacciones</w:t>
      </w:r>
      <w:r>
        <w:rPr>
          <w:spacing w:val="-8"/>
        </w:rPr>
        <w:t> </w:t>
      </w:r>
      <w:r>
        <w:rPr/>
        <w:t>económicas</w:t>
      </w:r>
      <w:r>
        <w:rPr>
          <w:spacing w:val="-8"/>
        </w:rPr>
        <w:t> </w:t>
      </w:r>
      <w:r>
        <w:rPr/>
        <w:t>de</w:t>
      </w:r>
      <w:r>
        <w:rPr>
          <w:spacing w:val="-7"/>
        </w:rPr>
        <w:t> </w:t>
      </w:r>
      <w:r>
        <w:rPr/>
        <w:t>la</w:t>
      </w:r>
      <w:r>
        <w:rPr>
          <w:spacing w:val="-10"/>
        </w:rPr>
        <w:t> </w:t>
      </w:r>
      <w:r>
        <w:rPr/>
        <w:t>empresa</w:t>
      </w:r>
      <w:r>
        <w:rPr>
          <w:spacing w:val="-9"/>
        </w:rPr>
        <w:t> </w:t>
      </w:r>
      <w:r>
        <w:rPr/>
        <w:t>para</w:t>
      </w:r>
      <w:r>
        <w:rPr>
          <w:spacing w:val="-7"/>
        </w:rPr>
        <w:t> </w:t>
      </w:r>
      <w:r>
        <w:rPr/>
        <w:t>que</w:t>
      </w:r>
      <w:r>
        <w:rPr>
          <w:spacing w:val="-7"/>
        </w:rPr>
        <w:t> </w:t>
      </w:r>
      <w:r>
        <w:rPr/>
        <w:t>a</w:t>
      </w:r>
      <w:r>
        <w:rPr>
          <w:spacing w:val="-7"/>
        </w:rPr>
        <w:t> </w:t>
      </w:r>
      <w:r>
        <w:rPr/>
        <w:t>partir</w:t>
      </w:r>
      <w:r>
        <w:rPr>
          <w:spacing w:val="-8"/>
        </w:rPr>
        <w:t> </w:t>
      </w:r>
      <w:r>
        <w:rPr/>
        <w:t>de</w:t>
      </w:r>
      <w:r>
        <w:rPr>
          <w:spacing w:val="-7"/>
        </w:rPr>
        <w:t> </w:t>
      </w:r>
      <w:r>
        <w:rPr/>
        <w:t>un</w:t>
      </w:r>
      <w:r>
        <w:rPr>
          <w:spacing w:val="-7"/>
        </w:rPr>
        <w:t> </w:t>
      </w:r>
      <w:r>
        <w:rPr/>
        <w:t>conjunto</w:t>
      </w:r>
      <w:r>
        <w:rPr>
          <w:spacing w:val="-7"/>
        </w:rPr>
        <w:t> </w:t>
      </w:r>
      <w:r>
        <w:rPr/>
        <w:t>de</w:t>
      </w:r>
      <w:r>
        <w:rPr>
          <w:spacing w:val="2"/>
        </w:rPr>
        <w:t> </w:t>
      </w:r>
      <w:r>
        <w:rPr/>
        <w:t>cuentas se puedan generar los estados</w:t>
      </w:r>
      <w:r>
        <w:rPr>
          <w:spacing w:val="-12"/>
        </w:rPr>
        <w:t> </w:t>
      </w:r>
      <w:r>
        <w:rPr/>
        <w:t>financieros</w:t>
      </w:r>
    </w:p>
    <w:p>
      <w:pPr>
        <w:pStyle w:val="BodyText"/>
        <w:spacing w:before="9"/>
        <w:rPr>
          <w:sz w:val="27"/>
        </w:rPr>
      </w:pPr>
    </w:p>
    <w:p>
      <w:pPr>
        <w:spacing w:before="0"/>
        <w:ind w:left="109" w:right="0" w:firstLine="0"/>
        <w:jc w:val="both"/>
        <w:rPr>
          <w:i/>
          <w:sz w:val="24"/>
        </w:rPr>
      </w:pPr>
      <w:r>
        <w:rPr>
          <w:i/>
          <w:sz w:val="24"/>
        </w:rPr>
        <w:t>Registro contable.</w:t>
      </w:r>
    </w:p>
    <w:p>
      <w:pPr>
        <w:pStyle w:val="BodyText"/>
        <w:spacing w:before="3"/>
        <w:rPr>
          <w:i/>
          <w:sz w:val="31"/>
        </w:rPr>
      </w:pPr>
    </w:p>
    <w:p>
      <w:pPr>
        <w:pStyle w:val="BodyText"/>
        <w:spacing w:line="360" w:lineRule="auto" w:before="1"/>
        <w:ind w:left="109" w:right="126"/>
        <w:jc w:val="both"/>
      </w:pPr>
      <w:r>
        <w:rPr/>
        <w:t>Los registros contables se basan a la teoría de la partida doble “a todo cargo le corresponde un abono”.</w:t>
      </w:r>
    </w:p>
    <w:p>
      <w:pPr>
        <w:pStyle w:val="BodyText"/>
      </w:pPr>
    </w:p>
    <w:p>
      <w:pPr>
        <w:pStyle w:val="BodyText"/>
        <w:spacing w:line="360" w:lineRule="auto" w:before="142"/>
        <w:ind w:left="109" w:right="149"/>
        <w:jc w:val="both"/>
      </w:pPr>
      <w:r>
        <w:rPr/>
        <w:t>Esto se muestra en un esquema de mayor (T) donde el lado izquierdo corresponde</w:t>
      </w:r>
      <w:r>
        <w:rPr>
          <w:spacing w:val="-31"/>
        </w:rPr>
        <w:t> </w:t>
      </w:r>
      <w:r>
        <w:rPr/>
        <w:t>a un cargo y el lado derecho a un</w:t>
      </w:r>
      <w:r>
        <w:rPr>
          <w:spacing w:val="-14"/>
        </w:rPr>
        <w:t> </w:t>
      </w:r>
      <w:r>
        <w:rPr/>
        <w:t>abono.</w:t>
      </w:r>
    </w:p>
    <w:p>
      <w:pPr>
        <w:pStyle w:val="BodyText"/>
        <w:spacing w:before="9"/>
        <w:rPr>
          <w:sz w:val="27"/>
        </w:rPr>
      </w:pPr>
    </w:p>
    <w:tbl>
      <w:tblPr>
        <w:tblW w:w="0" w:type="auto"/>
        <w:jc w:val="left"/>
        <w:tblInd w:w="30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04"/>
        <w:gridCol w:w="1604"/>
      </w:tblGrid>
      <w:tr>
        <w:trPr>
          <w:trHeight w:val="411" w:hRule="exact"/>
        </w:trPr>
        <w:tc>
          <w:tcPr>
            <w:tcW w:w="3208" w:type="dxa"/>
            <w:gridSpan w:val="2"/>
            <w:tcBorders>
              <w:top w:val="single" w:sz="8" w:space="0" w:color="D3D3D3"/>
              <w:left w:val="single" w:sz="8" w:space="0" w:color="D3D3D3"/>
              <w:right w:val="single" w:sz="8" w:space="0" w:color="D3D3D3"/>
            </w:tcBorders>
          </w:tcPr>
          <w:p>
            <w:pPr>
              <w:pStyle w:val="TableParagraph"/>
              <w:spacing w:before="23"/>
              <w:ind w:left="1059" w:right="1040"/>
              <w:jc w:val="center"/>
              <w:rPr>
                <w:rFonts w:ascii="Arial"/>
                <w:sz w:val="31"/>
              </w:rPr>
            </w:pPr>
            <w:r>
              <w:rPr>
                <w:rFonts w:ascii="Arial"/>
                <w:w w:val="105"/>
                <w:sz w:val="31"/>
              </w:rPr>
              <w:t>Cuenta</w:t>
            </w:r>
          </w:p>
        </w:tc>
      </w:tr>
      <w:tr>
        <w:trPr>
          <w:trHeight w:val="411" w:hRule="exact"/>
        </w:trPr>
        <w:tc>
          <w:tcPr>
            <w:tcW w:w="1604" w:type="dxa"/>
            <w:tcBorders>
              <w:left w:val="single" w:sz="8" w:space="0" w:color="D3D3D3"/>
              <w:bottom w:val="single" w:sz="8" w:space="0" w:color="D3D3D3"/>
              <w:right w:val="single" w:sz="8" w:space="0" w:color="000000"/>
            </w:tcBorders>
          </w:tcPr>
          <w:p>
            <w:pPr>
              <w:pStyle w:val="TableParagraph"/>
              <w:spacing w:before="23"/>
              <w:ind w:left="361"/>
              <w:rPr>
                <w:rFonts w:ascii="Arial"/>
                <w:sz w:val="31"/>
              </w:rPr>
            </w:pPr>
            <w:r>
              <w:rPr>
                <w:rFonts w:ascii="Arial"/>
                <w:w w:val="105"/>
                <w:sz w:val="31"/>
              </w:rPr>
              <w:t>Cargo</w:t>
            </w:r>
          </w:p>
        </w:tc>
        <w:tc>
          <w:tcPr>
            <w:tcW w:w="1604" w:type="dxa"/>
            <w:tcBorders>
              <w:left w:val="single" w:sz="8" w:space="0" w:color="000000"/>
              <w:bottom w:val="single" w:sz="8" w:space="0" w:color="D3D3D3"/>
              <w:right w:val="single" w:sz="8" w:space="0" w:color="D3D3D3"/>
            </w:tcBorders>
          </w:tcPr>
          <w:p>
            <w:pPr>
              <w:pStyle w:val="TableParagraph"/>
              <w:spacing w:before="23"/>
              <w:ind w:left="341"/>
              <w:rPr>
                <w:rFonts w:ascii="Arial"/>
                <w:sz w:val="31"/>
              </w:rPr>
            </w:pPr>
            <w:r>
              <w:rPr>
                <w:rFonts w:ascii="Arial"/>
                <w:w w:val="105"/>
                <w:sz w:val="31"/>
              </w:rPr>
              <w:t>Abono</w:t>
            </w:r>
          </w:p>
        </w:tc>
      </w:tr>
      <w:tr>
        <w:trPr>
          <w:trHeight w:val="410" w:hRule="exact"/>
        </w:trPr>
        <w:tc>
          <w:tcPr>
            <w:tcW w:w="1604" w:type="dxa"/>
            <w:tcBorders>
              <w:top w:val="single" w:sz="8" w:space="0" w:color="D3D3D3"/>
              <w:left w:val="single" w:sz="8" w:space="0" w:color="D3D3D3"/>
              <w:bottom w:val="single" w:sz="8" w:space="0" w:color="D3D3D3"/>
              <w:right w:val="single" w:sz="8" w:space="0" w:color="000000"/>
            </w:tcBorders>
          </w:tcPr>
          <w:p>
            <w:pPr/>
          </w:p>
        </w:tc>
        <w:tc>
          <w:tcPr>
            <w:tcW w:w="1604" w:type="dxa"/>
            <w:tcBorders>
              <w:top w:val="single" w:sz="8" w:space="0" w:color="D3D3D3"/>
              <w:left w:val="single" w:sz="8" w:space="0" w:color="000000"/>
              <w:bottom w:val="single" w:sz="8" w:space="0" w:color="D3D3D3"/>
              <w:right w:val="single" w:sz="8" w:space="0" w:color="D3D3D3"/>
            </w:tcBorders>
          </w:tcPr>
          <w:p>
            <w:pPr/>
          </w:p>
        </w:tc>
      </w:tr>
      <w:tr>
        <w:trPr>
          <w:trHeight w:val="411" w:hRule="exact"/>
        </w:trPr>
        <w:tc>
          <w:tcPr>
            <w:tcW w:w="1604" w:type="dxa"/>
            <w:tcBorders>
              <w:top w:val="single" w:sz="8" w:space="0" w:color="D3D3D3"/>
              <w:left w:val="single" w:sz="8" w:space="0" w:color="D3D3D3"/>
              <w:bottom w:val="single" w:sz="8" w:space="0" w:color="D3D3D3"/>
              <w:right w:val="single" w:sz="8" w:space="0" w:color="000000"/>
            </w:tcBorders>
          </w:tcPr>
          <w:p>
            <w:pPr/>
          </w:p>
        </w:tc>
        <w:tc>
          <w:tcPr>
            <w:tcW w:w="1604" w:type="dxa"/>
            <w:tcBorders>
              <w:top w:val="single" w:sz="8" w:space="0" w:color="D3D3D3"/>
              <w:left w:val="single" w:sz="8" w:space="0" w:color="000000"/>
              <w:bottom w:val="single" w:sz="8" w:space="0" w:color="D3D3D3"/>
              <w:right w:val="single" w:sz="8" w:space="0" w:color="D3D3D3"/>
            </w:tcBorders>
          </w:tcPr>
          <w:p>
            <w:pPr/>
          </w:p>
        </w:tc>
      </w:tr>
      <w:tr>
        <w:trPr>
          <w:trHeight w:val="410" w:hRule="exact"/>
        </w:trPr>
        <w:tc>
          <w:tcPr>
            <w:tcW w:w="1604" w:type="dxa"/>
            <w:tcBorders>
              <w:top w:val="single" w:sz="8" w:space="0" w:color="D3D3D3"/>
              <w:left w:val="single" w:sz="8" w:space="0" w:color="D3D3D3"/>
              <w:bottom w:val="single" w:sz="8" w:space="0" w:color="D3D3D3"/>
              <w:right w:val="single" w:sz="8" w:space="0" w:color="000000"/>
            </w:tcBorders>
          </w:tcPr>
          <w:p>
            <w:pPr/>
          </w:p>
        </w:tc>
        <w:tc>
          <w:tcPr>
            <w:tcW w:w="1604" w:type="dxa"/>
            <w:tcBorders>
              <w:top w:val="single" w:sz="8" w:space="0" w:color="D3D3D3"/>
              <w:left w:val="single" w:sz="8" w:space="0" w:color="000000"/>
              <w:bottom w:val="single" w:sz="8" w:space="0" w:color="D3D3D3"/>
              <w:right w:val="single" w:sz="8" w:space="0" w:color="D3D3D3"/>
            </w:tcBorders>
          </w:tcPr>
          <w:p>
            <w:pPr/>
          </w:p>
        </w:tc>
      </w:tr>
    </w:tbl>
    <w:p>
      <w:pPr>
        <w:pStyle w:val="BodyText"/>
        <w:spacing w:before="4"/>
        <w:rPr>
          <w:sz w:val="26"/>
        </w:rPr>
      </w:pPr>
    </w:p>
    <w:p>
      <w:pPr>
        <w:pStyle w:val="BodyText"/>
        <w:spacing w:before="70"/>
        <w:ind w:left="109" w:right="212"/>
      </w:pPr>
      <w:r>
        <w:rPr/>
        <w:t>Ejemplo1: Compra de una Televisión en efectivo por $3,000.00, el 15 de mayo.</w:t>
      </w:r>
    </w:p>
    <w:p>
      <w:pPr>
        <w:spacing w:after="0"/>
        <w:sectPr>
          <w:pgSz w:w="12240" w:h="15840"/>
          <w:pgMar w:header="0" w:footer="779" w:top="1360" w:bottom="960" w:left="1360" w:right="1580"/>
        </w:sectPr>
      </w:pPr>
    </w:p>
    <w:tbl>
      <w:tblPr>
        <w:tblW w:w="0" w:type="auto"/>
        <w:jc w:val="left"/>
        <w:tblInd w:w="16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97"/>
        <w:gridCol w:w="1197"/>
        <w:gridCol w:w="1196"/>
        <w:gridCol w:w="1197"/>
        <w:gridCol w:w="1197"/>
      </w:tblGrid>
      <w:tr>
        <w:trPr>
          <w:trHeight w:val="312" w:hRule="exact"/>
        </w:trPr>
        <w:tc>
          <w:tcPr>
            <w:tcW w:w="2393" w:type="dxa"/>
            <w:gridSpan w:val="2"/>
            <w:tcBorders>
              <w:top w:val="single" w:sz="6" w:space="0" w:color="D3D3D3"/>
              <w:left w:val="single" w:sz="6" w:space="0" w:color="D3D3D3"/>
              <w:right w:val="single" w:sz="6" w:space="0" w:color="D3D3D3"/>
            </w:tcBorders>
          </w:tcPr>
          <w:p>
            <w:pPr>
              <w:pStyle w:val="TableParagraph"/>
              <w:spacing w:before="25"/>
              <w:ind w:left="284"/>
              <w:rPr>
                <w:sz w:val="22"/>
              </w:rPr>
            </w:pPr>
            <w:r>
              <w:rPr>
                <w:sz w:val="22"/>
              </w:rPr>
              <w:t>Mobiliario y equipo</w:t>
            </w:r>
          </w:p>
        </w:tc>
        <w:tc>
          <w:tcPr>
            <w:tcW w:w="1196" w:type="dxa"/>
            <w:tcBorders>
              <w:top w:val="single" w:sz="6" w:space="0" w:color="D3D3D3"/>
              <w:left w:val="single" w:sz="6" w:space="0" w:color="D3D3D3"/>
              <w:bottom w:val="single" w:sz="6" w:space="0" w:color="D3D3D3"/>
              <w:right w:val="single" w:sz="6" w:space="0" w:color="D3D3D3"/>
            </w:tcBorders>
          </w:tcPr>
          <w:p>
            <w:pPr/>
          </w:p>
        </w:tc>
        <w:tc>
          <w:tcPr>
            <w:tcW w:w="2393" w:type="dxa"/>
            <w:gridSpan w:val="2"/>
            <w:tcBorders>
              <w:top w:val="single" w:sz="6" w:space="0" w:color="D3D3D3"/>
              <w:left w:val="single" w:sz="6" w:space="0" w:color="D3D3D3"/>
              <w:right w:val="single" w:sz="6" w:space="0" w:color="D3D3D3"/>
            </w:tcBorders>
          </w:tcPr>
          <w:p>
            <w:pPr>
              <w:pStyle w:val="TableParagraph"/>
              <w:spacing w:before="25"/>
              <w:ind w:left="988" w:right="969"/>
              <w:jc w:val="center"/>
              <w:rPr>
                <w:sz w:val="22"/>
              </w:rPr>
            </w:pPr>
            <w:r>
              <w:rPr>
                <w:sz w:val="22"/>
              </w:rPr>
              <w:t>Caja</w:t>
            </w:r>
          </w:p>
        </w:tc>
      </w:tr>
      <w:tr>
        <w:trPr>
          <w:trHeight w:val="312" w:hRule="exact"/>
        </w:trPr>
        <w:tc>
          <w:tcPr>
            <w:tcW w:w="1197" w:type="dxa"/>
            <w:tcBorders>
              <w:left w:val="single" w:sz="6" w:space="0" w:color="D3D3D3"/>
              <w:bottom w:val="single" w:sz="6" w:space="0" w:color="D3D3D3"/>
            </w:tcBorders>
          </w:tcPr>
          <w:p>
            <w:pPr>
              <w:pStyle w:val="TableParagraph"/>
              <w:spacing w:before="25"/>
              <w:ind w:left="404"/>
              <w:rPr>
                <w:sz w:val="22"/>
              </w:rPr>
            </w:pPr>
            <w:r>
              <w:rPr>
                <w:spacing w:val="-6"/>
                <w:sz w:val="22"/>
              </w:rPr>
              <w:t>3,000.00</w:t>
            </w:r>
          </w:p>
        </w:tc>
        <w:tc>
          <w:tcPr>
            <w:tcW w:w="1197" w:type="dxa"/>
            <w:tcBorders>
              <w:bottom w:val="single" w:sz="6" w:space="0" w:color="D3D3D3"/>
              <w:right w:val="single" w:sz="6" w:space="0" w:color="D3D3D3"/>
            </w:tcBorders>
          </w:tcPr>
          <w:p>
            <w:pPr/>
          </w:p>
        </w:tc>
        <w:tc>
          <w:tcPr>
            <w:tcW w:w="1196" w:type="dxa"/>
            <w:tcBorders>
              <w:top w:val="single" w:sz="6" w:space="0" w:color="D3D3D3"/>
              <w:left w:val="single" w:sz="6" w:space="0" w:color="D3D3D3"/>
              <w:bottom w:val="single" w:sz="6" w:space="0" w:color="D3D3D3"/>
              <w:right w:val="single" w:sz="6" w:space="0" w:color="D3D3D3"/>
            </w:tcBorders>
          </w:tcPr>
          <w:p>
            <w:pPr/>
          </w:p>
        </w:tc>
        <w:tc>
          <w:tcPr>
            <w:tcW w:w="1197" w:type="dxa"/>
            <w:tcBorders>
              <w:left w:val="single" w:sz="6" w:space="0" w:color="D3D3D3"/>
              <w:bottom w:val="single" w:sz="6" w:space="0" w:color="D3D3D3"/>
            </w:tcBorders>
          </w:tcPr>
          <w:p>
            <w:pPr/>
          </w:p>
        </w:tc>
        <w:tc>
          <w:tcPr>
            <w:tcW w:w="1197" w:type="dxa"/>
            <w:tcBorders>
              <w:bottom w:val="single" w:sz="6" w:space="0" w:color="D3D3D3"/>
              <w:right w:val="single" w:sz="6" w:space="0" w:color="D3D3D3"/>
            </w:tcBorders>
          </w:tcPr>
          <w:p>
            <w:pPr>
              <w:pStyle w:val="TableParagraph"/>
              <w:spacing w:before="25"/>
              <w:ind w:left="404"/>
              <w:rPr>
                <w:sz w:val="22"/>
              </w:rPr>
            </w:pPr>
            <w:r>
              <w:rPr>
                <w:spacing w:val="-6"/>
                <w:sz w:val="22"/>
              </w:rPr>
              <w:t>3,000.00</w:t>
            </w:r>
          </w:p>
        </w:tc>
      </w:tr>
      <w:tr>
        <w:trPr>
          <w:trHeight w:val="313" w:hRule="exact"/>
        </w:trPr>
        <w:tc>
          <w:tcPr>
            <w:tcW w:w="1197" w:type="dxa"/>
            <w:tcBorders>
              <w:top w:val="single" w:sz="6" w:space="0" w:color="D3D3D3"/>
              <w:left w:val="single" w:sz="6" w:space="0" w:color="D3D3D3"/>
              <w:bottom w:val="single" w:sz="6" w:space="0" w:color="D3D3D3"/>
            </w:tcBorders>
          </w:tcPr>
          <w:p>
            <w:pPr/>
          </w:p>
        </w:tc>
        <w:tc>
          <w:tcPr>
            <w:tcW w:w="1197" w:type="dxa"/>
            <w:tcBorders>
              <w:top w:val="single" w:sz="6" w:space="0" w:color="D3D3D3"/>
              <w:bottom w:val="single" w:sz="6" w:space="0" w:color="D3D3D3"/>
              <w:right w:val="single" w:sz="6" w:space="0" w:color="D3D3D3"/>
            </w:tcBorders>
          </w:tcPr>
          <w:p>
            <w:pPr/>
          </w:p>
        </w:tc>
        <w:tc>
          <w:tcPr>
            <w:tcW w:w="1196" w:type="dxa"/>
            <w:tcBorders>
              <w:top w:val="single" w:sz="6" w:space="0" w:color="D3D3D3"/>
              <w:left w:val="single" w:sz="6" w:space="0" w:color="D3D3D3"/>
              <w:bottom w:val="single" w:sz="6" w:space="0" w:color="D3D3D3"/>
              <w:right w:val="single" w:sz="6" w:space="0" w:color="D3D3D3"/>
            </w:tcBorders>
          </w:tcPr>
          <w:p>
            <w:pPr/>
          </w:p>
        </w:tc>
        <w:tc>
          <w:tcPr>
            <w:tcW w:w="1197" w:type="dxa"/>
            <w:tcBorders>
              <w:top w:val="single" w:sz="6" w:space="0" w:color="D3D3D3"/>
              <w:left w:val="single" w:sz="6" w:space="0" w:color="D3D3D3"/>
              <w:bottom w:val="single" w:sz="6" w:space="0" w:color="D3D3D3"/>
            </w:tcBorders>
          </w:tcPr>
          <w:p>
            <w:pPr/>
          </w:p>
        </w:tc>
        <w:tc>
          <w:tcPr>
            <w:tcW w:w="1197" w:type="dxa"/>
            <w:tcBorders>
              <w:top w:val="single" w:sz="6" w:space="0" w:color="D3D3D3"/>
              <w:bottom w:val="single" w:sz="6" w:space="0" w:color="D3D3D3"/>
              <w:right w:val="single" w:sz="6" w:space="0" w:color="D3D3D3"/>
            </w:tcBorders>
          </w:tcPr>
          <w:p>
            <w:pPr/>
          </w:p>
        </w:tc>
      </w:tr>
      <w:tr>
        <w:trPr>
          <w:trHeight w:val="312" w:hRule="exact"/>
        </w:trPr>
        <w:tc>
          <w:tcPr>
            <w:tcW w:w="1197" w:type="dxa"/>
            <w:tcBorders>
              <w:top w:val="single" w:sz="6" w:space="0" w:color="D3D3D3"/>
              <w:left w:val="single" w:sz="6" w:space="0" w:color="D3D3D3"/>
              <w:bottom w:val="single" w:sz="6" w:space="0" w:color="D3D3D3"/>
            </w:tcBorders>
          </w:tcPr>
          <w:p>
            <w:pPr/>
          </w:p>
        </w:tc>
        <w:tc>
          <w:tcPr>
            <w:tcW w:w="1197" w:type="dxa"/>
            <w:tcBorders>
              <w:top w:val="single" w:sz="6" w:space="0" w:color="D3D3D3"/>
              <w:bottom w:val="single" w:sz="6" w:space="0" w:color="D3D3D3"/>
              <w:right w:val="single" w:sz="6" w:space="0" w:color="D3D3D3"/>
            </w:tcBorders>
          </w:tcPr>
          <w:p>
            <w:pPr/>
          </w:p>
        </w:tc>
        <w:tc>
          <w:tcPr>
            <w:tcW w:w="1196" w:type="dxa"/>
            <w:tcBorders>
              <w:top w:val="single" w:sz="6" w:space="0" w:color="D3D3D3"/>
              <w:left w:val="single" w:sz="6" w:space="0" w:color="D3D3D3"/>
              <w:bottom w:val="single" w:sz="6" w:space="0" w:color="D3D3D3"/>
              <w:right w:val="single" w:sz="6" w:space="0" w:color="D3D3D3"/>
            </w:tcBorders>
          </w:tcPr>
          <w:p>
            <w:pPr/>
          </w:p>
        </w:tc>
        <w:tc>
          <w:tcPr>
            <w:tcW w:w="1197" w:type="dxa"/>
            <w:tcBorders>
              <w:top w:val="single" w:sz="6" w:space="0" w:color="D3D3D3"/>
              <w:left w:val="single" w:sz="6" w:space="0" w:color="D3D3D3"/>
              <w:bottom w:val="single" w:sz="6" w:space="0" w:color="D3D3D3"/>
            </w:tcBorders>
          </w:tcPr>
          <w:p>
            <w:pPr/>
          </w:p>
        </w:tc>
        <w:tc>
          <w:tcPr>
            <w:tcW w:w="1197" w:type="dxa"/>
            <w:tcBorders>
              <w:top w:val="single" w:sz="6" w:space="0" w:color="D3D3D3"/>
              <w:bottom w:val="single" w:sz="6" w:space="0" w:color="D3D3D3"/>
              <w:right w:val="single" w:sz="6" w:space="0" w:color="D3D3D3"/>
            </w:tcBorders>
          </w:tcPr>
          <w:p>
            <w:pPr/>
          </w:p>
        </w:tc>
      </w:tr>
      <w:tr>
        <w:trPr>
          <w:trHeight w:val="313" w:hRule="exact"/>
        </w:trPr>
        <w:tc>
          <w:tcPr>
            <w:tcW w:w="1197" w:type="dxa"/>
            <w:tcBorders>
              <w:top w:val="single" w:sz="6" w:space="0" w:color="D3D3D3"/>
              <w:left w:val="single" w:sz="6" w:space="0" w:color="D3D3D3"/>
              <w:bottom w:val="single" w:sz="6" w:space="0" w:color="D3D3D3"/>
            </w:tcBorders>
          </w:tcPr>
          <w:p>
            <w:pPr/>
          </w:p>
        </w:tc>
        <w:tc>
          <w:tcPr>
            <w:tcW w:w="1197" w:type="dxa"/>
            <w:tcBorders>
              <w:top w:val="single" w:sz="6" w:space="0" w:color="D3D3D3"/>
              <w:bottom w:val="single" w:sz="6" w:space="0" w:color="D3D3D3"/>
              <w:right w:val="single" w:sz="6" w:space="0" w:color="D3D3D3"/>
            </w:tcBorders>
          </w:tcPr>
          <w:p>
            <w:pPr/>
          </w:p>
        </w:tc>
        <w:tc>
          <w:tcPr>
            <w:tcW w:w="1196" w:type="dxa"/>
            <w:tcBorders>
              <w:top w:val="single" w:sz="6" w:space="0" w:color="D3D3D3"/>
              <w:left w:val="single" w:sz="6" w:space="0" w:color="D3D3D3"/>
              <w:bottom w:val="single" w:sz="6" w:space="0" w:color="D3D3D3"/>
              <w:right w:val="single" w:sz="6" w:space="0" w:color="D3D3D3"/>
            </w:tcBorders>
          </w:tcPr>
          <w:p>
            <w:pPr/>
          </w:p>
        </w:tc>
        <w:tc>
          <w:tcPr>
            <w:tcW w:w="1197" w:type="dxa"/>
            <w:tcBorders>
              <w:top w:val="single" w:sz="6" w:space="0" w:color="D3D3D3"/>
              <w:left w:val="single" w:sz="6" w:space="0" w:color="D3D3D3"/>
              <w:bottom w:val="single" w:sz="6" w:space="0" w:color="D3D3D3"/>
            </w:tcBorders>
          </w:tcPr>
          <w:p>
            <w:pPr/>
          </w:p>
        </w:tc>
        <w:tc>
          <w:tcPr>
            <w:tcW w:w="1197" w:type="dxa"/>
            <w:tcBorders>
              <w:top w:val="single" w:sz="6" w:space="0" w:color="D3D3D3"/>
              <w:bottom w:val="single" w:sz="6" w:space="0" w:color="D3D3D3"/>
              <w:right w:val="single" w:sz="6" w:space="0" w:color="D3D3D3"/>
            </w:tcBorders>
          </w:tcPr>
          <w:p>
            <w:pPr/>
          </w:p>
        </w:tc>
      </w:tr>
    </w:tbl>
    <w:p>
      <w:pPr>
        <w:pStyle w:val="BodyText"/>
        <w:rPr>
          <w:sz w:val="26"/>
        </w:rPr>
      </w:pPr>
    </w:p>
    <w:p>
      <w:pPr>
        <w:pStyle w:val="BodyText"/>
        <w:spacing w:line="360" w:lineRule="auto" w:before="69"/>
        <w:ind w:left="109"/>
      </w:pPr>
      <w:r>
        <w:rPr/>
        <w:t>Ejemplo 2. Se pagó a un proveedor con cheque la cantidad de $2,000.00 el 13 de septiembre.</w:t>
      </w:r>
    </w:p>
    <w:p>
      <w:pPr>
        <w:pStyle w:val="BodyText"/>
        <w:spacing w:before="2"/>
        <w:rPr>
          <w:sz w:val="28"/>
        </w:rPr>
      </w:pPr>
    </w:p>
    <w:tbl>
      <w:tblPr>
        <w:tblW w:w="0" w:type="auto"/>
        <w:jc w:val="left"/>
        <w:tblInd w:w="141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90"/>
        <w:gridCol w:w="1290"/>
        <w:gridCol w:w="1290"/>
        <w:gridCol w:w="1290"/>
        <w:gridCol w:w="1290"/>
      </w:tblGrid>
      <w:tr>
        <w:trPr>
          <w:trHeight w:val="290" w:hRule="exact"/>
        </w:trPr>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r>
      <w:tr>
        <w:trPr>
          <w:trHeight w:val="305" w:hRule="exact"/>
        </w:trPr>
        <w:tc>
          <w:tcPr>
            <w:tcW w:w="2581" w:type="dxa"/>
            <w:gridSpan w:val="2"/>
            <w:tcBorders>
              <w:top w:val="single" w:sz="6" w:space="0" w:color="D3D3D3"/>
              <w:left w:val="single" w:sz="6" w:space="0" w:color="D3D3D3"/>
              <w:right w:val="single" w:sz="6" w:space="0" w:color="D3D3D3"/>
            </w:tcBorders>
          </w:tcPr>
          <w:p>
            <w:pPr>
              <w:pStyle w:val="TableParagraph"/>
              <w:spacing w:before="32"/>
              <w:ind w:left="645"/>
              <w:rPr>
                <w:sz w:val="21"/>
              </w:rPr>
            </w:pPr>
            <w:r>
              <w:rPr>
                <w:w w:val="115"/>
                <w:sz w:val="21"/>
              </w:rPr>
              <w:t>Proveedores</w:t>
            </w:r>
          </w:p>
        </w:tc>
        <w:tc>
          <w:tcPr>
            <w:tcW w:w="1290" w:type="dxa"/>
            <w:tcBorders>
              <w:top w:val="single" w:sz="6" w:space="0" w:color="D3D3D3"/>
              <w:left w:val="single" w:sz="6" w:space="0" w:color="D3D3D3"/>
              <w:bottom w:val="single" w:sz="6" w:space="0" w:color="D3D3D3"/>
              <w:right w:val="single" w:sz="6" w:space="0" w:color="D3D3D3"/>
            </w:tcBorders>
          </w:tcPr>
          <w:p>
            <w:pPr/>
          </w:p>
        </w:tc>
        <w:tc>
          <w:tcPr>
            <w:tcW w:w="2581" w:type="dxa"/>
            <w:gridSpan w:val="2"/>
            <w:tcBorders>
              <w:top w:val="single" w:sz="6" w:space="0" w:color="D3D3D3"/>
              <w:left w:val="single" w:sz="6" w:space="0" w:color="D3D3D3"/>
              <w:right w:val="single" w:sz="6" w:space="0" w:color="D3D3D3"/>
            </w:tcBorders>
          </w:tcPr>
          <w:p>
            <w:pPr>
              <w:pStyle w:val="TableParagraph"/>
              <w:spacing w:before="32"/>
              <w:ind w:left="912" w:right="913"/>
              <w:jc w:val="center"/>
              <w:rPr>
                <w:sz w:val="21"/>
              </w:rPr>
            </w:pPr>
            <w:r>
              <w:rPr>
                <w:w w:val="115"/>
                <w:sz w:val="21"/>
              </w:rPr>
              <w:t>Bancos</w:t>
            </w:r>
          </w:p>
        </w:tc>
      </w:tr>
      <w:tr>
        <w:trPr>
          <w:trHeight w:val="305" w:hRule="exact"/>
        </w:trPr>
        <w:tc>
          <w:tcPr>
            <w:tcW w:w="1290" w:type="dxa"/>
            <w:tcBorders>
              <w:left w:val="single" w:sz="6" w:space="0" w:color="D3D3D3"/>
              <w:bottom w:val="single" w:sz="6" w:space="0" w:color="D3D3D3"/>
              <w:right w:val="single" w:sz="6" w:space="0" w:color="000000"/>
            </w:tcBorders>
          </w:tcPr>
          <w:p>
            <w:pPr>
              <w:pStyle w:val="TableParagraph"/>
              <w:spacing w:before="32"/>
              <w:ind w:left="435"/>
              <w:rPr>
                <w:sz w:val="21"/>
              </w:rPr>
            </w:pPr>
            <w:r>
              <w:rPr>
                <w:spacing w:val="-7"/>
                <w:w w:val="115"/>
                <w:sz w:val="21"/>
              </w:rPr>
              <w:t>2,000.00</w:t>
            </w:r>
          </w:p>
        </w:tc>
        <w:tc>
          <w:tcPr>
            <w:tcW w:w="1290" w:type="dxa"/>
            <w:tcBorders>
              <w:left w:val="single" w:sz="6" w:space="0" w:color="000000"/>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left w:val="single" w:sz="6" w:space="0" w:color="D3D3D3"/>
              <w:bottom w:val="single" w:sz="6" w:space="0" w:color="D3D3D3"/>
              <w:right w:val="single" w:sz="6" w:space="0" w:color="000000"/>
            </w:tcBorders>
          </w:tcPr>
          <w:p>
            <w:pPr/>
          </w:p>
        </w:tc>
        <w:tc>
          <w:tcPr>
            <w:tcW w:w="1290" w:type="dxa"/>
            <w:tcBorders>
              <w:left w:val="single" w:sz="6" w:space="0" w:color="000000"/>
              <w:bottom w:val="single" w:sz="6" w:space="0" w:color="D3D3D3"/>
              <w:right w:val="single" w:sz="6" w:space="0" w:color="D3D3D3"/>
            </w:tcBorders>
          </w:tcPr>
          <w:p>
            <w:pPr>
              <w:pStyle w:val="TableParagraph"/>
              <w:spacing w:before="32"/>
              <w:ind w:left="435"/>
              <w:rPr>
                <w:sz w:val="21"/>
              </w:rPr>
            </w:pPr>
            <w:r>
              <w:rPr>
                <w:spacing w:val="-7"/>
                <w:w w:val="115"/>
                <w:sz w:val="21"/>
              </w:rPr>
              <w:t>2,000.00</w:t>
            </w:r>
          </w:p>
        </w:tc>
      </w:tr>
      <w:tr>
        <w:trPr>
          <w:trHeight w:val="305" w:hRule="exact"/>
        </w:trPr>
        <w:tc>
          <w:tcPr>
            <w:tcW w:w="1290" w:type="dxa"/>
            <w:tcBorders>
              <w:top w:val="single" w:sz="6" w:space="0" w:color="D3D3D3"/>
              <w:left w:val="single" w:sz="6" w:space="0" w:color="D3D3D3"/>
              <w:bottom w:val="single" w:sz="6" w:space="0" w:color="D3D3D3"/>
              <w:right w:val="single" w:sz="6" w:space="0" w:color="000000"/>
            </w:tcBorders>
          </w:tcPr>
          <w:p>
            <w:pPr/>
          </w:p>
        </w:tc>
        <w:tc>
          <w:tcPr>
            <w:tcW w:w="1290" w:type="dxa"/>
            <w:tcBorders>
              <w:top w:val="single" w:sz="6" w:space="0" w:color="D3D3D3"/>
              <w:left w:val="single" w:sz="6" w:space="0" w:color="000000"/>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000000"/>
            </w:tcBorders>
          </w:tcPr>
          <w:p>
            <w:pPr/>
          </w:p>
        </w:tc>
        <w:tc>
          <w:tcPr>
            <w:tcW w:w="1290" w:type="dxa"/>
            <w:tcBorders>
              <w:top w:val="single" w:sz="6" w:space="0" w:color="D3D3D3"/>
              <w:left w:val="single" w:sz="6" w:space="0" w:color="000000"/>
              <w:bottom w:val="single" w:sz="6" w:space="0" w:color="D3D3D3"/>
              <w:right w:val="single" w:sz="6" w:space="0" w:color="D3D3D3"/>
            </w:tcBorders>
          </w:tcPr>
          <w:p>
            <w:pPr/>
          </w:p>
        </w:tc>
      </w:tr>
      <w:tr>
        <w:trPr>
          <w:trHeight w:val="305" w:hRule="exact"/>
        </w:trPr>
        <w:tc>
          <w:tcPr>
            <w:tcW w:w="1290" w:type="dxa"/>
            <w:tcBorders>
              <w:top w:val="single" w:sz="6" w:space="0" w:color="D3D3D3"/>
              <w:left w:val="single" w:sz="6" w:space="0" w:color="D3D3D3"/>
              <w:bottom w:val="single" w:sz="6" w:space="0" w:color="D3D3D3"/>
              <w:right w:val="single" w:sz="6" w:space="0" w:color="000000"/>
            </w:tcBorders>
          </w:tcPr>
          <w:p>
            <w:pPr/>
          </w:p>
        </w:tc>
        <w:tc>
          <w:tcPr>
            <w:tcW w:w="1290" w:type="dxa"/>
            <w:tcBorders>
              <w:top w:val="single" w:sz="6" w:space="0" w:color="D3D3D3"/>
              <w:left w:val="single" w:sz="6" w:space="0" w:color="000000"/>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000000"/>
            </w:tcBorders>
          </w:tcPr>
          <w:p>
            <w:pPr/>
          </w:p>
        </w:tc>
        <w:tc>
          <w:tcPr>
            <w:tcW w:w="1290" w:type="dxa"/>
            <w:tcBorders>
              <w:top w:val="single" w:sz="6" w:space="0" w:color="D3D3D3"/>
              <w:left w:val="single" w:sz="6" w:space="0" w:color="000000"/>
              <w:bottom w:val="single" w:sz="6" w:space="0" w:color="D3D3D3"/>
              <w:right w:val="single" w:sz="6" w:space="0" w:color="D3D3D3"/>
            </w:tcBorders>
          </w:tcPr>
          <w:p>
            <w:pPr/>
          </w:p>
        </w:tc>
      </w:tr>
      <w:tr>
        <w:trPr>
          <w:trHeight w:val="305" w:hRule="exact"/>
        </w:trPr>
        <w:tc>
          <w:tcPr>
            <w:tcW w:w="1290" w:type="dxa"/>
            <w:tcBorders>
              <w:top w:val="single" w:sz="6" w:space="0" w:color="D3D3D3"/>
              <w:left w:val="single" w:sz="6" w:space="0" w:color="D3D3D3"/>
              <w:bottom w:val="single" w:sz="6" w:space="0" w:color="D3D3D3"/>
              <w:right w:val="single" w:sz="6" w:space="0" w:color="000000"/>
            </w:tcBorders>
          </w:tcPr>
          <w:p>
            <w:pPr/>
          </w:p>
        </w:tc>
        <w:tc>
          <w:tcPr>
            <w:tcW w:w="1290" w:type="dxa"/>
            <w:tcBorders>
              <w:top w:val="single" w:sz="6" w:space="0" w:color="D3D3D3"/>
              <w:left w:val="single" w:sz="6" w:space="0" w:color="000000"/>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D3D3D3"/>
            </w:tcBorders>
          </w:tcPr>
          <w:p>
            <w:pPr/>
          </w:p>
        </w:tc>
        <w:tc>
          <w:tcPr>
            <w:tcW w:w="1290" w:type="dxa"/>
            <w:tcBorders>
              <w:top w:val="single" w:sz="6" w:space="0" w:color="D3D3D3"/>
              <w:left w:val="single" w:sz="6" w:space="0" w:color="D3D3D3"/>
              <w:bottom w:val="single" w:sz="6" w:space="0" w:color="D3D3D3"/>
              <w:right w:val="single" w:sz="6" w:space="0" w:color="000000"/>
            </w:tcBorders>
          </w:tcPr>
          <w:p>
            <w:pPr/>
          </w:p>
        </w:tc>
        <w:tc>
          <w:tcPr>
            <w:tcW w:w="1290" w:type="dxa"/>
            <w:tcBorders>
              <w:top w:val="single" w:sz="6" w:space="0" w:color="D3D3D3"/>
              <w:left w:val="single" w:sz="6" w:space="0" w:color="000000"/>
              <w:bottom w:val="single" w:sz="6" w:space="0" w:color="D3D3D3"/>
              <w:right w:val="single" w:sz="6" w:space="0" w:color="D3D3D3"/>
            </w:tcBorders>
          </w:tcPr>
          <w:p>
            <w:pPr/>
          </w:p>
        </w:tc>
      </w:tr>
    </w:tbl>
    <w:p>
      <w:pPr>
        <w:pStyle w:val="BodyText"/>
        <w:rPr>
          <w:sz w:val="20"/>
        </w:rPr>
      </w:pPr>
    </w:p>
    <w:p>
      <w:pPr>
        <w:pStyle w:val="BodyText"/>
        <w:rPr>
          <w:sz w:val="20"/>
        </w:rPr>
      </w:pPr>
    </w:p>
    <w:p>
      <w:pPr>
        <w:pStyle w:val="BodyText"/>
        <w:spacing w:before="11"/>
        <w:rPr>
          <w:sz w:val="15"/>
        </w:rPr>
      </w:pPr>
    </w:p>
    <w:p>
      <w:pPr>
        <w:pStyle w:val="Heading2"/>
        <w:spacing w:before="69"/>
        <w:jc w:val="left"/>
      </w:pPr>
      <w:bookmarkStart w:name="_bookmark20" w:id="38"/>
      <w:bookmarkEnd w:id="38"/>
      <w:r>
        <w:rPr>
          <w:b w:val="0"/>
        </w:rPr>
      </w:r>
      <w:r>
        <w:rPr/>
        <w:t>2.2. REGISTRO Y CÁLCULO DE DATOS EN DIARIO Y MAYOR.</w:t>
      </w:r>
    </w:p>
    <w:p>
      <w:pPr>
        <w:pStyle w:val="BodyText"/>
        <w:rPr>
          <w:b/>
        </w:rPr>
      </w:pPr>
    </w:p>
    <w:p>
      <w:pPr>
        <w:pStyle w:val="BodyText"/>
        <w:spacing w:before="9"/>
        <w:rPr>
          <w:b/>
          <w:sz w:val="23"/>
        </w:rPr>
      </w:pPr>
    </w:p>
    <w:p>
      <w:pPr>
        <w:spacing w:before="0"/>
        <w:ind w:left="109" w:right="0" w:firstLine="0"/>
        <w:jc w:val="left"/>
        <w:rPr>
          <w:i/>
          <w:sz w:val="24"/>
        </w:rPr>
      </w:pPr>
      <w:r>
        <w:rPr>
          <w:i/>
          <w:sz w:val="24"/>
        </w:rPr>
        <w:t>Reglas del cargo y del abono.</w:t>
      </w:r>
    </w:p>
    <w:p>
      <w:pPr>
        <w:pStyle w:val="BodyText"/>
        <w:spacing w:before="7"/>
        <w:rPr>
          <w:i/>
          <w:sz w:val="29"/>
        </w:rPr>
      </w:pPr>
    </w:p>
    <w:p>
      <w:pPr>
        <w:pStyle w:val="ListParagraph"/>
        <w:numPr>
          <w:ilvl w:val="0"/>
          <w:numId w:val="21"/>
        </w:numPr>
        <w:tabs>
          <w:tab w:pos="378" w:val="left" w:leader="none"/>
        </w:tabs>
        <w:spacing w:line="240" w:lineRule="auto" w:before="0" w:after="0"/>
        <w:ind w:left="377" w:right="0" w:hanging="268"/>
        <w:jc w:val="left"/>
        <w:rPr>
          <w:sz w:val="24"/>
        </w:rPr>
      </w:pPr>
      <w:r>
        <w:rPr>
          <w:sz w:val="24"/>
        </w:rPr>
        <w:t>Un aumento de activo significa una disminución de</w:t>
      </w:r>
      <w:r>
        <w:rPr>
          <w:spacing w:val="-27"/>
          <w:sz w:val="24"/>
        </w:rPr>
        <w:t> </w:t>
      </w:r>
      <w:r>
        <w:rPr>
          <w:sz w:val="24"/>
        </w:rPr>
        <w:t>activo.</w:t>
      </w:r>
    </w:p>
    <w:p>
      <w:pPr>
        <w:pStyle w:val="ListParagraph"/>
        <w:numPr>
          <w:ilvl w:val="0"/>
          <w:numId w:val="21"/>
        </w:numPr>
        <w:tabs>
          <w:tab w:pos="378" w:val="left" w:leader="none"/>
        </w:tabs>
        <w:spacing w:line="240" w:lineRule="auto" w:before="137" w:after="0"/>
        <w:ind w:left="377" w:right="0" w:hanging="268"/>
        <w:jc w:val="left"/>
        <w:rPr>
          <w:sz w:val="24"/>
        </w:rPr>
      </w:pPr>
      <w:r>
        <w:rPr>
          <w:sz w:val="24"/>
        </w:rPr>
        <w:t>Un aumento de activo significa un aumento de</w:t>
      </w:r>
      <w:r>
        <w:rPr>
          <w:spacing w:val="-25"/>
          <w:sz w:val="24"/>
        </w:rPr>
        <w:t> </w:t>
      </w:r>
      <w:r>
        <w:rPr>
          <w:sz w:val="24"/>
        </w:rPr>
        <w:t>pasivo.</w:t>
      </w:r>
    </w:p>
    <w:p>
      <w:pPr>
        <w:pStyle w:val="ListParagraph"/>
        <w:numPr>
          <w:ilvl w:val="0"/>
          <w:numId w:val="21"/>
        </w:numPr>
        <w:tabs>
          <w:tab w:pos="378" w:val="left" w:leader="none"/>
        </w:tabs>
        <w:spacing w:line="240" w:lineRule="auto" w:before="139" w:after="0"/>
        <w:ind w:left="377" w:right="0" w:hanging="268"/>
        <w:jc w:val="left"/>
        <w:rPr>
          <w:sz w:val="24"/>
        </w:rPr>
      </w:pPr>
      <w:r>
        <w:rPr>
          <w:sz w:val="24"/>
        </w:rPr>
        <w:t>Un aumento de activo significa un aumento de</w:t>
      </w:r>
      <w:r>
        <w:rPr>
          <w:spacing w:val="-25"/>
          <w:sz w:val="24"/>
        </w:rPr>
        <w:t> </w:t>
      </w:r>
      <w:r>
        <w:rPr>
          <w:sz w:val="24"/>
        </w:rPr>
        <w:t>capital.</w:t>
      </w:r>
    </w:p>
    <w:p>
      <w:pPr>
        <w:pStyle w:val="ListParagraph"/>
        <w:numPr>
          <w:ilvl w:val="0"/>
          <w:numId w:val="21"/>
        </w:numPr>
        <w:tabs>
          <w:tab w:pos="378" w:val="left" w:leader="none"/>
        </w:tabs>
        <w:spacing w:line="240" w:lineRule="auto" w:before="137" w:after="0"/>
        <w:ind w:left="377" w:right="0" w:hanging="268"/>
        <w:jc w:val="left"/>
        <w:rPr>
          <w:sz w:val="24"/>
        </w:rPr>
      </w:pPr>
      <w:r>
        <w:rPr>
          <w:sz w:val="24"/>
        </w:rPr>
        <w:t>Una disminución de pasivo significa una disminución de</w:t>
      </w:r>
      <w:r>
        <w:rPr>
          <w:spacing w:val="-21"/>
          <w:sz w:val="24"/>
        </w:rPr>
        <w:t> </w:t>
      </w:r>
      <w:r>
        <w:rPr>
          <w:sz w:val="24"/>
        </w:rPr>
        <w:t>activo.</w:t>
      </w:r>
    </w:p>
    <w:p>
      <w:pPr>
        <w:pStyle w:val="ListParagraph"/>
        <w:numPr>
          <w:ilvl w:val="0"/>
          <w:numId w:val="21"/>
        </w:numPr>
        <w:tabs>
          <w:tab w:pos="378" w:val="left" w:leader="none"/>
        </w:tabs>
        <w:spacing w:line="240" w:lineRule="auto" w:before="139" w:after="0"/>
        <w:ind w:left="377" w:right="0" w:hanging="268"/>
        <w:jc w:val="left"/>
        <w:rPr>
          <w:sz w:val="24"/>
        </w:rPr>
      </w:pPr>
      <w:r>
        <w:rPr>
          <w:sz w:val="24"/>
        </w:rPr>
        <w:t>Una disminución de pasivo significa un aumento de</w:t>
      </w:r>
      <w:r>
        <w:rPr>
          <w:spacing w:val="-24"/>
          <w:sz w:val="24"/>
        </w:rPr>
        <w:t> </w:t>
      </w:r>
      <w:r>
        <w:rPr>
          <w:sz w:val="24"/>
        </w:rPr>
        <w:t>pasivo.</w:t>
      </w:r>
    </w:p>
    <w:p>
      <w:pPr>
        <w:pStyle w:val="ListParagraph"/>
        <w:numPr>
          <w:ilvl w:val="0"/>
          <w:numId w:val="21"/>
        </w:numPr>
        <w:tabs>
          <w:tab w:pos="378" w:val="left" w:leader="none"/>
        </w:tabs>
        <w:spacing w:line="240" w:lineRule="auto" w:before="137" w:after="0"/>
        <w:ind w:left="377" w:right="0" w:hanging="268"/>
        <w:jc w:val="left"/>
        <w:rPr>
          <w:sz w:val="24"/>
        </w:rPr>
      </w:pPr>
      <w:r>
        <w:rPr>
          <w:sz w:val="24"/>
        </w:rPr>
        <w:t>Una disminución de pasivo significa un aumento de</w:t>
      </w:r>
      <w:r>
        <w:rPr>
          <w:spacing w:val="-21"/>
          <w:sz w:val="24"/>
        </w:rPr>
        <w:t> </w:t>
      </w:r>
      <w:r>
        <w:rPr>
          <w:sz w:val="24"/>
        </w:rPr>
        <w:t>capital.</w:t>
      </w:r>
    </w:p>
    <w:p>
      <w:pPr>
        <w:pStyle w:val="ListParagraph"/>
        <w:numPr>
          <w:ilvl w:val="0"/>
          <w:numId w:val="21"/>
        </w:numPr>
        <w:tabs>
          <w:tab w:pos="378" w:val="left" w:leader="none"/>
        </w:tabs>
        <w:spacing w:line="240" w:lineRule="auto" w:before="139" w:after="0"/>
        <w:ind w:left="377" w:right="0" w:hanging="268"/>
        <w:jc w:val="left"/>
        <w:rPr>
          <w:sz w:val="24"/>
        </w:rPr>
      </w:pPr>
      <w:r>
        <w:rPr>
          <w:sz w:val="24"/>
        </w:rPr>
        <w:t>Una disminución de capital significa una disminución de</w:t>
      </w:r>
      <w:r>
        <w:rPr>
          <w:spacing w:val="-25"/>
          <w:sz w:val="24"/>
        </w:rPr>
        <w:t> </w:t>
      </w:r>
      <w:r>
        <w:rPr>
          <w:sz w:val="24"/>
        </w:rPr>
        <w:t>activo.</w:t>
      </w:r>
    </w:p>
    <w:p>
      <w:pPr>
        <w:pStyle w:val="ListParagraph"/>
        <w:numPr>
          <w:ilvl w:val="0"/>
          <w:numId w:val="21"/>
        </w:numPr>
        <w:tabs>
          <w:tab w:pos="378" w:val="left" w:leader="none"/>
        </w:tabs>
        <w:spacing w:line="240" w:lineRule="auto" w:before="137" w:after="0"/>
        <w:ind w:left="377" w:right="0" w:hanging="268"/>
        <w:jc w:val="left"/>
        <w:rPr>
          <w:sz w:val="24"/>
        </w:rPr>
      </w:pPr>
      <w:r>
        <w:rPr>
          <w:sz w:val="24"/>
        </w:rPr>
        <w:t>Una disminución de capital significa un aumento de</w:t>
      </w:r>
      <w:r>
        <w:rPr>
          <w:spacing w:val="-20"/>
          <w:sz w:val="24"/>
        </w:rPr>
        <w:t> </w:t>
      </w:r>
      <w:r>
        <w:rPr>
          <w:sz w:val="24"/>
        </w:rPr>
        <w:t>pasivo.</w:t>
      </w:r>
    </w:p>
    <w:p>
      <w:pPr>
        <w:pStyle w:val="ListParagraph"/>
        <w:numPr>
          <w:ilvl w:val="0"/>
          <w:numId w:val="21"/>
        </w:numPr>
        <w:tabs>
          <w:tab w:pos="378" w:val="left" w:leader="none"/>
        </w:tabs>
        <w:spacing w:line="240" w:lineRule="auto" w:before="140" w:after="0"/>
        <w:ind w:left="377" w:right="0" w:hanging="268"/>
        <w:jc w:val="left"/>
        <w:rPr>
          <w:sz w:val="24"/>
        </w:rPr>
      </w:pPr>
      <w:r>
        <w:rPr>
          <w:sz w:val="24"/>
        </w:rPr>
        <w:t>Una disminución de capital significa un aumento de</w:t>
      </w:r>
      <w:r>
        <w:rPr>
          <w:spacing w:val="-21"/>
          <w:sz w:val="24"/>
        </w:rPr>
        <w:t> </w:t>
      </w:r>
      <w:r>
        <w:rPr>
          <w:sz w:val="24"/>
        </w:rPr>
        <w:t>capital.</w:t>
      </w:r>
    </w:p>
    <w:p>
      <w:pPr>
        <w:pStyle w:val="BodyText"/>
        <w:spacing w:before="137"/>
        <w:ind w:left="109"/>
      </w:pPr>
      <w:r>
        <w:rPr/>
        <w:t>Las reglas anteriores pueden ser leídas de derecha a izquierda y viceversa.</w:t>
      </w:r>
    </w:p>
    <w:p>
      <w:pPr>
        <w:pStyle w:val="BodyText"/>
      </w:pPr>
    </w:p>
    <w:p>
      <w:pPr>
        <w:pStyle w:val="ListParagraph"/>
        <w:numPr>
          <w:ilvl w:val="1"/>
          <w:numId w:val="21"/>
        </w:numPr>
        <w:tabs>
          <w:tab w:pos="830" w:val="left" w:leader="none"/>
        </w:tabs>
        <w:spacing w:line="355" w:lineRule="auto" w:before="180" w:after="0"/>
        <w:ind w:left="829" w:right="100" w:hanging="360"/>
        <w:jc w:val="both"/>
        <w:rPr>
          <w:sz w:val="24"/>
        </w:rPr>
      </w:pPr>
      <w:r>
        <w:rPr>
          <w:sz w:val="24"/>
        </w:rPr>
        <w:t>Se tiene que cargar cuando se aumenta (+) un activo, cargo que será correspondido por un abono que determina cualquiera de las siguientes posibilidades.</w:t>
      </w:r>
    </w:p>
    <w:p>
      <w:pPr>
        <w:spacing w:after="0" w:line="355" w:lineRule="auto"/>
        <w:jc w:val="both"/>
        <w:rPr>
          <w:sz w:val="24"/>
        </w:rPr>
        <w:sectPr>
          <w:pgSz w:w="12240" w:h="15840"/>
          <w:pgMar w:header="0" w:footer="779" w:top="1420" w:bottom="960" w:left="1360" w:right="1600"/>
        </w:sectPr>
      </w:pPr>
    </w:p>
    <w:p>
      <w:pPr>
        <w:pStyle w:val="ListParagraph"/>
        <w:numPr>
          <w:ilvl w:val="2"/>
          <w:numId w:val="21"/>
        </w:numPr>
        <w:tabs>
          <w:tab w:pos="2106" w:val="left" w:leader="none"/>
        </w:tabs>
        <w:spacing w:line="240" w:lineRule="auto" w:before="54" w:after="0"/>
        <w:ind w:left="2106" w:right="0" w:hanging="360"/>
        <w:jc w:val="left"/>
        <w:rPr>
          <w:sz w:val="24"/>
        </w:rPr>
      </w:pPr>
      <w:r>
        <w:rPr>
          <w:sz w:val="24"/>
        </w:rPr>
        <w:t>Disminución del propio</w:t>
      </w:r>
      <w:r>
        <w:rPr>
          <w:spacing w:val="-7"/>
          <w:sz w:val="24"/>
        </w:rPr>
        <w:t> </w:t>
      </w:r>
      <w:r>
        <w:rPr>
          <w:sz w:val="24"/>
        </w:rPr>
        <w:t>activo</w:t>
      </w:r>
    </w:p>
    <w:p>
      <w:pPr>
        <w:pStyle w:val="ListParagraph"/>
        <w:numPr>
          <w:ilvl w:val="2"/>
          <w:numId w:val="21"/>
        </w:numPr>
        <w:tabs>
          <w:tab w:pos="2106" w:val="left" w:leader="none"/>
        </w:tabs>
        <w:spacing w:line="240" w:lineRule="auto" w:before="0" w:after="0"/>
        <w:ind w:left="2106" w:right="0" w:hanging="360"/>
        <w:jc w:val="left"/>
        <w:rPr>
          <w:sz w:val="24"/>
        </w:rPr>
      </w:pPr>
      <w:r>
        <w:rPr>
          <w:sz w:val="24"/>
        </w:rPr>
        <w:t>Aumento de</w:t>
      </w:r>
      <w:r>
        <w:rPr>
          <w:spacing w:val="-9"/>
          <w:sz w:val="24"/>
        </w:rPr>
        <w:t> </w:t>
      </w:r>
      <w:r>
        <w:rPr>
          <w:sz w:val="24"/>
        </w:rPr>
        <w:t>pasivo</w:t>
      </w:r>
    </w:p>
    <w:p>
      <w:pPr>
        <w:pStyle w:val="ListParagraph"/>
        <w:numPr>
          <w:ilvl w:val="2"/>
          <w:numId w:val="21"/>
        </w:numPr>
        <w:tabs>
          <w:tab w:pos="2106" w:val="left" w:leader="none"/>
        </w:tabs>
        <w:spacing w:line="240" w:lineRule="auto" w:before="0" w:after="0"/>
        <w:ind w:left="2106" w:right="0" w:hanging="360"/>
        <w:jc w:val="left"/>
        <w:rPr>
          <w:sz w:val="24"/>
        </w:rPr>
      </w:pPr>
      <w:r>
        <w:rPr>
          <w:sz w:val="24"/>
        </w:rPr>
        <w:t>Aumento de</w:t>
      </w:r>
      <w:r>
        <w:rPr>
          <w:spacing w:val="-6"/>
          <w:sz w:val="24"/>
        </w:rPr>
        <w:t> </w:t>
      </w:r>
      <w:r>
        <w:rPr>
          <w:sz w:val="24"/>
        </w:rPr>
        <w:t>capital</w:t>
      </w:r>
    </w:p>
    <w:p>
      <w:pPr>
        <w:pStyle w:val="BodyText"/>
        <w:spacing w:before="3"/>
      </w:pPr>
    </w:p>
    <w:p>
      <w:pPr>
        <w:pStyle w:val="ListParagraph"/>
        <w:numPr>
          <w:ilvl w:val="1"/>
          <w:numId w:val="21"/>
        </w:numPr>
        <w:tabs>
          <w:tab w:pos="830" w:val="left" w:leader="none"/>
        </w:tabs>
        <w:spacing w:line="355" w:lineRule="auto" w:before="0" w:after="0"/>
        <w:ind w:left="829" w:right="115" w:hanging="360"/>
        <w:jc w:val="both"/>
        <w:rPr>
          <w:sz w:val="24"/>
        </w:rPr>
      </w:pPr>
      <w:r>
        <w:rPr>
          <w:sz w:val="24"/>
        </w:rPr>
        <w:t>Se tiene que cargar cuando disminuye (-) el pasivo, cargo que será correspondido por un abono que determina cualquiera de las siguientes posibilidades.</w:t>
      </w:r>
    </w:p>
    <w:p>
      <w:pPr>
        <w:pStyle w:val="BodyText"/>
        <w:spacing w:before="5"/>
      </w:pPr>
    </w:p>
    <w:p>
      <w:pPr>
        <w:pStyle w:val="ListParagraph"/>
        <w:numPr>
          <w:ilvl w:val="2"/>
          <w:numId w:val="21"/>
        </w:numPr>
        <w:tabs>
          <w:tab w:pos="2093" w:val="left" w:leader="none"/>
          <w:tab w:pos="2094" w:val="left" w:leader="none"/>
        </w:tabs>
        <w:spacing w:line="240" w:lineRule="auto" w:before="0" w:after="0"/>
        <w:ind w:left="2094" w:right="0" w:hanging="425"/>
        <w:jc w:val="left"/>
        <w:rPr>
          <w:sz w:val="24"/>
        </w:rPr>
      </w:pPr>
      <w:r>
        <w:rPr>
          <w:sz w:val="24"/>
        </w:rPr>
        <w:t>Disminución de</w:t>
      </w:r>
      <w:r>
        <w:rPr>
          <w:spacing w:val="-4"/>
          <w:sz w:val="24"/>
        </w:rPr>
        <w:t> </w:t>
      </w:r>
      <w:r>
        <w:rPr>
          <w:sz w:val="24"/>
        </w:rPr>
        <w:t>activo</w:t>
      </w:r>
    </w:p>
    <w:p>
      <w:pPr>
        <w:pStyle w:val="ListParagraph"/>
        <w:numPr>
          <w:ilvl w:val="2"/>
          <w:numId w:val="21"/>
        </w:numPr>
        <w:tabs>
          <w:tab w:pos="2093" w:val="left" w:leader="none"/>
          <w:tab w:pos="2094" w:val="left" w:leader="none"/>
        </w:tabs>
        <w:spacing w:line="240" w:lineRule="auto" w:before="0" w:after="0"/>
        <w:ind w:left="2094" w:right="0" w:hanging="425"/>
        <w:jc w:val="left"/>
        <w:rPr>
          <w:sz w:val="24"/>
        </w:rPr>
      </w:pPr>
      <w:r>
        <w:rPr>
          <w:sz w:val="24"/>
        </w:rPr>
        <w:t>Aumento del pasivo</w:t>
      </w:r>
      <w:r>
        <w:rPr>
          <w:spacing w:val="-9"/>
          <w:sz w:val="24"/>
        </w:rPr>
        <w:t> </w:t>
      </w:r>
      <w:r>
        <w:rPr>
          <w:sz w:val="24"/>
        </w:rPr>
        <w:t>mismo</w:t>
      </w:r>
    </w:p>
    <w:p>
      <w:pPr>
        <w:pStyle w:val="ListParagraph"/>
        <w:numPr>
          <w:ilvl w:val="2"/>
          <w:numId w:val="21"/>
        </w:numPr>
        <w:tabs>
          <w:tab w:pos="2093" w:val="left" w:leader="none"/>
          <w:tab w:pos="2094" w:val="left" w:leader="none"/>
        </w:tabs>
        <w:spacing w:line="240" w:lineRule="auto" w:before="0" w:after="0"/>
        <w:ind w:left="2094" w:right="0" w:hanging="425"/>
        <w:jc w:val="left"/>
        <w:rPr>
          <w:sz w:val="24"/>
        </w:rPr>
      </w:pPr>
      <w:r>
        <w:rPr>
          <w:sz w:val="24"/>
        </w:rPr>
        <w:t>Aumento de</w:t>
      </w:r>
      <w:r>
        <w:rPr>
          <w:spacing w:val="-6"/>
          <w:sz w:val="24"/>
        </w:rPr>
        <w:t> </w:t>
      </w:r>
      <w:r>
        <w:rPr>
          <w:sz w:val="24"/>
        </w:rPr>
        <w:t>capital</w:t>
      </w:r>
    </w:p>
    <w:p>
      <w:pPr>
        <w:pStyle w:val="BodyText"/>
      </w:pPr>
    </w:p>
    <w:p>
      <w:pPr>
        <w:pStyle w:val="BodyText"/>
        <w:spacing w:before="3"/>
      </w:pPr>
    </w:p>
    <w:p>
      <w:pPr>
        <w:pStyle w:val="ListParagraph"/>
        <w:numPr>
          <w:ilvl w:val="1"/>
          <w:numId w:val="21"/>
        </w:numPr>
        <w:tabs>
          <w:tab w:pos="830" w:val="left" w:leader="none"/>
        </w:tabs>
        <w:spacing w:line="355" w:lineRule="auto" w:before="0" w:after="0"/>
        <w:ind w:left="829" w:right="121" w:hanging="360"/>
        <w:jc w:val="both"/>
        <w:rPr>
          <w:sz w:val="24"/>
        </w:rPr>
      </w:pPr>
      <w:r>
        <w:rPr>
          <w:sz w:val="24"/>
        </w:rPr>
        <w:t>Se tiene que cargar cuando disminuye (-) el capital, cargo que será correspondido por un abono que determina cualquiera de las siguientes posibilidades.</w:t>
      </w:r>
    </w:p>
    <w:p>
      <w:pPr>
        <w:pStyle w:val="BodyText"/>
        <w:spacing w:before="5"/>
      </w:pPr>
    </w:p>
    <w:p>
      <w:pPr>
        <w:pStyle w:val="ListParagraph"/>
        <w:numPr>
          <w:ilvl w:val="2"/>
          <w:numId w:val="21"/>
        </w:numPr>
        <w:tabs>
          <w:tab w:pos="2106" w:val="left" w:leader="none"/>
        </w:tabs>
        <w:spacing w:line="240" w:lineRule="auto" w:before="0" w:after="0"/>
        <w:ind w:left="2106" w:right="0" w:hanging="360"/>
        <w:jc w:val="left"/>
        <w:rPr>
          <w:sz w:val="24"/>
        </w:rPr>
      </w:pPr>
      <w:r>
        <w:rPr>
          <w:sz w:val="24"/>
        </w:rPr>
        <w:t>Disminución de</w:t>
      </w:r>
      <w:r>
        <w:rPr>
          <w:spacing w:val="-4"/>
          <w:sz w:val="24"/>
        </w:rPr>
        <w:t> </w:t>
      </w:r>
      <w:r>
        <w:rPr>
          <w:sz w:val="24"/>
        </w:rPr>
        <w:t>activo</w:t>
      </w:r>
    </w:p>
    <w:p>
      <w:pPr>
        <w:pStyle w:val="ListParagraph"/>
        <w:numPr>
          <w:ilvl w:val="2"/>
          <w:numId w:val="21"/>
        </w:numPr>
        <w:tabs>
          <w:tab w:pos="2106" w:val="left" w:leader="none"/>
        </w:tabs>
        <w:spacing w:line="240" w:lineRule="auto" w:before="0" w:after="0"/>
        <w:ind w:left="2106" w:right="0" w:hanging="360"/>
        <w:jc w:val="left"/>
        <w:rPr>
          <w:sz w:val="24"/>
        </w:rPr>
      </w:pPr>
      <w:r>
        <w:rPr>
          <w:sz w:val="24"/>
        </w:rPr>
        <w:t>Aumento de</w:t>
      </w:r>
      <w:r>
        <w:rPr>
          <w:spacing w:val="-9"/>
          <w:sz w:val="24"/>
        </w:rPr>
        <w:t> </w:t>
      </w:r>
      <w:r>
        <w:rPr>
          <w:sz w:val="24"/>
        </w:rPr>
        <w:t>pasivo</w:t>
      </w:r>
    </w:p>
    <w:p>
      <w:pPr>
        <w:pStyle w:val="ListParagraph"/>
        <w:numPr>
          <w:ilvl w:val="2"/>
          <w:numId w:val="21"/>
        </w:numPr>
        <w:tabs>
          <w:tab w:pos="2106" w:val="left" w:leader="none"/>
        </w:tabs>
        <w:spacing w:line="240" w:lineRule="auto" w:before="0" w:after="0"/>
        <w:ind w:left="2106" w:right="0" w:hanging="360"/>
        <w:jc w:val="left"/>
        <w:rPr>
          <w:sz w:val="24"/>
        </w:rPr>
      </w:pPr>
      <w:r>
        <w:rPr>
          <w:sz w:val="24"/>
        </w:rPr>
        <w:t>Aumento del capital</w:t>
      </w:r>
      <w:r>
        <w:rPr>
          <w:spacing w:val="-10"/>
          <w:sz w:val="24"/>
        </w:rPr>
        <w:t> </w:t>
      </w:r>
      <w:r>
        <w:rPr>
          <w:sz w:val="24"/>
        </w:rPr>
        <w:t>mismo</w:t>
      </w:r>
    </w:p>
    <w:p>
      <w:pPr>
        <w:pStyle w:val="BodyText"/>
      </w:pPr>
    </w:p>
    <w:p>
      <w:pPr>
        <w:pStyle w:val="BodyText"/>
        <w:spacing w:before="1"/>
        <w:rPr>
          <w:sz w:val="31"/>
        </w:rPr>
      </w:pPr>
    </w:p>
    <w:p>
      <w:pPr>
        <w:pStyle w:val="Heading2"/>
        <w:numPr>
          <w:ilvl w:val="2"/>
          <w:numId w:val="22"/>
        </w:numPr>
        <w:tabs>
          <w:tab w:pos="778" w:val="left" w:leader="none"/>
        </w:tabs>
        <w:spacing w:line="240" w:lineRule="auto" w:before="0" w:after="0"/>
        <w:ind w:left="777" w:right="0" w:hanging="668"/>
        <w:jc w:val="both"/>
      </w:pPr>
      <w:bookmarkStart w:name="_bookmark21" w:id="39"/>
      <w:bookmarkEnd w:id="39"/>
      <w:r>
        <w:rPr>
          <w:b w:val="0"/>
        </w:rPr>
      </w:r>
      <w:bookmarkStart w:name="_bookmark21" w:id="40"/>
      <w:bookmarkEnd w:id="40"/>
      <w:r>
        <w:rPr/>
        <w:t>Libro</w:t>
      </w:r>
      <w:r>
        <w:rPr>
          <w:spacing w:val="-2"/>
        </w:rPr>
        <w:t> </w:t>
      </w:r>
      <w:r>
        <w:rPr/>
        <w:t>Diario.</w:t>
      </w:r>
    </w:p>
    <w:p>
      <w:pPr>
        <w:pStyle w:val="BodyText"/>
        <w:spacing w:line="360" w:lineRule="auto" w:before="43"/>
        <w:ind w:left="109" w:right="115"/>
        <w:jc w:val="both"/>
      </w:pPr>
      <w:r>
        <w:rPr/>
        <w:t>Para registrar las transacciones de la compañía utilizaremos un libro diario, el cual</w:t>
      </w:r>
      <w:r>
        <w:rPr>
          <w:spacing w:val="-33"/>
        </w:rPr>
        <w:t> </w:t>
      </w:r>
      <w:r>
        <w:rPr/>
        <w:t>es un registro que se utiliza desde la época de Luca</w:t>
      </w:r>
      <w:r>
        <w:rPr>
          <w:spacing w:val="-21"/>
        </w:rPr>
        <w:t> </w:t>
      </w:r>
      <w:r>
        <w:rPr/>
        <w:t>Paccioli.</w:t>
      </w:r>
    </w:p>
    <w:p>
      <w:pPr>
        <w:pStyle w:val="BodyText"/>
      </w:pPr>
    </w:p>
    <w:p>
      <w:pPr>
        <w:pStyle w:val="BodyText"/>
        <w:spacing w:line="360" w:lineRule="auto" w:before="142"/>
        <w:ind w:left="109" w:right="116"/>
        <w:jc w:val="both"/>
      </w:pPr>
      <w:r>
        <w:rPr/>
        <w:t>Consiste en hacer un registro cronológico de todas y cada una de las operaciones realizadas por la entidad, anotando la fecha de la transacción, con quién se lleva a cabo, el concepto por registrar, los cargos y abonos correspondientes para su reconocimiento en nuestro sistema contable y una breve redacción que describa el objeto de la transacción.</w:t>
      </w:r>
    </w:p>
    <w:p>
      <w:pPr>
        <w:pStyle w:val="BodyText"/>
      </w:pPr>
    </w:p>
    <w:p>
      <w:pPr>
        <w:pStyle w:val="BodyText"/>
        <w:spacing w:line="360" w:lineRule="auto" w:before="142"/>
        <w:ind w:left="109" w:right="115"/>
        <w:jc w:val="both"/>
      </w:pPr>
      <w:r>
        <w:rPr/>
        <w:t>Al realizar los registros en el libro diario, podremos clasificarlos en dos tipos: simples y compuestos.</w:t>
      </w:r>
    </w:p>
    <w:p>
      <w:pPr>
        <w:spacing w:after="0" w:line="360" w:lineRule="auto"/>
        <w:jc w:val="both"/>
        <w:sectPr>
          <w:pgSz w:w="12240" w:h="15840"/>
          <w:pgMar w:header="0" w:footer="779" w:top="1360" w:bottom="960" w:left="1360" w:right="1580"/>
        </w:sectPr>
      </w:pPr>
    </w:p>
    <w:p>
      <w:pPr>
        <w:pStyle w:val="BodyText"/>
        <w:spacing w:line="360" w:lineRule="auto" w:before="57"/>
        <w:ind w:left="109" w:right="116"/>
        <w:jc w:val="both"/>
      </w:pPr>
      <w:r>
        <w:rPr/>
        <w:t>Los asientos simples son aquellos en los que sólo tenemos un cargo y un abono, mientras que en el compuesto pueden intervenir una o más cuentas de cargo y una</w:t>
      </w:r>
      <w:r>
        <w:rPr>
          <w:spacing w:val="-39"/>
        </w:rPr>
        <w:t> </w:t>
      </w:r>
      <w:r>
        <w:rPr/>
        <w:t>o más cuentas de</w:t>
      </w:r>
      <w:r>
        <w:rPr>
          <w:spacing w:val="-11"/>
        </w:rPr>
        <w:t> </w:t>
      </w:r>
      <w:r>
        <w:rPr/>
        <w:t>abono.</w:t>
      </w:r>
    </w:p>
    <w:p>
      <w:pPr>
        <w:pStyle w:val="BodyText"/>
      </w:pPr>
    </w:p>
    <w:p>
      <w:pPr>
        <w:pStyle w:val="BodyText"/>
        <w:spacing w:line="360" w:lineRule="auto" w:before="142"/>
        <w:ind w:left="109" w:right="128"/>
        <w:jc w:val="both"/>
      </w:pPr>
      <w:r>
        <w:rPr/>
        <w:t>Retomando el ejemplo1: Compra de una Televisión en efectivo por $3,000.00, el 15 de mayo.</w:t>
      </w:r>
    </w:p>
    <w:p>
      <w:pPr>
        <w:pStyle w:val="BodyText"/>
        <w:spacing w:before="2"/>
        <w:rPr>
          <w:sz w:val="28"/>
        </w:rPr>
      </w:pPr>
    </w:p>
    <w:tbl>
      <w:tblPr>
        <w:tblW w:w="0" w:type="auto"/>
        <w:jc w:val="left"/>
        <w:tblInd w:w="99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545"/>
        <w:gridCol w:w="2849"/>
        <w:gridCol w:w="1449"/>
        <w:gridCol w:w="1449"/>
      </w:tblGrid>
      <w:tr>
        <w:trPr>
          <w:trHeight w:val="298" w:hRule="exact"/>
        </w:trPr>
        <w:tc>
          <w:tcPr>
            <w:tcW w:w="1545" w:type="dxa"/>
            <w:tcBorders>
              <w:top w:val="single" w:sz="6" w:space="0" w:color="D3D3D3"/>
              <w:left w:val="single" w:sz="6" w:space="0" w:color="D3D3D3"/>
              <w:right w:val="single" w:sz="6" w:space="0" w:color="D3D3D3"/>
            </w:tcBorders>
          </w:tcPr>
          <w:p>
            <w:pPr/>
          </w:p>
        </w:tc>
        <w:tc>
          <w:tcPr>
            <w:tcW w:w="2849" w:type="dxa"/>
            <w:tcBorders>
              <w:top w:val="single" w:sz="6" w:space="0" w:color="D3D3D3"/>
              <w:left w:val="single" w:sz="6" w:space="0" w:color="D3D3D3"/>
              <w:right w:val="single" w:sz="6" w:space="0" w:color="D3D3D3"/>
            </w:tcBorders>
          </w:tcPr>
          <w:p>
            <w:pPr/>
          </w:p>
        </w:tc>
        <w:tc>
          <w:tcPr>
            <w:tcW w:w="1449" w:type="dxa"/>
            <w:tcBorders>
              <w:top w:val="single" w:sz="6" w:space="0" w:color="D3D3D3"/>
              <w:left w:val="single" w:sz="6" w:space="0" w:color="D3D3D3"/>
              <w:right w:val="single" w:sz="6" w:space="0" w:color="D3D3D3"/>
            </w:tcBorders>
          </w:tcPr>
          <w:p>
            <w:pPr/>
          </w:p>
        </w:tc>
        <w:tc>
          <w:tcPr>
            <w:tcW w:w="1449" w:type="dxa"/>
            <w:tcBorders>
              <w:top w:val="single" w:sz="6" w:space="0" w:color="D3D3D3"/>
              <w:left w:val="single" w:sz="6" w:space="0" w:color="D3D3D3"/>
              <w:right w:val="single" w:sz="6" w:space="0" w:color="D3D3D3"/>
            </w:tcBorders>
          </w:tcPr>
          <w:p>
            <w:pPr/>
          </w:p>
        </w:tc>
      </w:tr>
      <w:tr>
        <w:trPr>
          <w:trHeight w:val="320" w:hRule="exact"/>
        </w:trPr>
        <w:tc>
          <w:tcPr>
            <w:tcW w:w="1545" w:type="dxa"/>
            <w:tcBorders>
              <w:left w:val="single" w:sz="6" w:space="0" w:color="000000"/>
              <w:right w:val="single" w:sz="13" w:space="0" w:color="000000"/>
            </w:tcBorders>
          </w:tcPr>
          <w:p>
            <w:pPr>
              <w:pStyle w:val="TableParagraph"/>
              <w:spacing w:before="17"/>
              <w:ind w:left="418"/>
              <w:rPr>
                <w:rFonts w:ascii="Arial"/>
                <w:sz w:val="23"/>
              </w:rPr>
            </w:pPr>
            <w:r>
              <w:rPr>
                <w:rFonts w:ascii="Arial"/>
                <w:w w:val="115"/>
                <w:sz w:val="23"/>
              </w:rPr>
              <w:t>Fecha</w:t>
            </w:r>
          </w:p>
        </w:tc>
        <w:tc>
          <w:tcPr>
            <w:tcW w:w="2849" w:type="dxa"/>
            <w:tcBorders>
              <w:left w:val="single" w:sz="13" w:space="0" w:color="000000"/>
              <w:right w:val="single" w:sz="13" w:space="0" w:color="000000"/>
            </w:tcBorders>
          </w:tcPr>
          <w:p>
            <w:pPr>
              <w:pStyle w:val="TableParagraph"/>
              <w:spacing w:before="17"/>
              <w:ind w:left="962" w:right="962"/>
              <w:jc w:val="center"/>
              <w:rPr>
                <w:rFonts w:ascii="Arial"/>
                <w:sz w:val="23"/>
              </w:rPr>
            </w:pPr>
            <w:r>
              <w:rPr>
                <w:rFonts w:ascii="Arial"/>
                <w:w w:val="115"/>
                <w:sz w:val="23"/>
              </w:rPr>
              <w:t>Cuenta</w:t>
            </w:r>
          </w:p>
        </w:tc>
        <w:tc>
          <w:tcPr>
            <w:tcW w:w="1449" w:type="dxa"/>
            <w:tcBorders>
              <w:left w:val="single" w:sz="13" w:space="0" w:color="000000"/>
              <w:right w:val="single" w:sz="13" w:space="0" w:color="000000"/>
            </w:tcBorders>
          </w:tcPr>
          <w:p>
            <w:pPr>
              <w:pStyle w:val="TableParagraph"/>
              <w:spacing w:before="17"/>
              <w:ind w:left="313" w:right="298"/>
              <w:jc w:val="center"/>
              <w:rPr>
                <w:rFonts w:ascii="Arial"/>
                <w:sz w:val="23"/>
              </w:rPr>
            </w:pPr>
            <w:r>
              <w:rPr>
                <w:rFonts w:ascii="Arial"/>
                <w:w w:val="115"/>
                <w:sz w:val="23"/>
              </w:rPr>
              <w:t>Cargo</w:t>
            </w:r>
          </w:p>
        </w:tc>
        <w:tc>
          <w:tcPr>
            <w:tcW w:w="1449" w:type="dxa"/>
            <w:tcBorders>
              <w:left w:val="single" w:sz="13" w:space="0" w:color="000000"/>
              <w:right w:val="single" w:sz="13" w:space="0" w:color="000000"/>
            </w:tcBorders>
          </w:tcPr>
          <w:p>
            <w:pPr>
              <w:pStyle w:val="TableParagraph"/>
              <w:spacing w:before="17"/>
              <w:ind w:left="313" w:right="298"/>
              <w:jc w:val="center"/>
              <w:rPr>
                <w:rFonts w:ascii="Arial"/>
                <w:sz w:val="23"/>
              </w:rPr>
            </w:pPr>
            <w:r>
              <w:rPr>
                <w:rFonts w:ascii="Arial"/>
                <w:w w:val="115"/>
                <w:sz w:val="23"/>
              </w:rPr>
              <w:t>Abono</w:t>
            </w:r>
          </w:p>
        </w:tc>
      </w:tr>
      <w:tr>
        <w:trPr>
          <w:trHeight w:val="312" w:hRule="exact"/>
        </w:trPr>
        <w:tc>
          <w:tcPr>
            <w:tcW w:w="1545" w:type="dxa"/>
            <w:tcBorders>
              <w:left w:val="single" w:sz="6" w:space="0" w:color="000000"/>
              <w:bottom w:val="single" w:sz="6" w:space="0" w:color="000000"/>
              <w:right w:val="single" w:sz="6" w:space="0" w:color="000000"/>
            </w:tcBorders>
          </w:tcPr>
          <w:p>
            <w:pPr>
              <w:pStyle w:val="TableParagraph"/>
              <w:spacing w:before="17"/>
              <w:ind w:right="47"/>
              <w:jc w:val="right"/>
              <w:rPr>
                <w:rFonts w:ascii="Arial"/>
                <w:sz w:val="23"/>
              </w:rPr>
            </w:pPr>
            <w:r>
              <w:rPr>
                <w:rFonts w:ascii="Arial"/>
                <w:w w:val="110"/>
                <w:sz w:val="23"/>
              </w:rPr>
              <w:t>01-may-15</w:t>
            </w:r>
          </w:p>
        </w:tc>
        <w:tc>
          <w:tcPr>
            <w:tcW w:w="2849" w:type="dxa"/>
            <w:tcBorders>
              <w:left w:val="single" w:sz="6" w:space="0" w:color="000000"/>
              <w:bottom w:val="single" w:sz="6" w:space="0" w:color="000000"/>
              <w:right w:val="single" w:sz="6" w:space="0" w:color="000000"/>
            </w:tcBorders>
          </w:tcPr>
          <w:p>
            <w:pPr>
              <w:pStyle w:val="TableParagraph"/>
              <w:spacing w:before="17"/>
              <w:ind w:left="48"/>
              <w:rPr>
                <w:rFonts w:ascii="Arial"/>
                <w:sz w:val="23"/>
              </w:rPr>
            </w:pPr>
            <w:r>
              <w:rPr>
                <w:rFonts w:ascii="Arial"/>
                <w:w w:val="115"/>
                <w:sz w:val="23"/>
              </w:rPr>
              <w:t>Saldo inicial</w:t>
            </w:r>
          </w:p>
        </w:tc>
        <w:tc>
          <w:tcPr>
            <w:tcW w:w="1449" w:type="dxa"/>
            <w:tcBorders>
              <w:left w:val="single" w:sz="6" w:space="0" w:color="000000"/>
              <w:bottom w:val="single" w:sz="6" w:space="0" w:color="000000"/>
              <w:right w:val="single" w:sz="6" w:space="0" w:color="000000"/>
            </w:tcBorders>
          </w:tcPr>
          <w:p>
            <w:pPr/>
          </w:p>
        </w:tc>
        <w:tc>
          <w:tcPr>
            <w:tcW w:w="1449" w:type="dxa"/>
            <w:tcBorders>
              <w:left w:val="single" w:sz="6" w:space="0" w:color="000000"/>
              <w:bottom w:val="single" w:sz="6" w:space="0" w:color="000000"/>
              <w:right w:val="single" w:sz="6" w:space="0" w:color="000000"/>
            </w:tcBorders>
          </w:tcPr>
          <w:p>
            <w:pPr/>
          </w:p>
        </w:tc>
      </w:tr>
      <w:tr>
        <w:trPr>
          <w:trHeight w:val="305" w:hRule="exact"/>
        </w:trPr>
        <w:tc>
          <w:tcPr>
            <w:tcW w:w="1545" w:type="dxa"/>
            <w:tcBorders>
              <w:top w:val="single" w:sz="6" w:space="0" w:color="000000"/>
              <w:left w:val="single" w:sz="6" w:space="0" w:color="000000"/>
              <w:bottom w:val="single" w:sz="6" w:space="0" w:color="000000"/>
              <w:right w:val="single" w:sz="6" w:space="0" w:color="000000"/>
            </w:tcBorders>
          </w:tcPr>
          <w:p>
            <w:pPr>
              <w:pStyle w:val="TableParagraph"/>
              <w:spacing w:before="17"/>
              <w:ind w:right="47"/>
              <w:jc w:val="right"/>
              <w:rPr>
                <w:rFonts w:ascii="Arial"/>
                <w:sz w:val="23"/>
              </w:rPr>
            </w:pPr>
            <w:r>
              <w:rPr>
                <w:rFonts w:ascii="Arial"/>
                <w:w w:val="110"/>
                <w:sz w:val="23"/>
              </w:rPr>
              <w:t>15-may-15</w:t>
            </w:r>
          </w:p>
        </w:tc>
        <w:tc>
          <w:tcPr>
            <w:tcW w:w="2849" w:type="dxa"/>
            <w:tcBorders>
              <w:top w:val="single" w:sz="6" w:space="0" w:color="000000"/>
              <w:left w:val="single" w:sz="6" w:space="0" w:color="000000"/>
              <w:bottom w:val="single" w:sz="6" w:space="0" w:color="000000"/>
              <w:right w:val="single" w:sz="6" w:space="0" w:color="000000"/>
            </w:tcBorders>
          </w:tcPr>
          <w:p>
            <w:pPr>
              <w:pStyle w:val="TableParagraph"/>
              <w:spacing w:before="17"/>
              <w:ind w:left="48"/>
              <w:rPr>
                <w:rFonts w:ascii="Arial"/>
                <w:sz w:val="23"/>
              </w:rPr>
            </w:pPr>
            <w:r>
              <w:rPr>
                <w:rFonts w:ascii="Arial"/>
                <w:w w:val="115"/>
                <w:sz w:val="23"/>
              </w:rPr>
              <w:t>Mobiliario y</w:t>
            </w:r>
            <w:r>
              <w:rPr>
                <w:rFonts w:ascii="Arial"/>
                <w:spacing w:val="-51"/>
                <w:w w:val="115"/>
                <w:sz w:val="23"/>
              </w:rPr>
              <w:t> </w:t>
            </w:r>
            <w:r>
              <w:rPr>
                <w:rFonts w:ascii="Arial"/>
                <w:w w:val="115"/>
                <w:sz w:val="23"/>
              </w:rPr>
              <w:t>equipo</w:t>
            </w:r>
          </w:p>
        </w:tc>
        <w:tc>
          <w:tcPr>
            <w:tcW w:w="1449" w:type="dxa"/>
            <w:tcBorders>
              <w:top w:val="single" w:sz="6" w:space="0" w:color="000000"/>
              <w:left w:val="single" w:sz="6" w:space="0" w:color="000000"/>
              <w:bottom w:val="single" w:sz="6" w:space="0" w:color="000000"/>
              <w:right w:val="single" w:sz="6" w:space="0" w:color="000000"/>
            </w:tcBorders>
          </w:tcPr>
          <w:p>
            <w:pPr>
              <w:pStyle w:val="TableParagraph"/>
              <w:spacing w:before="17"/>
              <w:ind w:left="97" w:right="97"/>
              <w:jc w:val="center"/>
              <w:rPr>
                <w:rFonts w:ascii="Arial"/>
                <w:sz w:val="23"/>
              </w:rPr>
            </w:pPr>
            <w:r>
              <w:rPr>
                <w:rFonts w:ascii="Arial"/>
                <w:w w:val="110"/>
                <w:sz w:val="23"/>
              </w:rPr>
              <w:t>$ 3,000.00</w:t>
            </w:r>
          </w:p>
        </w:tc>
        <w:tc>
          <w:tcPr>
            <w:tcW w:w="1449" w:type="dxa"/>
            <w:tcBorders>
              <w:top w:val="single" w:sz="6" w:space="0" w:color="000000"/>
              <w:left w:val="single" w:sz="6" w:space="0" w:color="000000"/>
              <w:bottom w:val="single" w:sz="6" w:space="0" w:color="000000"/>
              <w:right w:val="single" w:sz="6" w:space="0" w:color="000000"/>
            </w:tcBorders>
          </w:tcPr>
          <w:p>
            <w:pPr/>
          </w:p>
        </w:tc>
      </w:tr>
      <w:tr>
        <w:trPr>
          <w:trHeight w:val="305" w:hRule="exact"/>
        </w:trPr>
        <w:tc>
          <w:tcPr>
            <w:tcW w:w="1545" w:type="dxa"/>
            <w:tcBorders>
              <w:top w:val="single" w:sz="6" w:space="0" w:color="000000"/>
              <w:left w:val="single" w:sz="6" w:space="0" w:color="000000"/>
              <w:bottom w:val="single" w:sz="6" w:space="0" w:color="000000"/>
              <w:right w:val="single" w:sz="6" w:space="0" w:color="000000"/>
            </w:tcBorders>
          </w:tcPr>
          <w:p>
            <w:pPr/>
          </w:p>
        </w:tc>
        <w:tc>
          <w:tcPr>
            <w:tcW w:w="2849" w:type="dxa"/>
            <w:tcBorders>
              <w:top w:val="single" w:sz="6" w:space="0" w:color="000000"/>
              <w:left w:val="single" w:sz="6" w:space="0" w:color="000000"/>
              <w:bottom w:val="single" w:sz="6" w:space="0" w:color="000000"/>
              <w:right w:val="single" w:sz="6" w:space="0" w:color="000000"/>
            </w:tcBorders>
          </w:tcPr>
          <w:p>
            <w:pPr>
              <w:pStyle w:val="TableParagraph"/>
              <w:spacing w:before="17"/>
              <w:ind w:left="48"/>
              <w:rPr>
                <w:rFonts w:ascii="Arial"/>
                <w:sz w:val="23"/>
              </w:rPr>
            </w:pPr>
            <w:r>
              <w:rPr>
                <w:rFonts w:ascii="Arial"/>
                <w:w w:val="115"/>
                <w:sz w:val="23"/>
              </w:rPr>
              <w:t>Caja</w:t>
            </w:r>
          </w:p>
        </w:tc>
        <w:tc>
          <w:tcPr>
            <w:tcW w:w="1449" w:type="dxa"/>
            <w:tcBorders>
              <w:top w:val="single" w:sz="6" w:space="0" w:color="000000"/>
              <w:left w:val="single" w:sz="6" w:space="0" w:color="000000"/>
              <w:bottom w:val="single" w:sz="6" w:space="0" w:color="000000"/>
              <w:right w:val="single" w:sz="6" w:space="0" w:color="000000"/>
            </w:tcBorders>
          </w:tcPr>
          <w:p>
            <w:pPr/>
          </w:p>
        </w:tc>
        <w:tc>
          <w:tcPr>
            <w:tcW w:w="1449" w:type="dxa"/>
            <w:tcBorders>
              <w:top w:val="single" w:sz="6" w:space="0" w:color="000000"/>
              <w:left w:val="single" w:sz="6" w:space="0" w:color="000000"/>
              <w:bottom w:val="single" w:sz="6" w:space="0" w:color="000000"/>
              <w:right w:val="single" w:sz="6" w:space="0" w:color="000000"/>
            </w:tcBorders>
          </w:tcPr>
          <w:p>
            <w:pPr>
              <w:pStyle w:val="TableParagraph"/>
              <w:spacing w:before="17"/>
              <w:ind w:left="97" w:right="98"/>
              <w:jc w:val="center"/>
              <w:rPr>
                <w:rFonts w:ascii="Arial"/>
                <w:sz w:val="23"/>
              </w:rPr>
            </w:pPr>
            <w:r>
              <w:rPr>
                <w:rFonts w:ascii="Arial"/>
                <w:w w:val="110"/>
                <w:sz w:val="23"/>
              </w:rPr>
              <w:t>$ 3,000.00</w:t>
            </w:r>
          </w:p>
        </w:tc>
      </w:tr>
      <w:tr>
        <w:trPr>
          <w:trHeight w:val="305" w:hRule="exact"/>
        </w:trPr>
        <w:tc>
          <w:tcPr>
            <w:tcW w:w="1545" w:type="dxa"/>
            <w:tcBorders>
              <w:top w:val="single" w:sz="6" w:space="0" w:color="000000"/>
              <w:left w:val="single" w:sz="6" w:space="0" w:color="000000"/>
              <w:bottom w:val="single" w:sz="6" w:space="0" w:color="000000"/>
              <w:right w:val="single" w:sz="6" w:space="0" w:color="000000"/>
            </w:tcBorders>
          </w:tcPr>
          <w:p>
            <w:pPr>
              <w:pStyle w:val="TableParagraph"/>
              <w:spacing w:before="17"/>
              <w:ind w:right="47"/>
              <w:jc w:val="right"/>
              <w:rPr>
                <w:rFonts w:ascii="Arial"/>
                <w:sz w:val="23"/>
              </w:rPr>
            </w:pPr>
            <w:r>
              <w:rPr>
                <w:rFonts w:ascii="Arial"/>
                <w:w w:val="110"/>
                <w:sz w:val="23"/>
              </w:rPr>
              <w:t>30-may-15</w:t>
            </w:r>
          </w:p>
        </w:tc>
        <w:tc>
          <w:tcPr>
            <w:tcW w:w="2849" w:type="dxa"/>
            <w:tcBorders>
              <w:top w:val="single" w:sz="6" w:space="0" w:color="000000"/>
              <w:left w:val="single" w:sz="6" w:space="0" w:color="000000"/>
              <w:bottom w:val="single" w:sz="6" w:space="0" w:color="000000"/>
              <w:right w:val="single" w:sz="6" w:space="0" w:color="000000"/>
            </w:tcBorders>
          </w:tcPr>
          <w:p>
            <w:pPr>
              <w:pStyle w:val="TableParagraph"/>
              <w:spacing w:before="17"/>
              <w:ind w:left="48"/>
              <w:rPr>
                <w:rFonts w:ascii="Arial"/>
                <w:sz w:val="23"/>
              </w:rPr>
            </w:pPr>
            <w:r>
              <w:rPr>
                <w:rFonts w:ascii="Arial"/>
                <w:w w:val="115"/>
                <w:sz w:val="23"/>
              </w:rPr>
              <w:t>Saldo final</w:t>
            </w:r>
          </w:p>
        </w:tc>
        <w:tc>
          <w:tcPr>
            <w:tcW w:w="1449" w:type="dxa"/>
            <w:tcBorders>
              <w:top w:val="single" w:sz="6" w:space="0" w:color="000000"/>
              <w:left w:val="single" w:sz="6" w:space="0" w:color="000000"/>
              <w:bottom w:val="single" w:sz="6" w:space="0" w:color="000000"/>
              <w:right w:val="single" w:sz="6" w:space="0" w:color="000000"/>
            </w:tcBorders>
          </w:tcPr>
          <w:p>
            <w:pPr>
              <w:pStyle w:val="TableParagraph"/>
              <w:spacing w:before="17"/>
              <w:ind w:left="97" w:right="97"/>
              <w:jc w:val="center"/>
              <w:rPr>
                <w:rFonts w:ascii="Arial"/>
                <w:sz w:val="23"/>
              </w:rPr>
            </w:pPr>
            <w:r>
              <w:rPr>
                <w:rFonts w:ascii="Arial"/>
                <w:w w:val="110"/>
                <w:sz w:val="23"/>
              </w:rPr>
              <w:t>$ 3,000.00</w:t>
            </w:r>
          </w:p>
        </w:tc>
        <w:tc>
          <w:tcPr>
            <w:tcW w:w="1449" w:type="dxa"/>
            <w:tcBorders>
              <w:top w:val="single" w:sz="6" w:space="0" w:color="000000"/>
              <w:left w:val="single" w:sz="6" w:space="0" w:color="000000"/>
              <w:bottom w:val="single" w:sz="6" w:space="0" w:color="000000"/>
              <w:right w:val="single" w:sz="6" w:space="0" w:color="000000"/>
            </w:tcBorders>
          </w:tcPr>
          <w:p>
            <w:pPr>
              <w:pStyle w:val="TableParagraph"/>
              <w:spacing w:before="17"/>
              <w:ind w:left="97" w:right="98"/>
              <w:jc w:val="center"/>
              <w:rPr>
                <w:rFonts w:ascii="Arial"/>
                <w:sz w:val="23"/>
              </w:rPr>
            </w:pPr>
            <w:r>
              <w:rPr>
                <w:rFonts w:ascii="Arial"/>
                <w:w w:val="110"/>
                <w:sz w:val="23"/>
              </w:rPr>
              <w:t>$ 3,000.00</w:t>
            </w:r>
          </w:p>
        </w:tc>
      </w:tr>
    </w:tbl>
    <w:p>
      <w:pPr>
        <w:pStyle w:val="BodyText"/>
        <w:rPr>
          <w:sz w:val="20"/>
        </w:rPr>
      </w:pPr>
    </w:p>
    <w:p>
      <w:pPr>
        <w:pStyle w:val="BodyText"/>
        <w:rPr>
          <w:sz w:val="20"/>
        </w:rPr>
      </w:pPr>
    </w:p>
    <w:p>
      <w:pPr>
        <w:pStyle w:val="BodyText"/>
        <w:spacing w:before="4"/>
        <w:rPr>
          <w:sz w:val="29"/>
        </w:rPr>
      </w:pPr>
    </w:p>
    <w:p>
      <w:pPr>
        <w:pStyle w:val="BodyText"/>
        <w:spacing w:before="69"/>
        <w:ind w:left="109"/>
      </w:pPr>
      <w:r>
        <w:rPr/>
        <w:t>Retomando  el  ejemplo  2.  Se  pagó  a  un  proveedor  con  cheque  la  cantidad</w:t>
      </w:r>
      <w:r>
        <w:rPr>
          <w:spacing w:val="58"/>
        </w:rPr>
        <w:t> </w:t>
      </w:r>
      <w:r>
        <w:rPr/>
        <w:t>de</w:t>
      </w:r>
    </w:p>
    <w:p>
      <w:pPr>
        <w:pStyle w:val="BodyText"/>
        <w:spacing w:line="720" w:lineRule="auto" w:before="139"/>
        <w:ind w:left="109" w:right="4982"/>
      </w:pPr>
      <w:r>
        <w:rPr/>
        <w:pict>
          <v:line style="position:absolute;mso-position-horizontal-relative:page;mso-position-vertical-relative:paragraph;z-index:-81280" from="116.012131pt,69.459023pt" to="116.012131pt,69.459023pt" stroked="true" strokeweight=".722266pt" strokecolor="#d3d3d3">
            <w10:wrap type="none"/>
          </v:line>
        </w:pict>
      </w:r>
      <w:r>
        <w:rPr/>
        <w:pict>
          <v:line style="position:absolute;mso-position-horizontal-relative:page;mso-position-vertical-relative:paragraph;z-index:-81256" from="193.384659pt,69.459023pt" to="193.384659pt,69.459023pt" stroked="true" strokeweight=".722266pt" strokecolor="#d3d3d3">
            <w10:wrap type="none"/>
          </v:line>
        </w:pict>
      </w:r>
      <w:r>
        <w:rPr/>
        <w:pict>
          <v:line style="position:absolute;mso-position-horizontal-relative:page;mso-position-vertical-relative:paragraph;z-index:2296" from="336.07074pt,69.459038pt" to="336.07074pt,69.459038pt" stroked="true" strokeweight=".722266pt" strokecolor="#d3d3d3">
            <w10:wrap type="none"/>
          </v:line>
        </w:pict>
      </w:r>
      <w:r>
        <w:rPr/>
        <w:pict>
          <v:line style="position:absolute;mso-position-horizontal-relative:page;mso-position-vertical-relative:paragraph;z-index:2320" from="410.226105pt,69.459038pt" to="410.226105pt,69.459038pt" stroked="true" strokeweight=".722266pt" strokecolor="#d3d3d3">
            <w10:wrap type="none"/>
          </v:line>
        </w:pict>
      </w:r>
      <w:r>
        <w:rPr/>
        <w:pict>
          <v:line style="position:absolute;mso-position-horizontal-relative:page;mso-position-vertical-relative:paragraph;z-index:2344" from="484.38147pt,69.459045pt" to="484.38147pt,69.459045pt" stroked="true" strokeweight=".722266pt" strokecolor="#d3d3d3">
            <w10:wrap type="none"/>
          </v:line>
        </w:pict>
      </w:r>
      <w:r>
        <w:rPr/>
        <w:pict>
          <v:shape style="position:absolute;margin-left:115.609993pt;margin-top:69.097855pt;width:370.4pt;height:78.05pt;mso-position-horizontal-relative:page;mso-position-vertical-relative:paragraph;z-index:2368"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47"/>
                    <w:gridCol w:w="2854"/>
                    <w:gridCol w:w="1483"/>
                    <w:gridCol w:w="1483"/>
                  </w:tblGrid>
                  <w:tr>
                    <w:trPr>
                      <w:trHeight w:val="314" w:hRule="exact"/>
                    </w:trPr>
                    <w:tc>
                      <w:tcPr>
                        <w:tcW w:w="1547" w:type="dxa"/>
                        <w:tcBorders>
                          <w:left w:val="single" w:sz="6" w:space="0" w:color="000000"/>
                          <w:bottom w:val="single" w:sz="12" w:space="0" w:color="000000"/>
                          <w:right w:val="single" w:sz="13" w:space="0" w:color="000000"/>
                        </w:tcBorders>
                      </w:tcPr>
                      <w:p>
                        <w:pPr>
                          <w:pStyle w:val="TableParagraph"/>
                          <w:spacing w:before="17"/>
                          <w:ind w:left="419"/>
                          <w:rPr>
                            <w:rFonts w:ascii="Arial"/>
                            <w:sz w:val="23"/>
                          </w:rPr>
                        </w:pPr>
                        <w:r>
                          <w:rPr>
                            <w:rFonts w:ascii="Arial"/>
                            <w:w w:val="115"/>
                            <w:sz w:val="23"/>
                          </w:rPr>
                          <w:t>Fecha</w:t>
                        </w:r>
                      </w:p>
                    </w:tc>
                    <w:tc>
                      <w:tcPr>
                        <w:tcW w:w="2854" w:type="dxa"/>
                        <w:tcBorders>
                          <w:left w:val="single" w:sz="13" w:space="0" w:color="000000"/>
                          <w:bottom w:val="single" w:sz="12" w:space="0" w:color="000000"/>
                          <w:right w:val="single" w:sz="13" w:space="0" w:color="000000"/>
                        </w:tcBorders>
                      </w:tcPr>
                      <w:p>
                        <w:pPr>
                          <w:pStyle w:val="TableParagraph"/>
                          <w:spacing w:before="17"/>
                          <w:ind w:left="964" w:right="964"/>
                          <w:jc w:val="center"/>
                          <w:rPr>
                            <w:rFonts w:ascii="Arial"/>
                            <w:sz w:val="23"/>
                          </w:rPr>
                        </w:pPr>
                        <w:r>
                          <w:rPr>
                            <w:rFonts w:ascii="Arial"/>
                            <w:w w:val="115"/>
                            <w:sz w:val="23"/>
                          </w:rPr>
                          <w:t>Cuenta</w:t>
                        </w:r>
                      </w:p>
                    </w:tc>
                    <w:tc>
                      <w:tcPr>
                        <w:tcW w:w="1483" w:type="dxa"/>
                        <w:tcBorders>
                          <w:left w:val="single" w:sz="13" w:space="0" w:color="000000"/>
                          <w:bottom w:val="single" w:sz="12" w:space="0" w:color="000000"/>
                          <w:right w:val="single" w:sz="13" w:space="0" w:color="000000"/>
                        </w:tcBorders>
                      </w:tcPr>
                      <w:p>
                        <w:pPr>
                          <w:pStyle w:val="TableParagraph"/>
                          <w:spacing w:before="17"/>
                          <w:ind w:left="330" w:right="315"/>
                          <w:jc w:val="center"/>
                          <w:rPr>
                            <w:rFonts w:ascii="Arial"/>
                            <w:sz w:val="23"/>
                          </w:rPr>
                        </w:pPr>
                        <w:r>
                          <w:rPr>
                            <w:rFonts w:ascii="Arial"/>
                            <w:w w:val="115"/>
                            <w:sz w:val="23"/>
                          </w:rPr>
                          <w:t>Cargo</w:t>
                        </w:r>
                      </w:p>
                    </w:tc>
                    <w:tc>
                      <w:tcPr>
                        <w:tcW w:w="1483" w:type="dxa"/>
                        <w:tcBorders>
                          <w:left w:val="single" w:sz="13" w:space="0" w:color="000000"/>
                          <w:bottom w:val="single" w:sz="12" w:space="0" w:color="000000"/>
                          <w:right w:val="single" w:sz="13" w:space="0" w:color="000000"/>
                        </w:tcBorders>
                      </w:tcPr>
                      <w:p>
                        <w:pPr>
                          <w:pStyle w:val="TableParagraph"/>
                          <w:spacing w:before="17"/>
                          <w:ind w:left="331" w:right="315"/>
                          <w:jc w:val="center"/>
                          <w:rPr>
                            <w:rFonts w:ascii="Arial"/>
                            <w:sz w:val="23"/>
                          </w:rPr>
                        </w:pPr>
                        <w:r>
                          <w:rPr>
                            <w:rFonts w:ascii="Arial"/>
                            <w:w w:val="115"/>
                            <w:sz w:val="23"/>
                          </w:rPr>
                          <w:t>Abono</w:t>
                        </w:r>
                      </w:p>
                    </w:tc>
                  </w:tr>
                  <w:tr>
                    <w:trPr>
                      <w:trHeight w:val="313" w:hRule="exact"/>
                    </w:trPr>
                    <w:tc>
                      <w:tcPr>
                        <w:tcW w:w="1547" w:type="dxa"/>
                        <w:tcBorders>
                          <w:top w:val="single" w:sz="12" w:space="0" w:color="000000"/>
                          <w:left w:val="single" w:sz="6" w:space="0" w:color="000000"/>
                          <w:right w:val="single" w:sz="6" w:space="0" w:color="000000"/>
                        </w:tcBorders>
                      </w:tcPr>
                      <w:p>
                        <w:pPr>
                          <w:pStyle w:val="TableParagraph"/>
                          <w:spacing w:before="17"/>
                          <w:ind w:right="47"/>
                          <w:jc w:val="right"/>
                          <w:rPr>
                            <w:rFonts w:ascii="Arial"/>
                            <w:sz w:val="23"/>
                          </w:rPr>
                        </w:pPr>
                        <w:r>
                          <w:rPr>
                            <w:rFonts w:ascii="Arial"/>
                            <w:w w:val="110"/>
                            <w:sz w:val="23"/>
                          </w:rPr>
                          <w:t>01-sep-15</w:t>
                        </w:r>
                      </w:p>
                    </w:tc>
                    <w:tc>
                      <w:tcPr>
                        <w:tcW w:w="2854" w:type="dxa"/>
                        <w:tcBorders>
                          <w:top w:val="single" w:sz="12" w:space="0" w:color="000000"/>
                          <w:left w:val="single" w:sz="6" w:space="0" w:color="000000"/>
                          <w:right w:val="single" w:sz="6" w:space="0" w:color="000000"/>
                        </w:tcBorders>
                      </w:tcPr>
                      <w:p>
                        <w:pPr>
                          <w:pStyle w:val="TableParagraph"/>
                          <w:spacing w:before="17"/>
                          <w:ind w:left="48"/>
                          <w:rPr>
                            <w:rFonts w:ascii="Arial"/>
                            <w:sz w:val="23"/>
                          </w:rPr>
                        </w:pPr>
                        <w:r>
                          <w:rPr>
                            <w:rFonts w:ascii="Arial"/>
                            <w:w w:val="115"/>
                            <w:sz w:val="23"/>
                          </w:rPr>
                          <w:t>Saldo inicial</w:t>
                        </w:r>
                      </w:p>
                    </w:tc>
                    <w:tc>
                      <w:tcPr>
                        <w:tcW w:w="1483" w:type="dxa"/>
                        <w:tcBorders>
                          <w:top w:val="single" w:sz="12" w:space="0" w:color="000000"/>
                          <w:left w:val="single" w:sz="6" w:space="0" w:color="000000"/>
                          <w:right w:val="single" w:sz="6" w:space="0" w:color="000000"/>
                        </w:tcBorders>
                      </w:tcPr>
                      <w:p>
                        <w:pPr/>
                      </w:p>
                    </w:tc>
                    <w:tc>
                      <w:tcPr>
                        <w:tcW w:w="1483" w:type="dxa"/>
                        <w:tcBorders>
                          <w:top w:val="single" w:sz="12" w:space="0" w:color="000000"/>
                          <w:left w:val="single" w:sz="6" w:space="0" w:color="000000"/>
                          <w:right w:val="single" w:sz="6" w:space="0" w:color="000000"/>
                        </w:tcBorders>
                      </w:tcPr>
                      <w:p>
                        <w:pPr/>
                      </w:p>
                    </w:tc>
                  </w:tr>
                  <w:tr>
                    <w:trPr>
                      <w:trHeight w:val="306" w:hRule="exact"/>
                    </w:trPr>
                    <w:tc>
                      <w:tcPr>
                        <w:tcW w:w="1547" w:type="dxa"/>
                        <w:tcBorders>
                          <w:left w:val="single" w:sz="6" w:space="0" w:color="000000"/>
                          <w:right w:val="single" w:sz="6" w:space="0" w:color="000000"/>
                        </w:tcBorders>
                      </w:tcPr>
                      <w:p>
                        <w:pPr>
                          <w:pStyle w:val="TableParagraph"/>
                          <w:spacing w:before="17"/>
                          <w:ind w:right="47"/>
                          <w:jc w:val="right"/>
                          <w:rPr>
                            <w:rFonts w:ascii="Arial"/>
                            <w:sz w:val="23"/>
                          </w:rPr>
                        </w:pPr>
                        <w:r>
                          <w:rPr>
                            <w:rFonts w:ascii="Arial"/>
                            <w:w w:val="110"/>
                            <w:sz w:val="23"/>
                          </w:rPr>
                          <w:t>13-sep-15</w:t>
                        </w:r>
                      </w:p>
                    </w:tc>
                    <w:tc>
                      <w:tcPr>
                        <w:tcW w:w="2854" w:type="dxa"/>
                        <w:tcBorders>
                          <w:left w:val="single" w:sz="6" w:space="0" w:color="000000"/>
                          <w:right w:val="single" w:sz="6" w:space="0" w:color="000000"/>
                        </w:tcBorders>
                      </w:tcPr>
                      <w:p>
                        <w:pPr>
                          <w:pStyle w:val="TableParagraph"/>
                          <w:spacing w:before="17"/>
                          <w:ind w:left="48"/>
                          <w:rPr>
                            <w:rFonts w:ascii="Arial"/>
                            <w:sz w:val="23"/>
                          </w:rPr>
                        </w:pPr>
                        <w:r>
                          <w:rPr>
                            <w:rFonts w:ascii="Arial"/>
                            <w:w w:val="115"/>
                            <w:sz w:val="23"/>
                          </w:rPr>
                          <w:t>Proveedores</w:t>
                        </w:r>
                      </w:p>
                    </w:tc>
                    <w:tc>
                      <w:tcPr>
                        <w:tcW w:w="1483" w:type="dxa"/>
                        <w:tcBorders>
                          <w:left w:val="single" w:sz="6" w:space="0" w:color="000000"/>
                          <w:right w:val="single" w:sz="6" w:space="0" w:color="000000"/>
                        </w:tcBorders>
                      </w:tcPr>
                      <w:p>
                        <w:pPr>
                          <w:pStyle w:val="TableParagraph"/>
                          <w:spacing w:before="17"/>
                          <w:ind w:left="88" w:right="88"/>
                          <w:jc w:val="center"/>
                          <w:rPr>
                            <w:rFonts w:ascii="Arial"/>
                            <w:sz w:val="23"/>
                          </w:rPr>
                        </w:pPr>
                        <w:r>
                          <w:rPr>
                            <w:rFonts w:ascii="Arial"/>
                            <w:w w:val="115"/>
                            <w:sz w:val="23"/>
                          </w:rPr>
                          <w:t>$ 2,000.00</w:t>
                        </w:r>
                      </w:p>
                    </w:tc>
                    <w:tc>
                      <w:tcPr>
                        <w:tcW w:w="1483" w:type="dxa"/>
                        <w:tcBorders>
                          <w:left w:val="single" w:sz="6" w:space="0" w:color="000000"/>
                          <w:right w:val="single" w:sz="6" w:space="0" w:color="000000"/>
                        </w:tcBorders>
                      </w:tcPr>
                      <w:p>
                        <w:pPr/>
                      </w:p>
                    </w:tc>
                  </w:tr>
                  <w:tr>
                    <w:trPr>
                      <w:trHeight w:val="306" w:hRule="exact"/>
                    </w:trPr>
                    <w:tc>
                      <w:tcPr>
                        <w:tcW w:w="1547" w:type="dxa"/>
                        <w:tcBorders>
                          <w:left w:val="single" w:sz="6" w:space="0" w:color="000000"/>
                          <w:right w:val="single" w:sz="6" w:space="0" w:color="000000"/>
                        </w:tcBorders>
                      </w:tcPr>
                      <w:p>
                        <w:pPr/>
                      </w:p>
                    </w:tc>
                    <w:tc>
                      <w:tcPr>
                        <w:tcW w:w="2854" w:type="dxa"/>
                        <w:tcBorders>
                          <w:left w:val="single" w:sz="6" w:space="0" w:color="000000"/>
                          <w:right w:val="single" w:sz="6" w:space="0" w:color="000000"/>
                        </w:tcBorders>
                      </w:tcPr>
                      <w:p>
                        <w:pPr>
                          <w:pStyle w:val="TableParagraph"/>
                          <w:spacing w:before="17"/>
                          <w:ind w:left="48"/>
                          <w:rPr>
                            <w:rFonts w:ascii="Arial"/>
                            <w:sz w:val="23"/>
                          </w:rPr>
                        </w:pPr>
                        <w:r>
                          <w:rPr>
                            <w:rFonts w:ascii="Arial"/>
                            <w:w w:val="115"/>
                            <w:sz w:val="23"/>
                          </w:rPr>
                          <w:t>Caja</w:t>
                        </w:r>
                      </w:p>
                    </w:tc>
                    <w:tc>
                      <w:tcPr>
                        <w:tcW w:w="1483" w:type="dxa"/>
                        <w:tcBorders>
                          <w:left w:val="single" w:sz="6" w:space="0" w:color="000000"/>
                          <w:right w:val="single" w:sz="6" w:space="0" w:color="000000"/>
                        </w:tcBorders>
                      </w:tcPr>
                      <w:p>
                        <w:pPr/>
                      </w:p>
                    </w:tc>
                    <w:tc>
                      <w:tcPr>
                        <w:tcW w:w="1483" w:type="dxa"/>
                        <w:tcBorders>
                          <w:left w:val="single" w:sz="6" w:space="0" w:color="000000"/>
                          <w:right w:val="single" w:sz="6" w:space="0" w:color="000000"/>
                        </w:tcBorders>
                      </w:tcPr>
                      <w:p>
                        <w:pPr>
                          <w:pStyle w:val="TableParagraph"/>
                          <w:spacing w:before="17"/>
                          <w:ind w:left="88" w:right="88"/>
                          <w:jc w:val="center"/>
                          <w:rPr>
                            <w:rFonts w:ascii="Arial"/>
                            <w:sz w:val="23"/>
                          </w:rPr>
                        </w:pPr>
                        <w:r>
                          <w:rPr>
                            <w:rFonts w:ascii="Arial"/>
                            <w:w w:val="115"/>
                            <w:sz w:val="23"/>
                          </w:rPr>
                          <w:t>$ 2,000.00</w:t>
                        </w:r>
                      </w:p>
                    </w:tc>
                  </w:tr>
                  <w:tr>
                    <w:trPr>
                      <w:trHeight w:val="306" w:hRule="exact"/>
                    </w:trPr>
                    <w:tc>
                      <w:tcPr>
                        <w:tcW w:w="1547" w:type="dxa"/>
                        <w:tcBorders>
                          <w:left w:val="single" w:sz="6" w:space="0" w:color="000000"/>
                          <w:right w:val="single" w:sz="6" w:space="0" w:color="000000"/>
                        </w:tcBorders>
                      </w:tcPr>
                      <w:p>
                        <w:pPr>
                          <w:pStyle w:val="TableParagraph"/>
                          <w:spacing w:before="18"/>
                          <w:ind w:right="47"/>
                          <w:jc w:val="right"/>
                          <w:rPr>
                            <w:rFonts w:ascii="Arial"/>
                            <w:sz w:val="23"/>
                          </w:rPr>
                        </w:pPr>
                        <w:r>
                          <w:rPr>
                            <w:rFonts w:ascii="Arial"/>
                            <w:w w:val="110"/>
                            <w:sz w:val="23"/>
                          </w:rPr>
                          <w:t>30-sep-15</w:t>
                        </w:r>
                      </w:p>
                    </w:tc>
                    <w:tc>
                      <w:tcPr>
                        <w:tcW w:w="2854" w:type="dxa"/>
                        <w:tcBorders>
                          <w:left w:val="single" w:sz="6" w:space="0" w:color="000000"/>
                          <w:right w:val="single" w:sz="6" w:space="0" w:color="000000"/>
                        </w:tcBorders>
                      </w:tcPr>
                      <w:p>
                        <w:pPr>
                          <w:pStyle w:val="TableParagraph"/>
                          <w:spacing w:before="18"/>
                          <w:ind w:left="48"/>
                          <w:rPr>
                            <w:rFonts w:ascii="Arial"/>
                            <w:sz w:val="23"/>
                          </w:rPr>
                        </w:pPr>
                        <w:r>
                          <w:rPr>
                            <w:rFonts w:ascii="Arial"/>
                            <w:w w:val="115"/>
                            <w:sz w:val="23"/>
                          </w:rPr>
                          <w:t>Saldo final</w:t>
                        </w:r>
                      </w:p>
                    </w:tc>
                    <w:tc>
                      <w:tcPr>
                        <w:tcW w:w="1483" w:type="dxa"/>
                        <w:tcBorders>
                          <w:left w:val="single" w:sz="6" w:space="0" w:color="000000"/>
                          <w:right w:val="single" w:sz="6" w:space="0" w:color="000000"/>
                        </w:tcBorders>
                      </w:tcPr>
                      <w:p>
                        <w:pPr>
                          <w:pStyle w:val="TableParagraph"/>
                          <w:spacing w:before="18"/>
                          <w:ind w:left="88" w:right="88"/>
                          <w:jc w:val="center"/>
                          <w:rPr>
                            <w:rFonts w:ascii="Arial"/>
                            <w:sz w:val="23"/>
                          </w:rPr>
                        </w:pPr>
                        <w:r>
                          <w:rPr>
                            <w:rFonts w:ascii="Arial"/>
                            <w:w w:val="115"/>
                            <w:sz w:val="23"/>
                          </w:rPr>
                          <w:t>$ 2,000.00</w:t>
                        </w:r>
                      </w:p>
                    </w:tc>
                    <w:tc>
                      <w:tcPr>
                        <w:tcW w:w="1483" w:type="dxa"/>
                        <w:tcBorders>
                          <w:left w:val="single" w:sz="6" w:space="0" w:color="000000"/>
                          <w:right w:val="single" w:sz="6" w:space="0" w:color="000000"/>
                        </w:tcBorders>
                      </w:tcPr>
                      <w:p>
                        <w:pPr>
                          <w:pStyle w:val="TableParagraph"/>
                          <w:spacing w:before="18"/>
                          <w:ind w:left="88" w:right="88"/>
                          <w:jc w:val="center"/>
                          <w:rPr>
                            <w:rFonts w:ascii="Arial"/>
                            <w:sz w:val="23"/>
                          </w:rPr>
                        </w:pPr>
                        <w:r>
                          <w:rPr>
                            <w:rFonts w:ascii="Arial"/>
                            <w:w w:val="115"/>
                            <w:sz w:val="23"/>
                          </w:rPr>
                          <w:t>$ 2,000.00</w:t>
                        </w:r>
                      </w:p>
                    </w:tc>
                  </w:tr>
                </w:tbl>
                <w:p>
                  <w:pPr>
                    <w:pStyle w:val="BodyText"/>
                  </w:pPr>
                </w:p>
              </w:txbxContent>
            </v:textbox>
            <w10:wrap type="none"/>
          </v:shape>
        </w:pict>
      </w:r>
      <w:r>
        <w:rPr/>
        <w:t>$2,000.00 el 13 de septiembre. Operaciones registradas en libro diario.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pStyle w:val="Heading2"/>
        <w:numPr>
          <w:ilvl w:val="2"/>
          <w:numId w:val="22"/>
        </w:numPr>
        <w:tabs>
          <w:tab w:pos="779" w:val="left" w:leader="none"/>
        </w:tabs>
        <w:spacing w:line="240" w:lineRule="auto" w:before="70" w:after="0"/>
        <w:ind w:left="778" w:right="0" w:hanging="669"/>
        <w:jc w:val="both"/>
      </w:pPr>
      <w:bookmarkStart w:name="_bookmark22" w:id="41"/>
      <w:bookmarkEnd w:id="41"/>
      <w:r>
        <w:rPr>
          <w:b w:val="0"/>
        </w:rPr>
      </w:r>
      <w:bookmarkStart w:name="_bookmark22" w:id="42"/>
      <w:bookmarkEnd w:id="42"/>
      <w:r>
        <w:rPr/>
        <w:t>L</w:t>
      </w:r>
      <w:r>
        <w:rPr/>
        <w:t>ibro</w:t>
      </w:r>
      <w:r>
        <w:rPr>
          <w:spacing w:val="-10"/>
        </w:rPr>
        <w:t> </w:t>
      </w:r>
      <w:r>
        <w:rPr/>
        <w:t>Mayor.</w:t>
      </w:r>
    </w:p>
    <w:p>
      <w:pPr>
        <w:pStyle w:val="BodyText"/>
        <w:spacing w:line="360" w:lineRule="auto" w:before="43"/>
        <w:ind w:left="109" w:right="115"/>
        <w:jc w:val="both"/>
      </w:pPr>
      <w:r>
        <w:rPr/>
        <w:t>El libro mayor es el registro donde concentraremos los movimientos que tuvieron las cuentas de activo, pasivo, capital contable y resultados durante el periodo correspondiente. En el libro mayor se abrirá un folio individual para cada cuenta que se haya abierto en el catálogo de cuentas.</w:t>
      </w:r>
    </w:p>
    <w:p>
      <w:pPr>
        <w:pStyle w:val="BodyText"/>
      </w:pPr>
    </w:p>
    <w:p>
      <w:pPr>
        <w:pStyle w:val="BodyText"/>
        <w:spacing w:line="360" w:lineRule="auto" w:before="142"/>
        <w:ind w:left="109" w:right="115"/>
        <w:jc w:val="both"/>
      </w:pPr>
      <w:r>
        <w:rPr/>
        <w:t>A grandes rasgos, el libro mayor nos permite además de seguir la huella de las transacciones de la entidad de una forma mucho más transparente e individualizada acumular</w:t>
      </w:r>
      <w:r>
        <w:rPr>
          <w:spacing w:val="-9"/>
        </w:rPr>
        <w:t> </w:t>
      </w:r>
      <w:r>
        <w:rPr/>
        <w:t>los</w:t>
      </w:r>
      <w:r>
        <w:rPr>
          <w:spacing w:val="-9"/>
        </w:rPr>
        <w:t> </w:t>
      </w:r>
      <w:r>
        <w:rPr/>
        <w:t>movimientos</w:t>
      </w:r>
      <w:r>
        <w:rPr>
          <w:spacing w:val="-9"/>
        </w:rPr>
        <w:t> </w:t>
      </w:r>
      <w:r>
        <w:rPr/>
        <w:t>de</w:t>
      </w:r>
      <w:r>
        <w:rPr>
          <w:spacing w:val="-8"/>
        </w:rPr>
        <w:t> </w:t>
      </w:r>
      <w:r>
        <w:rPr/>
        <w:t>cada</w:t>
      </w:r>
      <w:r>
        <w:rPr>
          <w:spacing w:val="-8"/>
        </w:rPr>
        <w:t> </w:t>
      </w:r>
      <w:r>
        <w:rPr/>
        <w:t>periodo</w:t>
      </w:r>
      <w:r>
        <w:rPr>
          <w:spacing w:val="-8"/>
        </w:rPr>
        <w:t> </w:t>
      </w:r>
      <w:r>
        <w:rPr/>
        <w:t>con</w:t>
      </w:r>
      <w:r>
        <w:rPr>
          <w:spacing w:val="-8"/>
        </w:rPr>
        <w:t> </w:t>
      </w:r>
      <w:r>
        <w:rPr/>
        <w:t>el</w:t>
      </w:r>
      <w:r>
        <w:rPr>
          <w:spacing w:val="-10"/>
        </w:rPr>
        <w:t> </w:t>
      </w:r>
      <w:r>
        <w:rPr/>
        <w:t>único</w:t>
      </w:r>
      <w:r>
        <w:rPr>
          <w:spacing w:val="-5"/>
        </w:rPr>
        <w:t> </w:t>
      </w:r>
      <w:r>
        <w:rPr/>
        <w:t>objetivo</w:t>
      </w:r>
      <w:r>
        <w:rPr>
          <w:spacing w:val="-8"/>
        </w:rPr>
        <w:t> </w:t>
      </w:r>
      <w:r>
        <w:rPr/>
        <w:t>de</w:t>
      </w:r>
      <w:r>
        <w:rPr>
          <w:spacing w:val="-8"/>
        </w:rPr>
        <w:t> </w:t>
      </w:r>
      <w:r>
        <w:rPr/>
        <w:t>obtener</w:t>
      </w:r>
      <w:r>
        <w:rPr>
          <w:spacing w:val="-10"/>
        </w:rPr>
        <w:t> </w:t>
      </w:r>
      <w:r>
        <w:rPr/>
        <w:t>los</w:t>
      </w:r>
      <w:r>
        <w:rPr>
          <w:spacing w:val="-9"/>
        </w:rPr>
        <w:t> </w:t>
      </w:r>
      <w:r>
        <w:rPr/>
        <w:t>saldos</w:t>
      </w:r>
    </w:p>
    <w:p>
      <w:pPr>
        <w:spacing w:after="0" w:line="360" w:lineRule="auto"/>
        <w:jc w:val="both"/>
        <w:sectPr>
          <w:footerReference w:type="default" r:id="rId71"/>
          <w:pgSz w:w="12240" w:h="15840"/>
          <w:pgMar w:footer="779" w:header="0" w:top="1360" w:bottom="960" w:left="1360" w:right="1580"/>
        </w:sectPr>
      </w:pPr>
    </w:p>
    <w:p>
      <w:pPr>
        <w:pStyle w:val="BodyText"/>
        <w:spacing w:line="360" w:lineRule="auto" w:before="57"/>
        <w:ind w:left="109" w:right="115"/>
        <w:jc w:val="both"/>
      </w:pPr>
      <w:r>
        <w:rPr/>
        <w:t>correspondientes que presentaremos en los estados financieros correspondientes al mismo.</w:t>
      </w:r>
    </w:p>
    <w:p>
      <w:pPr>
        <w:pStyle w:val="BodyText"/>
      </w:pPr>
    </w:p>
    <w:p>
      <w:pPr>
        <w:pStyle w:val="BodyText"/>
        <w:spacing w:line="360" w:lineRule="auto" w:before="142"/>
        <w:ind w:left="109" w:right="115"/>
        <w:jc w:val="both"/>
      </w:pPr>
      <w:r>
        <w:rPr/>
        <w:t>Dentro</w:t>
      </w:r>
      <w:r>
        <w:rPr>
          <w:spacing w:val="-16"/>
        </w:rPr>
        <w:t> </w:t>
      </w:r>
      <w:r>
        <w:rPr/>
        <w:t>del</w:t>
      </w:r>
      <w:r>
        <w:rPr>
          <w:spacing w:val="-17"/>
        </w:rPr>
        <w:t> </w:t>
      </w:r>
      <w:r>
        <w:rPr/>
        <w:t>mayor</w:t>
      </w:r>
      <w:r>
        <w:rPr>
          <w:spacing w:val="-15"/>
        </w:rPr>
        <w:t> </w:t>
      </w:r>
      <w:r>
        <w:rPr/>
        <w:t>y</w:t>
      </w:r>
      <w:r>
        <w:rPr>
          <w:spacing w:val="-16"/>
        </w:rPr>
        <w:t> </w:t>
      </w:r>
      <w:r>
        <w:rPr/>
        <w:t>como</w:t>
      </w:r>
      <w:r>
        <w:rPr>
          <w:spacing w:val="-16"/>
        </w:rPr>
        <w:t> </w:t>
      </w:r>
      <w:r>
        <w:rPr/>
        <w:t>un</w:t>
      </w:r>
      <w:r>
        <w:rPr>
          <w:spacing w:val="-15"/>
        </w:rPr>
        <w:t> </w:t>
      </w:r>
      <w:r>
        <w:rPr/>
        <w:t>apoyo</w:t>
      </w:r>
      <w:r>
        <w:rPr>
          <w:spacing w:val="-13"/>
        </w:rPr>
        <w:t> </w:t>
      </w:r>
      <w:r>
        <w:rPr/>
        <w:t>en</w:t>
      </w:r>
      <w:r>
        <w:rPr>
          <w:spacing w:val="-15"/>
        </w:rPr>
        <w:t> </w:t>
      </w:r>
      <w:r>
        <w:rPr/>
        <w:t>el</w:t>
      </w:r>
      <w:r>
        <w:rPr>
          <w:spacing w:val="-14"/>
        </w:rPr>
        <w:t> </w:t>
      </w:r>
      <w:r>
        <w:rPr/>
        <w:t>control</w:t>
      </w:r>
      <w:r>
        <w:rPr>
          <w:spacing w:val="-14"/>
        </w:rPr>
        <w:t> </w:t>
      </w:r>
      <w:r>
        <w:rPr/>
        <w:t>de</w:t>
      </w:r>
      <w:r>
        <w:rPr>
          <w:spacing w:val="-13"/>
        </w:rPr>
        <w:t> </w:t>
      </w:r>
      <w:r>
        <w:rPr/>
        <w:t>las</w:t>
      </w:r>
      <w:r>
        <w:rPr>
          <w:spacing w:val="-14"/>
        </w:rPr>
        <w:t> </w:t>
      </w:r>
      <w:r>
        <w:rPr/>
        <w:t>cuentas,</w:t>
      </w:r>
      <w:r>
        <w:rPr>
          <w:spacing w:val="-16"/>
        </w:rPr>
        <w:t> </w:t>
      </w:r>
      <w:r>
        <w:rPr/>
        <w:t>deberemos</w:t>
      </w:r>
      <w:r>
        <w:rPr>
          <w:spacing w:val="-6"/>
        </w:rPr>
        <w:t> </w:t>
      </w:r>
      <w:r>
        <w:rPr/>
        <w:t>considerar la necesidad de abrir cuentas complementarias o subcuentas que nos permitan tener mejor control de una cuenta colectiva. Un claro ejemplo de ello es una compañía que tiene</w:t>
      </w:r>
      <w:r>
        <w:rPr>
          <w:spacing w:val="-20"/>
        </w:rPr>
        <w:t> </w:t>
      </w:r>
      <w:r>
        <w:rPr/>
        <w:t>50</w:t>
      </w:r>
      <w:r>
        <w:rPr>
          <w:spacing w:val="-18"/>
        </w:rPr>
        <w:t> </w:t>
      </w:r>
      <w:r>
        <w:rPr/>
        <w:t>clientes;</w:t>
      </w:r>
      <w:r>
        <w:rPr>
          <w:spacing w:val="-18"/>
        </w:rPr>
        <w:t> </w:t>
      </w:r>
      <w:r>
        <w:rPr/>
        <w:t>en</w:t>
      </w:r>
      <w:r>
        <w:rPr>
          <w:spacing w:val="-18"/>
        </w:rPr>
        <w:t> </w:t>
      </w:r>
      <w:r>
        <w:rPr/>
        <w:t>el</w:t>
      </w:r>
      <w:r>
        <w:rPr>
          <w:spacing w:val="-19"/>
        </w:rPr>
        <w:t> </w:t>
      </w:r>
      <w:r>
        <w:rPr/>
        <w:t>libro</w:t>
      </w:r>
      <w:r>
        <w:rPr>
          <w:spacing w:val="-18"/>
        </w:rPr>
        <w:t> </w:t>
      </w:r>
      <w:r>
        <w:rPr/>
        <w:t>mayor</w:t>
      </w:r>
      <w:r>
        <w:rPr>
          <w:spacing w:val="-19"/>
        </w:rPr>
        <w:t> </w:t>
      </w:r>
      <w:r>
        <w:rPr/>
        <w:t>sólo</w:t>
      </w:r>
      <w:r>
        <w:rPr>
          <w:spacing w:val="-18"/>
        </w:rPr>
        <w:t> </w:t>
      </w:r>
      <w:r>
        <w:rPr/>
        <w:t>registra</w:t>
      </w:r>
      <w:r>
        <w:rPr>
          <w:spacing w:val="-19"/>
        </w:rPr>
        <w:t> </w:t>
      </w:r>
      <w:r>
        <w:rPr/>
        <w:t>los</w:t>
      </w:r>
      <w:r>
        <w:rPr>
          <w:spacing w:val="-14"/>
        </w:rPr>
        <w:t> </w:t>
      </w:r>
      <w:r>
        <w:rPr/>
        <w:t>movimientos</w:t>
      </w:r>
      <w:r>
        <w:rPr>
          <w:spacing w:val="-19"/>
        </w:rPr>
        <w:t> </w:t>
      </w:r>
      <w:r>
        <w:rPr/>
        <w:t>generales</w:t>
      </w:r>
      <w:r>
        <w:rPr>
          <w:spacing w:val="-19"/>
        </w:rPr>
        <w:t> </w:t>
      </w:r>
      <w:r>
        <w:rPr/>
        <w:t>de</w:t>
      </w:r>
      <w:r>
        <w:rPr>
          <w:spacing w:val="-18"/>
        </w:rPr>
        <w:t> </w:t>
      </w:r>
      <w:r>
        <w:rPr/>
        <w:t>la</w:t>
      </w:r>
      <w:r>
        <w:rPr>
          <w:spacing w:val="-18"/>
        </w:rPr>
        <w:t> </w:t>
      </w:r>
      <w:r>
        <w:rPr/>
        <w:t>cuenta colectiva, pero seguramente abrirá una cuenta con el nombre de cada cliente con el objeto de llevar un control mucho más estrecho y</w:t>
      </w:r>
      <w:r>
        <w:rPr>
          <w:spacing w:val="-16"/>
        </w:rPr>
        <w:t> </w:t>
      </w:r>
      <w:r>
        <w:rPr/>
        <w:t>seguro.</w:t>
      </w:r>
    </w:p>
    <w:p>
      <w:pPr>
        <w:pStyle w:val="BodyText"/>
      </w:pPr>
    </w:p>
    <w:p>
      <w:pPr>
        <w:pStyle w:val="BodyText"/>
        <w:spacing w:line="360" w:lineRule="auto" w:before="142"/>
        <w:ind w:left="109" w:right="116"/>
        <w:jc w:val="both"/>
      </w:pPr>
      <w:r>
        <w:rPr/>
        <w:t>Cuando llevamos subcuentas de una cuenta colectiva, los asientos del libro diario se traspasan a los mayores auxiliares o subcuentas; en éstos se obtiene un movimiento que acumule los movimientos del periodo para esa subcuenta y al final ésta se traspasa a la cuenta de mayor colectiva, la cual sólo muestra los saldos de los movimientos que han sido registrados en las subcuentas.</w:t>
      </w:r>
    </w:p>
    <w:p>
      <w:pPr>
        <w:pStyle w:val="BodyText"/>
      </w:pPr>
    </w:p>
    <w:p>
      <w:pPr>
        <w:pStyle w:val="Heading2"/>
        <w:numPr>
          <w:ilvl w:val="1"/>
          <w:numId w:val="23"/>
        </w:numPr>
        <w:tabs>
          <w:tab w:pos="580" w:val="left" w:leader="none"/>
        </w:tabs>
        <w:spacing w:line="240" w:lineRule="auto" w:before="180" w:after="0"/>
        <w:ind w:left="579" w:right="0" w:hanging="470"/>
        <w:jc w:val="both"/>
        <w:rPr>
          <w:b w:val="0"/>
        </w:rPr>
      </w:pPr>
      <w:bookmarkStart w:name="_bookmark23" w:id="43"/>
      <w:bookmarkEnd w:id="43"/>
      <w:r>
        <w:rPr>
          <w:b w:val="0"/>
        </w:rPr>
      </w:r>
      <w:bookmarkStart w:name="_bookmark23" w:id="44"/>
      <w:bookmarkEnd w:id="44"/>
      <w:r>
        <w:rPr/>
        <w:t>B</w:t>
      </w:r>
      <w:r>
        <w:rPr/>
        <w:t>ALANZA DE</w:t>
      </w:r>
      <w:r>
        <w:rPr>
          <w:spacing w:val="-13"/>
        </w:rPr>
        <w:t> </w:t>
      </w:r>
      <w:r>
        <w:rPr/>
        <w:t>COMPROBACIÓN</w:t>
      </w:r>
      <w:r>
        <w:rPr>
          <w:b w:val="0"/>
        </w:rPr>
        <w:t>.</w:t>
      </w:r>
    </w:p>
    <w:p>
      <w:pPr>
        <w:pStyle w:val="BodyText"/>
      </w:pPr>
    </w:p>
    <w:p>
      <w:pPr>
        <w:pStyle w:val="BodyText"/>
        <w:spacing w:line="360" w:lineRule="auto" w:before="180"/>
        <w:ind w:left="109" w:right="116"/>
        <w:jc w:val="both"/>
      </w:pPr>
      <w:r>
        <w:rPr/>
        <w:t>La elaboración de la balanza de comprobación nos permite corroborar que se ha efectuado</w:t>
      </w:r>
      <w:r>
        <w:rPr>
          <w:spacing w:val="-5"/>
        </w:rPr>
        <w:t> </w:t>
      </w:r>
      <w:r>
        <w:rPr/>
        <w:t>correctamente</w:t>
      </w:r>
      <w:r>
        <w:rPr>
          <w:spacing w:val="-4"/>
        </w:rPr>
        <w:t> </w:t>
      </w:r>
      <w:r>
        <w:rPr/>
        <w:t>los</w:t>
      </w:r>
      <w:r>
        <w:rPr>
          <w:spacing w:val="-7"/>
        </w:rPr>
        <w:t> </w:t>
      </w:r>
      <w:r>
        <w:rPr/>
        <w:t>registros</w:t>
      </w:r>
      <w:r>
        <w:rPr>
          <w:spacing w:val="-5"/>
        </w:rPr>
        <w:t> </w:t>
      </w:r>
      <w:r>
        <w:rPr/>
        <w:t>y,</w:t>
      </w:r>
      <w:r>
        <w:rPr>
          <w:spacing w:val="-5"/>
        </w:rPr>
        <w:t> </w:t>
      </w:r>
      <w:r>
        <w:rPr/>
        <w:t>en</w:t>
      </w:r>
      <w:r>
        <w:rPr>
          <w:spacing w:val="-5"/>
        </w:rPr>
        <w:t> </w:t>
      </w:r>
      <w:r>
        <w:rPr/>
        <w:t>su</w:t>
      </w:r>
      <w:r>
        <w:rPr>
          <w:spacing w:val="-7"/>
        </w:rPr>
        <w:t> </w:t>
      </w:r>
      <w:r>
        <w:rPr/>
        <w:t>caso,</w:t>
      </w:r>
      <w:r>
        <w:rPr>
          <w:spacing w:val="-7"/>
        </w:rPr>
        <w:t> </w:t>
      </w:r>
      <w:r>
        <w:rPr/>
        <w:t>detectar</w:t>
      </w:r>
      <w:r>
        <w:rPr>
          <w:spacing w:val="-8"/>
        </w:rPr>
        <w:t> </w:t>
      </w:r>
      <w:r>
        <w:rPr/>
        <w:t>los</w:t>
      </w:r>
      <w:r>
        <w:rPr>
          <w:spacing w:val="-7"/>
        </w:rPr>
        <w:t> </w:t>
      </w:r>
      <w:r>
        <w:rPr/>
        <w:t>posibles</w:t>
      </w:r>
      <w:r>
        <w:rPr>
          <w:spacing w:val="-4"/>
        </w:rPr>
        <w:t> </w:t>
      </w:r>
      <w:r>
        <w:rPr/>
        <w:t>errores</w:t>
      </w:r>
      <w:r>
        <w:rPr>
          <w:spacing w:val="-5"/>
        </w:rPr>
        <w:t> </w:t>
      </w:r>
      <w:r>
        <w:rPr/>
        <w:t>que se</w:t>
      </w:r>
      <w:r>
        <w:rPr>
          <w:spacing w:val="-14"/>
        </w:rPr>
        <w:t> </w:t>
      </w:r>
      <w:r>
        <w:rPr/>
        <w:t>hayan</w:t>
      </w:r>
      <w:r>
        <w:rPr>
          <w:spacing w:val="-14"/>
        </w:rPr>
        <w:t> </w:t>
      </w:r>
      <w:r>
        <w:rPr/>
        <w:t>presentado</w:t>
      </w:r>
      <w:r>
        <w:rPr>
          <w:spacing w:val="-17"/>
        </w:rPr>
        <w:t> </w:t>
      </w:r>
      <w:r>
        <w:rPr/>
        <w:t>en</w:t>
      </w:r>
      <w:r>
        <w:rPr>
          <w:spacing w:val="-14"/>
        </w:rPr>
        <w:t> </w:t>
      </w:r>
      <w:r>
        <w:rPr/>
        <w:t>el</w:t>
      </w:r>
      <w:r>
        <w:rPr>
          <w:spacing w:val="-15"/>
        </w:rPr>
        <w:t> </w:t>
      </w:r>
      <w:r>
        <w:rPr/>
        <w:t>proceso</w:t>
      </w:r>
      <w:r>
        <w:rPr>
          <w:spacing w:val="-14"/>
        </w:rPr>
        <w:t> </w:t>
      </w:r>
      <w:r>
        <w:rPr/>
        <w:t>y</w:t>
      </w:r>
      <w:r>
        <w:rPr>
          <w:spacing w:val="-17"/>
        </w:rPr>
        <w:t> </w:t>
      </w:r>
      <w:r>
        <w:rPr/>
        <w:t>corregirlos</w:t>
      </w:r>
      <w:r>
        <w:rPr>
          <w:spacing w:val="-15"/>
        </w:rPr>
        <w:t> </w:t>
      </w:r>
      <w:r>
        <w:rPr/>
        <w:t>a</w:t>
      </w:r>
      <w:r>
        <w:rPr>
          <w:spacing w:val="-14"/>
        </w:rPr>
        <w:t> </w:t>
      </w:r>
      <w:r>
        <w:rPr/>
        <w:t>tiempo</w:t>
      </w:r>
      <w:r>
        <w:rPr>
          <w:spacing w:val="-17"/>
        </w:rPr>
        <w:t> </w:t>
      </w:r>
      <w:r>
        <w:rPr/>
        <w:t>para</w:t>
      </w:r>
      <w:r>
        <w:rPr>
          <w:spacing w:val="-7"/>
        </w:rPr>
        <w:t> </w:t>
      </w:r>
      <w:r>
        <w:rPr/>
        <w:t>elaborar</w:t>
      </w:r>
      <w:r>
        <w:rPr>
          <w:spacing w:val="-15"/>
        </w:rPr>
        <w:t> </w:t>
      </w:r>
      <w:r>
        <w:rPr/>
        <w:t>correctamente los estados</w:t>
      </w:r>
      <w:r>
        <w:rPr>
          <w:spacing w:val="-11"/>
        </w:rPr>
        <w:t> </w:t>
      </w:r>
      <w:r>
        <w:rPr/>
        <w:t>financieros.</w:t>
      </w:r>
    </w:p>
    <w:p>
      <w:pPr>
        <w:pStyle w:val="BodyText"/>
        <w:spacing w:line="360" w:lineRule="auto" w:before="204"/>
        <w:ind w:left="109" w:right="114"/>
        <w:jc w:val="both"/>
      </w:pPr>
      <w:r>
        <w:rPr/>
        <w:t>Con lo anterior, la segunda parte del procedimiento lógico que establecimos para el registro de operaciones quedaría definido como sigue:</w:t>
      </w:r>
    </w:p>
    <w:p>
      <w:pPr>
        <w:pStyle w:val="ListParagraph"/>
        <w:numPr>
          <w:ilvl w:val="2"/>
          <w:numId w:val="23"/>
        </w:numPr>
        <w:tabs>
          <w:tab w:pos="829" w:val="left" w:leader="none"/>
          <w:tab w:pos="830" w:val="left" w:leader="none"/>
        </w:tabs>
        <w:spacing w:line="240" w:lineRule="auto" w:before="205" w:after="0"/>
        <w:ind w:left="829" w:right="0" w:hanging="360"/>
        <w:jc w:val="left"/>
        <w:rPr>
          <w:sz w:val="24"/>
        </w:rPr>
      </w:pPr>
      <w:r>
        <w:rPr>
          <w:sz w:val="24"/>
        </w:rPr>
        <w:t>Cálculo de balanza de</w:t>
      </w:r>
      <w:r>
        <w:rPr>
          <w:spacing w:val="-16"/>
          <w:sz w:val="24"/>
        </w:rPr>
        <w:t> </w:t>
      </w:r>
      <w:r>
        <w:rPr>
          <w:sz w:val="24"/>
        </w:rPr>
        <w:t>comprobación</w:t>
      </w:r>
    </w:p>
    <w:p>
      <w:pPr>
        <w:pStyle w:val="ListParagraph"/>
        <w:numPr>
          <w:ilvl w:val="2"/>
          <w:numId w:val="23"/>
        </w:numPr>
        <w:tabs>
          <w:tab w:pos="829" w:val="left" w:leader="none"/>
          <w:tab w:pos="830" w:val="left" w:leader="none"/>
        </w:tabs>
        <w:spacing w:line="240" w:lineRule="auto" w:before="135" w:after="0"/>
        <w:ind w:left="829" w:right="0" w:hanging="360"/>
        <w:jc w:val="left"/>
        <w:rPr>
          <w:sz w:val="24"/>
        </w:rPr>
      </w:pPr>
      <w:r>
        <w:rPr>
          <w:sz w:val="24"/>
        </w:rPr>
        <w:t>Elaboración de asientos de</w:t>
      </w:r>
      <w:r>
        <w:rPr>
          <w:spacing w:val="-10"/>
          <w:sz w:val="24"/>
        </w:rPr>
        <w:t> </w:t>
      </w:r>
      <w:r>
        <w:rPr>
          <w:sz w:val="24"/>
        </w:rPr>
        <w:t>cierre</w:t>
      </w:r>
    </w:p>
    <w:p>
      <w:pPr>
        <w:pStyle w:val="ListParagraph"/>
        <w:numPr>
          <w:ilvl w:val="2"/>
          <w:numId w:val="23"/>
        </w:numPr>
        <w:tabs>
          <w:tab w:pos="829" w:val="left" w:leader="none"/>
          <w:tab w:pos="830" w:val="left" w:leader="none"/>
        </w:tabs>
        <w:spacing w:line="240" w:lineRule="auto" w:before="135" w:after="0"/>
        <w:ind w:left="829" w:right="0" w:hanging="360"/>
        <w:jc w:val="left"/>
        <w:rPr>
          <w:sz w:val="24"/>
        </w:rPr>
      </w:pPr>
      <w:r>
        <w:rPr>
          <w:sz w:val="24"/>
        </w:rPr>
        <w:t>Elaboración de la balanza de comprobación de</w:t>
      </w:r>
      <w:r>
        <w:rPr>
          <w:spacing w:val="-19"/>
          <w:sz w:val="24"/>
        </w:rPr>
        <w:t> </w:t>
      </w:r>
      <w:r>
        <w:rPr>
          <w:sz w:val="24"/>
        </w:rPr>
        <w:t>cierre</w:t>
      </w:r>
    </w:p>
    <w:p>
      <w:pPr>
        <w:pStyle w:val="ListParagraph"/>
        <w:numPr>
          <w:ilvl w:val="2"/>
          <w:numId w:val="23"/>
        </w:numPr>
        <w:tabs>
          <w:tab w:pos="829" w:val="left" w:leader="none"/>
          <w:tab w:pos="830" w:val="left" w:leader="none"/>
        </w:tabs>
        <w:spacing w:line="240" w:lineRule="auto" w:before="135" w:after="0"/>
        <w:ind w:left="829" w:right="0" w:hanging="360"/>
        <w:jc w:val="left"/>
        <w:rPr>
          <w:sz w:val="24"/>
        </w:rPr>
      </w:pPr>
      <w:r>
        <w:rPr>
          <w:sz w:val="24"/>
        </w:rPr>
        <w:t>Preparación de estados</w:t>
      </w:r>
      <w:r>
        <w:rPr>
          <w:spacing w:val="-12"/>
          <w:sz w:val="24"/>
        </w:rPr>
        <w:t> </w:t>
      </w:r>
      <w:r>
        <w:rPr>
          <w:sz w:val="24"/>
        </w:rPr>
        <w:t>financieros</w:t>
      </w:r>
    </w:p>
    <w:p>
      <w:pPr>
        <w:spacing w:after="0" w:line="240" w:lineRule="auto"/>
        <w:jc w:val="left"/>
        <w:rPr>
          <w:sz w:val="24"/>
        </w:rPr>
        <w:sectPr>
          <w:footerReference w:type="default" r:id="rId72"/>
          <w:pgSz w:w="12240" w:h="15840"/>
          <w:pgMar w:footer="450" w:header="0" w:top="1360" w:bottom="640" w:left="1360" w:right="1580"/>
          <w:pgNumType w:start="31"/>
        </w:sectPr>
      </w:pPr>
    </w:p>
    <w:p>
      <w:pPr>
        <w:pStyle w:val="Heading2"/>
        <w:spacing w:before="57"/>
        <w:ind w:right="291"/>
        <w:jc w:val="left"/>
      </w:pPr>
      <w:r>
        <w:rPr/>
        <w:t>a. Cálculo de Balanza de Comprobación</w:t>
      </w:r>
    </w:p>
    <w:p>
      <w:pPr>
        <w:pStyle w:val="BodyText"/>
        <w:spacing w:before="10"/>
        <w:rPr>
          <w:b/>
          <w:sz w:val="20"/>
        </w:rPr>
      </w:pPr>
    </w:p>
    <w:p>
      <w:pPr>
        <w:pStyle w:val="BodyText"/>
        <w:spacing w:line="360" w:lineRule="auto"/>
        <w:ind w:left="109" w:right="291"/>
      </w:pPr>
      <w:r>
        <w:rPr/>
        <w:t>A partir de los datos anteriores, al cálculo de la Balanza de Comprobación, la cual quedaría de la siguiente forma:</w:t>
      </w:r>
    </w:p>
    <w:p>
      <w:pPr>
        <w:pStyle w:val="BodyText"/>
        <w:spacing w:before="10"/>
        <w:rPr>
          <w:sz w:val="17"/>
        </w:rPr>
      </w:pPr>
    </w:p>
    <w:tbl>
      <w:tblPr>
        <w:tblW w:w="0" w:type="auto"/>
        <w:jc w:val="left"/>
        <w:tblInd w:w="10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426"/>
        <w:gridCol w:w="2547"/>
        <w:gridCol w:w="1455"/>
        <w:gridCol w:w="1452"/>
        <w:gridCol w:w="1453"/>
        <w:gridCol w:w="1454"/>
      </w:tblGrid>
      <w:tr>
        <w:trPr>
          <w:trHeight w:val="436" w:hRule="exact"/>
        </w:trPr>
        <w:tc>
          <w:tcPr>
            <w:tcW w:w="9786" w:type="dxa"/>
            <w:gridSpan w:val="6"/>
            <w:tcBorders>
              <w:bottom w:val="single" w:sz="17" w:space="0" w:color="9BBA58"/>
            </w:tcBorders>
          </w:tcPr>
          <w:p>
            <w:pPr>
              <w:pStyle w:val="TableParagraph"/>
              <w:spacing w:line="265" w:lineRule="exact"/>
              <w:ind w:left="3415" w:right="3415"/>
              <w:jc w:val="center"/>
              <w:rPr>
                <w:b/>
                <w:sz w:val="22"/>
              </w:rPr>
            </w:pPr>
            <w:r>
              <w:rPr>
                <w:b/>
                <w:sz w:val="22"/>
              </w:rPr>
              <w:t>CIA MOV NO ESTAR S.A. de C.V.</w:t>
            </w:r>
          </w:p>
        </w:tc>
      </w:tr>
      <w:tr>
        <w:trPr>
          <w:trHeight w:val="436" w:hRule="exact"/>
        </w:trPr>
        <w:tc>
          <w:tcPr>
            <w:tcW w:w="9786" w:type="dxa"/>
            <w:gridSpan w:val="6"/>
            <w:tcBorders>
              <w:top w:val="single" w:sz="17" w:space="0" w:color="9BBA58"/>
            </w:tcBorders>
            <w:shd w:val="clear" w:color="auto" w:fill="E6EDD4"/>
          </w:tcPr>
          <w:p>
            <w:pPr>
              <w:pStyle w:val="TableParagraph"/>
              <w:spacing w:line="267" w:lineRule="exact"/>
              <w:ind w:left="2544"/>
              <w:rPr>
                <w:b/>
                <w:sz w:val="22"/>
              </w:rPr>
            </w:pPr>
            <w:r>
              <w:rPr>
                <w:b/>
                <w:sz w:val="22"/>
              </w:rPr>
              <w:t>Balanza de comprobación al 28 de febrero del 2005</w:t>
            </w:r>
          </w:p>
        </w:tc>
      </w:tr>
      <w:tr>
        <w:trPr>
          <w:trHeight w:val="559" w:hRule="exact"/>
        </w:trPr>
        <w:tc>
          <w:tcPr>
            <w:tcW w:w="1426" w:type="dxa"/>
          </w:tcPr>
          <w:p>
            <w:pPr>
              <w:pStyle w:val="TableParagraph"/>
              <w:ind w:left="391" w:right="371" w:firstLine="9"/>
              <w:rPr>
                <w:b/>
                <w:sz w:val="22"/>
              </w:rPr>
            </w:pPr>
            <w:r>
              <w:rPr>
                <w:b/>
                <w:sz w:val="22"/>
              </w:rPr>
              <w:t>No. de cuenta</w:t>
            </w:r>
          </w:p>
        </w:tc>
        <w:tc>
          <w:tcPr>
            <w:tcW w:w="2547" w:type="dxa"/>
          </w:tcPr>
          <w:p>
            <w:pPr>
              <w:pStyle w:val="TableParagraph"/>
              <w:spacing w:line="268" w:lineRule="exact"/>
              <w:ind w:left="324"/>
              <w:rPr>
                <w:sz w:val="22"/>
              </w:rPr>
            </w:pPr>
            <w:r>
              <w:rPr>
                <w:sz w:val="22"/>
              </w:rPr>
              <w:t>Nombre de la cuenta</w:t>
            </w:r>
          </w:p>
        </w:tc>
        <w:tc>
          <w:tcPr>
            <w:tcW w:w="2907" w:type="dxa"/>
            <w:gridSpan w:val="2"/>
          </w:tcPr>
          <w:p>
            <w:pPr>
              <w:pStyle w:val="TableParagraph"/>
              <w:spacing w:line="268" w:lineRule="exact"/>
              <w:ind w:left="852"/>
              <w:rPr>
                <w:sz w:val="22"/>
              </w:rPr>
            </w:pPr>
            <w:r>
              <w:rPr>
                <w:sz w:val="22"/>
              </w:rPr>
              <w:t>Movimientos</w:t>
            </w:r>
          </w:p>
        </w:tc>
        <w:tc>
          <w:tcPr>
            <w:tcW w:w="2907" w:type="dxa"/>
            <w:gridSpan w:val="2"/>
          </w:tcPr>
          <w:p>
            <w:pPr>
              <w:pStyle w:val="TableParagraph"/>
              <w:spacing w:line="268" w:lineRule="exact"/>
              <w:ind w:left="1137" w:right="1135"/>
              <w:jc w:val="center"/>
              <w:rPr>
                <w:sz w:val="22"/>
              </w:rPr>
            </w:pPr>
            <w:r>
              <w:rPr>
                <w:sz w:val="22"/>
              </w:rPr>
              <w:t>Saldos</w:t>
            </w:r>
          </w:p>
        </w:tc>
      </w:tr>
      <w:tr>
        <w:trPr>
          <w:trHeight w:val="422" w:hRule="exact"/>
        </w:trPr>
        <w:tc>
          <w:tcPr>
            <w:tcW w:w="1426" w:type="dxa"/>
            <w:shd w:val="clear" w:color="auto" w:fill="E6EDD4"/>
          </w:tcPr>
          <w:p>
            <w:pPr/>
          </w:p>
        </w:tc>
        <w:tc>
          <w:tcPr>
            <w:tcW w:w="2547" w:type="dxa"/>
            <w:shd w:val="clear" w:color="auto" w:fill="E6EDD4"/>
          </w:tcPr>
          <w:p>
            <w:pPr/>
          </w:p>
        </w:tc>
        <w:tc>
          <w:tcPr>
            <w:tcW w:w="1455" w:type="dxa"/>
            <w:shd w:val="clear" w:color="auto" w:fill="E6EDD4"/>
          </w:tcPr>
          <w:p>
            <w:pPr>
              <w:pStyle w:val="TableParagraph"/>
              <w:spacing w:line="265" w:lineRule="exact"/>
              <w:ind w:left="462" w:right="462"/>
              <w:jc w:val="center"/>
              <w:rPr>
                <w:sz w:val="22"/>
              </w:rPr>
            </w:pPr>
            <w:r>
              <w:rPr>
                <w:sz w:val="22"/>
              </w:rPr>
              <w:t>Debe</w:t>
            </w:r>
          </w:p>
        </w:tc>
        <w:tc>
          <w:tcPr>
            <w:tcW w:w="1452" w:type="dxa"/>
            <w:shd w:val="clear" w:color="auto" w:fill="E6EDD4"/>
          </w:tcPr>
          <w:p>
            <w:pPr>
              <w:pStyle w:val="TableParagraph"/>
              <w:spacing w:line="265" w:lineRule="exact"/>
              <w:ind w:left="444"/>
              <w:rPr>
                <w:sz w:val="22"/>
              </w:rPr>
            </w:pPr>
            <w:r>
              <w:rPr>
                <w:sz w:val="22"/>
              </w:rPr>
              <w:t>Haber</w:t>
            </w:r>
          </w:p>
        </w:tc>
        <w:tc>
          <w:tcPr>
            <w:tcW w:w="1453" w:type="dxa"/>
            <w:shd w:val="clear" w:color="auto" w:fill="E6EDD4"/>
          </w:tcPr>
          <w:p>
            <w:pPr>
              <w:pStyle w:val="TableParagraph"/>
              <w:spacing w:line="265" w:lineRule="exact"/>
              <w:ind w:left="461" w:right="461"/>
              <w:jc w:val="center"/>
              <w:rPr>
                <w:sz w:val="22"/>
              </w:rPr>
            </w:pPr>
            <w:r>
              <w:rPr>
                <w:sz w:val="22"/>
              </w:rPr>
              <w:t>Debe</w:t>
            </w:r>
          </w:p>
        </w:tc>
        <w:tc>
          <w:tcPr>
            <w:tcW w:w="1454" w:type="dxa"/>
            <w:shd w:val="clear" w:color="auto" w:fill="E6EDD4"/>
          </w:tcPr>
          <w:p>
            <w:pPr>
              <w:pStyle w:val="TableParagraph"/>
              <w:spacing w:line="265" w:lineRule="exact"/>
              <w:ind w:left="444"/>
              <w:rPr>
                <w:sz w:val="22"/>
              </w:rPr>
            </w:pPr>
            <w:r>
              <w:rPr>
                <w:sz w:val="22"/>
              </w:rPr>
              <w:t>Haber</w:t>
            </w:r>
          </w:p>
        </w:tc>
      </w:tr>
      <w:tr>
        <w:trPr>
          <w:trHeight w:val="425" w:hRule="exact"/>
        </w:trPr>
        <w:tc>
          <w:tcPr>
            <w:tcW w:w="1426" w:type="dxa"/>
          </w:tcPr>
          <w:p>
            <w:pPr/>
          </w:p>
        </w:tc>
        <w:tc>
          <w:tcPr>
            <w:tcW w:w="2547" w:type="dxa"/>
          </w:tcPr>
          <w:p>
            <w:pPr>
              <w:pStyle w:val="TableParagraph"/>
              <w:ind w:left="98"/>
              <w:rPr>
                <w:sz w:val="22"/>
              </w:rPr>
            </w:pPr>
            <w:r>
              <w:rPr>
                <w:sz w:val="22"/>
              </w:rPr>
              <w:t>Caja</w:t>
            </w:r>
          </w:p>
        </w:tc>
        <w:tc>
          <w:tcPr>
            <w:tcW w:w="1455" w:type="dxa"/>
          </w:tcPr>
          <w:p>
            <w:pPr>
              <w:pStyle w:val="TableParagraph"/>
              <w:spacing w:before="134"/>
              <w:ind w:right="98"/>
              <w:jc w:val="right"/>
              <w:rPr>
                <w:sz w:val="22"/>
              </w:rPr>
            </w:pPr>
            <w:r>
              <w:rPr>
                <w:sz w:val="22"/>
              </w:rPr>
              <w:t>$  70,800.00</w:t>
            </w:r>
          </w:p>
        </w:tc>
        <w:tc>
          <w:tcPr>
            <w:tcW w:w="1452" w:type="dxa"/>
          </w:tcPr>
          <w:p>
            <w:pPr>
              <w:pStyle w:val="TableParagraph"/>
              <w:spacing w:before="134"/>
              <w:ind w:right="95"/>
              <w:jc w:val="right"/>
              <w:rPr>
                <w:sz w:val="22"/>
              </w:rPr>
            </w:pPr>
            <w:r>
              <w:rPr>
                <w:sz w:val="22"/>
              </w:rPr>
              <w:t>$  38,275.00</w:t>
            </w:r>
          </w:p>
        </w:tc>
        <w:tc>
          <w:tcPr>
            <w:tcW w:w="1453" w:type="dxa"/>
          </w:tcPr>
          <w:p>
            <w:pPr>
              <w:pStyle w:val="TableParagraph"/>
              <w:spacing w:before="134"/>
              <w:ind w:right="96"/>
              <w:jc w:val="right"/>
              <w:rPr>
                <w:sz w:val="22"/>
              </w:rPr>
            </w:pPr>
            <w:r>
              <w:rPr>
                <w:sz w:val="22"/>
              </w:rPr>
              <w:t>$  32,525.00</w:t>
            </w:r>
          </w:p>
        </w:tc>
        <w:tc>
          <w:tcPr>
            <w:tcW w:w="1454" w:type="dxa"/>
          </w:tcPr>
          <w:p>
            <w:pPr>
              <w:pStyle w:val="TableParagraph"/>
              <w:ind w:right="2"/>
              <w:jc w:val="center"/>
              <w:rPr>
                <w:sz w:val="22"/>
              </w:rPr>
            </w:pPr>
            <w:r>
              <w:rPr>
                <w:w w:val="100"/>
                <w:sz w:val="22"/>
              </w:rPr>
              <w:t>-</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Bancos</w:t>
            </w:r>
          </w:p>
        </w:tc>
        <w:tc>
          <w:tcPr>
            <w:tcW w:w="1455" w:type="dxa"/>
            <w:shd w:val="clear" w:color="auto" w:fill="E6EDD4"/>
          </w:tcPr>
          <w:p>
            <w:pPr>
              <w:pStyle w:val="TableParagraph"/>
              <w:spacing w:before="1"/>
              <w:rPr>
                <w:rFonts w:ascii="Arial"/>
                <w:sz w:val="23"/>
              </w:rPr>
            </w:pPr>
          </w:p>
          <w:p>
            <w:pPr>
              <w:pStyle w:val="TableParagraph"/>
              <w:ind w:right="98"/>
              <w:jc w:val="right"/>
              <w:rPr>
                <w:sz w:val="22"/>
              </w:rPr>
            </w:pPr>
            <w:r>
              <w:rPr>
                <w:sz w:val="22"/>
              </w:rPr>
              <w:t>123,750.00</w:t>
            </w:r>
          </w:p>
        </w:tc>
        <w:tc>
          <w:tcPr>
            <w:tcW w:w="1452" w:type="dxa"/>
            <w:shd w:val="clear" w:color="auto" w:fill="E6EDD4"/>
          </w:tcPr>
          <w:p>
            <w:pPr>
              <w:pStyle w:val="TableParagraph"/>
              <w:spacing w:before="1"/>
              <w:rPr>
                <w:rFonts w:ascii="Arial"/>
                <w:sz w:val="23"/>
              </w:rPr>
            </w:pPr>
          </w:p>
          <w:p>
            <w:pPr>
              <w:pStyle w:val="TableParagraph"/>
              <w:ind w:right="98"/>
              <w:jc w:val="right"/>
              <w:rPr>
                <w:sz w:val="22"/>
              </w:rPr>
            </w:pPr>
            <w:r>
              <w:rPr>
                <w:sz w:val="22"/>
              </w:rPr>
              <w:t>70,650.00</w:t>
            </w:r>
          </w:p>
        </w:tc>
        <w:tc>
          <w:tcPr>
            <w:tcW w:w="1453" w:type="dxa"/>
            <w:shd w:val="clear" w:color="auto" w:fill="E6EDD4"/>
          </w:tcPr>
          <w:p>
            <w:pPr>
              <w:pStyle w:val="TableParagraph"/>
              <w:spacing w:before="1"/>
              <w:rPr>
                <w:rFonts w:ascii="Arial"/>
                <w:sz w:val="23"/>
              </w:rPr>
            </w:pPr>
          </w:p>
          <w:p>
            <w:pPr>
              <w:pStyle w:val="TableParagraph"/>
              <w:ind w:right="98"/>
              <w:jc w:val="right"/>
              <w:rPr>
                <w:sz w:val="22"/>
              </w:rPr>
            </w:pPr>
            <w:r>
              <w:rPr>
                <w:sz w:val="22"/>
              </w:rPr>
              <w:t>53,100.00</w:t>
            </w:r>
          </w:p>
        </w:tc>
        <w:tc>
          <w:tcPr>
            <w:tcW w:w="1454" w:type="dxa"/>
            <w:shd w:val="clear" w:color="auto" w:fill="E6EDD4"/>
          </w:tcPr>
          <w:p>
            <w:pPr>
              <w:pStyle w:val="TableParagraph"/>
              <w:spacing w:line="265" w:lineRule="exact"/>
              <w:ind w:right="2"/>
              <w:jc w:val="center"/>
              <w:rPr>
                <w:sz w:val="22"/>
              </w:rPr>
            </w:pPr>
            <w:r>
              <w:rPr>
                <w:w w:val="100"/>
                <w:sz w:val="22"/>
              </w:rPr>
              <w:t>-</w:t>
            </w:r>
          </w:p>
        </w:tc>
      </w:tr>
      <w:tr>
        <w:trPr>
          <w:trHeight w:val="558" w:hRule="exact"/>
        </w:trPr>
        <w:tc>
          <w:tcPr>
            <w:tcW w:w="1426" w:type="dxa"/>
          </w:tcPr>
          <w:p>
            <w:pPr/>
          </w:p>
        </w:tc>
        <w:tc>
          <w:tcPr>
            <w:tcW w:w="2547" w:type="dxa"/>
          </w:tcPr>
          <w:p>
            <w:pPr>
              <w:pStyle w:val="TableParagraph"/>
              <w:spacing w:line="265" w:lineRule="exact"/>
              <w:ind w:left="98"/>
              <w:rPr>
                <w:sz w:val="22"/>
              </w:rPr>
            </w:pPr>
            <w:r>
              <w:rPr>
                <w:sz w:val="22"/>
              </w:rPr>
              <w:t>Almacén de mercancías</w:t>
            </w:r>
          </w:p>
        </w:tc>
        <w:tc>
          <w:tcPr>
            <w:tcW w:w="1455" w:type="dxa"/>
          </w:tcPr>
          <w:p>
            <w:pPr>
              <w:pStyle w:val="TableParagraph"/>
              <w:spacing w:before="1"/>
              <w:rPr>
                <w:rFonts w:ascii="Arial"/>
                <w:sz w:val="23"/>
              </w:rPr>
            </w:pPr>
          </w:p>
          <w:p>
            <w:pPr>
              <w:pStyle w:val="TableParagraph"/>
              <w:ind w:right="100"/>
              <w:jc w:val="right"/>
              <w:rPr>
                <w:sz w:val="22"/>
              </w:rPr>
            </w:pPr>
            <w:r>
              <w:rPr>
                <w:sz w:val="22"/>
              </w:rPr>
              <w:t>80,150.00</w:t>
            </w:r>
          </w:p>
        </w:tc>
        <w:tc>
          <w:tcPr>
            <w:tcW w:w="1452" w:type="dxa"/>
          </w:tcPr>
          <w:p>
            <w:pPr>
              <w:pStyle w:val="TableParagraph"/>
              <w:spacing w:before="1"/>
              <w:rPr>
                <w:rFonts w:ascii="Arial"/>
                <w:sz w:val="23"/>
              </w:rPr>
            </w:pPr>
          </w:p>
          <w:p>
            <w:pPr>
              <w:pStyle w:val="TableParagraph"/>
              <w:ind w:right="98"/>
              <w:jc w:val="right"/>
              <w:rPr>
                <w:sz w:val="22"/>
              </w:rPr>
            </w:pPr>
            <w:r>
              <w:rPr>
                <w:sz w:val="22"/>
              </w:rPr>
              <w:t>43,500.00</w:t>
            </w:r>
          </w:p>
        </w:tc>
        <w:tc>
          <w:tcPr>
            <w:tcW w:w="1453" w:type="dxa"/>
          </w:tcPr>
          <w:p>
            <w:pPr>
              <w:pStyle w:val="TableParagraph"/>
              <w:spacing w:before="1"/>
              <w:rPr>
                <w:rFonts w:ascii="Arial"/>
                <w:sz w:val="23"/>
              </w:rPr>
            </w:pPr>
          </w:p>
          <w:p>
            <w:pPr>
              <w:pStyle w:val="TableParagraph"/>
              <w:ind w:right="98"/>
              <w:jc w:val="right"/>
              <w:rPr>
                <w:sz w:val="22"/>
              </w:rPr>
            </w:pPr>
            <w:r>
              <w:rPr>
                <w:sz w:val="22"/>
              </w:rPr>
              <w:t>36,650.00</w:t>
            </w:r>
          </w:p>
        </w:tc>
        <w:tc>
          <w:tcPr>
            <w:tcW w:w="1454" w:type="dxa"/>
          </w:tcPr>
          <w:p>
            <w:pPr>
              <w:pStyle w:val="TableParagraph"/>
              <w:spacing w:line="265" w:lineRule="exact"/>
              <w:ind w:right="2"/>
              <w:jc w:val="center"/>
              <w:rPr>
                <w:sz w:val="22"/>
              </w:rPr>
            </w:pPr>
            <w:r>
              <w:rPr>
                <w:w w:val="100"/>
                <w:sz w:val="22"/>
              </w:rPr>
              <w:t>-</w:t>
            </w:r>
          </w:p>
        </w:tc>
      </w:tr>
      <w:tr>
        <w:trPr>
          <w:trHeight w:val="556" w:hRule="exact"/>
        </w:trPr>
        <w:tc>
          <w:tcPr>
            <w:tcW w:w="1426" w:type="dxa"/>
            <w:shd w:val="clear" w:color="auto" w:fill="E6EDD4"/>
          </w:tcPr>
          <w:p>
            <w:pPr/>
          </w:p>
        </w:tc>
        <w:tc>
          <w:tcPr>
            <w:tcW w:w="2547" w:type="dxa"/>
            <w:shd w:val="clear" w:color="auto" w:fill="E6EDD4"/>
          </w:tcPr>
          <w:p>
            <w:pPr>
              <w:pStyle w:val="TableParagraph"/>
              <w:spacing w:line="267" w:lineRule="exact"/>
              <w:ind w:left="98"/>
              <w:rPr>
                <w:sz w:val="22"/>
              </w:rPr>
            </w:pPr>
            <w:r>
              <w:rPr>
                <w:sz w:val="22"/>
              </w:rPr>
              <w:t>Clientes</w:t>
            </w:r>
          </w:p>
        </w:tc>
        <w:tc>
          <w:tcPr>
            <w:tcW w:w="1455" w:type="dxa"/>
            <w:shd w:val="clear" w:color="auto" w:fill="E6EDD4"/>
          </w:tcPr>
          <w:p>
            <w:pPr>
              <w:pStyle w:val="TableParagraph"/>
              <w:rPr>
                <w:rFonts w:ascii="Arial"/>
                <w:sz w:val="23"/>
              </w:rPr>
            </w:pPr>
          </w:p>
          <w:p>
            <w:pPr>
              <w:pStyle w:val="TableParagraph"/>
              <w:ind w:right="100"/>
              <w:jc w:val="right"/>
              <w:rPr>
                <w:sz w:val="22"/>
              </w:rPr>
            </w:pPr>
            <w:r>
              <w:rPr>
                <w:sz w:val="22"/>
              </w:rPr>
              <w:t>28,000.00</w:t>
            </w:r>
          </w:p>
        </w:tc>
        <w:tc>
          <w:tcPr>
            <w:tcW w:w="1452" w:type="dxa"/>
            <w:shd w:val="clear" w:color="auto" w:fill="E6EDD4"/>
          </w:tcPr>
          <w:p>
            <w:pPr>
              <w:pStyle w:val="TableParagraph"/>
              <w:rPr>
                <w:rFonts w:ascii="Arial"/>
                <w:sz w:val="23"/>
              </w:rPr>
            </w:pPr>
          </w:p>
          <w:p>
            <w:pPr>
              <w:pStyle w:val="TableParagraph"/>
              <w:ind w:right="97"/>
              <w:jc w:val="right"/>
              <w:rPr>
                <w:sz w:val="22"/>
              </w:rPr>
            </w:pPr>
            <w:r>
              <w:rPr>
                <w:sz w:val="22"/>
              </w:rPr>
              <w:t>18,000.00</w:t>
            </w:r>
          </w:p>
        </w:tc>
        <w:tc>
          <w:tcPr>
            <w:tcW w:w="1453" w:type="dxa"/>
            <w:shd w:val="clear" w:color="auto" w:fill="E6EDD4"/>
          </w:tcPr>
          <w:p>
            <w:pPr>
              <w:pStyle w:val="TableParagraph"/>
              <w:rPr>
                <w:rFonts w:ascii="Arial"/>
                <w:sz w:val="23"/>
              </w:rPr>
            </w:pPr>
          </w:p>
          <w:p>
            <w:pPr>
              <w:pStyle w:val="TableParagraph"/>
              <w:ind w:right="98"/>
              <w:jc w:val="right"/>
              <w:rPr>
                <w:sz w:val="22"/>
              </w:rPr>
            </w:pPr>
            <w:r>
              <w:rPr>
                <w:sz w:val="22"/>
              </w:rPr>
              <w:t>10,000.00</w:t>
            </w:r>
          </w:p>
        </w:tc>
        <w:tc>
          <w:tcPr>
            <w:tcW w:w="1454" w:type="dxa"/>
            <w:shd w:val="clear" w:color="auto" w:fill="E6EDD4"/>
          </w:tcPr>
          <w:p>
            <w:pPr>
              <w:pStyle w:val="TableParagraph"/>
              <w:spacing w:line="267" w:lineRule="exact"/>
              <w:ind w:right="2"/>
              <w:jc w:val="center"/>
              <w:rPr>
                <w:sz w:val="22"/>
              </w:rPr>
            </w:pPr>
            <w:r>
              <w:rPr>
                <w:w w:val="100"/>
                <w:sz w:val="22"/>
              </w:rPr>
              <w:t>-</w:t>
            </w:r>
          </w:p>
        </w:tc>
      </w:tr>
      <w:tr>
        <w:trPr>
          <w:trHeight w:val="558" w:hRule="exact"/>
        </w:trPr>
        <w:tc>
          <w:tcPr>
            <w:tcW w:w="1426" w:type="dxa"/>
          </w:tcPr>
          <w:p>
            <w:pPr/>
          </w:p>
        </w:tc>
        <w:tc>
          <w:tcPr>
            <w:tcW w:w="2547" w:type="dxa"/>
          </w:tcPr>
          <w:p>
            <w:pPr>
              <w:pStyle w:val="TableParagraph"/>
              <w:spacing w:line="268" w:lineRule="exact"/>
              <w:ind w:left="98"/>
              <w:rPr>
                <w:sz w:val="22"/>
              </w:rPr>
            </w:pPr>
            <w:r>
              <w:rPr>
                <w:sz w:val="22"/>
              </w:rPr>
              <w:t>Deudores diversos</w:t>
            </w:r>
          </w:p>
        </w:tc>
        <w:tc>
          <w:tcPr>
            <w:tcW w:w="1455" w:type="dxa"/>
          </w:tcPr>
          <w:p>
            <w:pPr>
              <w:pStyle w:val="TableParagraph"/>
              <w:spacing w:before="3"/>
              <w:rPr>
                <w:rFonts w:ascii="Arial"/>
                <w:sz w:val="23"/>
              </w:rPr>
            </w:pPr>
          </w:p>
          <w:p>
            <w:pPr>
              <w:pStyle w:val="TableParagraph"/>
              <w:ind w:right="100"/>
              <w:jc w:val="right"/>
              <w:rPr>
                <w:sz w:val="22"/>
              </w:rPr>
            </w:pPr>
            <w:r>
              <w:rPr>
                <w:sz w:val="22"/>
              </w:rPr>
              <w:t>6,400.00</w:t>
            </w:r>
          </w:p>
        </w:tc>
        <w:tc>
          <w:tcPr>
            <w:tcW w:w="1452" w:type="dxa"/>
          </w:tcPr>
          <w:p>
            <w:pPr>
              <w:pStyle w:val="TableParagraph"/>
              <w:spacing w:line="268" w:lineRule="exact"/>
              <w:ind w:right="93"/>
              <w:jc w:val="right"/>
              <w:rPr>
                <w:sz w:val="22"/>
              </w:rPr>
            </w:pPr>
            <w:r>
              <w:rPr>
                <w:w w:val="100"/>
                <w:sz w:val="22"/>
              </w:rPr>
              <w:t>-</w:t>
            </w:r>
          </w:p>
        </w:tc>
        <w:tc>
          <w:tcPr>
            <w:tcW w:w="1453" w:type="dxa"/>
          </w:tcPr>
          <w:p>
            <w:pPr>
              <w:pStyle w:val="TableParagraph"/>
              <w:spacing w:before="3"/>
              <w:rPr>
                <w:rFonts w:ascii="Arial"/>
                <w:sz w:val="23"/>
              </w:rPr>
            </w:pPr>
          </w:p>
          <w:p>
            <w:pPr>
              <w:pStyle w:val="TableParagraph"/>
              <w:ind w:right="98"/>
              <w:jc w:val="right"/>
              <w:rPr>
                <w:sz w:val="22"/>
              </w:rPr>
            </w:pPr>
            <w:r>
              <w:rPr>
                <w:sz w:val="22"/>
              </w:rPr>
              <w:t>6,400.00</w:t>
            </w:r>
          </w:p>
        </w:tc>
        <w:tc>
          <w:tcPr>
            <w:tcW w:w="1454" w:type="dxa"/>
          </w:tcPr>
          <w:p>
            <w:pPr>
              <w:pStyle w:val="TableParagraph"/>
              <w:spacing w:line="268" w:lineRule="exact"/>
              <w:ind w:right="2"/>
              <w:jc w:val="center"/>
              <w:rPr>
                <w:sz w:val="22"/>
              </w:rPr>
            </w:pPr>
            <w:r>
              <w:rPr>
                <w:w w:val="100"/>
                <w:sz w:val="22"/>
              </w:rPr>
              <w:t>-</w:t>
            </w:r>
          </w:p>
        </w:tc>
      </w:tr>
      <w:tr>
        <w:trPr>
          <w:trHeight w:val="558" w:hRule="exact"/>
        </w:trPr>
        <w:tc>
          <w:tcPr>
            <w:tcW w:w="1426" w:type="dxa"/>
            <w:shd w:val="clear" w:color="auto" w:fill="E6EDD4"/>
          </w:tcPr>
          <w:p>
            <w:pPr/>
          </w:p>
        </w:tc>
        <w:tc>
          <w:tcPr>
            <w:tcW w:w="2547" w:type="dxa"/>
            <w:shd w:val="clear" w:color="auto" w:fill="E6EDD4"/>
          </w:tcPr>
          <w:p>
            <w:pPr>
              <w:pStyle w:val="TableParagraph"/>
              <w:spacing w:line="267" w:lineRule="exact"/>
              <w:ind w:left="98"/>
              <w:rPr>
                <w:sz w:val="22"/>
              </w:rPr>
            </w:pPr>
            <w:r>
              <w:rPr>
                <w:sz w:val="22"/>
              </w:rPr>
              <w:t>IVA Acreditable</w:t>
            </w:r>
          </w:p>
        </w:tc>
        <w:tc>
          <w:tcPr>
            <w:tcW w:w="1455" w:type="dxa"/>
            <w:shd w:val="clear" w:color="auto" w:fill="E6EDD4"/>
          </w:tcPr>
          <w:p>
            <w:pPr>
              <w:pStyle w:val="TableParagraph"/>
              <w:spacing w:before="2"/>
              <w:rPr>
                <w:rFonts w:ascii="Arial"/>
                <w:sz w:val="23"/>
              </w:rPr>
            </w:pPr>
          </w:p>
          <w:p>
            <w:pPr>
              <w:pStyle w:val="TableParagraph"/>
              <w:ind w:right="100"/>
              <w:jc w:val="right"/>
              <w:rPr>
                <w:sz w:val="22"/>
              </w:rPr>
            </w:pPr>
            <w:r>
              <w:rPr>
                <w:sz w:val="22"/>
              </w:rPr>
              <w:t>10,425.00</w:t>
            </w:r>
          </w:p>
        </w:tc>
        <w:tc>
          <w:tcPr>
            <w:tcW w:w="1452" w:type="dxa"/>
            <w:shd w:val="clear" w:color="auto" w:fill="E6EDD4"/>
          </w:tcPr>
          <w:p>
            <w:pPr>
              <w:pStyle w:val="TableParagraph"/>
              <w:spacing w:before="2"/>
              <w:rPr>
                <w:rFonts w:ascii="Arial"/>
                <w:sz w:val="23"/>
              </w:rPr>
            </w:pPr>
          </w:p>
          <w:p>
            <w:pPr>
              <w:pStyle w:val="TableParagraph"/>
              <w:ind w:right="97"/>
              <w:jc w:val="right"/>
              <w:rPr>
                <w:sz w:val="22"/>
              </w:rPr>
            </w:pPr>
            <w:r>
              <w:rPr>
                <w:sz w:val="22"/>
              </w:rPr>
              <w:t>450.00</w:t>
            </w:r>
          </w:p>
        </w:tc>
        <w:tc>
          <w:tcPr>
            <w:tcW w:w="1453" w:type="dxa"/>
            <w:shd w:val="clear" w:color="auto" w:fill="E6EDD4"/>
          </w:tcPr>
          <w:p>
            <w:pPr>
              <w:pStyle w:val="TableParagraph"/>
              <w:spacing w:before="2"/>
              <w:rPr>
                <w:rFonts w:ascii="Arial"/>
                <w:sz w:val="23"/>
              </w:rPr>
            </w:pPr>
          </w:p>
          <w:p>
            <w:pPr>
              <w:pStyle w:val="TableParagraph"/>
              <w:ind w:right="98"/>
              <w:jc w:val="right"/>
              <w:rPr>
                <w:sz w:val="22"/>
              </w:rPr>
            </w:pPr>
            <w:r>
              <w:rPr>
                <w:sz w:val="22"/>
              </w:rPr>
              <w:t>9,975.00</w:t>
            </w:r>
          </w:p>
        </w:tc>
        <w:tc>
          <w:tcPr>
            <w:tcW w:w="1454" w:type="dxa"/>
            <w:shd w:val="clear" w:color="auto" w:fill="E6EDD4"/>
          </w:tcPr>
          <w:p>
            <w:pPr>
              <w:pStyle w:val="TableParagraph"/>
              <w:spacing w:line="267" w:lineRule="exact"/>
              <w:ind w:right="2"/>
              <w:jc w:val="center"/>
              <w:rPr>
                <w:sz w:val="22"/>
              </w:rPr>
            </w:pPr>
            <w:r>
              <w:rPr>
                <w:w w:val="100"/>
                <w:sz w:val="22"/>
              </w:rPr>
              <w:t>-</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IVA Por cobrar</w:t>
            </w:r>
          </w:p>
        </w:tc>
        <w:tc>
          <w:tcPr>
            <w:tcW w:w="1455" w:type="dxa"/>
          </w:tcPr>
          <w:p>
            <w:pPr>
              <w:pStyle w:val="TableParagraph"/>
              <w:spacing w:before="1"/>
              <w:rPr>
                <w:rFonts w:ascii="Arial"/>
                <w:sz w:val="23"/>
              </w:rPr>
            </w:pPr>
          </w:p>
          <w:p>
            <w:pPr>
              <w:pStyle w:val="TableParagraph"/>
              <w:ind w:right="100"/>
              <w:jc w:val="right"/>
              <w:rPr>
                <w:sz w:val="22"/>
              </w:rPr>
            </w:pPr>
            <w:r>
              <w:rPr>
                <w:sz w:val="22"/>
              </w:rPr>
              <w:t>4,200.00</w:t>
            </w:r>
          </w:p>
        </w:tc>
        <w:tc>
          <w:tcPr>
            <w:tcW w:w="1452" w:type="dxa"/>
          </w:tcPr>
          <w:p>
            <w:pPr>
              <w:pStyle w:val="TableParagraph"/>
              <w:spacing w:before="1"/>
              <w:rPr>
                <w:rFonts w:ascii="Arial"/>
                <w:sz w:val="23"/>
              </w:rPr>
            </w:pPr>
          </w:p>
          <w:p>
            <w:pPr>
              <w:pStyle w:val="TableParagraph"/>
              <w:ind w:right="98"/>
              <w:jc w:val="right"/>
              <w:rPr>
                <w:sz w:val="22"/>
              </w:rPr>
            </w:pPr>
            <w:r>
              <w:rPr>
                <w:sz w:val="22"/>
              </w:rPr>
              <w:t>2,700.00</w:t>
            </w:r>
          </w:p>
        </w:tc>
        <w:tc>
          <w:tcPr>
            <w:tcW w:w="1453" w:type="dxa"/>
          </w:tcPr>
          <w:p>
            <w:pPr>
              <w:pStyle w:val="TableParagraph"/>
              <w:spacing w:before="1"/>
              <w:rPr>
                <w:rFonts w:ascii="Arial"/>
                <w:sz w:val="23"/>
              </w:rPr>
            </w:pPr>
          </w:p>
          <w:p>
            <w:pPr>
              <w:pStyle w:val="TableParagraph"/>
              <w:ind w:right="98"/>
              <w:jc w:val="right"/>
              <w:rPr>
                <w:sz w:val="22"/>
              </w:rPr>
            </w:pPr>
            <w:r>
              <w:rPr>
                <w:sz w:val="22"/>
              </w:rPr>
              <w:t>1,500.00</w:t>
            </w:r>
          </w:p>
        </w:tc>
        <w:tc>
          <w:tcPr>
            <w:tcW w:w="1454" w:type="dxa"/>
          </w:tcPr>
          <w:p>
            <w:pPr>
              <w:pStyle w:val="TableParagraph"/>
              <w:spacing w:line="265" w:lineRule="exact"/>
              <w:ind w:right="2"/>
              <w:jc w:val="center"/>
              <w:rPr>
                <w:sz w:val="22"/>
              </w:rPr>
            </w:pPr>
            <w:r>
              <w:rPr>
                <w:w w:val="100"/>
                <w:sz w:val="22"/>
              </w:rPr>
              <w:t>-</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Terreno</w:t>
            </w:r>
          </w:p>
        </w:tc>
        <w:tc>
          <w:tcPr>
            <w:tcW w:w="1455" w:type="dxa"/>
            <w:shd w:val="clear" w:color="auto" w:fill="E6EDD4"/>
          </w:tcPr>
          <w:p>
            <w:pPr>
              <w:pStyle w:val="TableParagraph"/>
              <w:spacing w:before="1"/>
              <w:rPr>
                <w:rFonts w:ascii="Arial"/>
                <w:sz w:val="23"/>
              </w:rPr>
            </w:pPr>
          </w:p>
          <w:p>
            <w:pPr>
              <w:pStyle w:val="TableParagraph"/>
              <w:ind w:right="98"/>
              <w:jc w:val="right"/>
              <w:rPr>
                <w:sz w:val="22"/>
              </w:rPr>
            </w:pPr>
            <w:r>
              <w:rPr>
                <w:sz w:val="22"/>
              </w:rPr>
              <w:t>200,000.00</w:t>
            </w:r>
          </w:p>
        </w:tc>
        <w:tc>
          <w:tcPr>
            <w:tcW w:w="1452" w:type="dxa"/>
            <w:shd w:val="clear" w:color="auto" w:fill="E6EDD4"/>
          </w:tcPr>
          <w:p>
            <w:pPr>
              <w:pStyle w:val="TableParagraph"/>
              <w:spacing w:line="265" w:lineRule="exact"/>
              <w:jc w:val="center"/>
              <w:rPr>
                <w:sz w:val="22"/>
              </w:rPr>
            </w:pPr>
            <w:r>
              <w:rPr>
                <w:w w:val="100"/>
                <w:sz w:val="22"/>
              </w:rPr>
              <w:t>-</w:t>
            </w:r>
          </w:p>
        </w:tc>
        <w:tc>
          <w:tcPr>
            <w:tcW w:w="1453" w:type="dxa"/>
            <w:shd w:val="clear" w:color="auto" w:fill="E6EDD4"/>
          </w:tcPr>
          <w:p>
            <w:pPr>
              <w:pStyle w:val="TableParagraph"/>
              <w:spacing w:before="1"/>
              <w:rPr>
                <w:rFonts w:ascii="Arial"/>
                <w:sz w:val="23"/>
              </w:rPr>
            </w:pPr>
          </w:p>
          <w:p>
            <w:pPr>
              <w:pStyle w:val="TableParagraph"/>
              <w:ind w:right="96"/>
              <w:jc w:val="right"/>
              <w:rPr>
                <w:sz w:val="22"/>
              </w:rPr>
            </w:pPr>
            <w:r>
              <w:rPr>
                <w:sz w:val="22"/>
              </w:rPr>
              <w:t>200,000.00</w:t>
            </w:r>
          </w:p>
        </w:tc>
        <w:tc>
          <w:tcPr>
            <w:tcW w:w="1454" w:type="dxa"/>
            <w:shd w:val="clear" w:color="auto" w:fill="E6EDD4"/>
          </w:tcPr>
          <w:p>
            <w:pPr>
              <w:pStyle w:val="TableParagraph"/>
              <w:spacing w:line="265" w:lineRule="exact"/>
              <w:ind w:right="2"/>
              <w:jc w:val="center"/>
              <w:rPr>
                <w:sz w:val="22"/>
              </w:rPr>
            </w:pPr>
            <w:r>
              <w:rPr>
                <w:w w:val="100"/>
                <w:sz w:val="22"/>
              </w:rPr>
              <w:t>-</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Edificio</w:t>
            </w:r>
          </w:p>
        </w:tc>
        <w:tc>
          <w:tcPr>
            <w:tcW w:w="1455" w:type="dxa"/>
          </w:tcPr>
          <w:p>
            <w:pPr>
              <w:pStyle w:val="TableParagraph"/>
              <w:spacing w:before="1"/>
              <w:rPr>
                <w:rFonts w:ascii="Arial"/>
                <w:sz w:val="23"/>
              </w:rPr>
            </w:pPr>
          </w:p>
          <w:p>
            <w:pPr>
              <w:pStyle w:val="TableParagraph"/>
              <w:ind w:right="100"/>
              <w:jc w:val="right"/>
              <w:rPr>
                <w:sz w:val="22"/>
              </w:rPr>
            </w:pPr>
            <w:r>
              <w:rPr>
                <w:sz w:val="22"/>
              </w:rPr>
              <w:t>80,000.00</w:t>
            </w:r>
          </w:p>
        </w:tc>
        <w:tc>
          <w:tcPr>
            <w:tcW w:w="1452" w:type="dxa"/>
          </w:tcPr>
          <w:p>
            <w:pPr>
              <w:pStyle w:val="TableParagraph"/>
              <w:spacing w:line="265" w:lineRule="exact"/>
              <w:jc w:val="center"/>
              <w:rPr>
                <w:sz w:val="22"/>
              </w:rPr>
            </w:pPr>
            <w:r>
              <w:rPr>
                <w:w w:val="100"/>
                <w:sz w:val="22"/>
              </w:rPr>
              <w:t>-</w:t>
            </w:r>
          </w:p>
        </w:tc>
        <w:tc>
          <w:tcPr>
            <w:tcW w:w="1453" w:type="dxa"/>
          </w:tcPr>
          <w:p>
            <w:pPr>
              <w:pStyle w:val="TableParagraph"/>
              <w:spacing w:before="1"/>
              <w:rPr>
                <w:rFonts w:ascii="Arial"/>
                <w:sz w:val="23"/>
              </w:rPr>
            </w:pPr>
          </w:p>
          <w:p>
            <w:pPr>
              <w:pStyle w:val="TableParagraph"/>
              <w:ind w:right="98"/>
              <w:jc w:val="right"/>
              <w:rPr>
                <w:sz w:val="22"/>
              </w:rPr>
            </w:pPr>
            <w:r>
              <w:rPr>
                <w:sz w:val="22"/>
              </w:rPr>
              <w:t>80,000.00</w:t>
            </w:r>
          </w:p>
        </w:tc>
        <w:tc>
          <w:tcPr>
            <w:tcW w:w="1454" w:type="dxa"/>
          </w:tcPr>
          <w:p>
            <w:pPr>
              <w:pStyle w:val="TableParagraph"/>
              <w:spacing w:line="265" w:lineRule="exact"/>
              <w:ind w:right="2"/>
              <w:jc w:val="center"/>
              <w:rPr>
                <w:sz w:val="22"/>
              </w:rPr>
            </w:pPr>
            <w:r>
              <w:rPr>
                <w:w w:val="100"/>
                <w:sz w:val="22"/>
              </w:rPr>
              <w:t>-</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Mobiliario y eq. de ofna.</w:t>
            </w:r>
          </w:p>
        </w:tc>
        <w:tc>
          <w:tcPr>
            <w:tcW w:w="1455" w:type="dxa"/>
            <w:shd w:val="clear" w:color="auto" w:fill="E6EDD4"/>
          </w:tcPr>
          <w:p>
            <w:pPr>
              <w:pStyle w:val="TableParagraph"/>
              <w:spacing w:before="1"/>
              <w:rPr>
                <w:rFonts w:ascii="Arial"/>
                <w:sz w:val="23"/>
              </w:rPr>
            </w:pPr>
          </w:p>
          <w:p>
            <w:pPr>
              <w:pStyle w:val="TableParagraph"/>
              <w:ind w:right="100"/>
              <w:jc w:val="right"/>
              <w:rPr>
                <w:sz w:val="22"/>
              </w:rPr>
            </w:pPr>
            <w:r>
              <w:rPr>
                <w:sz w:val="22"/>
              </w:rPr>
              <w:t>5,000.00</w:t>
            </w:r>
          </w:p>
        </w:tc>
        <w:tc>
          <w:tcPr>
            <w:tcW w:w="1452" w:type="dxa"/>
            <w:shd w:val="clear" w:color="auto" w:fill="E6EDD4"/>
          </w:tcPr>
          <w:p>
            <w:pPr>
              <w:pStyle w:val="TableParagraph"/>
              <w:spacing w:line="265" w:lineRule="exact"/>
              <w:jc w:val="center"/>
              <w:rPr>
                <w:sz w:val="22"/>
              </w:rPr>
            </w:pPr>
            <w:r>
              <w:rPr>
                <w:w w:val="100"/>
                <w:sz w:val="22"/>
              </w:rPr>
              <w:t>-</w:t>
            </w:r>
          </w:p>
        </w:tc>
        <w:tc>
          <w:tcPr>
            <w:tcW w:w="1453" w:type="dxa"/>
            <w:shd w:val="clear" w:color="auto" w:fill="E6EDD4"/>
          </w:tcPr>
          <w:p>
            <w:pPr>
              <w:pStyle w:val="TableParagraph"/>
              <w:spacing w:before="1"/>
              <w:rPr>
                <w:rFonts w:ascii="Arial"/>
                <w:sz w:val="23"/>
              </w:rPr>
            </w:pPr>
          </w:p>
          <w:p>
            <w:pPr>
              <w:pStyle w:val="TableParagraph"/>
              <w:ind w:right="98"/>
              <w:jc w:val="right"/>
              <w:rPr>
                <w:sz w:val="22"/>
              </w:rPr>
            </w:pPr>
            <w:r>
              <w:rPr>
                <w:sz w:val="22"/>
              </w:rPr>
              <w:t>5,000.00</w:t>
            </w:r>
          </w:p>
        </w:tc>
        <w:tc>
          <w:tcPr>
            <w:tcW w:w="1454" w:type="dxa"/>
            <w:shd w:val="clear" w:color="auto" w:fill="E6EDD4"/>
          </w:tcPr>
          <w:p>
            <w:pPr>
              <w:pStyle w:val="TableParagraph"/>
              <w:spacing w:line="265" w:lineRule="exact"/>
              <w:ind w:right="2"/>
              <w:jc w:val="center"/>
              <w:rPr>
                <w:sz w:val="22"/>
              </w:rPr>
            </w:pPr>
            <w:r>
              <w:rPr>
                <w:w w:val="100"/>
                <w:sz w:val="22"/>
              </w:rPr>
              <w:t>-</w:t>
            </w:r>
          </w:p>
        </w:tc>
      </w:tr>
      <w:tr>
        <w:trPr>
          <w:trHeight w:val="558" w:hRule="exact"/>
        </w:trPr>
        <w:tc>
          <w:tcPr>
            <w:tcW w:w="1426" w:type="dxa"/>
          </w:tcPr>
          <w:p>
            <w:pPr/>
          </w:p>
        </w:tc>
        <w:tc>
          <w:tcPr>
            <w:tcW w:w="2547" w:type="dxa"/>
          </w:tcPr>
          <w:p>
            <w:pPr>
              <w:pStyle w:val="TableParagraph"/>
              <w:spacing w:line="265" w:lineRule="exact"/>
              <w:ind w:left="98"/>
              <w:rPr>
                <w:sz w:val="22"/>
              </w:rPr>
            </w:pPr>
            <w:r>
              <w:rPr>
                <w:sz w:val="22"/>
              </w:rPr>
              <w:t>Equipo de cómputo</w:t>
            </w:r>
          </w:p>
        </w:tc>
        <w:tc>
          <w:tcPr>
            <w:tcW w:w="1455" w:type="dxa"/>
          </w:tcPr>
          <w:p>
            <w:pPr>
              <w:pStyle w:val="TableParagraph"/>
              <w:spacing w:before="1"/>
              <w:rPr>
                <w:rFonts w:ascii="Arial"/>
                <w:sz w:val="23"/>
              </w:rPr>
            </w:pPr>
          </w:p>
          <w:p>
            <w:pPr>
              <w:pStyle w:val="TableParagraph"/>
              <w:ind w:right="100"/>
              <w:jc w:val="right"/>
              <w:rPr>
                <w:sz w:val="22"/>
              </w:rPr>
            </w:pPr>
            <w:r>
              <w:rPr>
                <w:sz w:val="22"/>
              </w:rPr>
              <w:t>8,000.00</w:t>
            </w:r>
          </w:p>
        </w:tc>
        <w:tc>
          <w:tcPr>
            <w:tcW w:w="1452" w:type="dxa"/>
          </w:tcPr>
          <w:p>
            <w:pPr>
              <w:pStyle w:val="TableParagraph"/>
              <w:spacing w:line="265" w:lineRule="exact"/>
              <w:jc w:val="center"/>
              <w:rPr>
                <w:sz w:val="22"/>
              </w:rPr>
            </w:pPr>
            <w:r>
              <w:rPr>
                <w:w w:val="100"/>
                <w:sz w:val="22"/>
              </w:rPr>
              <w:t>-</w:t>
            </w:r>
          </w:p>
        </w:tc>
        <w:tc>
          <w:tcPr>
            <w:tcW w:w="1453" w:type="dxa"/>
          </w:tcPr>
          <w:p>
            <w:pPr>
              <w:pStyle w:val="TableParagraph"/>
              <w:spacing w:before="1"/>
              <w:rPr>
                <w:rFonts w:ascii="Arial"/>
                <w:sz w:val="23"/>
              </w:rPr>
            </w:pPr>
          </w:p>
          <w:p>
            <w:pPr>
              <w:pStyle w:val="TableParagraph"/>
              <w:ind w:right="97"/>
              <w:jc w:val="right"/>
              <w:rPr>
                <w:sz w:val="22"/>
              </w:rPr>
            </w:pPr>
            <w:r>
              <w:rPr>
                <w:sz w:val="22"/>
              </w:rPr>
              <w:t>8,000.00</w:t>
            </w:r>
          </w:p>
        </w:tc>
        <w:tc>
          <w:tcPr>
            <w:tcW w:w="1454" w:type="dxa"/>
          </w:tcPr>
          <w:p>
            <w:pPr>
              <w:pStyle w:val="TableParagraph"/>
              <w:spacing w:line="265" w:lineRule="exact"/>
              <w:ind w:right="2"/>
              <w:jc w:val="center"/>
              <w:rPr>
                <w:sz w:val="22"/>
              </w:rPr>
            </w:pPr>
            <w:r>
              <w:rPr>
                <w:w w:val="100"/>
                <w:sz w:val="22"/>
              </w:rPr>
              <w:t>-</w:t>
            </w:r>
          </w:p>
        </w:tc>
      </w:tr>
      <w:tr>
        <w:trPr>
          <w:trHeight w:val="556" w:hRule="exact"/>
        </w:trPr>
        <w:tc>
          <w:tcPr>
            <w:tcW w:w="1426" w:type="dxa"/>
            <w:shd w:val="clear" w:color="auto" w:fill="E6EDD4"/>
          </w:tcPr>
          <w:p>
            <w:pPr/>
          </w:p>
        </w:tc>
        <w:tc>
          <w:tcPr>
            <w:tcW w:w="2547" w:type="dxa"/>
            <w:shd w:val="clear" w:color="auto" w:fill="E6EDD4"/>
          </w:tcPr>
          <w:p>
            <w:pPr>
              <w:pStyle w:val="TableParagraph"/>
              <w:spacing w:line="267" w:lineRule="exact"/>
              <w:ind w:left="98"/>
              <w:rPr>
                <w:sz w:val="22"/>
              </w:rPr>
            </w:pPr>
            <w:r>
              <w:rPr>
                <w:sz w:val="22"/>
              </w:rPr>
              <w:t>Gastos de instalación</w:t>
            </w:r>
          </w:p>
        </w:tc>
        <w:tc>
          <w:tcPr>
            <w:tcW w:w="1455" w:type="dxa"/>
            <w:shd w:val="clear" w:color="auto" w:fill="E6EDD4"/>
          </w:tcPr>
          <w:p>
            <w:pPr>
              <w:pStyle w:val="TableParagraph"/>
              <w:rPr>
                <w:rFonts w:ascii="Arial"/>
                <w:sz w:val="23"/>
              </w:rPr>
            </w:pPr>
          </w:p>
          <w:p>
            <w:pPr>
              <w:pStyle w:val="TableParagraph"/>
              <w:ind w:right="100"/>
              <w:jc w:val="right"/>
              <w:rPr>
                <w:sz w:val="22"/>
              </w:rPr>
            </w:pPr>
            <w:r>
              <w:rPr>
                <w:sz w:val="22"/>
              </w:rPr>
              <w:t>5,000.00</w:t>
            </w:r>
          </w:p>
        </w:tc>
        <w:tc>
          <w:tcPr>
            <w:tcW w:w="1452" w:type="dxa"/>
            <w:shd w:val="clear" w:color="auto" w:fill="E6EDD4"/>
          </w:tcPr>
          <w:p>
            <w:pPr>
              <w:pStyle w:val="TableParagraph"/>
              <w:spacing w:line="267" w:lineRule="exact"/>
              <w:jc w:val="center"/>
              <w:rPr>
                <w:sz w:val="22"/>
              </w:rPr>
            </w:pPr>
            <w:r>
              <w:rPr>
                <w:w w:val="100"/>
                <w:sz w:val="22"/>
              </w:rPr>
              <w:t>-</w:t>
            </w:r>
          </w:p>
        </w:tc>
        <w:tc>
          <w:tcPr>
            <w:tcW w:w="1453" w:type="dxa"/>
            <w:shd w:val="clear" w:color="auto" w:fill="E6EDD4"/>
          </w:tcPr>
          <w:p>
            <w:pPr>
              <w:pStyle w:val="TableParagraph"/>
              <w:rPr>
                <w:rFonts w:ascii="Arial"/>
                <w:sz w:val="23"/>
              </w:rPr>
            </w:pPr>
          </w:p>
          <w:p>
            <w:pPr>
              <w:pStyle w:val="TableParagraph"/>
              <w:ind w:right="98"/>
              <w:jc w:val="right"/>
              <w:rPr>
                <w:sz w:val="22"/>
              </w:rPr>
            </w:pPr>
            <w:r>
              <w:rPr>
                <w:sz w:val="22"/>
              </w:rPr>
              <w:t>5,000.00</w:t>
            </w:r>
          </w:p>
        </w:tc>
        <w:tc>
          <w:tcPr>
            <w:tcW w:w="1454" w:type="dxa"/>
            <w:shd w:val="clear" w:color="auto" w:fill="E6EDD4"/>
          </w:tcPr>
          <w:p>
            <w:pPr>
              <w:pStyle w:val="TableParagraph"/>
              <w:spacing w:line="267" w:lineRule="exact"/>
              <w:ind w:right="2"/>
              <w:jc w:val="center"/>
              <w:rPr>
                <w:sz w:val="22"/>
              </w:rPr>
            </w:pPr>
            <w:r>
              <w:rPr>
                <w:w w:val="100"/>
                <w:sz w:val="22"/>
              </w:rPr>
              <w:t>-</w:t>
            </w:r>
          </w:p>
        </w:tc>
      </w:tr>
      <w:tr>
        <w:trPr>
          <w:trHeight w:val="559" w:hRule="exact"/>
        </w:trPr>
        <w:tc>
          <w:tcPr>
            <w:tcW w:w="1426" w:type="dxa"/>
          </w:tcPr>
          <w:p>
            <w:pPr/>
          </w:p>
        </w:tc>
        <w:tc>
          <w:tcPr>
            <w:tcW w:w="2547" w:type="dxa"/>
          </w:tcPr>
          <w:p>
            <w:pPr>
              <w:pStyle w:val="TableParagraph"/>
              <w:spacing w:line="268" w:lineRule="exact"/>
              <w:ind w:left="98"/>
              <w:rPr>
                <w:sz w:val="22"/>
              </w:rPr>
            </w:pPr>
            <w:r>
              <w:rPr>
                <w:sz w:val="22"/>
              </w:rPr>
              <w:t>Gastos de organización</w:t>
            </w:r>
          </w:p>
        </w:tc>
        <w:tc>
          <w:tcPr>
            <w:tcW w:w="1455" w:type="dxa"/>
          </w:tcPr>
          <w:p>
            <w:pPr>
              <w:pStyle w:val="TableParagraph"/>
              <w:spacing w:before="4"/>
              <w:rPr>
                <w:rFonts w:ascii="Arial"/>
                <w:sz w:val="23"/>
              </w:rPr>
            </w:pPr>
          </w:p>
          <w:p>
            <w:pPr>
              <w:pStyle w:val="TableParagraph"/>
              <w:ind w:right="100"/>
              <w:jc w:val="right"/>
              <w:rPr>
                <w:sz w:val="22"/>
              </w:rPr>
            </w:pPr>
            <w:r>
              <w:rPr>
                <w:sz w:val="22"/>
              </w:rPr>
              <w:t>6,000.00</w:t>
            </w:r>
          </w:p>
        </w:tc>
        <w:tc>
          <w:tcPr>
            <w:tcW w:w="1452" w:type="dxa"/>
          </w:tcPr>
          <w:p>
            <w:pPr>
              <w:pStyle w:val="TableParagraph"/>
              <w:spacing w:line="268" w:lineRule="exact"/>
              <w:jc w:val="center"/>
              <w:rPr>
                <w:sz w:val="22"/>
              </w:rPr>
            </w:pPr>
            <w:r>
              <w:rPr>
                <w:w w:val="100"/>
                <w:sz w:val="22"/>
              </w:rPr>
              <w:t>-</w:t>
            </w:r>
          </w:p>
        </w:tc>
        <w:tc>
          <w:tcPr>
            <w:tcW w:w="1453" w:type="dxa"/>
          </w:tcPr>
          <w:p>
            <w:pPr>
              <w:pStyle w:val="TableParagraph"/>
              <w:spacing w:before="4"/>
              <w:rPr>
                <w:rFonts w:ascii="Arial"/>
                <w:sz w:val="23"/>
              </w:rPr>
            </w:pPr>
          </w:p>
          <w:p>
            <w:pPr>
              <w:pStyle w:val="TableParagraph"/>
              <w:ind w:right="98"/>
              <w:jc w:val="right"/>
              <w:rPr>
                <w:sz w:val="22"/>
              </w:rPr>
            </w:pPr>
            <w:r>
              <w:rPr>
                <w:sz w:val="22"/>
              </w:rPr>
              <w:t>6,000.00</w:t>
            </w:r>
          </w:p>
        </w:tc>
        <w:tc>
          <w:tcPr>
            <w:tcW w:w="1454" w:type="dxa"/>
          </w:tcPr>
          <w:p>
            <w:pPr>
              <w:pStyle w:val="TableParagraph"/>
              <w:spacing w:line="268" w:lineRule="exact"/>
              <w:ind w:right="2"/>
              <w:jc w:val="center"/>
              <w:rPr>
                <w:sz w:val="22"/>
              </w:rPr>
            </w:pPr>
            <w:r>
              <w:rPr>
                <w:w w:val="100"/>
                <w:sz w:val="22"/>
              </w:rPr>
              <w:t>-</w:t>
            </w:r>
          </w:p>
        </w:tc>
      </w:tr>
      <w:tr>
        <w:trPr>
          <w:trHeight w:val="558" w:hRule="exact"/>
        </w:trPr>
        <w:tc>
          <w:tcPr>
            <w:tcW w:w="1426" w:type="dxa"/>
            <w:shd w:val="clear" w:color="auto" w:fill="E6EDD4"/>
          </w:tcPr>
          <w:p>
            <w:pPr/>
          </w:p>
        </w:tc>
        <w:tc>
          <w:tcPr>
            <w:tcW w:w="2547" w:type="dxa"/>
            <w:shd w:val="clear" w:color="auto" w:fill="E6EDD4"/>
          </w:tcPr>
          <w:p>
            <w:pPr>
              <w:pStyle w:val="TableParagraph"/>
              <w:spacing w:line="267" w:lineRule="exact"/>
              <w:ind w:left="98"/>
              <w:rPr>
                <w:sz w:val="22"/>
              </w:rPr>
            </w:pPr>
            <w:r>
              <w:rPr>
                <w:sz w:val="22"/>
              </w:rPr>
              <w:t>Prima de seguros</w:t>
            </w:r>
          </w:p>
        </w:tc>
        <w:tc>
          <w:tcPr>
            <w:tcW w:w="1455" w:type="dxa"/>
            <w:shd w:val="clear" w:color="auto" w:fill="E6EDD4"/>
          </w:tcPr>
          <w:p>
            <w:pPr>
              <w:pStyle w:val="TableParagraph"/>
              <w:spacing w:before="2"/>
              <w:rPr>
                <w:rFonts w:ascii="Arial"/>
                <w:sz w:val="23"/>
              </w:rPr>
            </w:pPr>
          </w:p>
          <w:p>
            <w:pPr>
              <w:pStyle w:val="TableParagraph"/>
              <w:ind w:right="100"/>
              <w:jc w:val="right"/>
              <w:rPr>
                <w:sz w:val="22"/>
              </w:rPr>
            </w:pPr>
            <w:r>
              <w:rPr>
                <w:sz w:val="22"/>
              </w:rPr>
              <w:t>15,000.00</w:t>
            </w:r>
          </w:p>
        </w:tc>
        <w:tc>
          <w:tcPr>
            <w:tcW w:w="1452" w:type="dxa"/>
            <w:shd w:val="clear" w:color="auto" w:fill="E6EDD4"/>
          </w:tcPr>
          <w:p>
            <w:pPr>
              <w:pStyle w:val="TableParagraph"/>
              <w:spacing w:line="267" w:lineRule="exact"/>
              <w:jc w:val="center"/>
              <w:rPr>
                <w:sz w:val="22"/>
              </w:rPr>
            </w:pPr>
            <w:r>
              <w:rPr>
                <w:w w:val="100"/>
                <w:sz w:val="22"/>
              </w:rPr>
              <w:t>-</w:t>
            </w:r>
          </w:p>
        </w:tc>
        <w:tc>
          <w:tcPr>
            <w:tcW w:w="1453" w:type="dxa"/>
            <w:shd w:val="clear" w:color="auto" w:fill="E6EDD4"/>
          </w:tcPr>
          <w:p>
            <w:pPr>
              <w:pStyle w:val="TableParagraph"/>
              <w:spacing w:before="2"/>
              <w:rPr>
                <w:rFonts w:ascii="Arial"/>
                <w:sz w:val="23"/>
              </w:rPr>
            </w:pPr>
          </w:p>
          <w:p>
            <w:pPr>
              <w:pStyle w:val="TableParagraph"/>
              <w:ind w:right="98"/>
              <w:jc w:val="right"/>
              <w:rPr>
                <w:sz w:val="22"/>
              </w:rPr>
            </w:pPr>
            <w:r>
              <w:rPr>
                <w:sz w:val="22"/>
              </w:rPr>
              <w:t>15,000.00</w:t>
            </w:r>
          </w:p>
        </w:tc>
        <w:tc>
          <w:tcPr>
            <w:tcW w:w="1454" w:type="dxa"/>
            <w:shd w:val="clear" w:color="auto" w:fill="E6EDD4"/>
          </w:tcPr>
          <w:p>
            <w:pPr>
              <w:pStyle w:val="TableParagraph"/>
              <w:spacing w:line="267" w:lineRule="exact"/>
              <w:ind w:right="2"/>
              <w:jc w:val="center"/>
              <w:rPr>
                <w:sz w:val="22"/>
              </w:rPr>
            </w:pPr>
            <w:r>
              <w:rPr>
                <w:w w:val="100"/>
                <w:sz w:val="22"/>
              </w:rPr>
              <w:t>-</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Proveedores</w:t>
            </w:r>
          </w:p>
        </w:tc>
        <w:tc>
          <w:tcPr>
            <w:tcW w:w="1455" w:type="dxa"/>
          </w:tcPr>
          <w:p>
            <w:pPr>
              <w:pStyle w:val="TableParagraph"/>
              <w:spacing w:before="1"/>
              <w:rPr>
                <w:rFonts w:ascii="Arial"/>
                <w:sz w:val="23"/>
              </w:rPr>
            </w:pPr>
          </w:p>
          <w:p>
            <w:pPr>
              <w:pStyle w:val="TableParagraph"/>
              <w:ind w:right="100"/>
              <w:jc w:val="right"/>
              <w:rPr>
                <w:sz w:val="22"/>
              </w:rPr>
            </w:pPr>
            <w:r>
              <w:rPr>
                <w:sz w:val="22"/>
              </w:rPr>
              <w:t>8,000.00</w:t>
            </w:r>
          </w:p>
        </w:tc>
        <w:tc>
          <w:tcPr>
            <w:tcW w:w="1452" w:type="dxa"/>
          </w:tcPr>
          <w:p>
            <w:pPr>
              <w:pStyle w:val="TableParagraph"/>
              <w:spacing w:before="1"/>
              <w:rPr>
                <w:rFonts w:ascii="Arial"/>
                <w:sz w:val="23"/>
              </w:rPr>
            </w:pPr>
          </w:p>
          <w:p>
            <w:pPr>
              <w:pStyle w:val="TableParagraph"/>
              <w:ind w:right="98"/>
              <w:jc w:val="right"/>
              <w:rPr>
                <w:sz w:val="22"/>
              </w:rPr>
            </w:pPr>
            <w:r>
              <w:rPr>
                <w:sz w:val="22"/>
              </w:rPr>
              <w:t>51,000.00</w:t>
            </w:r>
          </w:p>
        </w:tc>
        <w:tc>
          <w:tcPr>
            <w:tcW w:w="1453" w:type="dxa"/>
          </w:tcPr>
          <w:p>
            <w:pPr>
              <w:pStyle w:val="TableParagraph"/>
              <w:spacing w:line="265" w:lineRule="exact"/>
              <w:ind w:right="1"/>
              <w:jc w:val="center"/>
              <w:rPr>
                <w:sz w:val="22"/>
              </w:rPr>
            </w:pPr>
            <w:r>
              <w:rPr>
                <w:w w:val="100"/>
                <w:sz w:val="22"/>
              </w:rPr>
              <w:t>-</w:t>
            </w:r>
          </w:p>
        </w:tc>
        <w:tc>
          <w:tcPr>
            <w:tcW w:w="1454" w:type="dxa"/>
          </w:tcPr>
          <w:p>
            <w:pPr>
              <w:pStyle w:val="TableParagraph"/>
              <w:spacing w:before="1"/>
              <w:rPr>
                <w:rFonts w:ascii="Arial"/>
                <w:sz w:val="23"/>
              </w:rPr>
            </w:pPr>
          </w:p>
          <w:p>
            <w:pPr>
              <w:pStyle w:val="TableParagraph"/>
              <w:ind w:right="100"/>
              <w:jc w:val="right"/>
              <w:rPr>
                <w:sz w:val="22"/>
              </w:rPr>
            </w:pPr>
            <w:r>
              <w:rPr>
                <w:sz w:val="22"/>
              </w:rPr>
              <w:t>43,000.00</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Acreedores diversos</w:t>
            </w:r>
          </w:p>
        </w:tc>
        <w:tc>
          <w:tcPr>
            <w:tcW w:w="1455" w:type="dxa"/>
            <w:shd w:val="clear" w:color="auto" w:fill="E6EDD4"/>
          </w:tcPr>
          <w:p>
            <w:pPr>
              <w:pStyle w:val="TableParagraph"/>
              <w:spacing w:before="1"/>
              <w:rPr>
                <w:rFonts w:ascii="Arial"/>
                <w:sz w:val="23"/>
              </w:rPr>
            </w:pPr>
          </w:p>
          <w:p>
            <w:pPr>
              <w:pStyle w:val="TableParagraph"/>
              <w:ind w:right="100"/>
              <w:jc w:val="right"/>
              <w:rPr>
                <w:sz w:val="22"/>
              </w:rPr>
            </w:pPr>
            <w:r>
              <w:rPr>
                <w:sz w:val="22"/>
              </w:rPr>
              <w:t>8,600.00</w:t>
            </w:r>
          </w:p>
        </w:tc>
        <w:tc>
          <w:tcPr>
            <w:tcW w:w="1452" w:type="dxa"/>
            <w:shd w:val="clear" w:color="auto" w:fill="E6EDD4"/>
          </w:tcPr>
          <w:p>
            <w:pPr>
              <w:pStyle w:val="TableParagraph"/>
              <w:spacing w:before="1"/>
              <w:rPr>
                <w:rFonts w:ascii="Arial"/>
                <w:sz w:val="23"/>
              </w:rPr>
            </w:pPr>
          </w:p>
          <w:p>
            <w:pPr>
              <w:pStyle w:val="TableParagraph"/>
              <w:ind w:right="98"/>
              <w:jc w:val="right"/>
              <w:rPr>
                <w:sz w:val="22"/>
              </w:rPr>
            </w:pPr>
            <w:r>
              <w:rPr>
                <w:sz w:val="22"/>
              </w:rPr>
              <w:t>14,000.00</w:t>
            </w:r>
          </w:p>
        </w:tc>
        <w:tc>
          <w:tcPr>
            <w:tcW w:w="1453" w:type="dxa"/>
            <w:shd w:val="clear" w:color="auto" w:fill="E6EDD4"/>
          </w:tcPr>
          <w:p>
            <w:pPr>
              <w:pStyle w:val="TableParagraph"/>
              <w:spacing w:line="265" w:lineRule="exact"/>
              <w:ind w:right="1"/>
              <w:jc w:val="center"/>
              <w:rPr>
                <w:sz w:val="22"/>
              </w:rPr>
            </w:pPr>
            <w:r>
              <w:rPr>
                <w:w w:val="100"/>
                <w:sz w:val="22"/>
              </w:rPr>
              <w:t>-</w:t>
            </w:r>
          </w:p>
        </w:tc>
        <w:tc>
          <w:tcPr>
            <w:tcW w:w="1454" w:type="dxa"/>
            <w:shd w:val="clear" w:color="auto" w:fill="E6EDD4"/>
          </w:tcPr>
          <w:p>
            <w:pPr>
              <w:pStyle w:val="TableParagraph"/>
              <w:spacing w:before="1"/>
              <w:rPr>
                <w:rFonts w:ascii="Arial"/>
                <w:sz w:val="23"/>
              </w:rPr>
            </w:pPr>
          </w:p>
          <w:p>
            <w:pPr>
              <w:pStyle w:val="TableParagraph"/>
              <w:ind w:right="100"/>
              <w:jc w:val="right"/>
              <w:rPr>
                <w:sz w:val="22"/>
              </w:rPr>
            </w:pPr>
            <w:r>
              <w:rPr>
                <w:sz w:val="22"/>
              </w:rPr>
              <w:t>5,400.00</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Documentos por pagar</w:t>
            </w:r>
          </w:p>
        </w:tc>
        <w:tc>
          <w:tcPr>
            <w:tcW w:w="1455" w:type="dxa"/>
          </w:tcPr>
          <w:p>
            <w:pPr>
              <w:pStyle w:val="TableParagraph"/>
              <w:spacing w:before="1"/>
              <w:rPr>
                <w:rFonts w:ascii="Arial"/>
                <w:sz w:val="23"/>
              </w:rPr>
            </w:pPr>
          </w:p>
          <w:p>
            <w:pPr>
              <w:pStyle w:val="TableParagraph"/>
              <w:ind w:right="100"/>
              <w:jc w:val="right"/>
              <w:rPr>
                <w:sz w:val="22"/>
              </w:rPr>
            </w:pPr>
            <w:r>
              <w:rPr>
                <w:sz w:val="22"/>
              </w:rPr>
              <w:t>2,100.00</w:t>
            </w:r>
          </w:p>
        </w:tc>
        <w:tc>
          <w:tcPr>
            <w:tcW w:w="1452" w:type="dxa"/>
          </w:tcPr>
          <w:p>
            <w:pPr>
              <w:pStyle w:val="TableParagraph"/>
              <w:spacing w:before="1"/>
              <w:rPr>
                <w:rFonts w:ascii="Arial"/>
                <w:sz w:val="23"/>
              </w:rPr>
            </w:pPr>
          </w:p>
          <w:p>
            <w:pPr>
              <w:pStyle w:val="TableParagraph"/>
              <w:ind w:right="98"/>
              <w:jc w:val="right"/>
              <w:rPr>
                <w:sz w:val="22"/>
              </w:rPr>
            </w:pPr>
            <w:r>
              <w:rPr>
                <w:sz w:val="22"/>
              </w:rPr>
              <w:t>2,100.00</w:t>
            </w:r>
          </w:p>
        </w:tc>
        <w:tc>
          <w:tcPr>
            <w:tcW w:w="1453" w:type="dxa"/>
          </w:tcPr>
          <w:p>
            <w:pPr>
              <w:pStyle w:val="TableParagraph"/>
              <w:spacing w:line="265" w:lineRule="exact"/>
              <w:ind w:right="1"/>
              <w:jc w:val="center"/>
              <w:rPr>
                <w:sz w:val="22"/>
              </w:rPr>
            </w:pPr>
            <w:r>
              <w:rPr>
                <w:w w:val="100"/>
                <w:sz w:val="22"/>
              </w:rPr>
              <w:t>-</w:t>
            </w:r>
          </w:p>
        </w:tc>
        <w:tc>
          <w:tcPr>
            <w:tcW w:w="1454" w:type="dxa"/>
          </w:tcPr>
          <w:p>
            <w:pPr>
              <w:pStyle w:val="TableParagraph"/>
              <w:spacing w:line="265" w:lineRule="exact"/>
              <w:ind w:right="2"/>
              <w:jc w:val="center"/>
              <w:rPr>
                <w:sz w:val="22"/>
              </w:rPr>
            </w:pPr>
            <w:r>
              <w:rPr>
                <w:w w:val="100"/>
                <w:sz w:val="22"/>
              </w:rPr>
              <w:t>-</w:t>
            </w:r>
          </w:p>
        </w:tc>
      </w:tr>
    </w:tbl>
    <w:p>
      <w:pPr>
        <w:spacing w:after="0" w:line="265" w:lineRule="exact"/>
        <w:jc w:val="center"/>
        <w:rPr>
          <w:sz w:val="22"/>
        </w:rPr>
        <w:sectPr>
          <w:pgSz w:w="12240" w:h="15840"/>
          <w:pgMar w:header="0" w:footer="450" w:top="1360" w:bottom="960" w:left="1360" w:right="840"/>
        </w:sectPr>
      </w:pPr>
    </w:p>
    <w:tbl>
      <w:tblPr>
        <w:tblW w:w="0" w:type="auto"/>
        <w:jc w:val="left"/>
        <w:tblInd w:w="10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426"/>
        <w:gridCol w:w="2547"/>
        <w:gridCol w:w="1455"/>
        <w:gridCol w:w="1452"/>
        <w:gridCol w:w="1453"/>
        <w:gridCol w:w="1454"/>
      </w:tblGrid>
      <w:tr>
        <w:trPr>
          <w:trHeight w:val="557" w:hRule="exact"/>
        </w:trPr>
        <w:tc>
          <w:tcPr>
            <w:tcW w:w="1426" w:type="dxa"/>
            <w:shd w:val="clear" w:color="auto" w:fill="E6EDD4"/>
          </w:tcPr>
          <w:p>
            <w:pPr/>
          </w:p>
        </w:tc>
        <w:tc>
          <w:tcPr>
            <w:tcW w:w="2547" w:type="dxa"/>
            <w:shd w:val="clear" w:color="auto" w:fill="E6EDD4"/>
          </w:tcPr>
          <w:p>
            <w:pPr>
              <w:pStyle w:val="TableParagraph"/>
              <w:spacing w:line="266" w:lineRule="exact"/>
              <w:ind w:left="98"/>
              <w:rPr>
                <w:sz w:val="22"/>
              </w:rPr>
            </w:pPr>
            <w:r>
              <w:rPr>
                <w:sz w:val="22"/>
              </w:rPr>
              <w:t>IVA Trasladado</w:t>
            </w:r>
          </w:p>
        </w:tc>
        <w:tc>
          <w:tcPr>
            <w:tcW w:w="1455" w:type="dxa"/>
            <w:shd w:val="clear" w:color="auto" w:fill="E6EDD4"/>
          </w:tcPr>
          <w:p>
            <w:pPr>
              <w:pStyle w:val="TableParagraph"/>
              <w:spacing w:before="1"/>
              <w:rPr>
                <w:rFonts w:ascii="Arial"/>
                <w:sz w:val="23"/>
              </w:rPr>
            </w:pPr>
          </w:p>
          <w:p>
            <w:pPr>
              <w:pStyle w:val="TableParagraph"/>
              <w:ind w:right="100"/>
              <w:jc w:val="right"/>
              <w:rPr>
                <w:sz w:val="22"/>
              </w:rPr>
            </w:pPr>
            <w:r>
              <w:rPr>
                <w:sz w:val="22"/>
              </w:rPr>
              <w:t>150.00</w:t>
            </w:r>
          </w:p>
        </w:tc>
        <w:tc>
          <w:tcPr>
            <w:tcW w:w="1452" w:type="dxa"/>
            <w:shd w:val="clear" w:color="auto" w:fill="E6EDD4"/>
          </w:tcPr>
          <w:p>
            <w:pPr>
              <w:pStyle w:val="TableParagraph"/>
              <w:spacing w:before="1"/>
              <w:rPr>
                <w:rFonts w:ascii="Arial"/>
                <w:sz w:val="23"/>
              </w:rPr>
            </w:pPr>
          </w:p>
          <w:p>
            <w:pPr>
              <w:pStyle w:val="TableParagraph"/>
              <w:ind w:right="98"/>
              <w:jc w:val="right"/>
              <w:rPr>
                <w:sz w:val="22"/>
              </w:rPr>
            </w:pPr>
            <w:r>
              <w:rPr>
                <w:sz w:val="22"/>
              </w:rPr>
              <w:t>15,450.00</w:t>
            </w:r>
          </w:p>
        </w:tc>
        <w:tc>
          <w:tcPr>
            <w:tcW w:w="1453" w:type="dxa"/>
            <w:shd w:val="clear" w:color="auto" w:fill="E6EDD4"/>
          </w:tcPr>
          <w:p>
            <w:pPr>
              <w:pStyle w:val="TableParagraph"/>
              <w:spacing w:line="266" w:lineRule="exact"/>
              <w:ind w:right="1"/>
              <w:jc w:val="center"/>
              <w:rPr>
                <w:sz w:val="22"/>
              </w:rPr>
            </w:pPr>
            <w:r>
              <w:rPr>
                <w:w w:val="100"/>
                <w:sz w:val="22"/>
              </w:rPr>
              <w:t>-</w:t>
            </w:r>
          </w:p>
        </w:tc>
        <w:tc>
          <w:tcPr>
            <w:tcW w:w="1454" w:type="dxa"/>
            <w:shd w:val="clear" w:color="auto" w:fill="E6EDD4"/>
          </w:tcPr>
          <w:p>
            <w:pPr>
              <w:pStyle w:val="TableParagraph"/>
              <w:spacing w:before="1"/>
              <w:rPr>
                <w:rFonts w:ascii="Arial"/>
                <w:sz w:val="23"/>
              </w:rPr>
            </w:pPr>
          </w:p>
          <w:p>
            <w:pPr>
              <w:pStyle w:val="TableParagraph"/>
              <w:ind w:right="100"/>
              <w:jc w:val="right"/>
              <w:rPr>
                <w:sz w:val="22"/>
              </w:rPr>
            </w:pPr>
            <w:r>
              <w:rPr>
                <w:sz w:val="22"/>
              </w:rPr>
              <w:t>15,300.00</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IVA por pagar</w:t>
            </w:r>
          </w:p>
        </w:tc>
        <w:tc>
          <w:tcPr>
            <w:tcW w:w="1455" w:type="dxa"/>
          </w:tcPr>
          <w:p>
            <w:pPr>
              <w:pStyle w:val="TableParagraph"/>
              <w:spacing w:line="265" w:lineRule="exact"/>
              <w:ind w:right="2"/>
              <w:jc w:val="center"/>
              <w:rPr>
                <w:sz w:val="22"/>
              </w:rPr>
            </w:pPr>
            <w:r>
              <w:rPr>
                <w:w w:val="100"/>
                <w:sz w:val="22"/>
              </w:rPr>
              <w:t>-</w:t>
            </w:r>
          </w:p>
        </w:tc>
        <w:tc>
          <w:tcPr>
            <w:tcW w:w="1452" w:type="dxa"/>
          </w:tcPr>
          <w:p>
            <w:pPr>
              <w:pStyle w:val="TableParagraph"/>
              <w:spacing w:before="1"/>
              <w:rPr>
                <w:rFonts w:ascii="Arial"/>
                <w:sz w:val="23"/>
              </w:rPr>
            </w:pPr>
          </w:p>
          <w:p>
            <w:pPr>
              <w:pStyle w:val="TableParagraph"/>
              <w:ind w:right="98"/>
              <w:jc w:val="right"/>
              <w:rPr>
                <w:sz w:val="22"/>
              </w:rPr>
            </w:pPr>
            <w:r>
              <w:rPr>
                <w:sz w:val="22"/>
              </w:rPr>
              <w:t>2,250.00</w:t>
            </w:r>
          </w:p>
        </w:tc>
        <w:tc>
          <w:tcPr>
            <w:tcW w:w="1453" w:type="dxa"/>
          </w:tcPr>
          <w:p>
            <w:pPr>
              <w:pStyle w:val="TableParagraph"/>
              <w:spacing w:line="265" w:lineRule="exact"/>
              <w:ind w:right="1"/>
              <w:jc w:val="center"/>
              <w:rPr>
                <w:sz w:val="22"/>
              </w:rPr>
            </w:pPr>
            <w:r>
              <w:rPr>
                <w:w w:val="100"/>
                <w:sz w:val="22"/>
              </w:rPr>
              <w:t>-</w:t>
            </w:r>
          </w:p>
        </w:tc>
        <w:tc>
          <w:tcPr>
            <w:tcW w:w="1454" w:type="dxa"/>
          </w:tcPr>
          <w:p>
            <w:pPr>
              <w:pStyle w:val="TableParagraph"/>
              <w:spacing w:before="1"/>
              <w:rPr>
                <w:rFonts w:ascii="Arial"/>
                <w:sz w:val="23"/>
              </w:rPr>
            </w:pPr>
          </w:p>
          <w:p>
            <w:pPr>
              <w:pStyle w:val="TableParagraph"/>
              <w:ind w:right="100"/>
              <w:jc w:val="right"/>
              <w:rPr>
                <w:sz w:val="22"/>
              </w:rPr>
            </w:pPr>
            <w:r>
              <w:rPr>
                <w:sz w:val="22"/>
              </w:rPr>
              <w:t>2,250.00</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ISR por pagar</w:t>
            </w:r>
          </w:p>
        </w:tc>
        <w:tc>
          <w:tcPr>
            <w:tcW w:w="1455" w:type="dxa"/>
            <w:shd w:val="clear" w:color="auto" w:fill="E6EDD4"/>
          </w:tcPr>
          <w:p>
            <w:pPr>
              <w:pStyle w:val="TableParagraph"/>
              <w:spacing w:line="265" w:lineRule="exact"/>
              <w:ind w:right="2"/>
              <w:jc w:val="center"/>
              <w:rPr>
                <w:sz w:val="22"/>
              </w:rPr>
            </w:pPr>
            <w:r>
              <w:rPr>
                <w:w w:val="100"/>
                <w:sz w:val="22"/>
              </w:rPr>
              <w:t>-</w:t>
            </w:r>
          </w:p>
        </w:tc>
        <w:tc>
          <w:tcPr>
            <w:tcW w:w="1452" w:type="dxa"/>
            <w:shd w:val="clear" w:color="auto" w:fill="E6EDD4"/>
          </w:tcPr>
          <w:p>
            <w:pPr>
              <w:pStyle w:val="TableParagraph"/>
              <w:spacing w:before="1"/>
              <w:rPr>
                <w:rFonts w:ascii="Arial"/>
                <w:sz w:val="23"/>
              </w:rPr>
            </w:pPr>
          </w:p>
          <w:p>
            <w:pPr>
              <w:pStyle w:val="TableParagraph"/>
              <w:ind w:right="98"/>
              <w:jc w:val="right"/>
              <w:rPr>
                <w:sz w:val="22"/>
              </w:rPr>
            </w:pPr>
            <w:r>
              <w:rPr>
                <w:sz w:val="22"/>
              </w:rPr>
              <w:t>3,500.00</w:t>
            </w:r>
          </w:p>
        </w:tc>
        <w:tc>
          <w:tcPr>
            <w:tcW w:w="1453" w:type="dxa"/>
            <w:shd w:val="clear" w:color="auto" w:fill="E6EDD4"/>
          </w:tcPr>
          <w:p>
            <w:pPr>
              <w:pStyle w:val="TableParagraph"/>
              <w:spacing w:line="265" w:lineRule="exact"/>
              <w:ind w:right="1"/>
              <w:jc w:val="center"/>
              <w:rPr>
                <w:sz w:val="22"/>
              </w:rPr>
            </w:pPr>
            <w:r>
              <w:rPr>
                <w:w w:val="100"/>
                <w:sz w:val="22"/>
              </w:rPr>
              <w:t>-</w:t>
            </w:r>
          </w:p>
        </w:tc>
        <w:tc>
          <w:tcPr>
            <w:tcW w:w="1454" w:type="dxa"/>
            <w:shd w:val="clear" w:color="auto" w:fill="E6EDD4"/>
          </w:tcPr>
          <w:p>
            <w:pPr>
              <w:pStyle w:val="TableParagraph"/>
              <w:spacing w:before="1"/>
              <w:rPr>
                <w:rFonts w:ascii="Arial"/>
                <w:sz w:val="23"/>
              </w:rPr>
            </w:pPr>
          </w:p>
          <w:p>
            <w:pPr>
              <w:pStyle w:val="TableParagraph"/>
              <w:ind w:right="100"/>
              <w:jc w:val="right"/>
              <w:rPr>
                <w:sz w:val="22"/>
              </w:rPr>
            </w:pPr>
            <w:r>
              <w:rPr>
                <w:sz w:val="22"/>
              </w:rPr>
              <w:t>3,500.00</w:t>
            </w:r>
          </w:p>
        </w:tc>
      </w:tr>
      <w:tr>
        <w:trPr>
          <w:trHeight w:val="558" w:hRule="exact"/>
        </w:trPr>
        <w:tc>
          <w:tcPr>
            <w:tcW w:w="1426" w:type="dxa"/>
          </w:tcPr>
          <w:p>
            <w:pPr/>
          </w:p>
        </w:tc>
        <w:tc>
          <w:tcPr>
            <w:tcW w:w="2547" w:type="dxa"/>
          </w:tcPr>
          <w:p>
            <w:pPr>
              <w:pStyle w:val="TableParagraph"/>
              <w:spacing w:line="268" w:lineRule="exact"/>
              <w:ind w:left="98"/>
              <w:rPr>
                <w:sz w:val="22"/>
              </w:rPr>
            </w:pPr>
            <w:r>
              <w:rPr>
                <w:sz w:val="22"/>
              </w:rPr>
              <w:t>Acreedores hipotecarios</w:t>
            </w:r>
          </w:p>
        </w:tc>
        <w:tc>
          <w:tcPr>
            <w:tcW w:w="1455" w:type="dxa"/>
          </w:tcPr>
          <w:p>
            <w:pPr>
              <w:pStyle w:val="TableParagraph"/>
              <w:spacing w:before="1"/>
              <w:rPr>
                <w:rFonts w:ascii="Arial"/>
                <w:sz w:val="23"/>
              </w:rPr>
            </w:pPr>
          </w:p>
          <w:p>
            <w:pPr>
              <w:pStyle w:val="TableParagraph"/>
              <w:ind w:right="100"/>
              <w:jc w:val="right"/>
              <w:rPr>
                <w:sz w:val="22"/>
              </w:rPr>
            </w:pPr>
            <w:r>
              <w:rPr>
                <w:sz w:val="22"/>
              </w:rPr>
              <w:t>5,000.00</w:t>
            </w:r>
          </w:p>
        </w:tc>
        <w:tc>
          <w:tcPr>
            <w:tcW w:w="1452" w:type="dxa"/>
          </w:tcPr>
          <w:p>
            <w:pPr>
              <w:pStyle w:val="TableParagraph"/>
              <w:spacing w:before="1"/>
              <w:rPr>
                <w:rFonts w:ascii="Arial"/>
                <w:sz w:val="23"/>
              </w:rPr>
            </w:pPr>
          </w:p>
          <w:p>
            <w:pPr>
              <w:pStyle w:val="TableParagraph"/>
              <w:ind w:right="98"/>
              <w:jc w:val="right"/>
              <w:rPr>
                <w:sz w:val="22"/>
              </w:rPr>
            </w:pPr>
            <w:r>
              <w:rPr>
                <w:sz w:val="22"/>
              </w:rPr>
              <w:t>60,000.00</w:t>
            </w:r>
          </w:p>
        </w:tc>
        <w:tc>
          <w:tcPr>
            <w:tcW w:w="1453" w:type="dxa"/>
          </w:tcPr>
          <w:p>
            <w:pPr>
              <w:pStyle w:val="TableParagraph"/>
              <w:spacing w:line="268" w:lineRule="exact"/>
              <w:ind w:right="1"/>
              <w:jc w:val="center"/>
              <w:rPr>
                <w:sz w:val="22"/>
              </w:rPr>
            </w:pPr>
            <w:r>
              <w:rPr>
                <w:w w:val="100"/>
                <w:sz w:val="22"/>
              </w:rPr>
              <w:t>-</w:t>
            </w:r>
          </w:p>
        </w:tc>
        <w:tc>
          <w:tcPr>
            <w:tcW w:w="1454" w:type="dxa"/>
          </w:tcPr>
          <w:p>
            <w:pPr>
              <w:pStyle w:val="TableParagraph"/>
              <w:spacing w:before="1"/>
              <w:rPr>
                <w:rFonts w:ascii="Arial"/>
                <w:sz w:val="23"/>
              </w:rPr>
            </w:pPr>
          </w:p>
          <w:p>
            <w:pPr>
              <w:pStyle w:val="TableParagraph"/>
              <w:ind w:right="100"/>
              <w:jc w:val="right"/>
              <w:rPr>
                <w:sz w:val="22"/>
              </w:rPr>
            </w:pPr>
            <w:r>
              <w:rPr>
                <w:sz w:val="22"/>
              </w:rPr>
              <w:t>55,000.00</w:t>
            </w:r>
          </w:p>
        </w:tc>
      </w:tr>
      <w:tr>
        <w:trPr>
          <w:trHeight w:val="556" w:hRule="exact"/>
        </w:trPr>
        <w:tc>
          <w:tcPr>
            <w:tcW w:w="1426" w:type="dxa"/>
            <w:shd w:val="clear" w:color="auto" w:fill="E6EDD4"/>
          </w:tcPr>
          <w:p>
            <w:pPr/>
          </w:p>
        </w:tc>
        <w:tc>
          <w:tcPr>
            <w:tcW w:w="2547" w:type="dxa"/>
            <w:shd w:val="clear" w:color="auto" w:fill="E6EDD4"/>
          </w:tcPr>
          <w:p>
            <w:pPr>
              <w:pStyle w:val="TableParagraph"/>
              <w:spacing w:line="267" w:lineRule="exact"/>
              <w:ind w:left="98"/>
              <w:rPr>
                <w:sz w:val="22"/>
              </w:rPr>
            </w:pPr>
            <w:r>
              <w:rPr>
                <w:sz w:val="22"/>
              </w:rPr>
              <w:t>Capital social</w:t>
            </w:r>
          </w:p>
        </w:tc>
        <w:tc>
          <w:tcPr>
            <w:tcW w:w="1455" w:type="dxa"/>
            <w:shd w:val="clear" w:color="auto" w:fill="E6EDD4"/>
          </w:tcPr>
          <w:p>
            <w:pPr>
              <w:pStyle w:val="TableParagraph"/>
              <w:spacing w:line="267" w:lineRule="exact"/>
              <w:ind w:right="2"/>
              <w:jc w:val="center"/>
              <w:rPr>
                <w:sz w:val="22"/>
              </w:rPr>
            </w:pPr>
            <w:r>
              <w:rPr>
                <w:w w:val="100"/>
                <w:sz w:val="22"/>
              </w:rPr>
              <w:t>-</w:t>
            </w:r>
          </w:p>
        </w:tc>
        <w:tc>
          <w:tcPr>
            <w:tcW w:w="1452" w:type="dxa"/>
            <w:shd w:val="clear" w:color="auto" w:fill="E6EDD4"/>
          </w:tcPr>
          <w:p>
            <w:pPr>
              <w:pStyle w:val="TableParagraph"/>
              <w:spacing w:before="2"/>
              <w:rPr>
                <w:rFonts w:ascii="Arial"/>
                <w:sz w:val="23"/>
              </w:rPr>
            </w:pPr>
          </w:p>
          <w:p>
            <w:pPr>
              <w:pStyle w:val="TableParagraph"/>
              <w:ind w:right="95"/>
              <w:jc w:val="right"/>
              <w:rPr>
                <w:sz w:val="22"/>
              </w:rPr>
            </w:pPr>
            <w:r>
              <w:rPr>
                <w:sz w:val="22"/>
              </w:rPr>
              <w:t>305,000.00</w:t>
            </w:r>
          </w:p>
        </w:tc>
        <w:tc>
          <w:tcPr>
            <w:tcW w:w="1453" w:type="dxa"/>
            <w:shd w:val="clear" w:color="auto" w:fill="E6EDD4"/>
          </w:tcPr>
          <w:p>
            <w:pPr>
              <w:pStyle w:val="TableParagraph"/>
              <w:spacing w:line="267" w:lineRule="exact"/>
              <w:ind w:right="1"/>
              <w:jc w:val="center"/>
              <w:rPr>
                <w:sz w:val="22"/>
              </w:rPr>
            </w:pPr>
            <w:r>
              <w:rPr>
                <w:w w:val="100"/>
                <w:sz w:val="22"/>
              </w:rPr>
              <w:t>-</w:t>
            </w:r>
          </w:p>
        </w:tc>
        <w:tc>
          <w:tcPr>
            <w:tcW w:w="1454" w:type="dxa"/>
            <w:shd w:val="clear" w:color="auto" w:fill="E6EDD4"/>
          </w:tcPr>
          <w:p>
            <w:pPr>
              <w:pStyle w:val="TableParagraph"/>
              <w:spacing w:before="2"/>
              <w:rPr>
                <w:rFonts w:ascii="Arial"/>
                <w:sz w:val="23"/>
              </w:rPr>
            </w:pPr>
          </w:p>
          <w:p>
            <w:pPr>
              <w:pStyle w:val="TableParagraph"/>
              <w:ind w:right="98"/>
              <w:jc w:val="right"/>
              <w:rPr>
                <w:sz w:val="22"/>
              </w:rPr>
            </w:pPr>
            <w:r>
              <w:rPr>
                <w:sz w:val="22"/>
              </w:rPr>
              <w:t>305,000.00</w:t>
            </w:r>
          </w:p>
        </w:tc>
      </w:tr>
      <w:tr>
        <w:trPr>
          <w:trHeight w:val="559" w:hRule="exact"/>
        </w:trPr>
        <w:tc>
          <w:tcPr>
            <w:tcW w:w="1426" w:type="dxa"/>
          </w:tcPr>
          <w:p>
            <w:pPr/>
          </w:p>
        </w:tc>
        <w:tc>
          <w:tcPr>
            <w:tcW w:w="2547" w:type="dxa"/>
          </w:tcPr>
          <w:p>
            <w:pPr>
              <w:pStyle w:val="TableParagraph"/>
              <w:spacing w:line="268" w:lineRule="exact"/>
              <w:ind w:left="98"/>
              <w:rPr>
                <w:sz w:val="22"/>
              </w:rPr>
            </w:pPr>
            <w:r>
              <w:rPr>
                <w:sz w:val="22"/>
              </w:rPr>
              <w:t>Ventas</w:t>
            </w:r>
          </w:p>
        </w:tc>
        <w:tc>
          <w:tcPr>
            <w:tcW w:w="1455" w:type="dxa"/>
          </w:tcPr>
          <w:p>
            <w:pPr>
              <w:pStyle w:val="TableParagraph"/>
              <w:spacing w:before="3"/>
              <w:rPr>
                <w:rFonts w:ascii="Arial"/>
                <w:sz w:val="23"/>
              </w:rPr>
            </w:pPr>
          </w:p>
          <w:p>
            <w:pPr>
              <w:pStyle w:val="TableParagraph"/>
              <w:ind w:right="100"/>
              <w:jc w:val="right"/>
              <w:rPr>
                <w:sz w:val="22"/>
              </w:rPr>
            </w:pPr>
            <w:r>
              <w:rPr>
                <w:sz w:val="22"/>
              </w:rPr>
              <w:t>1,000.00</w:t>
            </w:r>
          </w:p>
        </w:tc>
        <w:tc>
          <w:tcPr>
            <w:tcW w:w="1452" w:type="dxa"/>
          </w:tcPr>
          <w:p>
            <w:pPr>
              <w:pStyle w:val="TableParagraph"/>
              <w:spacing w:before="3"/>
              <w:rPr>
                <w:rFonts w:ascii="Arial"/>
                <w:sz w:val="23"/>
              </w:rPr>
            </w:pPr>
          </w:p>
          <w:p>
            <w:pPr>
              <w:pStyle w:val="TableParagraph"/>
              <w:ind w:right="95"/>
              <w:jc w:val="right"/>
              <w:rPr>
                <w:sz w:val="22"/>
              </w:rPr>
            </w:pPr>
            <w:r>
              <w:rPr>
                <w:sz w:val="22"/>
              </w:rPr>
              <w:t>103,000.00</w:t>
            </w:r>
          </w:p>
        </w:tc>
        <w:tc>
          <w:tcPr>
            <w:tcW w:w="1453" w:type="dxa"/>
          </w:tcPr>
          <w:p>
            <w:pPr>
              <w:pStyle w:val="TableParagraph"/>
              <w:spacing w:line="268" w:lineRule="exact"/>
              <w:ind w:right="1"/>
              <w:jc w:val="center"/>
              <w:rPr>
                <w:sz w:val="22"/>
              </w:rPr>
            </w:pPr>
            <w:r>
              <w:rPr>
                <w:w w:val="100"/>
                <w:sz w:val="22"/>
              </w:rPr>
              <w:t>-</w:t>
            </w:r>
          </w:p>
        </w:tc>
        <w:tc>
          <w:tcPr>
            <w:tcW w:w="1454" w:type="dxa"/>
          </w:tcPr>
          <w:p>
            <w:pPr>
              <w:pStyle w:val="TableParagraph"/>
              <w:spacing w:before="3"/>
              <w:rPr>
                <w:rFonts w:ascii="Arial"/>
                <w:sz w:val="23"/>
              </w:rPr>
            </w:pPr>
          </w:p>
          <w:p>
            <w:pPr>
              <w:pStyle w:val="TableParagraph"/>
              <w:ind w:right="98"/>
              <w:jc w:val="right"/>
              <w:rPr>
                <w:sz w:val="22"/>
              </w:rPr>
            </w:pPr>
            <w:r>
              <w:rPr>
                <w:sz w:val="22"/>
              </w:rPr>
              <w:t>102,000.00</w:t>
            </w:r>
          </w:p>
        </w:tc>
      </w:tr>
      <w:tr>
        <w:trPr>
          <w:trHeight w:val="557" w:hRule="exact"/>
        </w:trPr>
        <w:tc>
          <w:tcPr>
            <w:tcW w:w="1426" w:type="dxa"/>
            <w:shd w:val="clear" w:color="auto" w:fill="E6EDD4"/>
          </w:tcPr>
          <w:p>
            <w:pPr/>
          </w:p>
        </w:tc>
        <w:tc>
          <w:tcPr>
            <w:tcW w:w="2547" w:type="dxa"/>
            <w:shd w:val="clear" w:color="auto" w:fill="E6EDD4"/>
          </w:tcPr>
          <w:p>
            <w:pPr>
              <w:pStyle w:val="TableParagraph"/>
              <w:spacing w:line="266" w:lineRule="exact"/>
              <w:ind w:left="98"/>
              <w:rPr>
                <w:sz w:val="22"/>
              </w:rPr>
            </w:pPr>
            <w:r>
              <w:rPr>
                <w:sz w:val="22"/>
              </w:rPr>
              <w:t>Costo de ventas</w:t>
            </w:r>
          </w:p>
        </w:tc>
        <w:tc>
          <w:tcPr>
            <w:tcW w:w="1455" w:type="dxa"/>
            <w:shd w:val="clear" w:color="auto" w:fill="E6EDD4"/>
          </w:tcPr>
          <w:p>
            <w:pPr>
              <w:pStyle w:val="TableParagraph"/>
              <w:spacing w:before="1"/>
              <w:rPr>
                <w:rFonts w:ascii="Arial"/>
                <w:sz w:val="23"/>
              </w:rPr>
            </w:pPr>
          </w:p>
          <w:p>
            <w:pPr>
              <w:pStyle w:val="TableParagraph"/>
              <w:ind w:right="100"/>
              <w:jc w:val="right"/>
              <w:rPr>
                <w:sz w:val="22"/>
              </w:rPr>
            </w:pPr>
            <w:r>
              <w:rPr>
                <w:sz w:val="22"/>
              </w:rPr>
              <w:t>40,500.00</w:t>
            </w:r>
          </w:p>
        </w:tc>
        <w:tc>
          <w:tcPr>
            <w:tcW w:w="1452" w:type="dxa"/>
            <w:shd w:val="clear" w:color="auto" w:fill="E6EDD4"/>
          </w:tcPr>
          <w:p>
            <w:pPr>
              <w:pStyle w:val="TableParagraph"/>
              <w:spacing w:before="1"/>
              <w:rPr>
                <w:rFonts w:ascii="Arial"/>
                <w:sz w:val="23"/>
              </w:rPr>
            </w:pPr>
          </w:p>
          <w:p>
            <w:pPr>
              <w:pStyle w:val="TableParagraph"/>
              <w:ind w:right="97"/>
              <w:jc w:val="right"/>
              <w:rPr>
                <w:sz w:val="22"/>
              </w:rPr>
            </w:pPr>
            <w:r>
              <w:rPr>
                <w:sz w:val="22"/>
              </w:rPr>
              <w:t>350.00</w:t>
            </w:r>
          </w:p>
        </w:tc>
        <w:tc>
          <w:tcPr>
            <w:tcW w:w="1453" w:type="dxa"/>
            <w:shd w:val="clear" w:color="auto" w:fill="E6EDD4"/>
          </w:tcPr>
          <w:p>
            <w:pPr>
              <w:pStyle w:val="TableParagraph"/>
              <w:spacing w:before="1"/>
              <w:rPr>
                <w:rFonts w:ascii="Arial"/>
                <w:sz w:val="23"/>
              </w:rPr>
            </w:pPr>
          </w:p>
          <w:p>
            <w:pPr>
              <w:pStyle w:val="TableParagraph"/>
              <w:ind w:right="98"/>
              <w:jc w:val="right"/>
              <w:rPr>
                <w:sz w:val="22"/>
              </w:rPr>
            </w:pPr>
            <w:r>
              <w:rPr>
                <w:sz w:val="22"/>
              </w:rPr>
              <w:t>40,150.00</w:t>
            </w:r>
          </w:p>
        </w:tc>
        <w:tc>
          <w:tcPr>
            <w:tcW w:w="1454" w:type="dxa"/>
            <w:shd w:val="clear" w:color="auto" w:fill="E6EDD4"/>
          </w:tcPr>
          <w:p>
            <w:pPr>
              <w:pStyle w:val="TableParagraph"/>
              <w:spacing w:line="266" w:lineRule="exact"/>
              <w:ind w:right="2"/>
              <w:jc w:val="center"/>
              <w:rPr>
                <w:sz w:val="22"/>
              </w:rPr>
            </w:pPr>
            <w:r>
              <w:rPr>
                <w:w w:val="100"/>
                <w:sz w:val="22"/>
              </w:rPr>
              <w:t>-</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Gastos de venta</w:t>
            </w:r>
          </w:p>
        </w:tc>
        <w:tc>
          <w:tcPr>
            <w:tcW w:w="1455" w:type="dxa"/>
          </w:tcPr>
          <w:p>
            <w:pPr>
              <w:pStyle w:val="TableParagraph"/>
              <w:spacing w:before="1"/>
              <w:rPr>
                <w:rFonts w:ascii="Arial"/>
                <w:sz w:val="23"/>
              </w:rPr>
            </w:pPr>
          </w:p>
          <w:p>
            <w:pPr>
              <w:pStyle w:val="TableParagraph"/>
              <w:ind w:right="100"/>
              <w:jc w:val="right"/>
              <w:rPr>
                <w:sz w:val="22"/>
              </w:rPr>
            </w:pPr>
            <w:r>
              <w:rPr>
                <w:sz w:val="22"/>
              </w:rPr>
              <w:t>13,000.00</w:t>
            </w:r>
          </w:p>
        </w:tc>
        <w:tc>
          <w:tcPr>
            <w:tcW w:w="1452" w:type="dxa"/>
          </w:tcPr>
          <w:p>
            <w:pPr>
              <w:pStyle w:val="TableParagraph"/>
              <w:spacing w:line="265" w:lineRule="exact"/>
              <w:jc w:val="center"/>
              <w:rPr>
                <w:sz w:val="22"/>
              </w:rPr>
            </w:pPr>
            <w:r>
              <w:rPr>
                <w:w w:val="100"/>
                <w:sz w:val="22"/>
              </w:rPr>
              <w:t>-</w:t>
            </w:r>
          </w:p>
        </w:tc>
        <w:tc>
          <w:tcPr>
            <w:tcW w:w="1453" w:type="dxa"/>
          </w:tcPr>
          <w:p>
            <w:pPr>
              <w:pStyle w:val="TableParagraph"/>
              <w:spacing w:before="1"/>
              <w:rPr>
                <w:rFonts w:ascii="Arial"/>
                <w:sz w:val="23"/>
              </w:rPr>
            </w:pPr>
          </w:p>
          <w:p>
            <w:pPr>
              <w:pStyle w:val="TableParagraph"/>
              <w:ind w:right="98"/>
              <w:jc w:val="right"/>
              <w:rPr>
                <w:sz w:val="22"/>
              </w:rPr>
            </w:pPr>
            <w:r>
              <w:rPr>
                <w:sz w:val="22"/>
              </w:rPr>
              <w:t>13,000.00</w:t>
            </w:r>
          </w:p>
        </w:tc>
        <w:tc>
          <w:tcPr>
            <w:tcW w:w="1454" w:type="dxa"/>
          </w:tcPr>
          <w:p>
            <w:pPr>
              <w:pStyle w:val="TableParagraph"/>
              <w:spacing w:line="265" w:lineRule="exact"/>
              <w:ind w:right="2"/>
              <w:jc w:val="center"/>
              <w:rPr>
                <w:sz w:val="22"/>
              </w:rPr>
            </w:pPr>
            <w:r>
              <w:rPr>
                <w:w w:val="100"/>
                <w:sz w:val="22"/>
              </w:rPr>
              <w:t>-</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Gastos de administración</w:t>
            </w:r>
          </w:p>
        </w:tc>
        <w:tc>
          <w:tcPr>
            <w:tcW w:w="1455" w:type="dxa"/>
            <w:shd w:val="clear" w:color="auto" w:fill="E6EDD4"/>
          </w:tcPr>
          <w:p>
            <w:pPr>
              <w:pStyle w:val="TableParagraph"/>
              <w:spacing w:before="1"/>
              <w:rPr>
                <w:rFonts w:ascii="Arial"/>
                <w:sz w:val="23"/>
              </w:rPr>
            </w:pPr>
          </w:p>
          <w:p>
            <w:pPr>
              <w:pStyle w:val="TableParagraph"/>
              <w:ind w:right="100"/>
              <w:jc w:val="right"/>
              <w:rPr>
                <w:sz w:val="22"/>
              </w:rPr>
            </w:pPr>
            <w:r>
              <w:rPr>
                <w:sz w:val="22"/>
              </w:rPr>
              <w:t>10,700.00</w:t>
            </w:r>
          </w:p>
        </w:tc>
        <w:tc>
          <w:tcPr>
            <w:tcW w:w="1452" w:type="dxa"/>
            <w:shd w:val="clear" w:color="auto" w:fill="E6EDD4"/>
          </w:tcPr>
          <w:p>
            <w:pPr>
              <w:pStyle w:val="TableParagraph"/>
              <w:spacing w:line="265" w:lineRule="exact"/>
              <w:jc w:val="center"/>
              <w:rPr>
                <w:sz w:val="22"/>
              </w:rPr>
            </w:pPr>
            <w:r>
              <w:rPr>
                <w:w w:val="100"/>
                <w:sz w:val="22"/>
              </w:rPr>
              <w:t>-</w:t>
            </w:r>
          </w:p>
        </w:tc>
        <w:tc>
          <w:tcPr>
            <w:tcW w:w="1453" w:type="dxa"/>
            <w:shd w:val="clear" w:color="auto" w:fill="E6EDD4"/>
          </w:tcPr>
          <w:p>
            <w:pPr>
              <w:pStyle w:val="TableParagraph"/>
              <w:spacing w:before="1"/>
              <w:rPr>
                <w:rFonts w:ascii="Arial"/>
                <w:sz w:val="23"/>
              </w:rPr>
            </w:pPr>
          </w:p>
          <w:p>
            <w:pPr>
              <w:pStyle w:val="TableParagraph"/>
              <w:ind w:right="98"/>
              <w:jc w:val="right"/>
              <w:rPr>
                <w:sz w:val="22"/>
              </w:rPr>
            </w:pPr>
            <w:r>
              <w:rPr>
                <w:sz w:val="22"/>
              </w:rPr>
              <w:t>10,700.00</w:t>
            </w:r>
          </w:p>
        </w:tc>
        <w:tc>
          <w:tcPr>
            <w:tcW w:w="1454" w:type="dxa"/>
            <w:shd w:val="clear" w:color="auto" w:fill="E6EDD4"/>
          </w:tcPr>
          <w:p>
            <w:pPr>
              <w:pStyle w:val="TableParagraph"/>
              <w:spacing w:line="265" w:lineRule="exact"/>
              <w:ind w:right="2"/>
              <w:jc w:val="center"/>
              <w:rPr>
                <w:sz w:val="22"/>
              </w:rPr>
            </w:pPr>
            <w:r>
              <w:rPr>
                <w:w w:val="100"/>
                <w:sz w:val="22"/>
              </w:rPr>
              <w:t>-</w:t>
            </w:r>
          </w:p>
        </w:tc>
      </w:tr>
      <w:tr>
        <w:trPr>
          <w:trHeight w:val="557" w:hRule="exact"/>
        </w:trPr>
        <w:tc>
          <w:tcPr>
            <w:tcW w:w="1426" w:type="dxa"/>
          </w:tcPr>
          <w:p>
            <w:pPr/>
          </w:p>
        </w:tc>
        <w:tc>
          <w:tcPr>
            <w:tcW w:w="2547" w:type="dxa"/>
          </w:tcPr>
          <w:p>
            <w:pPr>
              <w:pStyle w:val="TableParagraph"/>
              <w:spacing w:line="265" w:lineRule="exact"/>
              <w:ind w:left="98"/>
              <w:rPr>
                <w:sz w:val="22"/>
              </w:rPr>
            </w:pPr>
            <w:r>
              <w:rPr>
                <w:sz w:val="22"/>
              </w:rPr>
              <w:t>Gastos financieros</w:t>
            </w:r>
          </w:p>
        </w:tc>
        <w:tc>
          <w:tcPr>
            <w:tcW w:w="1455" w:type="dxa"/>
          </w:tcPr>
          <w:p>
            <w:pPr>
              <w:pStyle w:val="TableParagraph"/>
              <w:spacing w:before="1"/>
              <w:rPr>
                <w:rFonts w:ascii="Arial"/>
                <w:sz w:val="23"/>
              </w:rPr>
            </w:pPr>
          </w:p>
          <w:p>
            <w:pPr>
              <w:pStyle w:val="TableParagraph"/>
              <w:ind w:right="100"/>
              <w:jc w:val="right"/>
              <w:rPr>
                <w:sz w:val="22"/>
              </w:rPr>
            </w:pPr>
            <w:r>
              <w:rPr>
                <w:sz w:val="22"/>
              </w:rPr>
              <w:t>450.00</w:t>
            </w:r>
          </w:p>
        </w:tc>
        <w:tc>
          <w:tcPr>
            <w:tcW w:w="1452" w:type="dxa"/>
          </w:tcPr>
          <w:p>
            <w:pPr>
              <w:pStyle w:val="TableParagraph"/>
              <w:spacing w:before="1"/>
              <w:rPr>
                <w:rFonts w:ascii="Arial"/>
                <w:sz w:val="23"/>
              </w:rPr>
            </w:pPr>
          </w:p>
          <w:p>
            <w:pPr>
              <w:pStyle w:val="TableParagraph"/>
              <w:ind w:right="98"/>
              <w:jc w:val="right"/>
              <w:rPr>
                <w:sz w:val="22"/>
              </w:rPr>
            </w:pPr>
            <w:r>
              <w:rPr>
                <w:sz w:val="22"/>
              </w:rPr>
              <w:t>2,000.00</w:t>
            </w:r>
          </w:p>
        </w:tc>
        <w:tc>
          <w:tcPr>
            <w:tcW w:w="1453" w:type="dxa"/>
          </w:tcPr>
          <w:p>
            <w:pPr>
              <w:pStyle w:val="TableParagraph"/>
              <w:spacing w:before="1"/>
              <w:rPr>
                <w:rFonts w:ascii="Arial"/>
                <w:sz w:val="23"/>
              </w:rPr>
            </w:pPr>
          </w:p>
          <w:p>
            <w:pPr>
              <w:pStyle w:val="TableParagraph"/>
              <w:ind w:right="97"/>
              <w:jc w:val="right"/>
              <w:rPr>
                <w:sz w:val="22"/>
              </w:rPr>
            </w:pPr>
            <w:r>
              <w:rPr>
                <w:sz w:val="22"/>
              </w:rPr>
              <w:t>450.00</w:t>
            </w:r>
          </w:p>
        </w:tc>
        <w:tc>
          <w:tcPr>
            <w:tcW w:w="1454" w:type="dxa"/>
          </w:tcPr>
          <w:p>
            <w:pPr>
              <w:pStyle w:val="TableParagraph"/>
              <w:spacing w:line="265" w:lineRule="exact"/>
              <w:ind w:right="2"/>
              <w:jc w:val="center"/>
              <w:rPr>
                <w:sz w:val="22"/>
              </w:rPr>
            </w:pPr>
            <w:r>
              <w:rPr>
                <w:w w:val="100"/>
                <w:sz w:val="22"/>
              </w:rPr>
              <w:t>-</w:t>
            </w:r>
          </w:p>
        </w:tc>
      </w:tr>
      <w:tr>
        <w:trPr>
          <w:trHeight w:val="557" w:hRule="exact"/>
        </w:trPr>
        <w:tc>
          <w:tcPr>
            <w:tcW w:w="1426" w:type="dxa"/>
            <w:shd w:val="clear" w:color="auto" w:fill="E6EDD4"/>
          </w:tcPr>
          <w:p>
            <w:pPr/>
          </w:p>
        </w:tc>
        <w:tc>
          <w:tcPr>
            <w:tcW w:w="2547" w:type="dxa"/>
            <w:shd w:val="clear" w:color="auto" w:fill="E6EDD4"/>
          </w:tcPr>
          <w:p>
            <w:pPr>
              <w:pStyle w:val="TableParagraph"/>
              <w:spacing w:line="265" w:lineRule="exact"/>
              <w:ind w:left="98"/>
              <w:rPr>
                <w:sz w:val="22"/>
              </w:rPr>
            </w:pPr>
            <w:r>
              <w:rPr>
                <w:sz w:val="22"/>
              </w:rPr>
              <w:t>Otros productos</w:t>
            </w:r>
          </w:p>
        </w:tc>
        <w:tc>
          <w:tcPr>
            <w:tcW w:w="1455" w:type="dxa"/>
            <w:shd w:val="clear" w:color="auto" w:fill="E6EDD4"/>
          </w:tcPr>
          <w:p>
            <w:pPr>
              <w:pStyle w:val="TableParagraph"/>
              <w:spacing w:line="265" w:lineRule="exact"/>
              <w:ind w:right="2"/>
              <w:jc w:val="center"/>
              <w:rPr>
                <w:sz w:val="22"/>
              </w:rPr>
            </w:pPr>
            <w:r>
              <w:rPr>
                <w:w w:val="100"/>
                <w:sz w:val="22"/>
              </w:rPr>
              <w:t>-</w:t>
            </w:r>
          </w:p>
        </w:tc>
        <w:tc>
          <w:tcPr>
            <w:tcW w:w="1452" w:type="dxa"/>
            <w:shd w:val="clear" w:color="auto" w:fill="E6EDD4"/>
          </w:tcPr>
          <w:p>
            <w:pPr/>
          </w:p>
        </w:tc>
        <w:tc>
          <w:tcPr>
            <w:tcW w:w="1453" w:type="dxa"/>
            <w:shd w:val="clear" w:color="auto" w:fill="E6EDD4"/>
          </w:tcPr>
          <w:p>
            <w:pPr>
              <w:pStyle w:val="TableParagraph"/>
              <w:spacing w:line="265" w:lineRule="exact"/>
              <w:ind w:right="1"/>
              <w:jc w:val="center"/>
              <w:rPr>
                <w:sz w:val="22"/>
              </w:rPr>
            </w:pPr>
            <w:r>
              <w:rPr>
                <w:w w:val="100"/>
                <w:sz w:val="22"/>
              </w:rPr>
              <w:t>-</w:t>
            </w:r>
          </w:p>
        </w:tc>
        <w:tc>
          <w:tcPr>
            <w:tcW w:w="1454" w:type="dxa"/>
            <w:shd w:val="clear" w:color="auto" w:fill="E6EDD4"/>
          </w:tcPr>
          <w:p>
            <w:pPr>
              <w:pStyle w:val="TableParagraph"/>
              <w:spacing w:before="1"/>
              <w:rPr>
                <w:rFonts w:ascii="Arial"/>
                <w:sz w:val="23"/>
              </w:rPr>
            </w:pPr>
          </w:p>
          <w:p>
            <w:pPr>
              <w:pStyle w:val="TableParagraph"/>
              <w:ind w:right="100"/>
              <w:jc w:val="right"/>
              <w:rPr>
                <w:sz w:val="22"/>
              </w:rPr>
            </w:pPr>
            <w:r>
              <w:rPr>
                <w:sz w:val="22"/>
              </w:rPr>
              <w:t>2,000.00</w:t>
            </w:r>
          </w:p>
        </w:tc>
      </w:tr>
      <w:tr>
        <w:trPr>
          <w:trHeight w:val="559" w:hRule="exact"/>
        </w:trPr>
        <w:tc>
          <w:tcPr>
            <w:tcW w:w="1426" w:type="dxa"/>
          </w:tcPr>
          <w:p>
            <w:pPr/>
          </w:p>
        </w:tc>
        <w:tc>
          <w:tcPr>
            <w:tcW w:w="2547" w:type="dxa"/>
          </w:tcPr>
          <w:p>
            <w:pPr>
              <w:pStyle w:val="TableParagraph"/>
              <w:spacing w:line="268" w:lineRule="exact"/>
              <w:ind w:left="98"/>
              <w:rPr>
                <w:sz w:val="22"/>
              </w:rPr>
            </w:pPr>
            <w:r>
              <w:rPr>
                <w:sz w:val="22"/>
              </w:rPr>
              <w:t>Sumas</w:t>
            </w:r>
          </w:p>
        </w:tc>
        <w:tc>
          <w:tcPr>
            <w:tcW w:w="1455" w:type="dxa"/>
          </w:tcPr>
          <w:p>
            <w:pPr>
              <w:pStyle w:val="TableParagraph"/>
              <w:spacing w:before="1"/>
              <w:rPr>
                <w:rFonts w:ascii="Arial"/>
                <w:sz w:val="23"/>
              </w:rPr>
            </w:pPr>
          </w:p>
          <w:p>
            <w:pPr>
              <w:pStyle w:val="TableParagraph"/>
              <w:ind w:right="100"/>
              <w:jc w:val="right"/>
              <w:rPr>
                <w:sz w:val="22"/>
              </w:rPr>
            </w:pPr>
            <w:r>
              <w:rPr>
                <w:sz w:val="22"/>
              </w:rPr>
              <w:t>$732,225.00</w:t>
            </w:r>
          </w:p>
        </w:tc>
        <w:tc>
          <w:tcPr>
            <w:tcW w:w="1452" w:type="dxa"/>
          </w:tcPr>
          <w:p>
            <w:pPr>
              <w:pStyle w:val="TableParagraph"/>
              <w:spacing w:before="1"/>
              <w:rPr>
                <w:rFonts w:ascii="Arial"/>
                <w:sz w:val="23"/>
              </w:rPr>
            </w:pPr>
          </w:p>
          <w:p>
            <w:pPr>
              <w:pStyle w:val="TableParagraph"/>
              <w:ind w:right="98"/>
              <w:jc w:val="right"/>
              <w:rPr>
                <w:sz w:val="22"/>
              </w:rPr>
            </w:pPr>
            <w:r>
              <w:rPr>
                <w:sz w:val="22"/>
              </w:rPr>
              <w:t>$732,225.00</w:t>
            </w:r>
          </w:p>
        </w:tc>
        <w:tc>
          <w:tcPr>
            <w:tcW w:w="1453" w:type="dxa"/>
          </w:tcPr>
          <w:p>
            <w:pPr>
              <w:pStyle w:val="TableParagraph"/>
              <w:spacing w:before="1"/>
              <w:rPr>
                <w:rFonts w:ascii="Arial"/>
                <w:sz w:val="23"/>
              </w:rPr>
            </w:pPr>
          </w:p>
          <w:p>
            <w:pPr>
              <w:pStyle w:val="TableParagraph"/>
              <w:ind w:right="98"/>
              <w:jc w:val="right"/>
              <w:rPr>
                <w:sz w:val="22"/>
              </w:rPr>
            </w:pPr>
            <w:r>
              <w:rPr>
                <w:sz w:val="22"/>
              </w:rPr>
              <w:t>$533,450.00</w:t>
            </w:r>
          </w:p>
        </w:tc>
        <w:tc>
          <w:tcPr>
            <w:tcW w:w="1454" w:type="dxa"/>
          </w:tcPr>
          <w:p>
            <w:pPr>
              <w:pStyle w:val="TableParagraph"/>
              <w:spacing w:before="1"/>
              <w:rPr>
                <w:rFonts w:ascii="Arial"/>
                <w:sz w:val="23"/>
              </w:rPr>
            </w:pPr>
          </w:p>
          <w:p>
            <w:pPr>
              <w:pStyle w:val="TableParagraph"/>
              <w:ind w:right="100"/>
              <w:jc w:val="right"/>
              <w:rPr>
                <w:sz w:val="22"/>
              </w:rPr>
            </w:pPr>
            <w:r>
              <w:rPr>
                <w:sz w:val="22"/>
              </w:rPr>
              <w:t>$533,450.00</w:t>
            </w:r>
          </w:p>
        </w:tc>
      </w:tr>
    </w:tbl>
    <w:p>
      <w:pPr>
        <w:spacing w:after="0"/>
        <w:jc w:val="right"/>
        <w:rPr>
          <w:sz w:val="22"/>
        </w:rPr>
        <w:sectPr>
          <w:pgSz w:w="12240" w:h="15840"/>
          <w:pgMar w:header="0" w:footer="450" w:top="1420" w:bottom="640" w:left="1360" w:right="840"/>
        </w:sectPr>
      </w:pPr>
    </w:p>
    <w:p>
      <w:pPr>
        <w:pStyle w:val="BodyText"/>
        <w:rPr>
          <w:sz w:val="20"/>
        </w:rPr>
      </w:pPr>
    </w:p>
    <w:p>
      <w:pPr>
        <w:pStyle w:val="BodyText"/>
        <w:spacing w:before="7"/>
        <w:rPr>
          <w:sz w:val="22"/>
        </w:rPr>
      </w:pPr>
    </w:p>
    <w:p>
      <w:pPr>
        <w:pStyle w:val="Heading2"/>
        <w:numPr>
          <w:ilvl w:val="1"/>
          <w:numId w:val="23"/>
        </w:numPr>
        <w:tabs>
          <w:tab w:pos="591" w:val="left" w:leader="none"/>
        </w:tabs>
        <w:spacing w:line="240" w:lineRule="auto" w:before="70" w:after="0"/>
        <w:ind w:left="590" w:right="0" w:hanging="472"/>
        <w:jc w:val="left"/>
      </w:pPr>
      <w:bookmarkStart w:name="_bookmark24" w:id="45"/>
      <w:bookmarkEnd w:id="45"/>
      <w:r>
        <w:rPr>
          <w:b w:val="0"/>
        </w:rPr>
      </w:r>
      <w:bookmarkStart w:name="_bookmark24" w:id="46"/>
      <w:bookmarkEnd w:id="46"/>
      <w:r>
        <w:rPr/>
        <w:t>A</w:t>
      </w:r>
      <w:r>
        <w:rPr/>
        <w:t>CTIVIDAD DE</w:t>
      </w:r>
      <w:r>
        <w:rPr>
          <w:spacing w:val="-11"/>
        </w:rPr>
        <w:t> </w:t>
      </w:r>
      <w:r>
        <w:rPr/>
        <w:t>APRENDIZAJE.</w:t>
      </w:r>
    </w:p>
    <w:p>
      <w:pPr>
        <w:pStyle w:val="BodyText"/>
        <w:spacing w:before="4"/>
        <w:rPr>
          <w:b/>
          <w:sz w:val="21"/>
        </w:rPr>
      </w:pPr>
      <w:r>
        <w:rPr/>
        <w:drawing>
          <wp:anchor distT="0" distB="0" distL="0" distR="0" allowOverlap="1" layoutInCell="1" locked="0" behindDoc="0" simplePos="0" relativeHeight="2392">
            <wp:simplePos x="0" y="0"/>
            <wp:positionH relativeFrom="page">
              <wp:posOffset>1037844</wp:posOffset>
            </wp:positionH>
            <wp:positionV relativeFrom="paragraph">
              <wp:posOffset>180810</wp:posOffset>
            </wp:positionV>
            <wp:extent cx="7877078" cy="2514600"/>
            <wp:effectExtent l="0" t="0" r="0" b="0"/>
            <wp:wrapTopAndBottom/>
            <wp:docPr id="11" name="image63.png" descr=""/>
            <wp:cNvGraphicFramePr>
              <a:graphicFrameLocks noChangeAspect="1"/>
            </wp:cNvGraphicFramePr>
            <a:graphic>
              <a:graphicData uri="http://schemas.openxmlformats.org/drawingml/2006/picture">
                <pic:pic>
                  <pic:nvPicPr>
                    <pic:cNvPr id="12" name="image63.png"/>
                    <pic:cNvPicPr/>
                  </pic:nvPicPr>
                  <pic:blipFill>
                    <a:blip r:embed="rId74" cstate="print"/>
                    <a:stretch>
                      <a:fillRect/>
                    </a:stretch>
                  </pic:blipFill>
                  <pic:spPr>
                    <a:xfrm>
                      <a:off x="0" y="0"/>
                      <a:ext cx="7877078" cy="2514600"/>
                    </a:xfrm>
                    <a:prstGeom prst="rect">
                      <a:avLst/>
                    </a:prstGeom>
                  </pic:spPr>
                </pic:pic>
              </a:graphicData>
            </a:graphic>
          </wp:anchor>
        </w:drawing>
      </w:r>
    </w:p>
    <w:p>
      <w:pPr>
        <w:pStyle w:val="BodyText"/>
        <w:spacing w:before="30"/>
        <w:ind w:left="118"/>
      </w:pPr>
      <w:r>
        <w:rPr/>
        <w:t>Instrucciones: Resuelve el crucigrama, relacionada con los temas te estudio de la unidad de aprendizaje.</w:t>
      </w:r>
    </w:p>
    <w:p>
      <w:pPr>
        <w:pStyle w:val="BodyText"/>
        <w:rPr>
          <w:sz w:val="20"/>
        </w:rPr>
      </w:pPr>
    </w:p>
    <w:p>
      <w:pPr>
        <w:pStyle w:val="BodyText"/>
        <w:rPr>
          <w:sz w:val="20"/>
        </w:rPr>
      </w:pPr>
    </w:p>
    <w:p>
      <w:pPr>
        <w:pStyle w:val="BodyText"/>
        <w:spacing w:before="7"/>
        <w:rPr>
          <w:sz w:val="13"/>
        </w:rPr>
      </w:pPr>
      <w:r>
        <w:rPr/>
        <w:drawing>
          <wp:anchor distT="0" distB="0" distL="0" distR="0" allowOverlap="1" layoutInCell="1" locked="0" behindDoc="0" simplePos="0" relativeHeight="2416">
            <wp:simplePos x="0" y="0"/>
            <wp:positionH relativeFrom="page">
              <wp:posOffset>900683</wp:posOffset>
            </wp:positionH>
            <wp:positionV relativeFrom="paragraph">
              <wp:posOffset>124320</wp:posOffset>
            </wp:positionV>
            <wp:extent cx="8237854" cy="2120741"/>
            <wp:effectExtent l="0" t="0" r="0" b="0"/>
            <wp:wrapTopAndBottom/>
            <wp:docPr id="13" name="image64.jpeg" descr=""/>
            <wp:cNvGraphicFramePr>
              <a:graphicFrameLocks noChangeAspect="1"/>
            </wp:cNvGraphicFramePr>
            <a:graphic>
              <a:graphicData uri="http://schemas.openxmlformats.org/drawingml/2006/picture">
                <pic:pic>
                  <pic:nvPicPr>
                    <pic:cNvPr id="14" name="image64.jpeg"/>
                    <pic:cNvPicPr/>
                  </pic:nvPicPr>
                  <pic:blipFill>
                    <a:blip r:embed="rId75" cstate="print"/>
                    <a:stretch>
                      <a:fillRect/>
                    </a:stretch>
                  </pic:blipFill>
                  <pic:spPr>
                    <a:xfrm>
                      <a:off x="0" y="0"/>
                      <a:ext cx="8237854" cy="2120741"/>
                    </a:xfrm>
                    <a:prstGeom prst="rect">
                      <a:avLst/>
                    </a:prstGeom>
                  </pic:spPr>
                </pic:pic>
              </a:graphicData>
            </a:graphic>
          </wp:anchor>
        </w:drawing>
      </w:r>
    </w:p>
    <w:p>
      <w:pPr>
        <w:spacing w:after="0"/>
        <w:rPr>
          <w:sz w:val="13"/>
        </w:rPr>
        <w:sectPr>
          <w:footerReference w:type="default" r:id="rId73"/>
          <w:pgSz w:w="15840" w:h="12240" w:orient="landscape"/>
          <w:pgMar w:footer="0" w:header="0" w:top="1140" w:bottom="280" w:left="1300" w:right="1320"/>
        </w:sectPr>
      </w:pPr>
    </w:p>
    <w:p>
      <w:pPr>
        <w:pStyle w:val="Heading1"/>
        <w:spacing w:before="53"/>
        <w:ind w:left="2223"/>
      </w:pPr>
      <w:bookmarkStart w:name="_bookmark25" w:id="47"/>
      <w:bookmarkEnd w:id="47"/>
      <w:r>
        <w:rPr>
          <w:b w:val="0"/>
        </w:rPr>
      </w:r>
      <w:r>
        <w:rPr/>
        <w:t>UNIDAD III ESTADOS FINANCIEROS</w:t>
      </w:r>
    </w:p>
    <w:p>
      <w:pPr>
        <w:pStyle w:val="BodyText"/>
        <w:rPr>
          <w:b/>
          <w:sz w:val="20"/>
        </w:rPr>
      </w:pPr>
    </w:p>
    <w:p>
      <w:pPr>
        <w:pStyle w:val="BodyText"/>
        <w:spacing w:before="4"/>
        <w:rPr>
          <w:b/>
          <w:sz w:val="20"/>
        </w:rPr>
      </w:pPr>
    </w:p>
    <w:p>
      <w:pPr>
        <w:pStyle w:val="Heading2"/>
        <w:jc w:val="left"/>
      </w:pPr>
      <w:r>
        <w:rPr/>
        <w:t>Competencia</w:t>
      </w:r>
    </w:p>
    <w:p>
      <w:pPr>
        <w:pStyle w:val="BodyText"/>
        <w:rPr>
          <w:b/>
          <w:sz w:val="21"/>
        </w:rPr>
      </w:pPr>
    </w:p>
    <w:p>
      <w:pPr>
        <w:pStyle w:val="BodyText"/>
        <w:spacing w:before="1"/>
        <w:ind w:left="109"/>
      </w:pPr>
      <w:r>
        <w:rPr/>
        <w:t>Elaborará estados financieros básicos de las entidades turísticas.</w:t>
      </w:r>
    </w:p>
    <w:p>
      <w:pPr>
        <w:pStyle w:val="BodyText"/>
      </w:pPr>
    </w:p>
    <w:p>
      <w:pPr>
        <w:pStyle w:val="BodyText"/>
      </w:pPr>
    </w:p>
    <w:p>
      <w:pPr>
        <w:pStyle w:val="Heading2"/>
        <w:spacing w:before="206"/>
        <w:jc w:val="left"/>
      </w:pPr>
      <w:r>
        <w:rPr/>
        <w:t>Elementos de la competencia</w:t>
      </w:r>
    </w:p>
    <w:p>
      <w:pPr>
        <w:pStyle w:val="BodyText"/>
        <w:rPr>
          <w:b/>
          <w:sz w:val="21"/>
        </w:rPr>
      </w:pPr>
    </w:p>
    <w:p>
      <w:pPr>
        <w:pStyle w:val="ListParagraph"/>
        <w:numPr>
          <w:ilvl w:val="1"/>
          <w:numId w:val="24"/>
        </w:numPr>
        <w:tabs>
          <w:tab w:pos="513" w:val="left" w:leader="none"/>
        </w:tabs>
        <w:spacing w:line="240" w:lineRule="auto" w:before="1" w:after="0"/>
        <w:ind w:left="512" w:right="0" w:hanging="403"/>
        <w:jc w:val="left"/>
        <w:rPr>
          <w:sz w:val="24"/>
        </w:rPr>
      </w:pPr>
      <w:r>
        <w:rPr>
          <w:sz w:val="24"/>
        </w:rPr>
        <w:t>Estados financieros</w:t>
      </w:r>
      <w:r>
        <w:rPr>
          <w:spacing w:val="-8"/>
          <w:sz w:val="24"/>
        </w:rPr>
        <w:t> </w:t>
      </w:r>
      <w:r>
        <w:rPr>
          <w:sz w:val="24"/>
        </w:rPr>
        <w:t>básicos.</w:t>
      </w:r>
    </w:p>
    <w:p>
      <w:pPr>
        <w:pStyle w:val="ListParagraph"/>
        <w:numPr>
          <w:ilvl w:val="2"/>
          <w:numId w:val="24"/>
        </w:numPr>
        <w:tabs>
          <w:tab w:pos="1277" w:val="left" w:leader="none"/>
        </w:tabs>
        <w:spacing w:line="240" w:lineRule="auto" w:before="200" w:after="0"/>
        <w:ind w:left="1276" w:right="0" w:hanging="601"/>
        <w:jc w:val="left"/>
        <w:rPr>
          <w:sz w:val="24"/>
        </w:rPr>
      </w:pPr>
      <w:r>
        <w:rPr>
          <w:sz w:val="24"/>
        </w:rPr>
        <w:t>Generalidades.</w:t>
      </w:r>
    </w:p>
    <w:p>
      <w:pPr>
        <w:pStyle w:val="ListParagraph"/>
        <w:numPr>
          <w:ilvl w:val="1"/>
          <w:numId w:val="24"/>
        </w:numPr>
        <w:tabs>
          <w:tab w:pos="513" w:val="left" w:leader="none"/>
        </w:tabs>
        <w:spacing w:line="240" w:lineRule="auto" w:before="199" w:after="0"/>
        <w:ind w:left="512" w:right="0" w:hanging="403"/>
        <w:jc w:val="left"/>
        <w:rPr>
          <w:sz w:val="24"/>
        </w:rPr>
      </w:pPr>
      <w:r>
        <w:rPr>
          <w:sz w:val="24"/>
        </w:rPr>
        <w:t>Balance</w:t>
      </w:r>
      <w:r>
        <w:rPr>
          <w:spacing w:val="-7"/>
          <w:sz w:val="24"/>
        </w:rPr>
        <w:t> </w:t>
      </w:r>
      <w:r>
        <w:rPr>
          <w:sz w:val="24"/>
        </w:rPr>
        <w:t>General.</w:t>
      </w:r>
    </w:p>
    <w:p>
      <w:pPr>
        <w:pStyle w:val="ListParagraph"/>
        <w:numPr>
          <w:ilvl w:val="2"/>
          <w:numId w:val="24"/>
        </w:numPr>
        <w:tabs>
          <w:tab w:pos="1278" w:val="left" w:leader="none"/>
        </w:tabs>
        <w:spacing w:line="240" w:lineRule="auto" w:before="201" w:after="0"/>
        <w:ind w:left="1277" w:right="0" w:hanging="602"/>
        <w:jc w:val="left"/>
        <w:rPr>
          <w:sz w:val="24"/>
        </w:rPr>
      </w:pPr>
      <w:r>
        <w:rPr>
          <w:sz w:val="24"/>
        </w:rPr>
        <w:t>Elementos.</w:t>
      </w:r>
    </w:p>
    <w:p>
      <w:pPr>
        <w:pStyle w:val="BodyText"/>
        <w:spacing w:before="199"/>
        <w:ind w:left="675"/>
      </w:pPr>
      <w:r>
        <w:rPr/>
        <w:t>3.2.2. Ecuación contable.</w:t>
      </w:r>
    </w:p>
    <w:p>
      <w:pPr>
        <w:pStyle w:val="BodyText"/>
        <w:spacing w:before="199"/>
        <w:ind w:left="675"/>
      </w:pPr>
      <w:r>
        <w:rPr/>
        <w:t>3.2.3 Estructura.</w:t>
      </w:r>
    </w:p>
    <w:p>
      <w:pPr>
        <w:pStyle w:val="ListParagraph"/>
        <w:numPr>
          <w:ilvl w:val="1"/>
          <w:numId w:val="24"/>
        </w:numPr>
        <w:tabs>
          <w:tab w:pos="512" w:val="left" w:leader="none"/>
        </w:tabs>
        <w:spacing w:line="240" w:lineRule="auto" w:before="199" w:after="0"/>
        <w:ind w:left="511" w:right="0" w:hanging="402"/>
        <w:jc w:val="left"/>
        <w:rPr>
          <w:sz w:val="24"/>
        </w:rPr>
      </w:pPr>
      <w:r>
        <w:rPr>
          <w:sz w:val="24"/>
        </w:rPr>
        <w:t>Estado de</w:t>
      </w:r>
      <w:r>
        <w:rPr>
          <w:spacing w:val="-11"/>
          <w:sz w:val="24"/>
        </w:rPr>
        <w:t> </w:t>
      </w:r>
      <w:r>
        <w:rPr>
          <w:sz w:val="24"/>
        </w:rPr>
        <w:t>resultados.</w:t>
      </w:r>
    </w:p>
    <w:p>
      <w:pPr>
        <w:pStyle w:val="ListParagraph"/>
        <w:numPr>
          <w:ilvl w:val="2"/>
          <w:numId w:val="24"/>
        </w:numPr>
        <w:tabs>
          <w:tab w:pos="1277" w:val="left" w:leader="none"/>
        </w:tabs>
        <w:spacing w:line="240" w:lineRule="auto" w:before="201" w:after="0"/>
        <w:ind w:left="1276" w:right="0" w:hanging="601"/>
        <w:jc w:val="left"/>
        <w:rPr>
          <w:sz w:val="24"/>
        </w:rPr>
      </w:pPr>
      <w:r>
        <w:rPr>
          <w:sz w:val="24"/>
        </w:rPr>
        <w:t>Estructura.</w:t>
      </w:r>
    </w:p>
    <w:p>
      <w:pPr>
        <w:pStyle w:val="BodyText"/>
        <w:spacing w:before="199"/>
        <w:ind w:left="109"/>
      </w:pPr>
      <w:r>
        <w:rPr/>
        <w:t>3.4. Actividad de Aprendizaje.</w:t>
      </w:r>
    </w:p>
    <w:p>
      <w:pPr>
        <w:spacing w:after="0"/>
        <w:sectPr>
          <w:footerReference w:type="default" r:id="rId76"/>
          <w:pgSz w:w="12240" w:h="15840"/>
          <w:pgMar w:footer="0" w:header="0" w:top="1400" w:bottom="280" w:left="1360" w:right="1720"/>
        </w:sectPr>
      </w:pPr>
    </w:p>
    <w:p>
      <w:pPr>
        <w:pStyle w:val="Heading2"/>
        <w:spacing w:before="57"/>
      </w:pPr>
      <w:bookmarkStart w:name="_bookmark26" w:id="48"/>
      <w:bookmarkEnd w:id="48"/>
      <w:r>
        <w:rPr>
          <w:b w:val="0"/>
        </w:rPr>
      </w:r>
      <w:r>
        <w:rPr/>
        <w:t>3.1 ESTADOS FINANCIEROS BÁSICOS.</w:t>
      </w:r>
    </w:p>
    <w:p>
      <w:pPr>
        <w:pStyle w:val="BodyText"/>
        <w:rPr>
          <w:b/>
        </w:rPr>
      </w:pPr>
    </w:p>
    <w:p>
      <w:pPr>
        <w:pStyle w:val="BodyText"/>
        <w:rPr>
          <w:b/>
        </w:rPr>
      </w:pPr>
    </w:p>
    <w:p>
      <w:pPr>
        <w:pStyle w:val="Heading2"/>
        <w:spacing w:before="163"/>
      </w:pPr>
      <w:bookmarkStart w:name="_bookmark27" w:id="49"/>
      <w:bookmarkEnd w:id="49"/>
      <w:r>
        <w:rPr>
          <w:b w:val="0"/>
        </w:rPr>
      </w:r>
      <w:r>
        <w:rPr/>
        <w:t>3.1.1 Generalidades.</w:t>
      </w:r>
    </w:p>
    <w:p>
      <w:pPr>
        <w:pStyle w:val="BodyText"/>
        <w:spacing w:line="360" w:lineRule="auto" w:before="41"/>
        <w:ind w:left="109" w:right="618"/>
        <w:jc w:val="both"/>
      </w:pPr>
      <w:r>
        <w:rPr/>
        <w:t>Los Estados financieros se presentan a pesos constantes los recursos generados o utilidades</w:t>
      </w:r>
      <w:r>
        <w:rPr>
          <w:spacing w:val="-19"/>
        </w:rPr>
        <w:t> </w:t>
      </w:r>
      <w:r>
        <w:rPr/>
        <w:t>en</w:t>
      </w:r>
      <w:r>
        <w:rPr>
          <w:spacing w:val="-16"/>
        </w:rPr>
        <w:t> </w:t>
      </w:r>
      <w:r>
        <w:rPr/>
        <w:t>la</w:t>
      </w:r>
      <w:r>
        <w:rPr>
          <w:spacing w:val="-16"/>
        </w:rPr>
        <w:t> </w:t>
      </w:r>
      <w:r>
        <w:rPr/>
        <w:t>operación,</w:t>
      </w:r>
      <w:r>
        <w:rPr>
          <w:spacing w:val="-16"/>
        </w:rPr>
        <w:t> </w:t>
      </w:r>
      <w:r>
        <w:rPr/>
        <w:t>los</w:t>
      </w:r>
      <w:r>
        <w:rPr>
          <w:spacing w:val="-16"/>
        </w:rPr>
        <w:t> </w:t>
      </w:r>
      <w:r>
        <w:rPr/>
        <w:t>principales</w:t>
      </w:r>
      <w:r>
        <w:rPr>
          <w:spacing w:val="-16"/>
        </w:rPr>
        <w:t> </w:t>
      </w:r>
      <w:r>
        <w:rPr/>
        <w:t>cambios</w:t>
      </w:r>
      <w:r>
        <w:rPr>
          <w:spacing w:val="-16"/>
        </w:rPr>
        <w:t> </w:t>
      </w:r>
      <w:r>
        <w:rPr/>
        <w:t>ocurridos</w:t>
      </w:r>
      <w:r>
        <w:rPr>
          <w:spacing w:val="-16"/>
        </w:rPr>
        <w:t> </w:t>
      </w:r>
      <w:r>
        <w:rPr/>
        <w:t>en</w:t>
      </w:r>
      <w:r>
        <w:rPr>
          <w:spacing w:val="-16"/>
        </w:rPr>
        <w:t> </w:t>
      </w:r>
      <w:r>
        <w:rPr/>
        <w:t>la</w:t>
      </w:r>
      <w:r>
        <w:rPr>
          <w:spacing w:val="-16"/>
        </w:rPr>
        <w:t> </w:t>
      </w:r>
      <w:r>
        <w:rPr/>
        <w:t>estructura</w:t>
      </w:r>
      <w:r>
        <w:rPr>
          <w:spacing w:val="-19"/>
        </w:rPr>
        <w:t> </w:t>
      </w:r>
      <w:r>
        <w:rPr/>
        <w:t>financiera de la entidad y su reflejo final en el efectivo e inversiones temporales a través de un periodo determinado. La expresión "pesos constantes", representa pesos del poder adquisitivo a la fecha del balance general (último ejercicio reportado tratándose de estados financieros</w:t>
      </w:r>
      <w:r>
        <w:rPr>
          <w:spacing w:val="-14"/>
        </w:rPr>
        <w:t> </w:t>
      </w:r>
      <w:r>
        <w:rPr/>
        <w:t>comparativos).</w:t>
      </w:r>
    </w:p>
    <w:p>
      <w:pPr>
        <w:pStyle w:val="BodyText"/>
      </w:pPr>
    </w:p>
    <w:p>
      <w:pPr>
        <w:pStyle w:val="BodyText"/>
        <w:spacing w:before="142"/>
        <w:ind w:left="109"/>
        <w:jc w:val="both"/>
      </w:pPr>
      <w:r>
        <w:rPr/>
        <w:pict>
          <v:group style="position:absolute;margin-left:176.994995pt;margin-top:66.300873pt;width:13.3pt;height:302.2pt;mso-position-horizontal-relative:page;mso-position-vertical-relative:paragraph;z-index:2512" coordorigin="3540,1326" coordsize="266,6044">
            <v:shape style="position:absolute;left:3560;top:1347;width:225;height:6003" coordorigin="3560,1347" coordsize="225,6003" path="m3785,1347l3742,1348,3706,1352,3682,1358,3673,1365,3673,4329,3664,4336,3640,4342,3604,4346,3560,4348,3604,4349,3640,4353,3664,4359,3673,4367,3673,7330,3682,7337,3706,7343,3742,7347,3785,7349,3785,1347xe" filled="true" fillcolor="#4f81bc" stroked="false">
              <v:path arrowok="t"/>
              <v:fill type="solid"/>
            </v:shape>
            <v:shape style="position:absolute;left:3560;top:1347;width:225;height:6003" coordorigin="3560,1347" coordsize="225,6003" path="m3785,7349l3742,7347,3706,7343,3682,7337,3673,7330,3673,4367,3664,4359,3640,4353,3604,4349,3560,4348,3604,4346,3640,4342,3664,4336,3673,4329,3673,1365,3682,1358,3706,1352,3742,1348,3785,1347e" filled="false" stroked="true" strokeweight="2.04pt" strokecolor="#385d89">
              <v:path arrowok="t"/>
            </v:shape>
            <w10:wrap type="none"/>
          </v:group>
        </w:pict>
      </w:r>
      <w:r>
        <w:rPr/>
        <w:pict>
          <v:group style="position:absolute;margin-left:194.274994pt;margin-top:72.060867pt;width:125.8pt;height:48.25pt;mso-position-horizontal-relative:page;mso-position-vertical-relative:paragraph;z-index:2560" coordorigin="3885,1441" coordsize="2516,965">
            <v:rect style="position:absolute;left:3906;top:1462;width:2474;height:924" filled="true" fillcolor="#4f81bc" stroked="false">
              <v:fill type="solid"/>
            </v:rect>
            <v:shape style="position:absolute;left:3924;top:1552;width:2436;height:739" type="#_x0000_t75" stroked="false">
              <v:imagedata r:id="rId78" o:title=""/>
            </v:shape>
            <v:shape style="position:absolute;left:3906;top:1462;width:2475;height:924" type="#_x0000_t202" filled="false" stroked="true" strokeweight="2.04pt" strokecolor="#385d89">
              <v:textbox inset="0,0,0,0">
                <w:txbxContent>
                  <w:p>
                    <w:pPr>
                      <w:spacing w:line="276" w:lineRule="auto" w:before="70"/>
                      <w:ind w:left="243" w:right="244" w:firstLine="2"/>
                      <w:jc w:val="center"/>
                      <w:rPr>
                        <w:sz w:val="20"/>
                      </w:rPr>
                    </w:pPr>
                    <w:r>
                      <w:rPr>
                        <w:color w:val="FFFFFF"/>
                        <w:sz w:val="20"/>
                      </w:rPr>
                      <w:t>Balance General, Estado de Situación o Posición Financiera</w:t>
                    </w:r>
                  </w:p>
                </w:txbxContent>
              </v:textbox>
              <w10:wrap type="none"/>
            </v:shape>
            <w10:wrap type="none"/>
          </v:group>
        </w:pict>
      </w:r>
      <w:r>
        <w:rPr/>
        <w:pict>
          <v:group style="position:absolute;margin-left:194.274994pt;margin-top:140.580872pt;width:125.8pt;height:30.25pt;mso-position-horizontal-relative:page;mso-position-vertical-relative:paragraph;z-index:2608" coordorigin="3885,2812" coordsize="2516,605">
            <v:rect style="position:absolute;left:3906;top:2832;width:2474;height:564" filled="true" fillcolor="#4f81bc" stroked="false">
              <v:fill type="solid"/>
            </v:rect>
            <v:shape style="position:absolute;left:3924;top:2925;width:2436;height:377" type="#_x0000_t75" stroked="false">
              <v:imagedata r:id="rId79" o:title=""/>
            </v:shape>
            <v:shape style="position:absolute;left:3906;top:2832;width:2475;height:564" type="#_x0000_t202" filled="false" stroked="true" strokeweight="2.04pt" strokecolor="#385d89">
              <v:textbox inset="0,0,0,0">
                <w:txbxContent>
                  <w:p>
                    <w:pPr>
                      <w:spacing w:before="73"/>
                      <w:ind w:left="238" w:right="55" w:firstLine="0"/>
                      <w:jc w:val="left"/>
                      <w:rPr>
                        <w:sz w:val="20"/>
                      </w:rPr>
                    </w:pPr>
                    <w:r>
                      <w:rPr>
                        <w:color w:val="FFFFFF"/>
                        <w:sz w:val="20"/>
                      </w:rPr>
                      <w:t>Estado de Resultados</w:t>
                    </w:r>
                  </w:p>
                </w:txbxContent>
              </v:textbox>
              <w10:wrap type="none"/>
            </v:shape>
            <w10:wrap type="none"/>
          </v:group>
        </w:pict>
      </w:r>
      <w:r>
        <w:rPr/>
        <w:pict>
          <v:group style="position:absolute;margin-left:338.994995pt;margin-top:72.060867pt;width:209.8pt;height:48.25pt;mso-position-horizontal-relative:page;mso-position-vertical-relative:paragraph;z-index:2752" coordorigin="6780,1441" coordsize="4196,965">
            <v:rect style="position:absolute;left:6800;top:1462;width:4154;height:924" filled="true" fillcolor="#4f81bc" stroked="false">
              <v:fill type="solid"/>
            </v:rect>
            <v:shape style="position:absolute;left:6818;top:1552;width:4116;height:739" type="#_x0000_t75" stroked="false">
              <v:imagedata r:id="rId80" o:title=""/>
            </v:shape>
            <v:shape style="position:absolute;left:6800;top:1462;width:4155;height:924" type="#_x0000_t202" filled="false" stroked="true" strokeweight="2.04pt" strokecolor="#385d89">
              <v:textbox inset="0,0,0,0">
                <w:txbxContent>
                  <w:p>
                    <w:pPr>
                      <w:spacing w:line="276" w:lineRule="auto" w:before="70"/>
                      <w:ind w:left="143" w:right="147" w:firstLine="0"/>
                      <w:jc w:val="both"/>
                      <w:rPr>
                        <w:sz w:val="20"/>
                      </w:rPr>
                    </w:pPr>
                    <w:r>
                      <w:rPr>
                        <w:color w:val="FFFFFF"/>
                        <w:sz w:val="20"/>
                      </w:rPr>
                      <w:t>Muestra información relativa a un punto en el tiempo sobre los recursos y obligaciones financieros de la entidad.</w:t>
                    </w:r>
                  </w:p>
                </w:txbxContent>
              </v:textbox>
              <w10:wrap type="none"/>
            </v:shape>
            <w10:wrap type="none"/>
          </v:group>
        </w:pict>
      </w:r>
      <w:r>
        <w:rPr/>
        <w:pict>
          <v:group style="position:absolute;margin-left:325.434998pt;margin-top:129.780869pt;width:9.4pt;height:54.05pt;mso-position-horizontal-relative:page;mso-position-vertical-relative:paragraph;z-index:2776" coordorigin="6509,2596" coordsize="188,1081">
            <v:shape style="position:absolute;left:6529;top:2616;width:147;height:1040" coordorigin="6529,2616" coordsize="147,1040" path="m6676,2616l6647,2617,6624,2620,6608,2624,6602,2628,6602,3124,6597,3128,6581,3132,6558,3135,6529,3136,6558,3137,6581,3139,6597,3143,6602,3148,6602,3643,6608,3648,6624,3652,6647,3654,6676,3655,6676,2616xe" filled="true" fillcolor="#4f81bc" stroked="false">
              <v:path arrowok="t"/>
              <v:fill type="solid"/>
            </v:shape>
            <v:shape style="position:absolute;left:6529;top:2616;width:147;height:1040" coordorigin="6529,2616" coordsize="147,1040" path="m6676,3655l6647,3654,6624,3652,6608,3648,6602,3643,6602,3148,6597,3143,6581,3139,6558,3137,6529,3136,6558,3135,6581,3132,6597,3128,6602,3124,6602,2628,6608,2624,6624,2620,6647,2617,6676,2616e" filled="false" stroked="true" strokeweight="2.04pt" strokecolor="#385d89">
              <v:path arrowok="t"/>
            </v:shape>
            <w10:wrap type="none"/>
          </v:group>
        </w:pict>
      </w:r>
      <w:r>
        <w:rPr/>
        <w:pict>
          <v:group style="position:absolute;margin-left:338.994995pt;margin-top:136.260864pt;width:209.8pt;height:43.95pt;mso-position-horizontal-relative:page;mso-position-vertical-relative:paragraph;z-index:2824" coordorigin="6780,2725" coordsize="4196,879">
            <v:rect style="position:absolute;left:6800;top:2746;width:4154;height:838" filled="true" fillcolor="#4f81bc" stroked="false">
              <v:fill type="solid"/>
            </v:rect>
            <v:shape style="position:absolute;left:6818;top:2836;width:4116;height:653" type="#_x0000_t75" stroked="false">
              <v:imagedata r:id="rId81" o:title=""/>
            </v:shape>
            <v:shape style="position:absolute;left:6800;top:2746;width:4155;height:838" type="#_x0000_t202" filled="false" stroked="true" strokeweight="2.04pt" strokecolor="#385d89">
              <v:textbox inset="0,0,0,0">
                <w:txbxContent>
                  <w:p>
                    <w:pPr>
                      <w:spacing w:line="276" w:lineRule="auto" w:before="70"/>
                      <w:ind w:left="143" w:right="0" w:firstLine="0"/>
                      <w:jc w:val="left"/>
                      <w:rPr>
                        <w:sz w:val="20"/>
                      </w:rPr>
                    </w:pPr>
                    <w:r>
                      <w:rPr>
                        <w:color w:val="FFFFFF"/>
                        <w:sz w:val="20"/>
                      </w:rPr>
                      <w:t>Muestra información relativa al resultado de sus operaciones en un periodo.</w:t>
                    </w:r>
                  </w:p>
                </w:txbxContent>
              </v:textbox>
              <w10:wrap type="none"/>
            </v:shape>
            <w10:wrap type="none"/>
          </v:group>
        </w:pict>
      </w:r>
      <w:r>
        <w:rPr/>
        <w:t>Los Estados financieros se clasifican en:</w:t>
      </w:r>
    </w:p>
    <w:p>
      <w:pPr>
        <w:pStyle w:val="BodyText"/>
        <w:rPr>
          <w:sz w:val="20"/>
        </w:rPr>
      </w:pPr>
    </w:p>
    <w:p>
      <w:pPr>
        <w:pStyle w:val="BodyText"/>
        <w:rPr>
          <w:sz w:val="20"/>
        </w:rPr>
      </w:pPr>
    </w:p>
    <w:p>
      <w:pPr>
        <w:pStyle w:val="BodyText"/>
        <w:rPr>
          <w:sz w:val="20"/>
        </w:rPr>
      </w:pPr>
    </w:p>
    <w:p>
      <w:pPr>
        <w:pStyle w:val="BodyText"/>
        <w:spacing w:before="6"/>
        <w:rPr>
          <w:sz w:val="15"/>
        </w:rPr>
      </w:pPr>
      <w:r>
        <w:rPr/>
        <w:pict>
          <v:group style="position:absolute;margin-left:325.434998pt;margin-top:10.904971pt;width:9.4pt;height:54.05pt;mso-position-horizontal-relative:page;mso-position-vertical-relative:paragraph;z-index:2440;mso-wrap-distance-left:0;mso-wrap-distance-right:0" coordorigin="6509,218" coordsize="188,1081">
            <v:shape style="position:absolute;left:6529;top:239;width:147;height:1040" coordorigin="6529,239" coordsize="147,1040" path="m6676,239l6647,240,6624,242,6608,246,6602,251,6602,746,6597,751,6581,755,6558,757,6529,758,6558,759,6581,762,6597,766,6602,770,6602,1266,6608,1270,6624,1274,6647,1277,6676,1278,6676,239xe" filled="true" fillcolor="#4f81bc" stroked="false">
              <v:path arrowok="t"/>
              <v:fill type="solid"/>
            </v:shape>
            <v:shape style="position:absolute;left:6529;top:239;width:147;height:1040" coordorigin="6529,239" coordsize="147,1040" path="m6676,1278l6647,1277,6624,1274,6608,1270,6602,1266,6602,770,6597,766,6581,762,6558,759,6529,758,6558,757,6581,755,6597,751,6602,746,6602,251,6608,246,6624,242,6647,240,6676,239e" filled="false" stroked="true" strokeweight="2.04pt" strokecolor="#385d89">
              <v:path arrowok="t"/>
            </v:shape>
            <w10:wrap type="topAndBottom"/>
          </v:group>
        </w:pict>
      </w:r>
      <w:r>
        <w:rPr/>
        <w:pict>
          <v:group style="position:absolute;margin-left:75.714996pt;margin-top:116.264969pt;width:94.35pt;height:38.050pt;mso-position-horizontal-relative:page;mso-position-vertical-relative:paragraph;z-index:2488;mso-wrap-distance-left:0;mso-wrap-distance-right:0" coordorigin="1514,2325" coordsize="1887,761">
            <v:rect style="position:absolute;left:1535;top:2346;width:1846;height:720" filled="true" fillcolor="#4f81bc" stroked="false">
              <v:fill type="solid"/>
            </v:rect>
            <v:shape style="position:absolute;left:1555;top:2436;width:1805;height:538" type="#_x0000_t75" stroked="false">
              <v:imagedata r:id="rId82" o:title=""/>
            </v:shape>
            <v:shape style="position:absolute;left:1535;top:2346;width:1846;height:720" type="#_x0000_t202" filled="false" stroked="true" strokeweight="2.04pt" strokecolor="#385d89">
              <v:textbox inset="0,0,0,0">
                <w:txbxContent>
                  <w:p>
                    <w:pPr>
                      <w:spacing w:line="276" w:lineRule="auto" w:before="70"/>
                      <w:ind w:left="415" w:right="0" w:firstLine="124"/>
                      <w:jc w:val="left"/>
                      <w:rPr>
                        <w:sz w:val="20"/>
                      </w:rPr>
                    </w:pPr>
                    <w:r>
                      <w:rPr>
                        <w:color w:val="FFFFFF"/>
                        <w:sz w:val="20"/>
                      </w:rPr>
                      <w:t>Estados financieros</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1"/>
        </w:rPr>
      </w:pPr>
    </w:p>
    <w:p>
      <w:pPr>
        <w:spacing w:before="1"/>
        <w:ind w:left="2370" w:right="2887" w:firstLine="0"/>
        <w:jc w:val="center"/>
        <w:rPr>
          <w:sz w:val="20"/>
        </w:rPr>
      </w:pPr>
      <w:r>
        <w:rPr/>
        <w:pict>
          <v:group style="position:absolute;margin-left:194.274994pt;margin-top:-167.555115pt;width:125.8pt;height:40.35pt;mso-position-horizontal-relative:page;mso-position-vertical-relative:paragraph;z-index:2656" coordorigin="3885,-3351" coordsize="2516,807">
            <v:rect style="position:absolute;left:3906;top:-3331;width:2474;height:766" filled="true" fillcolor="#4f81bc" stroked="false">
              <v:fill type="solid"/>
            </v:rect>
            <v:shape style="position:absolute;left:3924;top:-3238;width:2436;height:581" type="#_x0000_t75" stroked="false">
              <v:imagedata r:id="rId83" o:title=""/>
            </v:shape>
            <v:shape style="position:absolute;left:3906;top:-3331;width:2475;height:766" type="#_x0000_t202" filled="false" stroked="true" strokeweight="2.04pt" strokecolor="#385d89">
              <v:textbox inset="0,0,0,0">
                <w:txbxContent>
                  <w:p>
                    <w:pPr>
                      <w:spacing w:line="276" w:lineRule="auto" w:before="73"/>
                      <w:ind w:left="231" w:right="55" w:hanging="15"/>
                      <w:jc w:val="left"/>
                      <w:rPr>
                        <w:sz w:val="20"/>
                      </w:rPr>
                    </w:pPr>
                    <w:r>
                      <w:rPr>
                        <w:color w:val="FFFFFF"/>
                        <w:sz w:val="20"/>
                      </w:rPr>
                      <w:t>Estado de Variaciones en el Capital Contable</w:t>
                    </w:r>
                  </w:p>
                </w:txbxContent>
              </v:textbox>
              <w10:wrap type="none"/>
            </v:shape>
            <w10:wrap type="none"/>
          </v:group>
        </w:pict>
      </w:r>
      <w:r>
        <w:rPr/>
        <w:pict>
          <v:group style="position:absolute;margin-left:194.274994pt;margin-top:-101.795113pt;width:125.8pt;height:72.05pt;mso-position-horizontal-relative:page;mso-position-vertical-relative:paragraph;z-index:2704" coordorigin="3885,-2036" coordsize="2516,1441">
            <v:rect style="position:absolute;left:3906;top:-2015;width:2474;height:1399" filled="true" fillcolor="#4f81bc" stroked="false">
              <v:fill type="solid"/>
            </v:rect>
            <v:shape style="position:absolute;left:3924;top:-1925;width:2436;height:1214" type="#_x0000_t75" stroked="false">
              <v:imagedata r:id="rId84" o:title=""/>
            </v:shape>
            <v:shape style="position:absolute;left:3906;top:-2015;width:2475;height:1400" type="#_x0000_t202" filled="false" stroked="true" strokeweight="2.04pt" strokecolor="#385d89">
              <v:textbox inset="0,0,0,0">
                <w:txbxContent>
                  <w:p>
                    <w:pPr>
                      <w:spacing w:line="276" w:lineRule="auto" w:before="70"/>
                      <w:ind w:left="298" w:right="302" w:firstLine="3"/>
                      <w:jc w:val="center"/>
                      <w:rPr>
                        <w:sz w:val="20"/>
                      </w:rPr>
                    </w:pPr>
                    <w:r>
                      <w:rPr>
                        <w:color w:val="FFFFFF"/>
                        <w:sz w:val="20"/>
                      </w:rPr>
                      <w:t>Estado de Flujo de Efectivo o Estado de Cambios en la Situación Financiera</w:t>
                    </w:r>
                  </w:p>
                </w:txbxContent>
              </v:textbox>
              <w10:wrap type="none"/>
            </v:shape>
            <w10:wrap type="none"/>
          </v:group>
        </w:pict>
      </w:r>
      <w:r>
        <w:rPr/>
        <w:pict>
          <v:group style="position:absolute;margin-left:326.994995pt;margin-top:-174.755112pt;width:9.4pt;height:54.05pt;mso-position-horizontal-relative:page;mso-position-vertical-relative:paragraph;z-index:2848" coordorigin="6540,-3495" coordsize="188,1081">
            <v:shape style="position:absolute;left:6560;top:-3475;width:147;height:1040" coordorigin="6560,-3475" coordsize="147,1040" path="m6707,-3475l6678,-3474,6655,-3471,6639,-3467,6634,-3462,6634,-2967,6628,-2962,6612,-2959,6589,-2956,6560,-2955,6589,-2954,6612,-2951,6628,-2948,6634,-2943,6634,-2448,6639,-2443,6655,-2439,6678,-2436,6707,-2435,6707,-3475xe" filled="true" fillcolor="#4f81bc" stroked="false">
              <v:path arrowok="t"/>
              <v:fill type="solid"/>
            </v:shape>
            <v:shape style="position:absolute;left:6560;top:-3475;width:147;height:1040" coordorigin="6560,-3475" coordsize="147,1040" path="m6707,-2435l6678,-2436,6655,-2439,6639,-2443,6634,-2448,6634,-2943,6628,-2948,6612,-2951,6589,-2954,6560,-2955,6589,-2956,6612,-2959,6628,-2962,6634,-2967,6634,-3462,6639,-3467,6655,-3471,6678,-3474,6707,-3475e" filled="false" stroked="true" strokeweight="2.04pt" strokecolor="#385d89">
              <v:path arrowok="t"/>
            </v:shape>
            <w10:wrap type="none"/>
          </v:group>
        </w:pict>
      </w:r>
      <w:r>
        <w:rPr/>
        <w:pict>
          <v:group style="position:absolute;margin-left:338.994995pt;margin-top:-169.715118pt;width:213.5pt;height:46.85pt;mso-position-horizontal-relative:page;mso-position-vertical-relative:paragraph;z-index:2896" coordorigin="6780,-3394" coordsize="4270,937">
            <v:rect style="position:absolute;left:6800;top:-3374;width:4229;height:895" filled="true" fillcolor="#4f81bc" stroked="false">
              <v:fill type="solid"/>
            </v:rect>
            <v:shape style="position:absolute;left:6818;top:-3281;width:4190;height:710" type="#_x0000_t75" stroked="false">
              <v:imagedata r:id="rId85" o:title=""/>
            </v:shape>
            <v:shape style="position:absolute;left:6800;top:-3374;width:4229;height:896" type="#_x0000_t202" filled="false" stroked="true" strokeweight="2.04pt" strokecolor="#385d89">
              <v:textbox inset="0,0,0,0">
                <w:txbxContent>
                  <w:p>
                    <w:pPr>
                      <w:spacing w:line="276" w:lineRule="auto" w:before="73"/>
                      <w:ind w:left="143" w:right="0" w:firstLine="0"/>
                      <w:jc w:val="left"/>
                      <w:rPr>
                        <w:sz w:val="20"/>
                      </w:rPr>
                    </w:pPr>
                    <w:r>
                      <w:rPr>
                        <w:color w:val="FFFFFF"/>
                        <w:sz w:val="20"/>
                      </w:rPr>
                      <w:t>Muestra los cambios en la inversión de los accionistas o dueños durante el periodo.</w:t>
                    </w:r>
                  </w:p>
                </w:txbxContent>
              </v:textbox>
              <w10:wrap type="none"/>
            </v:shape>
            <w10:wrap type="none"/>
          </v:group>
        </w:pict>
      </w:r>
      <w:r>
        <w:rPr/>
        <w:pict>
          <v:group style="position:absolute;margin-left:326.274994pt;margin-top:-101.795113pt;width:10.1pt;height:72.05pt;mso-position-horizontal-relative:page;mso-position-vertical-relative:paragraph;z-index:2920" coordorigin="6525,-2036" coordsize="202,1441">
            <v:shape style="position:absolute;left:6546;top:-2015;width:161;height:1400" coordorigin="6546,-2015" coordsize="161,1400" path="m6707,-2015l6676,-2014,6650,-2011,6633,-2007,6626,-2002,6626,-1329,6620,-1324,6603,-1320,6577,-1317,6546,-1316,6577,-1315,6603,-1312,6620,-1308,6626,-1302,6626,-630,6633,-624,6650,-620,6676,-617,6707,-616,6707,-2015xe" filled="true" fillcolor="#4f81bc" stroked="false">
              <v:path arrowok="t"/>
              <v:fill type="solid"/>
            </v:shape>
            <v:shape style="position:absolute;left:6546;top:-2015;width:161;height:1400" coordorigin="6546,-2015" coordsize="161,1400" path="m6707,-616l6676,-617,6650,-620,6633,-624,6626,-630,6626,-1302,6620,-1308,6603,-1312,6577,-1315,6546,-1316,6577,-1317,6603,-1320,6620,-1324,6626,-1329,6626,-2002,6633,-2007,6650,-2011,6676,-2014,6707,-2015e" filled="false" stroked="true" strokeweight="2.04pt" strokecolor="#385d89">
              <v:path arrowok="t"/>
            </v:shape>
            <w10:wrap type="none"/>
          </v:group>
        </w:pict>
      </w:r>
      <w:r>
        <w:rPr/>
        <w:pict>
          <v:group style="position:absolute;margin-left:338.994995pt;margin-top:-101.795113pt;width:209.8pt;height:75.650pt;mso-position-horizontal-relative:page;mso-position-vertical-relative:paragraph;z-index:2968" coordorigin="6780,-2036" coordsize="4196,1513">
            <v:rect style="position:absolute;left:6800;top:-2015;width:4154;height:1471" filled="true" fillcolor="#4f81bc" stroked="false">
              <v:fill type="solid"/>
            </v:rect>
            <v:shape style="position:absolute;left:6818;top:-1925;width:4116;height:1286" type="#_x0000_t75" stroked="false">
              <v:imagedata r:id="rId86" o:title=""/>
            </v:shape>
            <v:shape style="position:absolute;left:6800;top:-2015;width:4155;height:1472" type="#_x0000_t202" filled="false" stroked="true" strokeweight="2.04pt" strokecolor="#385d89">
              <v:textbox inset="0,0,0,0">
                <w:txbxContent>
                  <w:p>
                    <w:pPr>
                      <w:spacing w:line="276" w:lineRule="auto" w:before="70"/>
                      <w:ind w:left="143" w:right="145" w:firstLine="0"/>
                      <w:jc w:val="both"/>
                      <w:rPr>
                        <w:sz w:val="20"/>
                      </w:rPr>
                    </w:pPr>
                    <w:r>
                      <w:rPr>
                        <w:color w:val="FFFFFF"/>
                        <w:sz w:val="20"/>
                      </w:rPr>
                      <w:t>Muestra información acerca de los cambios en los recursos y las fuentes de financiamiento de la entidad en el periodo, clasificados por actividades de operación, de inversión y de financiamiento.</w:t>
                    </w:r>
                  </w:p>
                </w:txbxContent>
              </v:textbox>
              <w10:wrap type="none"/>
            </v:shape>
            <w10:wrap type="none"/>
          </v:group>
        </w:pict>
      </w:r>
      <w:r>
        <w:rPr>
          <w:sz w:val="20"/>
        </w:rPr>
        <w:t>Figura 11. Clasificación de los estados financieros.</w:t>
      </w:r>
    </w:p>
    <w:p>
      <w:pPr>
        <w:pStyle w:val="BodyText"/>
        <w:spacing w:before="1"/>
        <w:rPr>
          <w:sz w:val="17"/>
        </w:rPr>
      </w:pPr>
    </w:p>
    <w:p>
      <w:pPr>
        <w:spacing w:before="0"/>
        <w:ind w:left="2370" w:right="2881" w:firstLine="0"/>
        <w:jc w:val="center"/>
        <w:rPr>
          <w:sz w:val="20"/>
        </w:rPr>
      </w:pPr>
      <w:r>
        <w:rPr>
          <w:sz w:val="20"/>
        </w:rPr>
        <w:t>Autoría propia.</w:t>
      </w:r>
    </w:p>
    <w:p>
      <w:pPr>
        <w:spacing w:after="0"/>
        <w:jc w:val="center"/>
        <w:rPr>
          <w:sz w:val="20"/>
        </w:rPr>
        <w:sectPr>
          <w:footerReference w:type="default" r:id="rId77"/>
          <w:pgSz w:w="12240" w:h="15840"/>
          <w:pgMar w:footer="779" w:header="0" w:top="1360" w:bottom="960" w:left="1360" w:right="1080"/>
          <w:pgNumType w:start="36"/>
        </w:sectPr>
      </w:pPr>
    </w:p>
    <w:p>
      <w:pPr>
        <w:pStyle w:val="Heading2"/>
        <w:numPr>
          <w:ilvl w:val="1"/>
          <w:numId w:val="25"/>
        </w:numPr>
        <w:tabs>
          <w:tab w:pos="579" w:val="left" w:leader="none"/>
        </w:tabs>
        <w:spacing w:line="240" w:lineRule="auto" w:before="57" w:after="0"/>
        <w:ind w:left="578" w:right="0" w:hanging="469"/>
        <w:jc w:val="both"/>
      </w:pPr>
      <w:bookmarkStart w:name="_bookmark28" w:id="50"/>
      <w:bookmarkEnd w:id="50"/>
      <w:r>
        <w:rPr>
          <w:b w:val="0"/>
        </w:rPr>
      </w:r>
      <w:bookmarkStart w:name="_bookmark28" w:id="51"/>
      <w:bookmarkEnd w:id="51"/>
      <w:r>
        <w:rPr/>
        <w:t>B</w:t>
      </w:r>
      <w:r>
        <w:rPr/>
        <w:t>ALANCE</w:t>
      </w:r>
      <w:r>
        <w:rPr>
          <w:spacing w:val="-11"/>
        </w:rPr>
        <w:t> </w:t>
      </w:r>
      <w:r>
        <w:rPr/>
        <w:t>GENERAL.</w:t>
      </w:r>
    </w:p>
    <w:p>
      <w:pPr>
        <w:pStyle w:val="BodyText"/>
        <w:rPr>
          <w:b/>
        </w:rPr>
      </w:pPr>
    </w:p>
    <w:p>
      <w:pPr>
        <w:pStyle w:val="BodyText"/>
        <w:spacing w:before="7"/>
        <w:rPr>
          <w:b/>
        </w:rPr>
      </w:pPr>
    </w:p>
    <w:p>
      <w:pPr>
        <w:pStyle w:val="BodyText"/>
        <w:spacing w:line="360" w:lineRule="auto"/>
        <w:ind w:left="109" w:right="116"/>
        <w:jc w:val="both"/>
      </w:pPr>
      <w:r>
        <w:rPr/>
        <w:t>Es el estado que presenta información acerca de los recursos y obligaciones del</w:t>
      </w:r>
      <w:r>
        <w:rPr>
          <w:spacing w:val="-38"/>
        </w:rPr>
        <w:t> </w:t>
      </w:r>
      <w:r>
        <w:rPr/>
        <w:t>ente económico a una fecha determinada, presentando los primeros de acuerdo con su disponibilidad</w:t>
      </w:r>
      <w:r>
        <w:rPr>
          <w:spacing w:val="-13"/>
        </w:rPr>
        <w:t> </w:t>
      </w:r>
      <w:r>
        <w:rPr/>
        <w:t>y</w:t>
      </w:r>
      <w:r>
        <w:rPr>
          <w:spacing w:val="-16"/>
        </w:rPr>
        <w:t> </w:t>
      </w:r>
      <w:r>
        <w:rPr/>
        <w:t>los</w:t>
      </w:r>
      <w:r>
        <w:rPr>
          <w:spacing w:val="-13"/>
        </w:rPr>
        <w:t> </w:t>
      </w:r>
      <w:r>
        <w:rPr/>
        <w:t>segundos</w:t>
      </w:r>
      <w:r>
        <w:rPr>
          <w:spacing w:val="-14"/>
        </w:rPr>
        <w:t> </w:t>
      </w:r>
      <w:r>
        <w:rPr/>
        <w:t>de</w:t>
      </w:r>
      <w:r>
        <w:rPr>
          <w:spacing w:val="-16"/>
        </w:rPr>
        <w:t> </w:t>
      </w:r>
      <w:r>
        <w:rPr/>
        <w:t>acuerdo</w:t>
      </w:r>
      <w:r>
        <w:rPr>
          <w:spacing w:val="-13"/>
        </w:rPr>
        <w:t> </w:t>
      </w:r>
      <w:r>
        <w:rPr/>
        <w:t>con</w:t>
      </w:r>
      <w:r>
        <w:rPr>
          <w:spacing w:val="-16"/>
        </w:rPr>
        <w:t> </w:t>
      </w:r>
      <w:r>
        <w:rPr/>
        <w:t>su</w:t>
      </w:r>
      <w:r>
        <w:rPr>
          <w:spacing w:val="-13"/>
        </w:rPr>
        <w:t> </w:t>
      </w:r>
      <w:r>
        <w:rPr/>
        <w:t>exigibilidad.</w:t>
      </w:r>
      <w:r>
        <w:rPr>
          <w:spacing w:val="-13"/>
        </w:rPr>
        <w:t> </w:t>
      </w:r>
      <w:r>
        <w:rPr/>
        <w:t>Este</w:t>
      </w:r>
      <w:r>
        <w:rPr>
          <w:spacing w:val="-13"/>
        </w:rPr>
        <w:t> </w:t>
      </w:r>
      <w:r>
        <w:rPr/>
        <w:t>estado</w:t>
      </w:r>
      <w:r>
        <w:rPr>
          <w:spacing w:val="-7"/>
        </w:rPr>
        <w:t> </w:t>
      </w:r>
      <w:r>
        <w:rPr/>
        <w:t>nos</w:t>
      </w:r>
      <w:r>
        <w:rPr>
          <w:spacing w:val="-16"/>
        </w:rPr>
        <w:t> </w:t>
      </w:r>
      <w:r>
        <w:rPr/>
        <w:t>muestra también la información referente a la inversión de los</w:t>
      </w:r>
      <w:r>
        <w:rPr>
          <w:spacing w:val="-21"/>
        </w:rPr>
        <w:t> </w:t>
      </w:r>
      <w:r>
        <w:rPr/>
        <w:t>accionistas.</w:t>
      </w:r>
    </w:p>
    <w:p>
      <w:pPr>
        <w:pStyle w:val="ListParagraph"/>
        <w:numPr>
          <w:ilvl w:val="2"/>
          <w:numId w:val="25"/>
        </w:numPr>
        <w:tabs>
          <w:tab w:pos="830" w:val="left" w:leader="none"/>
        </w:tabs>
        <w:spacing w:line="240" w:lineRule="auto" w:before="205" w:after="0"/>
        <w:ind w:left="829" w:right="0" w:hanging="360"/>
        <w:jc w:val="both"/>
        <w:rPr>
          <w:sz w:val="24"/>
        </w:rPr>
      </w:pPr>
      <w:r>
        <w:rPr>
          <w:sz w:val="24"/>
        </w:rPr>
        <w:t>Elementos que lo</w:t>
      </w:r>
      <w:r>
        <w:rPr>
          <w:spacing w:val="-9"/>
          <w:sz w:val="24"/>
        </w:rPr>
        <w:t> </w:t>
      </w:r>
      <w:r>
        <w:rPr>
          <w:sz w:val="24"/>
        </w:rPr>
        <w:t>integran:</w:t>
      </w:r>
    </w:p>
    <w:p>
      <w:pPr>
        <w:pStyle w:val="BodyText"/>
        <w:spacing w:line="360" w:lineRule="auto" w:before="135"/>
        <w:ind w:left="469" w:right="116"/>
        <w:jc w:val="both"/>
      </w:pPr>
      <w:r>
        <w:rPr/>
        <w:t>Antes de mencionar los elementos que conforman un balance general, especificamos la forma como debe ser presentado. Contiene tres apartados: </w:t>
      </w:r>
      <w:r>
        <w:rPr>
          <w:b/>
        </w:rPr>
        <w:t>encabezado</w:t>
      </w:r>
      <w:r>
        <w:rPr/>
        <w:t>, </w:t>
      </w:r>
      <w:r>
        <w:rPr>
          <w:b/>
        </w:rPr>
        <w:t>cuerpo </w:t>
      </w:r>
      <w:r>
        <w:rPr/>
        <w:t>y </w:t>
      </w:r>
      <w:r>
        <w:rPr>
          <w:b/>
        </w:rPr>
        <w:t>pie</w:t>
      </w:r>
      <w:r>
        <w:rPr/>
        <w:t>.</w:t>
      </w:r>
    </w:p>
    <w:p>
      <w:pPr>
        <w:pStyle w:val="BodyText"/>
        <w:spacing w:line="360" w:lineRule="auto" w:before="204"/>
        <w:ind w:left="469" w:right="116"/>
        <w:jc w:val="both"/>
      </w:pPr>
      <w:r>
        <w:rPr/>
        <w:t>En el </w:t>
      </w:r>
      <w:r>
        <w:rPr>
          <w:b/>
        </w:rPr>
        <w:t>encabezado </w:t>
      </w:r>
      <w:r>
        <w:rPr/>
        <w:t>anotamos el nombre de la entidad que ofrece la información financiera; asimismo, el del estado financiero a que nos estamos refiriendo y la fecha a la cual es presentado.</w:t>
      </w:r>
    </w:p>
    <w:p>
      <w:pPr>
        <w:pStyle w:val="BodyText"/>
        <w:spacing w:line="360" w:lineRule="auto" w:before="204"/>
        <w:ind w:left="469" w:right="115"/>
        <w:jc w:val="both"/>
      </w:pPr>
      <w:r>
        <w:rPr/>
        <w:t>En el </w:t>
      </w:r>
      <w:r>
        <w:rPr>
          <w:b/>
        </w:rPr>
        <w:t>cuerpo </w:t>
      </w:r>
      <w:r>
        <w:rPr/>
        <w:t>ponemos el listado de cuentas agrupadas en activo, pasivo y</w:t>
      </w:r>
      <w:r>
        <w:rPr>
          <w:spacing w:val="-38"/>
        </w:rPr>
        <w:t> </w:t>
      </w:r>
      <w:r>
        <w:rPr/>
        <w:t>capital contable, procurando cierto orden en el uso de sangrías y</w:t>
      </w:r>
      <w:r>
        <w:rPr>
          <w:spacing w:val="-27"/>
        </w:rPr>
        <w:t> </w:t>
      </w:r>
      <w:r>
        <w:rPr/>
        <w:t>columnas.</w:t>
      </w:r>
    </w:p>
    <w:p>
      <w:pPr>
        <w:pStyle w:val="BodyText"/>
        <w:spacing w:line="360" w:lineRule="auto" w:before="204"/>
        <w:ind w:left="469" w:right="116"/>
        <w:jc w:val="both"/>
      </w:pPr>
      <w:r>
        <w:rPr/>
        <w:t>En el </w:t>
      </w:r>
      <w:r>
        <w:rPr>
          <w:b/>
        </w:rPr>
        <w:t>pie </w:t>
      </w:r>
      <w:r>
        <w:rPr/>
        <w:t>citamos los nombres, firmas y cargos de quienes elaboraron la información financiera; es decir, del contador y del responsable de la administración del negocio (representante legal, director general o gerente general). Además, integramos las notas a los estados financieros.</w:t>
      </w:r>
    </w:p>
    <w:p>
      <w:pPr>
        <w:spacing w:line="360" w:lineRule="auto" w:before="204"/>
        <w:ind w:left="469" w:right="116" w:firstLine="0"/>
        <w:jc w:val="both"/>
        <w:rPr>
          <w:b/>
          <w:sz w:val="24"/>
        </w:rPr>
      </w:pPr>
      <w:r>
        <w:rPr>
          <w:sz w:val="24"/>
        </w:rPr>
        <w:t>Ahora, los elementos que constituyen el balance son </w:t>
      </w:r>
      <w:r>
        <w:rPr>
          <w:b/>
          <w:sz w:val="24"/>
        </w:rPr>
        <w:t>activos</w:t>
      </w:r>
      <w:r>
        <w:rPr>
          <w:sz w:val="24"/>
        </w:rPr>
        <w:t>, </w:t>
      </w:r>
      <w:r>
        <w:rPr>
          <w:b/>
          <w:sz w:val="24"/>
        </w:rPr>
        <w:t>pasivos </w:t>
      </w:r>
      <w:r>
        <w:rPr>
          <w:sz w:val="24"/>
        </w:rPr>
        <w:t>y </w:t>
      </w:r>
      <w:r>
        <w:rPr>
          <w:b/>
          <w:sz w:val="24"/>
        </w:rPr>
        <w:t>capital contable o patrimonio contable.</w:t>
      </w:r>
    </w:p>
    <w:p>
      <w:pPr>
        <w:pStyle w:val="Heading2"/>
        <w:numPr>
          <w:ilvl w:val="2"/>
          <w:numId w:val="26"/>
        </w:numPr>
        <w:tabs>
          <w:tab w:pos="778" w:val="left" w:leader="none"/>
        </w:tabs>
        <w:spacing w:line="276" w:lineRule="auto" w:before="204" w:after="0"/>
        <w:ind w:left="469" w:right="7239" w:hanging="360"/>
        <w:jc w:val="left"/>
      </w:pPr>
      <w:bookmarkStart w:name="_bookmark29" w:id="52"/>
      <w:bookmarkEnd w:id="52"/>
      <w:r>
        <w:rPr>
          <w:b w:val="0"/>
        </w:rPr>
      </w:r>
      <w:bookmarkStart w:name="_bookmark29" w:id="53"/>
      <w:bookmarkEnd w:id="53"/>
      <w:r>
        <w:rPr/>
        <w:t>E</w:t>
      </w:r>
      <w:r>
        <w:rPr/>
        <w:t>lementos. Activos</w:t>
      </w:r>
    </w:p>
    <w:p>
      <w:pPr>
        <w:pStyle w:val="BodyText"/>
        <w:spacing w:line="360" w:lineRule="auto" w:before="200"/>
        <w:ind w:left="469" w:right="116"/>
        <w:jc w:val="both"/>
      </w:pPr>
      <w:r>
        <w:rPr/>
        <w:t>Un activo es un recurso controlado por una entidad, identificado, cuantificado en términos monetarios y del que se esperan fundadamente, beneficios económicos futuros, derivado de operaciones y otros eventos ocurridos en el pasado que han afectado económicamente dicha entidad.</w:t>
      </w:r>
    </w:p>
    <w:p>
      <w:pPr>
        <w:spacing w:after="0" w:line="360" w:lineRule="auto"/>
        <w:jc w:val="both"/>
        <w:sectPr>
          <w:pgSz w:w="12240" w:h="15840"/>
          <w:pgMar w:header="0" w:footer="779" w:top="1360" w:bottom="960" w:left="1360" w:right="1580"/>
        </w:sectPr>
      </w:pPr>
    </w:p>
    <w:p>
      <w:pPr>
        <w:pStyle w:val="BodyText"/>
        <w:spacing w:line="360" w:lineRule="auto" w:before="57"/>
        <w:ind w:left="469" w:right="115"/>
        <w:jc w:val="both"/>
      </w:pPr>
      <w:r>
        <w:rPr/>
        <w:t>Todo activo es de una entidad económica determinada, por lo que no puede pertenecer simultáneamente a otra entidad; la entidad que lo posee tiene el poder de</w:t>
      </w:r>
      <w:r>
        <w:rPr>
          <w:spacing w:val="-6"/>
        </w:rPr>
        <w:t> </w:t>
      </w:r>
      <w:r>
        <w:rPr/>
        <w:t>obtener</w:t>
      </w:r>
      <w:r>
        <w:rPr>
          <w:spacing w:val="-7"/>
        </w:rPr>
        <w:t> </w:t>
      </w:r>
      <w:r>
        <w:rPr/>
        <w:t>sus</w:t>
      </w:r>
      <w:r>
        <w:rPr>
          <w:spacing w:val="-7"/>
        </w:rPr>
        <w:t> </w:t>
      </w:r>
      <w:r>
        <w:rPr/>
        <w:t>beneficios</w:t>
      </w:r>
      <w:r>
        <w:rPr>
          <w:spacing w:val="-6"/>
        </w:rPr>
        <w:t> </w:t>
      </w:r>
      <w:r>
        <w:rPr/>
        <w:t>económicos</w:t>
      </w:r>
      <w:r>
        <w:rPr>
          <w:spacing w:val="-8"/>
        </w:rPr>
        <w:t> </w:t>
      </w:r>
      <w:r>
        <w:rPr/>
        <w:t>futuros</w:t>
      </w:r>
      <w:r>
        <w:rPr>
          <w:spacing w:val="-8"/>
        </w:rPr>
        <w:t> </w:t>
      </w:r>
      <w:r>
        <w:rPr/>
        <w:t>y</w:t>
      </w:r>
      <w:r>
        <w:rPr>
          <w:spacing w:val="-8"/>
        </w:rPr>
        <w:t> </w:t>
      </w:r>
      <w:r>
        <w:rPr/>
        <w:t>de</w:t>
      </w:r>
      <w:r>
        <w:rPr>
          <w:spacing w:val="-6"/>
        </w:rPr>
        <w:t> </w:t>
      </w:r>
      <w:r>
        <w:rPr/>
        <w:t>regular</w:t>
      </w:r>
      <w:r>
        <w:rPr>
          <w:spacing w:val="-7"/>
        </w:rPr>
        <w:t> </w:t>
      </w:r>
      <w:r>
        <w:rPr/>
        <w:t>el</w:t>
      </w:r>
      <w:r>
        <w:rPr>
          <w:spacing w:val="-7"/>
        </w:rPr>
        <w:t> </w:t>
      </w:r>
      <w:r>
        <w:rPr/>
        <w:t>acceso</w:t>
      </w:r>
      <w:r>
        <w:rPr>
          <w:spacing w:val="-8"/>
        </w:rPr>
        <w:t> </w:t>
      </w:r>
      <w:r>
        <w:rPr/>
        <w:t>de</w:t>
      </w:r>
      <w:r>
        <w:rPr>
          <w:spacing w:val="2"/>
        </w:rPr>
        <w:t> </w:t>
      </w:r>
      <w:r>
        <w:rPr/>
        <w:t>terceros</w:t>
      </w:r>
      <w:r>
        <w:rPr>
          <w:spacing w:val="-8"/>
        </w:rPr>
        <w:t> </w:t>
      </w:r>
      <w:r>
        <w:rPr/>
        <w:t>a dichos</w:t>
      </w:r>
      <w:r>
        <w:rPr>
          <w:spacing w:val="-5"/>
        </w:rPr>
        <w:t> </w:t>
      </w:r>
      <w:r>
        <w:rPr/>
        <w:t>beneficios.</w:t>
      </w:r>
    </w:p>
    <w:p>
      <w:pPr>
        <w:pStyle w:val="BodyText"/>
        <w:spacing w:line="360" w:lineRule="auto" w:before="204"/>
        <w:ind w:left="469" w:right="118"/>
        <w:jc w:val="both"/>
      </w:pPr>
      <w:r>
        <w:rPr/>
        <w:t>Un activo ha sido identificado cuando pueden distinguirse los beneficios económicos que generará a la entidad esto se logra cuando el activo puede separarse</w:t>
      </w:r>
      <w:r>
        <w:rPr>
          <w:spacing w:val="-20"/>
        </w:rPr>
        <w:t> </w:t>
      </w:r>
      <w:r>
        <w:rPr/>
        <w:t>para</w:t>
      </w:r>
      <w:r>
        <w:rPr>
          <w:spacing w:val="-18"/>
        </w:rPr>
        <w:t> </w:t>
      </w:r>
      <w:r>
        <w:rPr/>
        <w:t>venderlo,</w:t>
      </w:r>
      <w:r>
        <w:rPr>
          <w:spacing w:val="-18"/>
        </w:rPr>
        <w:t> </w:t>
      </w:r>
      <w:r>
        <w:rPr/>
        <w:t>rentarlo,</w:t>
      </w:r>
      <w:r>
        <w:rPr>
          <w:spacing w:val="-17"/>
        </w:rPr>
        <w:t> </w:t>
      </w:r>
      <w:r>
        <w:rPr/>
        <w:t>intercambiarlo,</w:t>
      </w:r>
      <w:r>
        <w:rPr>
          <w:spacing w:val="-18"/>
        </w:rPr>
        <w:t> </w:t>
      </w:r>
      <w:r>
        <w:rPr/>
        <w:t>licenciarlo,</w:t>
      </w:r>
      <w:r>
        <w:rPr>
          <w:spacing w:val="-20"/>
        </w:rPr>
        <w:t> </w:t>
      </w:r>
      <w:r>
        <w:rPr/>
        <w:t>transferirlo</w:t>
      </w:r>
      <w:r>
        <w:rPr>
          <w:spacing w:val="-18"/>
        </w:rPr>
        <w:t> </w:t>
      </w:r>
      <w:r>
        <w:rPr/>
        <w:t>o</w:t>
      </w:r>
      <w:r>
        <w:rPr>
          <w:spacing w:val="-20"/>
        </w:rPr>
        <w:t> </w:t>
      </w:r>
      <w:r>
        <w:rPr/>
        <w:t>distribuir sus beneficios</w:t>
      </w:r>
      <w:r>
        <w:rPr>
          <w:spacing w:val="-10"/>
        </w:rPr>
        <w:t> </w:t>
      </w:r>
      <w:r>
        <w:rPr/>
        <w:t>económicos.</w:t>
      </w:r>
    </w:p>
    <w:p>
      <w:pPr>
        <w:pStyle w:val="BodyText"/>
        <w:spacing w:before="202"/>
        <w:ind w:left="469"/>
        <w:jc w:val="both"/>
      </w:pPr>
      <w:r>
        <w:rPr/>
        <w:t>Clasificación de los activos:</w:t>
      </w:r>
    </w:p>
    <w:p>
      <w:pPr>
        <w:pStyle w:val="BodyText"/>
        <w:spacing w:before="6" w:after="1"/>
        <w:rPr>
          <w:sz w:val="29"/>
        </w:rPr>
      </w:pPr>
    </w:p>
    <w:tbl>
      <w:tblPr>
        <w:tblW w:w="0" w:type="auto"/>
        <w:jc w:val="left"/>
        <w:tblInd w:w="109"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518"/>
        <w:gridCol w:w="6404"/>
      </w:tblGrid>
      <w:tr>
        <w:trPr>
          <w:trHeight w:val="354" w:hRule="exact"/>
        </w:trPr>
        <w:tc>
          <w:tcPr>
            <w:tcW w:w="2518" w:type="dxa"/>
            <w:tcBorders>
              <w:bottom w:val="single" w:sz="17" w:space="0" w:color="4AACC5"/>
            </w:tcBorders>
          </w:tcPr>
          <w:p>
            <w:pPr>
              <w:pStyle w:val="TableParagraph"/>
              <w:spacing w:line="251" w:lineRule="exact"/>
              <w:ind w:left="362"/>
              <w:rPr>
                <w:rFonts w:ascii="Arial"/>
                <w:b/>
                <w:sz w:val="22"/>
              </w:rPr>
            </w:pPr>
            <w:r>
              <w:rPr>
                <w:rFonts w:ascii="Arial"/>
                <w:b/>
                <w:sz w:val="22"/>
              </w:rPr>
              <w:t>TIPO DE ACTIVO</w:t>
            </w:r>
          </w:p>
        </w:tc>
        <w:tc>
          <w:tcPr>
            <w:tcW w:w="6404" w:type="dxa"/>
            <w:tcBorders>
              <w:bottom w:val="single" w:sz="17" w:space="0" w:color="4AACC5"/>
            </w:tcBorders>
          </w:tcPr>
          <w:p>
            <w:pPr>
              <w:pStyle w:val="TableParagraph"/>
              <w:spacing w:line="251" w:lineRule="exact"/>
              <w:ind w:left="2715" w:right="2713"/>
              <w:jc w:val="center"/>
              <w:rPr>
                <w:rFonts w:ascii="Arial"/>
                <w:b/>
                <w:sz w:val="22"/>
              </w:rPr>
            </w:pPr>
            <w:r>
              <w:rPr>
                <w:rFonts w:ascii="Arial"/>
                <w:b/>
                <w:sz w:val="22"/>
              </w:rPr>
              <w:t>CUENTA</w:t>
            </w:r>
          </w:p>
        </w:tc>
      </w:tr>
      <w:tr>
        <w:trPr>
          <w:trHeight w:val="635" w:hRule="exact"/>
        </w:trPr>
        <w:tc>
          <w:tcPr>
            <w:tcW w:w="2518" w:type="dxa"/>
            <w:vMerge w:val="restart"/>
            <w:tcBorders>
              <w:top w:val="single" w:sz="17" w:space="0" w:color="4AACC5"/>
            </w:tcBorders>
            <w:shd w:val="clear" w:color="auto" w:fill="D2EAF0"/>
          </w:tcPr>
          <w:p>
            <w:pPr>
              <w:pStyle w:val="TableParagraph"/>
              <w:spacing w:line="252" w:lineRule="exact"/>
              <w:ind w:left="105"/>
              <w:rPr>
                <w:rFonts w:ascii="Arial"/>
                <w:sz w:val="22"/>
              </w:rPr>
            </w:pPr>
            <w:r>
              <w:rPr>
                <w:rFonts w:ascii="Arial"/>
                <w:sz w:val="22"/>
              </w:rPr>
              <w:t>Circulante (Monetarios)</w:t>
            </w:r>
          </w:p>
        </w:tc>
        <w:tc>
          <w:tcPr>
            <w:tcW w:w="6404" w:type="dxa"/>
            <w:tcBorders>
              <w:top w:val="single" w:sz="17" w:space="0" w:color="4AACC5"/>
            </w:tcBorders>
            <w:shd w:val="clear" w:color="auto" w:fill="D2EAF0"/>
          </w:tcPr>
          <w:p>
            <w:pPr>
              <w:pStyle w:val="TableParagraph"/>
              <w:spacing w:line="252" w:lineRule="exact"/>
              <w:ind w:left="98"/>
              <w:rPr>
                <w:rFonts w:ascii="Arial"/>
                <w:sz w:val="22"/>
              </w:rPr>
            </w:pPr>
            <w:r>
              <w:rPr>
                <w:rFonts w:ascii="Arial"/>
                <w:sz w:val="22"/>
              </w:rPr>
              <w:t>CAJA CHICA</w:t>
            </w:r>
          </w:p>
        </w:tc>
      </w:tr>
      <w:tr>
        <w:trPr>
          <w:trHeight w:val="274" w:hRule="exact"/>
        </w:trPr>
        <w:tc>
          <w:tcPr>
            <w:tcW w:w="2518" w:type="dxa"/>
            <w:vMerge/>
            <w:shd w:val="clear" w:color="auto" w:fill="D2EAF0"/>
          </w:tcPr>
          <w:p>
            <w:pPr/>
          </w:p>
        </w:tc>
        <w:tc>
          <w:tcPr>
            <w:tcW w:w="6404" w:type="dxa"/>
          </w:tcPr>
          <w:p>
            <w:pPr>
              <w:pStyle w:val="TableParagraph"/>
              <w:ind w:left="98"/>
              <w:rPr>
                <w:rFonts w:ascii="Arial"/>
                <w:sz w:val="22"/>
              </w:rPr>
            </w:pPr>
            <w:r>
              <w:rPr>
                <w:rFonts w:ascii="Arial"/>
                <w:sz w:val="22"/>
              </w:rPr>
              <w:t>BANCOS</w:t>
            </w:r>
          </w:p>
        </w:tc>
      </w:tr>
      <w:tr>
        <w:trPr>
          <w:trHeight w:val="274" w:hRule="exact"/>
        </w:trPr>
        <w:tc>
          <w:tcPr>
            <w:tcW w:w="2518" w:type="dxa"/>
            <w:vMerge/>
            <w:shd w:val="clear" w:color="auto" w:fill="D2EAF0"/>
          </w:tcPr>
          <w:p>
            <w:pPr/>
          </w:p>
        </w:tc>
        <w:tc>
          <w:tcPr>
            <w:tcW w:w="6404" w:type="dxa"/>
            <w:shd w:val="clear" w:color="auto" w:fill="D2EAF0"/>
          </w:tcPr>
          <w:p>
            <w:pPr>
              <w:pStyle w:val="TableParagraph"/>
              <w:spacing w:line="251" w:lineRule="exact"/>
              <w:ind w:left="98"/>
              <w:rPr>
                <w:rFonts w:ascii="Arial"/>
                <w:sz w:val="22"/>
              </w:rPr>
            </w:pPr>
            <w:r>
              <w:rPr>
                <w:rFonts w:ascii="Arial"/>
                <w:sz w:val="22"/>
              </w:rPr>
              <w:t>CLIENTES</w:t>
            </w:r>
          </w:p>
        </w:tc>
      </w:tr>
      <w:tr>
        <w:trPr>
          <w:trHeight w:val="274" w:hRule="exact"/>
        </w:trPr>
        <w:tc>
          <w:tcPr>
            <w:tcW w:w="2518" w:type="dxa"/>
            <w:vMerge/>
            <w:shd w:val="clear" w:color="auto" w:fill="D2EAF0"/>
          </w:tcPr>
          <w:p>
            <w:pPr/>
          </w:p>
        </w:tc>
        <w:tc>
          <w:tcPr>
            <w:tcW w:w="6404" w:type="dxa"/>
          </w:tcPr>
          <w:p>
            <w:pPr>
              <w:pStyle w:val="TableParagraph"/>
              <w:spacing w:line="251" w:lineRule="exact"/>
              <w:ind w:left="98"/>
              <w:rPr>
                <w:rFonts w:ascii="Arial"/>
                <w:sz w:val="22"/>
              </w:rPr>
            </w:pPr>
            <w:r>
              <w:rPr>
                <w:rFonts w:ascii="Arial"/>
                <w:sz w:val="22"/>
              </w:rPr>
              <w:t>DOCUMENTOS POR COBRAR</w:t>
            </w:r>
          </w:p>
        </w:tc>
      </w:tr>
      <w:tr>
        <w:trPr>
          <w:trHeight w:val="271" w:hRule="exact"/>
        </w:trPr>
        <w:tc>
          <w:tcPr>
            <w:tcW w:w="2518" w:type="dxa"/>
            <w:vMerge/>
            <w:shd w:val="clear" w:color="auto" w:fill="D2EAF0"/>
          </w:tcPr>
          <w:p>
            <w:pPr/>
          </w:p>
        </w:tc>
        <w:tc>
          <w:tcPr>
            <w:tcW w:w="6404" w:type="dxa"/>
            <w:shd w:val="clear" w:color="auto" w:fill="D2EAF0"/>
          </w:tcPr>
          <w:p>
            <w:pPr>
              <w:pStyle w:val="TableParagraph"/>
              <w:spacing w:line="251" w:lineRule="exact"/>
              <w:ind w:left="98"/>
              <w:rPr>
                <w:rFonts w:ascii="Arial"/>
                <w:sz w:val="22"/>
              </w:rPr>
            </w:pPr>
            <w:r>
              <w:rPr>
                <w:rFonts w:ascii="Arial"/>
                <w:sz w:val="22"/>
              </w:rPr>
              <w:t>PAGOS POR ANTICIPADO</w:t>
            </w:r>
          </w:p>
        </w:tc>
      </w:tr>
      <w:tr>
        <w:trPr>
          <w:trHeight w:val="274" w:hRule="exact"/>
        </w:trPr>
        <w:tc>
          <w:tcPr>
            <w:tcW w:w="2518" w:type="dxa"/>
            <w:vMerge/>
            <w:shd w:val="clear" w:color="auto" w:fill="D2EAF0"/>
          </w:tcPr>
          <w:p>
            <w:pPr/>
          </w:p>
        </w:tc>
        <w:tc>
          <w:tcPr>
            <w:tcW w:w="6404" w:type="dxa"/>
          </w:tcPr>
          <w:p>
            <w:pPr>
              <w:pStyle w:val="TableParagraph"/>
              <w:ind w:left="98"/>
              <w:rPr>
                <w:rFonts w:ascii="Arial"/>
                <w:sz w:val="22"/>
              </w:rPr>
            </w:pPr>
            <w:r>
              <w:rPr>
                <w:rFonts w:ascii="Arial"/>
                <w:sz w:val="22"/>
              </w:rPr>
              <w:t>DEUDORES DIVERSOS</w:t>
            </w:r>
          </w:p>
        </w:tc>
      </w:tr>
      <w:tr>
        <w:trPr>
          <w:trHeight w:val="274" w:hRule="exact"/>
        </w:trPr>
        <w:tc>
          <w:tcPr>
            <w:tcW w:w="2518" w:type="dxa"/>
            <w:vMerge/>
            <w:shd w:val="clear" w:color="auto" w:fill="D2EAF0"/>
          </w:tcPr>
          <w:p>
            <w:pPr/>
          </w:p>
        </w:tc>
        <w:tc>
          <w:tcPr>
            <w:tcW w:w="6404" w:type="dxa"/>
            <w:shd w:val="clear" w:color="auto" w:fill="D2EAF0"/>
          </w:tcPr>
          <w:p>
            <w:pPr>
              <w:pStyle w:val="TableParagraph"/>
              <w:spacing w:line="251" w:lineRule="exact"/>
              <w:ind w:left="98"/>
              <w:rPr>
                <w:rFonts w:ascii="Arial" w:hAnsi="Arial"/>
                <w:sz w:val="22"/>
              </w:rPr>
            </w:pPr>
            <w:r>
              <w:rPr>
                <w:rFonts w:ascii="Arial" w:hAnsi="Arial"/>
                <w:sz w:val="22"/>
              </w:rPr>
              <w:t>MERCANCÍAS</w:t>
            </w:r>
          </w:p>
        </w:tc>
      </w:tr>
    </w:tbl>
    <w:p>
      <w:pPr>
        <w:spacing w:line="227" w:lineRule="exact" w:before="0"/>
        <w:ind w:left="3273" w:right="212" w:firstLine="0"/>
        <w:jc w:val="left"/>
        <w:rPr>
          <w:sz w:val="20"/>
        </w:rPr>
      </w:pPr>
      <w:r>
        <w:rPr>
          <w:sz w:val="20"/>
        </w:rPr>
        <w:t>Figura 12. Clasificación de activo circulante.</w:t>
      </w:r>
    </w:p>
    <w:p>
      <w:pPr>
        <w:spacing w:before="0"/>
        <w:ind w:left="1991" w:right="2002" w:firstLine="0"/>
        <w:jc w:val="center"/>
        <w:rPr>
          <w:sz w:val="20"/>
        </w:rPr>
      </w:pPr>
      <w:r>
        <w:rPr>
          <w:sz w:val="20"/>
        </w:rPr>
        <w:t>Autoría propia.</w:t>
      </w:r>
    </w:p>
    <w:p>
      <w:pPr>
        <w:pStyle w:val="BodyText"/>
        <w:rPr>
          <w:sz w:val="20"/>
        </w:rPr>
      </w:pPr>
    </w:p>
    <w:p>
      <w:pPr>
        <w:pStyle w:val="BodyText"/>
        <w:rPr>
          <w:sz w:val="20"/>
        </w:rPr>
      </w:pPr>
    </w:p>
    <w:p>
      <w:pPr>
        <w:pStyle w:val="BodyText"/>
        <w:rPr>
          <w:sz w:val="20"/>
        </w:rPr>
      </w:pPr>
    </w:p>
    <w:p>
      <w:pPr>
        <w:pStyle w:val="BodyText"/>
        <w:spacing w:before="10"/>
        <w:rPr>
          <w:sz w:val="22"/>
        </w:rPr>
      </w:pPr>
    </w:p>
    <w:tbl>
      <w:tblPr>
        <w:tblW w:w="0" w:type="auto"/>
        <w:jc w:val="left"/>
        <w:tblInd w:w="109"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3070"/>
        <w:gridCol w:w="5852"/>
      </w:tblGrid>
      <w:tr>
        <w:trPr>
          <w:trHeight w:val="287" w:hRule="exact"/>
        </w:trPr>
        <w:tc>
          <w:tcPr>
            <w:tcW w:w="3070" w:type="dxa"/>
            <w:tcBorders>
              <w:bottom w:val="single" w:sz="17" w:space="0" w:color="C0504D"/>
            </w:tcBorders>
          </w:tcPr>
          <w:p>
            <w:pPr>
              <w:pStyle w:val="TableParagraph"/>
              <w:spacing w:line="251" w:lineRule="exact"/>
              <w:ind w:left="784"/>
              <w:rPr>
                <w:rFonts w:ascii="Arial"/>
                <w:b/>
                <w:sz w:val="22"/>
              </w:rPr>
            </w:pPr>
            <w:r>
              <w:rPr>
                <w:rFonts w:ascii="Arial"/>
                <w:b/>
                <w:sz w:val="22"/>
              </w:rPr>
              <w:t>Tipo de activo</w:t>
            </w:r>
          </w:p>
        </w:tc>
        <w:tc>
          <w:tcPr>
            <w:tcW w:w="5852" w:type="dxa"/>
            <w:tcBorders>
              <w:bottom w:val="single" w:sz="17" w:space="0" w:color="C0504D"/>
            </w:tcBorders>
          </w:tcPr>
          <w:p>
            <w:pPr>
              <w:pStyle w:val="TableParagraph"/>
              <w:spacing w:line="251" w:lineRule="exact"/>
              <w:ind w:left="1360" w:right="1360"/>
              <w:jc w:val="center"/>
              <w:rPr>
                <w:rFonts w:ascii="Arial"/>
                <w:b/>
                <w:sz w:val="22"/>
              </w:rPr>
            </w:pPr>
            <w:r>
              <w:rPr>
                <w:rFonts w:ascii="Arial"/>
                <w:b/>
                <w:sz w:val="22"/>
              </w:rPr>
              <w:t>Cuenta</w:t>
            </w:r>
          </w:p>
        </w:tc>
      </w:tr>
      <w:tr>
        <w:trPr>
          <w:trHeight w:val="284" w:hRule="exact"/>
        </w:trPr>
        <w:tc>
          <w:tcPr>
            <w:tcW w:w="3070" w:type="dxa"/>
            <w:vMerge w:val="restart"/>
            <w:tcBorders>
              <w:top w:val="single" w:sz="17" w:space="0" w:color="C0504D"/>
            </w:tcBorders>
            <w:shd w:val="clear" w:color="auto" w:fill="EED2D2"/>
          </w:tcPr>
          <w:p>
            <w:pPr>
              <w:pStyle w:val="TableParagraph"/>
              <w:spacing w:line="252" w:lineRule="exact"/>
              <w:ind w:left="883"/>
              <w:rPr>
                <w:rFonts w:ascii="Arial"/>
                <w:sz w:val="22"/>
              </w:rPr>
            </w:pPr>
            <w:r>
              <w:rPr>
                <w:rFonts w:ascii="Arial"/>
                <w:sz w:val="22"/>
              </w:rPr>
              <w:t>No circulante</w:t>
            </w:r>
          </w:p>
        </w:tc>
        <w:tc>
          <w:tcPr>
            <w:tcW w:w="5852" w:type="dxa"/>
            <w:tcBorders>
              <w:top w:val="single" w:sz="17" w:space="0" w:color="C0504D"/>
            </w:tcBorders>
            <w:shd w:val="clear" w:color="auto" w:fill="EED2D2"/>
          </w:tcPr>
          <w:p>
            <w:pPr>
              <w:pStyle w:val="TableParagraph"/>
              <w:spacing w:line="252" w:lineRule="exact"/>
              <w:ind w:left="1360" w:right="1360"/>
              <w:jc w:val="center"/>
              <w:rPr>
                <w:rFonts w:ascii="Arial"/>
                <w:sz w:val="22"/>
              </w:rPr>
            </w:pPr>
            <w:r>
              <w:rPr>
                <w:rFonts w:ascii="Arial"/>
                <w:sz w:val="22"/>
              </w:rPr>
              <w:t>TERRENOS</w:t>
            </w:r>
          </w:p>
        </w:tc>
      </w:tr>
      <w:tr>
        <w:trPr>
          <w:trHeight w:val="274" w:hRule="exact"/>
        </w:trPr>
        <w:tc>
          <w:tcPr>
            <w:tcW w:w="3070" w:type="dxa"/>
            <w:vMerge/>
            <w:shd w:val="clear" w:color="auto" w:fill="EED2D2"/>
          </w:tcPr>
          <w:p>
            <w:pPr/>
          </w:p>
        </w:tc>
        <w:tc>
          <w:tcPr>
            <w:tcW w:w="5852" w:type="dxa"/>
          </w:tcPr>
          <w:p>
            <w:pPr>
              <w:pStyle w:val="TableParagraph"/>
              <w:ind w:left="1360" w:right="1358"/>
              <w:jc w:val="center"/>
              <w:rPr>
                <w:rFonts w:ascii="Arial"/>
                <w:sz w:val="22"/>
              </w:rPr>
            </w:pPr>
            <w:r>
              <w:rPr>
                <w:rFonts w:ascii="Arial"/>
                <w:sz w:val="22"/>
              </w:rPr>
              <w:t>EDIFICIOS</w:t>
            </w:r>
          </w:p>
        </w:tc>
      </w:tr>
      <w:tr>
        <w:trPr>
          <w:trHeight w:val="274" w:hRule="exact"/>
        </w:trPr>
        <w:tc>
          <w:tcPr>
            <w:tcW w:w="3070" w:type="dxa"/>
            <w:vMerge/>
            <w:shd w:val="clear" w:color="auto" w:fill="EED2D2"/>
          </w:tcPr>
          <w:p>
            <w:pPr/>
          </w:p>
        </w:tc>
        <w:tc>
          <w:tcPr>
            <w:tcW w:w="5852" w:type="dxa"/>
            <w:shd w:val="clear" w:color="auto" w:fill="EED2D2"/>
          </w:tcPr>
          <w:p>
            <w:pPr>
              <w:pStyle w:val="TableParagraph"/>
              <w:spacing w:line="251" w:lineRule="exact"/>
              <w:ind w:left="1360" w:right="1360"/>
              <w:jc w:val="center"/>
              <w:rPr>
                <w:rFonts w:ascii="Arial"/>
                <w:sz w:val="22"/>
              </w:rPr>
            </w:pPr>
            <w:r>
              <w:rPr>
                <w:rFonts w:ascii="Arial"/>
                <w:sz w:val="22"/>
              </w:rPr>
              <w:t>MOBILIARIO Y EQUIPO</w:t>
            </w:r>
          </w:p>
        </w:tc>
      </w:tr>
      <w:tr>
        <w:trPr>
          <w:trHeight w:val="274" w:hRule="exact"/>
        </w:trPr>
        <w:tc>
          <w:tcPr>
            <w:tcW w:w="3070" w:type="dxa"/>
            <w:vMerge/>
            <w:shd w:val="clear" w:color="auto" w:fill="EED2D2"/>
          </w:tcPr>
          <w:p>
            <w:pPr/>
          </w:p>
        </w:tc>
        <w:tc>
          <w:tcPr>
            <w:tcW w:w="5852" w:type="dxa"/>
          </w:tcPr>
          <w:p>
            <w:pPr>
              <w:pStyle w:val="TableParagraph"/>
              <w:spacing w:line="251" w:lineRule="exact"/>
              <w:ind w:left="1360" w:right="1361"/>
              <w:jc w:val="center"/>
              <w:rPr>
                <w:rFonts w:ascii="Arial"/>
                <w:sz w:val="22"/>
              </w:rPr>
            </w:pPr>
            <w:r>
              <w:rPr>
                <w:rFonts w:ascii="Arial"/>
                <w:sz w:val="22"/>
              </w:rPr>
              <w:t>EQUIPO DE TRANSPORTE</w:t>
            </w:r>
          </w:p>
        </w:tc>
      </w:tr>
      <w:tr>
        <w:trPr>
          <w:trHeight w:val="272" w:hRule="exact"/>
        </w:trPr>
        <w:tc>
          <w:tcPr>
            <w:tcW w:w="3070" w:type="dxa"/>
            <w:vMerge/>
            <w:shd w:val="clear" w:color="auto" w:fill="EED2D2"/>
          </w:tcPr>
          <w:p>
            <w:pPr/>
          </w:p>
        </w:tc>
        <w:tc>
          <w:tcPr>
            <w:tcW w:w="5852" w:type="dxa"/>
            <w:shd w:val="clear" w:color="auto" w:fill="EED2D2"/>
          </w:tcPr>
          <w:p>
            <w:pPr>
              <w:pStyle w:val="TableParagraph"/>
              <w:spacing w:line="251" w:lineRule="exact"/>
              <w:ind w:left="1360" w:right="1363"/>
              <w:jc w:val="center"/>
              <w:rPr>
                <w:rFonts w:ascii="Arial"/>
                <w:sz w:val="22"/>
              </w:rPr>
            </w:pPr>
            <w:r>
              <w:rPr>
                <w:rFonts w:ascii="Arial"/>
                <w:sz w:val="22"/>
              </w:rPr>
              <w:t>HERRAMIENTAS Y ENSERES</w:t>
            </w:r>
          </w:p>
        </w:tc>
      </w:tr>
    </w:tbl>
    <w:p>
      <w:pPr>
        <w:spacing w:line="228" w:lineRule="exact" w:before="0"/>
        <w:ind w:left="1991" w:right="2004" w:firstLine="0"/>
        <w:jc w:val="center"/>
        <w:rPr>
          <w:sz w:val="20"/>
        </w:rPr>
      </w:pPr>
      <w:r>
        <w:rPr>
          <w:sz w:val="20"/>
        </w:rPr>
        <w:t>Figura 13. Clasificación de activo no circulante.</w:t>
      </w:r>
    </w:p>
    <w:p>
      <w:pPr>
        <w:spacing w:line="229" w:lineRule="exact" w:before="0"/>
        <w:ind w:left="1991" w:right="2002" w:firstLine="0"/>
        <w:jc w:val="center"/>
        <w:rPr>
          <w:sz w:val="20"/>
        </w:rPr>
      </w:pPr>
      <w:r>
        <w:rPr>
          <w:sz w:val="20"/>
        </w:rPr>
        <w:t>Autoría propia.</w:t>
      </w:r>
    </w:p>
    <w:p>
      <w:pPr>
        <w:pStyle w:val="BodyText"/>
        <w:rPr>
          <w:sz w:val="20"/>
        </w:rPr>
      </w:pPr>
    </w:p>
    <w:p>
      <w:pPr>
        <w:pStyle w:val="BodyText"/>
        <w:rPr>
          <w:sz w:val="20"/>
        </w:rPr>
      </w:pPr>
    </w:p>
    <w:p>
      <w:pPr>
        <w:pStyle w:val="BodyText"/>
        <w:rPr>
          <w:sz w:val="20"/>
        </w:rPr>
      </w:pPr>
    </w:p>
    <w:p>
      <w:pPr>
        <w:pStyle w:val="Heading2"/>
        <w:spacing w:before="211"/>
        <w:ind w:left="536" w:right="212"/>
        <w:jc w:val="left"/>
      </w:pPr>
      <w:r>
        <w:rPr/>
        <w:t>Pasivos</w:t>
      </w:r>
    </w:p>
    <w:p>
      <w:pPr>
        <w:pStyle w:val="BodyText"/>
        <w:rPr>
          <w:b/>
        </w:rPr>
      </w:pPr>
    </w:p>
    <w:p>
      <w:pPr>
        <w:pStyle w:val="BodyText"/>
        <w:spacing w:before="11"/>
        <w:rPr>
          <w:b/>
          <w:sz w:val="23"/>
        </w:rPr>
      </w:pPr>
    </w:p>
    <w:p>
      <w:pPr>
        <w:pStyle w:val="BodyText"/>
        <w:tabs>
          <w:tab w:pos="2022" w:val="left" w:leader="none"/>
          <w:tab w:pos="3507" w:val="left" w:leader="none"/>
          <w:tab w:pos="3979" w:val="left" w:leader="none"/>
          <w:tab w:pos="5101" w:val="left" w:leader="none"/>
          <w:tab w:pos="6494" w:val="left" w:leader="none"/>
          <w:tab w:pos="6818" w:val="left" w:leader="none"/>
          <w:tab w:pos="7422" w:val="left" w:leader="none"/>
          <w:tab w:pos="8781" w:val="left" w:leader="none"/>
        </w:tabs>
        <w:spacing w:line="360" w:lineRule="auto"/>
        <w:ind w:left="536" w:right="116"/>
      </w:pPr>
      <w:r>
        <w:rPr/>
        <w:t>Un pasivo es una obligación presente de la entidad, virtualmente ineludible, identificada,</w:t>
        <w:tab/>
        <w:t>cuantificada</w:t>
        <w:tab/>
        <w:t>en</w:t>
        <w:tab/>
        <w:t>términos</w:t>
        <w:tab/>
        <w:t>monetarios</w:t>
        <w:tab/>
        <w:t>y</w:t>
        <w:tab/>
        <w:t>que</w:t>
        <w:tab/>
        <w:t>representa</w:t>
        <w:tab/>
        <w:t>una</w:t>
      </w:r>
    </w:p>
    <w:p>
      <w:pPr>
        <w:spacing w:after="0" w:line="360" w:lineRule="auto"/>
        <w:sectPr>
          <w:pgSz w:w="12240" w:h="15840"/>
          <w:pgMar w:header="0" w:footer="779" w:top="1360" w:bottom="960" w:left="1360" w:right="1580"/>
        </w:sectPr>
      </w:pPr>
    </w:p>
    <w:p>
      <w:pPr>
        <w:pStyle w:val="BodyText"/>
        <w:spacing w:line="360" w:lineRule="auto" w:before="57"/>
        <w:ind w:left="536" w:right="136"/>
        <w:jc w:val="both"/>
      </w:pPr>
      <w:r>
        <w:rPr/>
        <w:t>disminución     futura de      beneficios     económicos, derivada de operaciones   y</w:t>
      </w:r>
      <w:r>
        <w:rPr>
          <w:spacing w:val="-16"/>
        </w:rPr>
        <w:t> </w:t>
      </w:r>
      <w:r>
        <w:rPr/>
        <w:t>otros</w:t>
      </w:r>
      <w:r>
        <w:rPr>
          <w:spacing w:val="-15"/>
        </w:rPr>
        <w:t> </w:t>
      </w:r>
      <w:r>
        <w:rPr/>
        <w:t>eventos</w:t>
      </w:r>
      <w:r>
        <w:rPr>
          <w:spacing w:val="-15"/>
        </w:rPr>
        <w:t> </w:t>
      </w:r>
      <w:r>
        <w:rPr/>
        <w:t>ocurridos</w:t>
      </w:r>
      <w:r>
        <w:rPr>
          <w:spacing w:val="-15"/>
        </w:rPr>
        <w:t> </w:t>
      </w:r>
      <w:r>
        <w:rPr/>
        <w:t>en</w:t>
      </w:r>
      <w:r>
        <w:rPr>
          <w:spacing w:val="-14"/>
        </w:rPr>
        <w:t> </w:t>
      </w:r>
      <w:r>
        <w:rPr/>
        <w:t>el</w:t>
      </w:r>
      <w:r>
        <w:rPr>
          <w:spacing w:val="-15"/>
        </w:rPr>
        <w:t> </w:t>
      </w:r>
      <w:r>
        <w:rPr/>
        <w:t>pasado</w:t>
      </w:r>
      <w:r>
        <w:rPr>
          <w:spacing w:val="-14"/>
        </w:rPr>
        <w:t> </w:t>
      </w:r>
      <w:r>
        <w:rPr/>
        <w:t>que</w:t>
      </w:r>
      <w:r>
        <w:rPr>
          <w:spacing w:val="-14"/>
        </w:rPr>
        <w:t> </w:t>
      </w:r>
      <w:r>
        <w:rPr/>
        <w:t>han</w:t>
      </w:r>
      <w:r>
        <w:rPr>
          <w:spacing w:val="-14"/>
        </w:rPr>
        <w:t> </w:t>
      </w:r>
      <w:r>
        <w:rPr/>
        <w:t>afectado</w:t>
      </w:r>
      <w:r>
        <w:rPr>
          <w:spacing w:val="-8"/>
        </w:rPr>
        <w:t> </w:t>
      </w:r>
      <w:r>
        <w:rPr/>
        <w:t>económicamente</w:t>
      </w:r>
      <w:r>
        <w:rPr>
          <w:spacing w:val="-14"/>
        </w:rPr>
        <w:t> </w:t>
      </w:r>
      <w:r>
        <w:rPr/>
        <w:t>a</w:t>
      </w:r>
      <w:r>
        <w:rPr>
          <w:spacing w:val="-16"/>
        </w:rPr>
        <w:t> </w:t>
      </w:r>
      <w:r>
        <w:rPr/>
        <w:t>dicha entidad.</w:t>
      </w:r>
    </w:p>
    <w:p>
      <w:pPr>
        <w:pStyle w:val="BodyText"/>
      </w:pPr>
    </w:p>
    <w:p>
      <w:pPr>
        <w:pStyle w:val="BodyText"/>
        <w:spacing w:line="360" w:lineRule="auto" w:before="142"/>
        <w:ind w:left="536" w:right="136"/>
        <w:jc w:val="both"/>
      </w:pPr>
      <w:r>
        <w:rPr/>
        <w:t>Es una exigencia identificada en el momento actual, de carácter legal o social,</w:t>
      </w:r>
      <w:r>
        <w:rPr>
          <w:spacing w:val="-35"/>
        </w:rPr>
        <w:t> </w:t>
      </w:r>
      <w:r>
        <w:rPr/>
        <w:t>de cumplir en el futuro con un contrato, promesa o responsabilidad, por parte de la entidad.</w:t>
      </w:r>
    </w:p>
    <w:p>
      <w:pPr>
        <w:pStyle w:val="BodyText"/>
      </w:pPr>
    </w:p>
    <w:p>
      <w:pPr>
        <w:pStyle w:val="BodyText"/>
        <w:spacing w:line="360" w:lineRule="auto" w:before="142"/>
        <w:ind w:left="536" w:right="146"/>
        <w:jc w:val="both"/>
      </w:pPr>
      <w:r>
        <w:rPr/>
        <w:t>Un pasivo es virtualmente ineludible cuando existe la probabilidad, aunque no la certeza absoluta, de dar cumplimiento a la obligación.</w:t>
      </w:r>
    </w:p>
    <w:p>
      <w:pPr>
        <w:pStyle w:val="BodyText"/>
        <w:spacing w:line="360" w:lineRule="auto" w:before="5"/>
        <w:ind w:left="536" w:right="137"/>
        <w:jc w:val="both"/>
      </w:pPr>
      <w:r>
        <w:rPr/>
        <w:t>Todo pasivo debe tener un propósito definido; es decir, no debe reconocerse con fines indeterminados.</w:t>
      </w:r>
    </w:p>
    <w:p>
      <w:pPr>
        <w:pStyle w:val="BodyText"/>
      </w:pPr>
    </w:p>
    <w:p>
      <w:pPr>
        <w:pStyle w:val="BodyText"/>
        <w:spacing w:line="360" w:lineRule="auto" w:before="142"/>
        <w:ind w:left="469" w:right="136" w:firstLine="67"/>
        <w:jc w:val="both"/>
      </w:pPr>
      <w:r>
        <w:rPr/>
        <w:t>Representa la probable salida de recursos de la entidad para dar cumplimiento a una obligación. La disminución de beneficios económicos ocurre al transferir activos</w:t>
      </w:r>
      <w:r>
        <w:rPr>
          <w:spacing w:val="-15"/>
        </w:rPr>
        <w:t> </w:t>
      </w:r>
      <w:r>
        <w:rPr/>
        <w:t>o</w:t>
      </w:r>
      <w:r>
        <w:rPr>
          <w:spacing w:val="-14"/>
        </w:rPr>
        <w:t> </w:t>
      </w:r>
      <w:r>
        <w:rPr/>
        <w:t>instrumentos</w:t>
      </w:r>
      <w:r>
        <w:rPr>
          <w:spacing w:val="-17"/>
        </w:rPr>
        <w:t> </w:t>
      </w:r>
      <w:r>
        <w:rPr/>
        <w:t>financieros</w:t>
      </w:r>
      <w:r>
        <w:rPr>
          <w:spacing w:val="-17"/>
        </w:rPr>
        <w:t> </w:t>
      </w:r>
      <w:r>
        <w:rPr/>
        <w:t>de</w:t>
      </w:r>
      <w:r>
        <w:rPr>
          <w:spacing w:val="-16"/>
        </w:rPr>
        <w:t> </w:t>
      </w:r>
      <w:r>
        <w:rPr/>
        <w:t>capital,</w:t>
      </w:r>
      <w:r>
        <w:rPr>
          <w:spacing w:val="-17"/>
        </w:rPr>
        <w:t> </w:t>
      </w:r>
      <w:r>
        <w:rPr/>
        <w:t>o</w:t>
      </w:r>
      <w:r>
        <w:rPr>
          <w:spacing w:val="-14"/>
        </w:rPr>
        <w:t> </w:t>
      </w:r>
      <w:r>
        <w:rPr/>
        <w:t>proporcionar</w:t>
      </w:r>
      <w:r>
        <w:rPr>
          <w:spacing w:val="-12"/>
        </w:rPr>
        <w:t> </w:t>
      </w:r>
      <w:r>
        <w:rPr/>
        <w:t>productos</w:t>
      </w:r>
      <w:r>
        <w:rPr>
          <w:spacing w:val="-15"/>
        </w:rPr>
        <w:t> </w:t>
      </w:r>
      <w:r>
        <w:rPr/>
        <w:t>y</w:t>
      </w:r>
      <w:r>
        <w:rPr>
          <w:spacing w:val="-16"/>
        </w:rPr>
        <w:t> </w:t>
      </w:r>
      <w:r>
        <w:rPr/>
        <w:t>servicios.</w:t>
      </w:r>
    </w:p>
    <w:p>
      <w:pPr>
        <w:pStyle w:val="BodyText"/>
      </w:pPr>
    </w:p>
    <w:p>
      <w:pPr>
        <w:pStyle w:val="BodyText"/>
        <w:spacing w:before="8"/>
        <w:rPr>
          <w:sz w:val="29"/>
        </w:rPr>
      </w:pPr>
    </w:p>
    <w:p>
      <w:pPr>
        <w:pStyle w:val="BodyText"/>
        <w:ind w:left="469"/>
        <w:jc w:val="both"/>
      </w:pPr>
      <w:r>
        <w:rPr/>
        <w:t>Clasificación de los pasivos:</w:t>
      </w:r>
    </w:p>
    <w:p>
      <w:pPr>
        <w:pStyle w:val="BodyText"/>
        <w:spacing w:before="2" w:after="1"/>
        <w:rPr>
          <w:sz w:val="21"/>
        </w:rPr>
      </w:pPr>
    </w:p>
    <w:tbl>
      <w:tblPr>
        <w:tblW w:w="0" w:type="auto"/>
        <w:jc w:val="left"/>
        <w:tblInd w:w="109"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967"/>
        <w:gridCol w:w="6097"/>
      </w:tblGrid>
      <w:tr>
        <w:trPr>
          <w:trHeight w:val="286" w:hRule="exact"/>
        </w:trPr>
        <w:tc>
          <w:tcPr>
            <w:tcW w:w="2967" w:type="dxa"/>
            <w:tcBorders>
              <w:bottom w:val="single" w:sz="17" w:space="0" w:color="C0504D"/>
            </w:tcBorders>
          </w:tcPr>
          <w:p>
            <w:pPr>
              <w:pStyle w:val="TableParagraph"/>
              <w:spacing w:line="248" w:lineRule="exact"/>
              <w:ind w:left="703" w:right="203"/>
              <w:rPr>
                <w:rFonts w:ascii="Arial"/>
                <w:b/>
                <w:sz w:val="22"/>
              </w:rPr>
            </w:pPr>
            <w:r>
              <w:rPr>
                <w:rFonts w:ascii="Arial"/>
                <w:b/>
                <w:sz w:val="22"/>
              </w:rPr>
              <w:t>Tipo de pasivo</w:t>
            </w:r>
          </w:p>
        </w:tc>
        <w:tc>
          <w:tcPr>
            <w:tcW w:w="6097" w:type="dxa"/>
            <w:tcBorders>
              <w:bottom w:val="single" w:sz="17" w:space="0" w:color="C0504D"/>
            </w:tcBorders>
          </w:tcPr>
          <w:p>
            <w:pPr>
              <w:pStyle w:val="TableParagraph"/>
              <w:spacing w:line="248" w:lineRule="exact"/>
              <w:ind w:left="1502" w:right="1502"/>
              <w:jc w:val="center"/>
              <w:rPr>
                <w:rFonts w:ascii="Arial"/>
                <w:b/>
                <w:sz w:val="22"/>
              </w:rPr>
            </w:pPr>
            <w:r>
              <w:rPr>
                <w:rFonts w:ascii="Arial"/>
                <w:b/>
                <w:sz w:val="22"/>
              </w:rPr>
              <w:t>Cuenta</w:t>
            </w:r>
          </w:p>
        </w:tc>
      </w:tr>
      <w:tr>
        <w:trPr>
          <w:trHeight w:val="538" w:hRule="exact"/>
        </w:trPr>
        <w:tc>
          <w:tcPr>
            <w:tcW w:w="2967" w:type="dxa"/>
            <w:tcBorders>
              <w:top w:val="single" w:sz="17" w:space="0" w:color="C0504D"/>
            </w:tcBorders>
            <w:shd w:val="clear" w:color="auto" w:fill="EED2D2"/>
          </w:tcPr>
          <w:p>
            <w:pPr>
              <w:pStyle w:val="TableParagraph"/>
              <w:spacing w:line="242" w:lineRule="auto"/>
              <w:ind w:left="1252" w:right="203" w:hanging="1035"/>
              <w:rPr>
                <w:rFonts w:ascii="Arial" w:hAnsi="Arial"/>
                <w:sz w:val="22"/>
              </w:rPr>
            </w:pPr>
            <w:r>
              <w:rPr>
                <w:rFonts w:ascii="Arial" w:hAnsi="Arial"/>
                <w:sz w:val="22"/>
              </w:rPr>
              <w:t>Circulantes (menos de un año)</w:t>
            </w:r>
          </w:p>
        </w:tc>
        <w:tc>
          <w:tcPr>
            <w:tcW w:w="6097" w:type="dxa"/>
            <w:tcBorders>
              <w:top w:val="single" w:sz="17" w:space="0" w:color="C0504D"/>
            </w:tcBorders>
            <w:shd w:val="clear" w:color="auto" w:fill="EED2D2"/>
          </w:tcPr>
          <w:p>
            <w:pPr>
              <w:pStyle w:val="TableParagraph"/>
              <w:spacing w:line="251" w:lineRule="exact"/>
              <w:ind w:left="1502" w:right="1502"/>
              <w:jc w:val="center"/>
              <w:rPr>
                <w:rFonts w:ascii="Arial"/>
                <w:sz w:val="22"/>
              </w:rPr>
            </w:pPr>
            <w:r>
              <w:rPr>
                <w:rFonts w:ascii="Arial"/>
                <w:sz w:val="22"/>
              </w:rPr>
              <w:t>PROVEEDORES</w:t>
            </w:r>
          </w:p>
        </w:tc>
      </w:tr>
      <w:tr>
        <w:trPr>
          <w:trHeight w:val="274" w:hRule="exact"/>
        </w:trPr>
        <w:tc>
          <w:tcPr>
            <w:tcW w:w="2967" w:type="dxa"/>
            <w:vMerge w:val="restart"/>
            <w:tcBorders>
              <w:right w:val="single" w:sz="38" w:space="0" w:color="EED2D2"/>
            </w:tcBorders>
          </w:tcPr>
          <w:p>
            <w:pPr>
              <w:pStyle w:val="TableParagraph"/>
              <w:ind w:left="1252" w:right="140" w:hanging="1059"/>
              <w:rPr>
                <w:rFonts w:ascii="Arial" w:hAnsi="Arial"/>
                <w:sz w:val="22"/>
              </w:rPr>
            </w:pPr>
            <w:r>
              <w:rPr>
                <w:rFonts w:ascii="Arial" w:hAnsi="Arial"/>
                <w:sz w:val="22"/>
              </w:rPr>
              <w:t>No circulantes (más de un año)</w:t>
            </w:r>
          </w:p>
        </w:tc>
        <w:tc>
          <w:tcPr>
            <w:tcW w:w="6097" w:type="dxa"/>
          </w:tcPr>
          <w:p>
            <w:pPr>
              <w:pStyle w:val="TableParagraph"/>
              <w:ind w:left="1502" w:right="1502"/>
              <w:jc w:val="center"/>
              <w:rPr>
                <w:rFonts w:ascii="Arial"/>
                <w:sz w:val="22"/>
              </w:rPr>
            </w:pPr>
            <w:r>
              <w:rPr>
                <w:rFonts w:ascii="Arial"/>
                <w:sz w:val="22"/>
              </w:rPr>
              <w:t>ACREEDORES</w:t>
            </w:r>
          </w:p>
        </w:tc>
      </w:tr>
      <w:tr>
        <w:trPr>
          <w:trHeight w:val="274" w:hRule="exact"/>
        </w:trPr>
        <w:tc>
          <w:tcPr>
            <w:tcW w:w="2967" w:type="dxa"/>
            <w:vMerge/>
            <w:tcBorders>
              <w:right w:val="single" w:sz="38" w:space="0" w:color="EED2D2"/>
            </w:tcBorders>
          </w:tcPr>
          <w:p>
            <w:pPr/>
          </w:p>
        </w:tc>
        <w:tc>
          <w:tcPr>
            <w:tcW w:w="6097" w:type="dxa"/>
            <w:shd w:val="clear" w:color="auto" w:fill="EED2D2"/>
          </w:tcPr>
          <w:p>
            <w:pPr>
              <w:pStyle w:val="TableParagraph"/>
              <w:spacing w:line="251" w:lineRule="exact"/>
              <w:ind w:left="1500" w:right="1502"/>
              <w:jc w:val="center"/>
              <w:rPr>
                <w:rFonts w:ascii="Arial"/>
                <w:sz w:val="22"/>
              </w:rPr>
            </w:pPr>
            <w:r>
              <w:rPr>
                <w:rFonts w:ascii="Arial"/>
                <w:sz w:val="22"/>
              </w:rPr>
              <w:t>DOCUMENTOS POR PAGAR</w:t>
            </w:r>
          </w:p>
        </w:tc>
      </w:tr>
      <w:tr>
        <w:trPr>
          <w:trHeight w:val="274" w:hRule="exact"/>
        </w:trPr>
        <w:tc>
          <w:tcPr>
            <w:tcW w:w="2967" w:type="dxa"/>
            <w:vMerge/>
            <w:tcBorders>
              <w:right w:val="single" w:sz="38" w:space="0" w:color="EED2D2"/>
            </w:tcBorders>
          </w:tcPr>
          <w:p>
            <w:pPr/>
          </w:p>
        </w:tc>
        <w:tc>
          <w:tcPr>
            <w:tcW w:w="6097" w:type="dxa"/>
          </w:tcPr>
          <w:p>
            <w:pPr>
              <w:pStyle w:val="TableParagraph"/>
              <w:spacing w:line="251" w:lineRule="exact"/>
              <w:ind w:left="1501" w:right="1502"/>
              <w:jc w:val="center"/>
              <w:rPr>
                <w:rFonts w:ascii="Arial"/>
                <w:sz w:val="22"/>
              </w:rPr>
            </w:pPr>
            <w:r>
              <w:rPr>
                <w:rFonts w:ascii="Arial"/>
                <w:sz w:val="22"/>
              </w:rPr>
              <w:t>IMPUESTOS POR PAGAR</w:t>
            </w:r>
          </w:p>
        </w:tc>
      </w:tr>
      <w:tr>
        <w:trPr>
          <w:trHeight w:val="271" w:hRule="exact"/>
        </w:trPr>
        <w:tc>
          <w:tcPr>
            <w:tcW w:w="2967" w:type="dxa"/>
            <w:vMerge/>
            <w:tcBorders>
              <w:right w:val="single" w:sz="38" w:space="0" w:color="EED2D2"/>
            </w:tcBorders>
          </w:tcPr>
          <w:p>
            <w:pPr/>
          </w:p>
        </w:tc>
        <w:tc>
          <w:tcPr>
            <w:tcW w:w="6097" w:type="dxa"/>
            <w:shd w:val="clear" w:color="auto" w:fill="EED2D2"/>
          </w:tcPr>
          <w:p>
            <w:pPr>
              <w:pStyle w:val="TableParagraph"/>
              <w:spacing w:line="251" w:lineRule="exact"/>
              <w:ind w:left="1502" w:right="1502"/>
              <w:jc w:val="center"/>
              <w:rPr>
                <w:rFonts w:ascii="Arial"/>
                <w:sz w:val="22"/>
              </w:rPr>
            </w:pPr>
            <w:r>
              <w:rPr>
                <w:rFonts w:ascii="Arial"/>
                <w:sz w:val="22"/>
              </w:rPr>
              <w:t>ISR y PTU</w:t>
            </w:r>
          </w:p>
        </w:tc>
      </w:tr>
      <w:tr>
        <w:trPr>
          <w:trHeight w:val="274" w:hRule="exact"/>
        </w:trPr>
        <w:tc>
          <w:tcPr>
            <w:tcW w:w="2967" w:type="dxa"/>
            <w:vMerge/>
            <w:tcBorders>
              <w:right w:val="single" w:sz="38" w:space="0" w:color="EED2D2"/>
            </w:tcBorders>
          </w:tcPr>
          <w:p>
            <w:pPr/>
          </w:p>
        </w:tc>
        <w:tc>
          <w:tcPr>
            <w:tcW w:w="6097" w:type="dxa"/>
          </w:tcPr>
          <w:p>
            <w:pPr>
              <w:pStyle w:val="TableParagraph"/>
              <w:ind w:left="1502" w:right="1500"/>
              <w:jc w:val="center"/>
              <w:rPr>
                <w:rFonts w:ascii="Arial"/>
                <w:sz w:val="22"/>
              </w:rPr>
            </w:pPr>
            <w:r>
              <w:rPr>
                <w:rFonts w:ascii="Arial"/>
                <w:sz w:val="22"/>
              </w:rPr>
              <w:t>IVA POR PAGAR</w:t>
            </w:r>
          </w:p>
        </w:tc>
      </w:tr>
      <w:tr>
        <w:trPr>
          <w:trHeight w:val="274" w:hRule="exact"/>
        </w:trPr>
        <w:tc>
          <w:tcPr>
            <w:tcW w:w="2967" w:type="dxa"/>
            <w:vMerge/>
            <w:tcBorders>
              <w:right w:val="single" w:sz="38" w:space="0" w:color="EED2D2"/>
            </w:tcBorders>
          </w:tcPr>
          <w:p>
            <w:pPr/>
          </w:p>
        </w:tc>
        <w:tc>
          <w:tcPr>
            <w:tcW w:w="6097" w:type="dxa"/>
            <w:tcBorders>
              <w:bottom w:val="single" w:sz="8" w:space="0" w:color="C0504D"/>
            </w:tcBorders>
            <w:shd w:val="clear" w:color="auto" w:fill="EED2D2"/>
          </w:tcPr>
          <w:p>
            <w:pPr>
              <w:pStyle w:val="TableParagraph"/>
              <w:spacing w:line="251" w:lineRule="exact"/>
              <w:ind w:left="1502" w:right="1502"/>
              <w:jc w:val="center"/>
              <w:rPr>
                <w:rFonts w:ascii="Arial"/>
                <w:sz w:val="22"/>
              </w:rPr>
            </w:pPr>
            <w:r>
              <w:rPr>
                <w:rFonts w:ascii="Arial"/>
                <w:sz w:val="22"/>
              </w:rPr>
              <w:t>OBLIGACIONES LABORALES</w:t>
            </w:r>
          </w:p>
        </w:tc>
      </w:tr>
      <w:tr>
        <w:trPr>
          <w:trHeight w:val="274" w:hRule="exact"/>
        </w:trPr>
        <w:tc>
          <w:tcPr>
            <w:tcW w:w="2967" w:type="dxa"/>
            <w:vMerge/>
            <w:tcBorders>
              <w:right w:val="single" w:sz="38" w:space="0" w:color="EED2D2"/>
            </w:tcBorders>
          </w:tcPr>
          <w:p>
            <w:pPr/>
          </w:p>
        </w:tc>
        <w:tc>
          <w:tcPr>
            <w:tcW w:w="6097" w:type="dxa"/>
            <w:tcBorders>
              <w:top w:val="single" w:sz="8" w:space="0" w:color="C0504D"/>
            </w:tcBorders>
          </w:tcPr>
          <w:p>
            <w:pPr>
              <w:pStyle w:val="TableParagraph"/>
              <w:spacing w:line="251" w:lineRule="exact"/>
              <w:ind w:left="1502" w:right="1502"/>
              <w:jc w:val="center"/>
              <w:rPr>
                <w:rFonts w:ascii="Arial" w:hAnsi="Arial"/>
                <w:sz w:val="22"/>
              </w:rPr>
            </w:pPr>
            <w:r>
              <w:rPr>
                <w:rFonts w:ascii="Arial" w:hAnsi="Arial"/>
                <w:sz w:val="22"/>
              </w:rPr>
              <w:t>CRÉDITOS A LARGO PLAZO</w:t>
            </w:r>
          </w:p>
        </w:tc>
      </w:tr>
    </w:tbl>
    <w:p>
      <w:pPr>
        <w:spacing w:line="230" w:lineRule="exact" w:before="0"/>
        <w:ind w:left="3129" w:right="0" w:firstLine="0"/>
        <w:jc w:val="left"/>
        <w:rPr>
          <w:sz w:val="20"/>
        </w:rPr>
      </w:pPr>
      <w:r>
        <w:rPr>
          <w:sz w:val="20"/>
        </w:rPr>
        <w:t>Figura 14. Clasificación de los pasivos.</w:t>
      </w:r>
    </w:p>
    <w:p>
      <w:pPr>
        <w:spacing w:before="31"/>
        <w:ind w:left="2200" w:right="2231" w:firstLine="0"/>
        <w:jc w:val="center"/>
        <w:rPr>
          <w:sz w:val="20"/>
        </w:rPr>
      </w:pPr>
      <w:r>
        <w:rPr>
          <w:sz w:val="20"/>
        </w:rPr>
        <w:t>Autoría propia.</w:t>
      </w:r>
    </w:p>
    <w:p>
      <w:pPr>
        <w:spacing w:after="0"/>
        <w:jc w:val="center"/>
        <w:rPr>
          <w:sz w:val="20"/>
        </w:rPr>
        <w:sectPr>
          <w:pgSz w:w="12240" w:h="15840"/>
          <w:pgMar w:header="0" w:footer="779" w:top="1360" w:bottom="960" w:left="1360" w:right="1560"/>
        </w:sectPr>
      </w:pPr>
    </w:p>
    <w:p>
      <w:pPr>
        <w:pStyle w:val="Heading2"/>
        <w:spacing w:before="57"/>
        <w:ind w:left="536" w:right="212"/>
        <w:jc w:val="left"/>
      </w:pPr>
      <w:r>
        <w:rPr/>
        <w:t>Capital contable:</w:t>
      </w:r>
    </w:p>
    <w:p>
      <w:pPr>
        <w:pStyle w:val="BodyText"/>
        <w:rPr>
          <w:b/>
        </w:rPr>
      </w:pPr>
    </w:p>
    <w:p>
      <w:pPr>
        <w:pStyle w:val="BodyText"/>
        <w:rPr>
          <w:b/>
        </w:rPr>
      </w:pPr>
    </w:p>
    <w:p>
      <w:pPr>
        <w:pStyle w:val="BodyText"/>
        <w:spacing w:line="360" w:lineRule="auto"/>
        <w:ind w:left="536" w:right="212"/>
      </w:pPr>
      <w:r>
        <w:rPr/>
        <w:t>Es el valor residual de los activos de la entidad, una vez deducidos todos sus pasivos.</w:t>
      </w:r>
    </w:p>
    <w:p>
      <w:pPr>
        <w:pStyle w:val="BodyText"/>
        <w:spacing w:line="360" w:lineRule="auto" w:before="5"/>
        <w:ind w:left="536" w:right="117"/>
        <w:jc w:val="both"/>
      </w:pPr>
      <w:r>
        <w:rPr/>
        <w:t>El capital contable o patrimonio contable representa el valor que contablemente tienen para la entidad sus activos y pasivos sujetos de reconocimiento en los estados</w:t>
      </w:r>
      <w:r>
        <w:rPr>
          <w:spacing w:val="-8"/>
        </w:rPr>
        <w:t> </w:t>
      </w:r>
      <w:r>
        <w:rPr/>
        <w:t>financieros;</w:t>
      </w:r>
      <w:r>
        <w:rPr>
          <w:spacing w:val="-7"/>
        </w:rPr>
        <w:t> </w:t>
      </w:r>
      <w:r>
        <w:rPr/>
        <w:t>por</w:t>
      </w:r>
      <w:r>
        <w:rPr>
          <w:spacing w:val="-6"/>
        </w:rPr>
        <w:t> </w:t>
      </w:r>
      <w:r>
        <w:rPr/>
        <w:t>esta</w:t>
      </w:r>
      <w:r>
        <w:rPr>
          <w:spacing w:val="-5"/>
        </w:rPr>
        <w:t> </w:t>
      </w:r>
      <w:r>
        <w:rPr/>
        <w:t>razón</w:t>
      </w:r>
      <w:r>
        <w:rPr>
          <w:spacing w:val="-7"/>
        </w:rPr>
        <w:t> </w:t>
      </w:r>
      <w:r>
        <w:rPr/>
        <w:t>también</w:t>
      </w:r>
      <w:r>
        <w:rPr>
          <w:spacing w:val="-9"/>
        </w:rPr>
        <w:t> </w:t>
      </w:r>
      <w:r>
        <w:rPr/>
        <w:t>se</w:t>
      </w:r>
      <w:r>
        <w:rPr>
          <w:spacing w:val="-5"/>
        </w:rPr>
        <w:t> </w:t>
      </w:r>
      <w:r>
        <w:rPr/>
        <w:t>le</w:t>
      </w:r>
      <w:r>
        <w:rPr>
          <w:spacing w:val="-7"/>
        </w:rPr>
        <w:t> </w:t>
      </w:r>
      <w:r>
        <w:rPr/>
        <w:t>conoce</w:t>
      </w:r>
      <w:r>
        <w:rPr>
          <w:spacing w:val="-7"/>
        </w:rPr>
        <w:t> </w:t>
      </w:r>
      <w:r>
        <w:rPr/>
        <w:t>como</w:t>
      </w:r>
      <w:r>
        <w:rPr>
          <w:spacing w:val="-7"/>
        </w:rPr>
        <w:t> </w:t>
      </w:r>
      <w:r>
        <w:rPr/>
        <w:t>“activos</w:t>
      </w:r>
      <w:r>
        <w:rPr>
          <w:spacing w:val="-5"/>
        </w:rPr>
        <w:t> </w:t>
      </w:r>
      <w:r>
        <w:rPr/>
        <w:t>netos”</w:t>
      </w:r>
      <w:r>
        <w:rPr>
          <w:spacing w:val="-1"/>
        </w:rPr>
        <w:t> </w:t>
      </w:r>
      <w:r>
        <w:rPr/>
        <w:t>de una entidad (activos menos</w:t>
      </w:r>
      <w:r>
        <w:rPr>
          <w:spacing w:val="-15"/>
        </w:rPr>
        <w:t> </w:t>
      </w:r>
      <w:r>
        <w:rPr/>
        <w:t>pasivos).</w:t>
      </w:r>
    </w:p>
    <w:p>
      <w:pPr>
        <w:pStyle w:val="BodyText"/>
        <w:spacing w:before="205"/>
        <w:ind w:left="469" w:right="212"/>
      </w:pPr>
      <w:r>
        <w:rPr/>
        <w:t>Tipos de capital contable y patrimonio contable:</w:t>
      </w:r>
    </w:p>
    <w:p>
      <w:pPr>
        <w:pStyle w:val="BodyText"/>
        <w:spacing w:before="4"/>
        <w:rPr>
          <w:sz w:val="29"/>
        </w:rPr>
      </w:pPr>
    </w:p>
    <w:p>
      <w:pPr>
        <w:pStyle w:val="BodyText"/>
        <w:spacing w:line="360" w:lineRule="auto" w:before="1"/>
        <w:ind w:left="469"/>
      </w:pPr>
      <w:r>
        <w:rPr/>
        <w:t>El</w:t>
      </w:r>
      <w:r>
        <w:rPr>
          <w:spacing w:val="-14"/>
        </w:rPr>
        <w:t> </w:t>
      </w:r>
      <w:r>
        <w:rPr/>
        <w:t>capital</w:t>
      </w:r>
      <w:r>
        <w:rPr>
          <w:spacing w:val="-14"/>
        </w:rPr>
        <w:t> </w:t>
      </w:r>
      <w:r>
        <w:rPr/>
        <w:t>contable</w:t>
      </w:r>
      <w:r>
        <w:rPr>
          <w:spacing w:val="-13"/>
        </w:rPr>
        <w:t> </w:t>
      </w:r>
      <w:r>
        <w:rPr/>
        <w:t>de</w:t>
      </w:r>
      <w:r>
        <w:rPr>
          <w:spacing w:val="-13"/>
        </w:rPr>
        <w:t> </w:t>
      </w:r>
      <w:r>
        <w:rPr/>
        <w:t>las</w:t>
      </w:r>
      <w:r>
        <w:rPr>
          <w:spacing w:val="-13"/>
        </w:rPr>
        <w:t> </w:t>
      </w:r>
      <w:r>
        <w:rPr/>
        <w:t>entidades</w:t>
      </w:r>
      <w:r>
        <w:rPr>
          <w:spacing w:val="-14"/>
        </w:rPr>
        <w:t> </w:t>
      </w:r>
      <w:r>
        <w:rPr/>
        <w:t>lucrativas</w:t>
      </w:r>
      <w:r>
        <w:rPr>
          <w:spacing w:val="-14"/>
        </w:rPr>
        <w:t> </w:t>
      </w:r>
      <w:r>
        <w:rPr/>
        <w:t>se</w:t>
      </w:r>
      <w:r>
        <w:rPr>
          <w:spacing w:val="-13"/>
        </w:rPr>
        <w:t> </w:t>
      </w:r>
      <w:r>
        <w:rPr/>
        <w:t>clasifica</w:t>
      </w:r>
      <w:r>
        <w:rPr>
          <w:spacing w:val="-13"/>
        </w:rPr>
        <w:t> </w:t>
      </w:r>
      <w:r>
        <w:rPr/>
        <w:t>de</w:t>
      </w:r>
      <w:r>
        <w:rPr>
          <w:spacing w:val="-16"/>
        </w:rPr>
        <w:t> </w:t>
      </w:r>
      <w:r>
        <w:rPr/>
        <w:t>acuerdo</w:t>
      </w:r>
      <w:r>
        <w:rPr>
          <w:spacing w:val="-13"/>
        </w:rPr>
        <w:t> </w:t>
      </w:r>
      <w:r>
        <w:rPr/>
        <w:t>con</w:t>
      </w:r>
      <w:r>
        <w:rPr>
          <w:spacing w:val="-13"/>
        </w:rPr>
        <w:t> </w:t>
      </w:r>
      <w:r>
        <w:rPr/>
        <w:t>su</w:t>
      </w:r>
      <w:r>
        <w:rPr>
          <w:spacing w:val="-8"/>
        </w:rPr>
        <w:t> </w:t>
      </w:r>
      <w:r>
        <w:rPr/>
        <w:t>origen en:</w:t>
      </w:r>
    </w:p>
    <w:p>
      <w:pPr>
        <w:pStyle w:val="ListParagraph"/>
        <w:numPr>
          <w:ilvl w:val="3"/>
          <w:numId w:val="26"/>
        </w:numPr>
        <w:tabs>
          <w:tab w:pos="829" w:val="left" w:leader="none"/>
          <w:tab w:pos="830" w:val="left" w:leader="none"/>
        </w:tabs>
        <w:spacing w:line="350" w:lineRule="auto" w:before="205" w:after="0"/>
        <w:ind w:left="829" w:right="122" w:hanging="360"/>
        <w:jc w:val="left"/>
        <w:rPr>
          <w:sz w:val="24"/>
        </w:rPr>
      </w:pPr>
      <w:r>
        <w:rPr>
          <w:sz w:val="24"/>
        </w:rPr>
        <w:t>Capital contribuido, conformado por las aportaciones de los propietarios de la entidad.</w:t>
      </w:r>
    </w:p>
    <w:p>
      <w:pPr>
        <w:pStyle w:val="ListParagraph"/>
        <w:numPr>
          <w:ilvl w:val="3"/>
          <w:numId w:val="26"/>
        </w:numPr>
        <w:tabs>
          <w:tab w:pos="829" w:val="left" w:leader="none"/>
          <w:tab w:pos="830" w:val="left" w:leader="none"/>
          <w:tab w:pos="1793" w:val="left" w:leader="none"/>
          <w:tab w:pos="2874" w:val="left" w:leader="none"/>
          <w:tab w:pos="4354" w:val="left" w:leader="none"/>
          <w:tab w:pos="4915" w:val="left" w:leader="none"/>
          <w:tab w:pos="5438" w:val="left" w:leader="none"/>
          <w:tab w:pos="6665" w:val="left" w:leader="none"/>
          <w:tab w:pos="6999" w:val="left" w:leader="none"/>
          <w:tab w:pos="8133" w:val="left" w:leader="none"/>
        </w:tabs>
        <w:spacing w:line="350" w:lineRule="auto" w:before="16" w:after="0"/>
        <w:ind w:left="829" w:right="115" w:hanging="360"/>
        <w:jc w:val="left"/>
        <w:rPr>
          <w:sz w:val="24"/>
        </w:rPr>
      </w:pPr>
      <w:r>
        <w:rPr>
          <w:sz w:val="24"/>
        </w:rPr>
        <w:t>Capital</w:t>
        <w:tab/>
        <w:t>ganado,</w:t>
        <w:tab/>
        <w:t>conformado</w:t>
        <w:tab/>
        <w:t>por</w:t>
        <w:tab/>
        <w:t>las</w:t>
        <w:tab/>
        <w:t>utilidades</w:t>
        <w:tab/>
        <w:t>y</w:t>
        <w:tab/>
        <w:t>pérdidas</w:t>
        <w:tab/>
        <w:t>integrales acumuladas.</w:t>
      </w:r>
    </w:p>
    <w:p>
      <w:pPr>
        <w:pStyle w:val="BodyText"/>
      </w:pPr>
    </w:p>
    <w:p>
      <w:pPr>
        <w:pStyle w:val="BodyText"/>
        <w:spacing w:line="360" w:lineRule="auto" w:before="153"/>
        <w:ind w:left="469" w:right="212"/>
      </w:pPr>
      <w:r>
        <w:rPr/>
        <w:t>Los elementos antes mencionados conforman la base elemental de todo Estado de Situación Financiera o Balance General.</w:t>
      </w:r>
    </w:p>
    <w:p>
      <w:pPr>
        <w:pStyle w:val="BodyText"/>
      </w:pPr>
    </w:p>
    <w:p>
      <w:pPr>
        <w:pStyle w:val="Heading2"/>
        <w:numPr>
          <w:ilvl w:val="2"/>
          <w:numId w:val="26"/>
        </w:numPr>
        <w:tabs>
          <w:tab w:pos="778" w:val="left" w:leader="none"/>
        </w:tabs>
        <w:spacing w:line="240" w:lineRule="auto" w:before="180" w:after="0"/>
        <w:ind w:left="777" w:right="0" w:hanging="668"/>
        <w:jc w:val="left"/>
      </w:pPr>
      <w:bookmarkStart w:name="_bookmark30" w:id="54"/>
      <w:bookmarkEnd w:id="54"/>
      <w:r>
        <w:rPr>
          <w:b w:val="0"/>
        </w:rPr>
      </w:r>
      <w:bookmarkStart w:name="_bookmark30" w:id="55"/>
      <w:bookmarkEnd w:id="55"/>
      <w:r>
        <w:rPr/>
        <w:t>E</w:t>
      </w:r>
      <w:r>
        <w:rPr/>
        <w:t>cuación</w:t>
      </w:r>
      <w:r>
        <w:rPr>
          <w:spacing w:val="-7"/>
        </w:rPr>
        <w:t> </w:t>
      </w:r>
      <w:r>
        <w:rPr/>
        <w:t>contable.</w:t>
      </w:r>
    </w:p>
    <w:p>
      <w:pPr>
        <w:pStyle w:val="BodyText"/>
        <w:rPr>
          <w:b/>
        </w:rPr>
      </w:pPr>
    </w:p>
    <w:p>
      <w:pPr>
        <w:pStyle w:val="BodyText"/>
        <w:spacing w:line="360" w:lineRule="auto" w:before="180"/>
        <w:ind w:left="469"/>
      </w:pPr>
      <w:r>
        <w:rPr/>
        <w:pict>
          <v:shape style="position:absolute;margin-left:171.419998pt;margin-top:57.805862pt;width:294.850pt;height:24pt;mso-position-horizontal-relative:page;mso-position-vertical-relative:paragraph;z-index:2992;mso-wrap-distance-left:0;mso-wrap-distance-right:0" type="#_x0000_t202" filled="false" stroked="true" strokeweight="2.04pt" strokecolor="#f79546">
            <v:textbox inset="0,0,0,0">
              <w:txbxContent>
                <w:p>
                  <w:pPr>
                    <w:spacing w:before="69"/>
                    <w:ind w:left="740" w:right="0" w:firstLine="0"/>
                    <w:jc w:val="left"/>
                    <w:rPr>
                      <w:b/>
                      <w:sz w:val="24"/>
                    </w:rPr>
                  </w:pPr>
                  <w:r>
                    <w:rPr>
                      <w:b/>
                      <w:sz w:val="24"/>
                    </w:rPr>
                    <w:t>ACTIVO = PASIVO + CAPITAL CONTABLE</w:t>
                  </w:r>
                </w:p>
              </w:txbxContent>
            </v:textbox>
            <w10:wrap type="topAndBottom"/>
          </v:shape>
        </w:pict>
      </w:r>
      <w:r>
        <w:rPr/>
        <w:t>Estos elementos que integran al Balance General nos orientan hacia la ecuación contable, que es:</w:t>
      </w:r>
    </w:p>
    <w:p>
      <w:pPr>
        <w:pStyle w:val="BodyText"/>
      </w:pPr>
    </w:p>
    <w:p>
      <w:pPr>
        <w:pStyle w:val="Heading2"/>
        <w:spacing w:before="198"/>
        <w:ind w:left="536" w:right="212"/>
        <w:jc w:val="left"/>
        <w:rPr>
          <w:b w:val="0"/>
        </w:rPr>
      </w:pPr>
      <w:bookmarkStart w:name="_bookmark31" w:id="56"/>
      <w:bookmarkEnd w:id="56"/>
      <w:r>
        <w:rPr>
          <w:b w:val="0"/>
        </w:rPr>
      </w:r>
      <w:r>
        <w:rPr/>
        <w:t>3.2.3 Estructura</w:t>
      </w:r>
      <w:r>
        <w:rPr>
          <w:b w:val="0"/>
        </w:rPr>
        <w:t>.</w:t>
      </w:r>
    </w:p>
    <w:p>
      <w:pPr>
        <w:pStyle w:val="BodyText"/>
      </w:pPr>
    </w:p>
    <w:p>
      <w:pPr>
        <w:pStyle w:val="BodyText"/>
      </w:pPr>
    </w:p>
    <w:p>
      <w:pPr>
        <w:pStyle w:val="ListParagraph"/>
        <w:numPr>
          <w:ilvl w:val="3"/>
          <w:numId w:val="26"/>
        </w:numPr>
        <w:tabs>
          <w:tab w:pos="829" w:val="left" w:leader="none"/>
          <w:tab w:pos="830" w:val="left" w:leader="none"/>
        </w:tabs>
        <w:spacing w:line="240" w:lineRule="auto" w:before="0" w:after="0"/>
        <w:ind w:left="829" w:right="0" w:hanging="360"/>
        <w:jc w:val="left"/>
        <w:rPr>
          <w:sz w:val="24"/>
        </w:rPr>
      </w:pPr>
      <w:r>
        <w:rPr>
          <w:sz w:val="24"/>
        </w:rPr>
        <w:t>En forma de</w:t>
      </w:r>
      <w:r>
        <w:rPr>
          <w:spacing w:val="-10"/>
          <w:sz w:val="24"/>
        </w:rPr>
        <w:t> </w:t>
      </w:r>
      <w:r>
        <w:rPr>
          <w:sz w:val="24"/>
        </w:rPr>
        <w:t>cuenta</w:t>
      </w:r>
    </w:p>
    <w:p>
      <w:pPr>
        <w:spacing w:after="0" w:line="240" w:lineRule="auto"/>
        <w:jc w:val="left"/>
        <w:rPr>
          <w:sz w:val="24"/>
        </w:rPr>
        <w:sectPr>
          <w:footerReference w:type="default" r:id="rId87"/>
          <w:pgSz w:w="12240" w:h="15840"/>
          <w:pgMar w:footer="779" w:header="0" w:top="1360" w:bottom="960" w:left="1360" w:right="1580"/>
        </w:sectPr>
      </w:pPr>
    </w:p>
    <w:p>
      <w:pPr>
        <w:pStyle w:val="BodyText"/>
        <w:spacing w:line="360" w:lineRule="auto" w:before="57"/>
        <w:ind w:left="536" w:right="119"/>
        <w:jc w:val="both"/>
      </w:pPr>
      <w:r>
        <w:rPr/>
        <w:t>Esta exposición es la tradicional; del lado izquierdo aparecen todas las cuentas que conforman el activo y del lado derecho, en una primera parte, las del pasivo, e inmediatamente después, las de capital. Este proceso sigue la fórmula activo igual a pasivo más capital contable.</w:t>
      </w:r>
    </w:p>
    <w:p>
      <w:pPr>
        <w:pStyle w:val="BodyText"/>
        <w:spacing w:before="10"/>
        <w:rPr>
          <w:sz w:val="17"/>
        </w:rPr>
      </w:pPr>
    </w:p>
    <w:tbl>
      <w:tblPr>
        <w:tblW w:w="0" w:type="auto"/>
        <w:jc w:val="left"/>
        <w:tblInd w:w="10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886"/>
        <w:gridCol w:w="1222"/>
        <w:gridCol w:w="1222"/>
        <w:gridCol w:w="2223"/>
        <w:gridCol w:w="1222"/>
        <w:gridCol w:w="1222"/>
      </w:tblGrid>
      <w:tr>
        <w:trPr>
          <w:trHeight w:val="348" w:hRule="exact"/>
        </w:trPr>
        <w:tc>
          <w:tcPr>
            <w:tcW w:w="8997" w:type="dxa"/>
            <w:gridSpan w:val="6"/>
            <w:tcBorders>
              <w:bottom w:val="single" w:sz="18" w:space="0" w:color="9BBA58"/>
            </w:tcBorders>
          </w:tcPr>
          <w:p>
            <w:pPr>
              <w:pStyle w:val="TableParagraph"/>
              <w:spacing w:line="225" w:lineRule="exact"/>
              <w:ind w:left="3679" w:right="3679"/>
              <w:jc w:val="center"/>
              <w:rPr>
                <w:rFonts w:ascii="Arial"/>
                <w:b/>
                <w:sz w:val="20"/>
              </w:rPr>
            </w:pPr>
            <w:r>
              <w:rPr>
                <w:rFonts w:ascii="Arial"/>
                <w:b/>
                <w:sz w:val="20"/>
              </w:rPr>
              <w:t>La entidad X S.A</w:t>
            </w:r>
          </w:p>
        </w:tc>
      </w:tr>
      <w:tr>
        <w:trPr>
          <w:trHeight w:val="348" w:hRule="exact"/>
        </w:trPr>
        <w:tc>
          <w:tcPr>
            <w:tcW w:w="8997" w:type="dxa"/>
            <w:gridSpan w:val="6"/>
            <w:tcBorders>
              <w:top w:val="single" w:sz="17" w:space="0" w:color="9BBA58"/>
            </w:tcBorders>
            <w:shd w:val="clear" w:color="auto" w:fill="E6EDD4"/>
          </w:tcPr>
          <w:p>
            <w:pPr>
              <w:pStyle w:val="TableParagraph"/>
              <w:spacing w:line="225" w:lineRule="exact"/>
              <w:ind w:left="2681"/>
              <w:rPr>
                <w:rFonts w:ascii="Arial"/>
                <w:b/>
                <w:sz w:val="20"/>
              </w:rPr>
            </w:pPr>
            <w:r>
              <w:rPr>
                <w:rFonts w:ascii="Arial"/>
                <w:b/>
                <w:sz w:val="20"/>
              </w:rPr>
              <w:t>Balance general al xx de xxxx de xxxx</w:t>
            </w:r>
          </w:p>
        </w:tc>
      </w:tr>
      <w:tr>
        <w:trPr>
          <w:trHeight w:val="335" w:hRule="exact"/>
        </w:trPr>
        <w:tc>
          <w:tcPr>
            <w:tcW w:w="3109" w:type="dxa"/>
            <w:gridSpan w:val="2"/>
          </w:tcPr>
          <w:p>
            <w:pPr>
              <w:pStyle w:val="TableParagraph"/>
              <w:spacing w:line="225" w:lineRule="exact"/>
              <w:ind w:left="98"/>
              <w:rPr>
                <w:rFonts w:ascii="Arial"/>
                <w:b/>
                <w:sz w:val="20"/>
              </w:rPr>
            </w:pPr>
            <w:r>
              <w:rPr>
                <w:rFonts w:ascii="Arial"/>
                <w:b/>
                <w:sz w:val="20"/>
              </w:rPr>
              <w:t>Activo Circulante</w:t>
            </w:r>
          </w:p>
        </w:tc>
        <w:tc>
          <w:tcPr>
            <w:tcW w:w="1222" w:type="dxa"/>
          </w:tcPr>
          <w:p>
            <w:pPr/>
          </w:p>
        </w:tc>
        <w:tc>
          <w:tcPr>
            <w:tcW w:w="3445" w:type="dxa"/>
            <w:gridSpan w:val="2"/>
          </w:tcPr>
          <w:p>
            <w:pPr>
              <w:pStyle w:val="TableParagraph"/>
              <w:spacing w:line="225" w:lineRule="exact"/>
              <w:ind w:left="98"/>
              <w:rPr>
                <w:rFonts w:ascii="Arial"/>
                <w:b/>
                <w:sz w:val="20"/>
              </w:rPr>
            </w:pPr>
            <w:r>
              <w:rPr>
                <w:rFonts w:ascii="Arial"/>
                <w:b/>
                <w:sz w:val="20"/>
              </w:rPr>
              <w:t>Pasivo circulante</w:t>
            </w:r>
          </w:p>
        </w:tc>
        <w:tc>
          <w:tcPr>
            <w:tcW w:w="1222" w:type="dxa"/>
          </w:tcPr>
          <w:p>
            <w:pPr/>
          </w:p>
        </w:tc>
      </w:tr>
      <w:tr>
        <w:trPr>
          <w:trHeight w:val="335" w:hRule="exact"/>
        </w:trPr>
        <w:tc>
          <w:tcPr>
            <w:tcW w:w="1886" w:type="dxa"/>
            <w:shd w:val="clear" w:color="auto" w:fill="E6EDD4"/>
          </w:tcPr>
          <w:p>
            <w:pPr>
              <w:pStyle w:val="TableParagraph"/>
              <w:spacing w:line="226" w:lineRule="exact"/>
              <w:ind w:left="98" w:right="133"/>
              <w:rPr>
                <w:rFonts w:ascii="Arial"/>
                <w:b/>
                <w:sz w:val="20"/>
              </w:rPr>
            </w:pPr>
            <w:r>
              <w:rPr>
                <w:rFonts w:ascii="Arial"/>
                <w:b/>
                <w:sz w:val="20"/>
              </w:rPr>
              <w:t>Bancos</w:t>
            </w:r>
          </w:p>
        </w:tc>
        <w:tc>
          <w:tcPr>
            <w:tcW w:w="1222" w:type="dxa"/>
            <w:shd w:val="clear" w:color="auto" w:fill="E6EDD4"/>
          </w:tcPr>
          <w:p>
            <w:pPr>
              <w:pStyle w:val="TableParagraph"/>
              <w:tabs>
                <w:tab w:pos="331" w:val="left" w:leader="none"/>
              </w:tabs>
              <w:spacing w:line="228" w:lineRule="exact"/>
              <w:ind w:right="96"/>
              <w:jc w:val="right"/>
              <w:rPr>
                <w:rFonts w:ascii="Arial"/>
                <w:sz w:val="20"/>
              </w:rPr>
            </w:pPr>
            <w:r>
              <w:rPr>
                <w:rFonts w:ascii="Arial"/>
                <w:sz w:val="20"/>
              </w:rPr>
              <w:t>$</w:t>
              <w:tab/>
            </w:r>
            <w:r>
              <w:rPr>
                <w:rFonts w:ascii="Arial"/>
                <w:w w:val="95"/>
                <w:sz w:val="20"/>
              </w:rPr>
              <w:t>200.00</w:t>
            </w:r>
          </w:p>
        </w:tc>
        <w:tc>
          <w:tcPr>
            <w:tcW w:w="1222" w:type="dxa"/>
            <w:shd w:val="clear" w:color="auto" w:fill="E6EDD4"/>
          </w:tcPr>
          <w:p>
            <w:pPr/>
          </w:p>
        </w:tc>
        <w:tc>
          <w:tcPr>
            <w:tcW w:w="2223" w:type="dxa"/>
            <w:shd w:val="clear" w:color="auto" w:fill="E6EDD4"/>
          </w:tcPr>
          <w:p>
            <w:pPr>
              <w:pStyle w:val="TableParagraph"/>
              <w:spacing w:line="228" w:lineRule="exact"/>
              <w:ind w:left="98"/>
              <w:rPr>
                <w:rFonts w:ascii="Arial"/>
                <w:sz w:val="20"/>
              </w:rPr>
            </w:pPr>
            <w:r>
              <w:rPr>
                <w:rFonts w:ascii="Arial"/>
                <w:sz w:val="20"/>
              </w:rPr>
              <w:t>Proveedores</w:t>
            </w:r>
          </w:p>
        </w:tc>
        <w:tc>
          <w:tcPr>
            <w:tcW w:w="1222" w:type="dxa"/>
            <w:shd w:val="clear" w:color="auto" w:fill="E6EDD4"/>
          </w:tcPr>
          <w:p>
            <w:pPr>
              <w:pStyle w:val="TableParagraph"/>
              <w:tabs>
                <w:tab w:pos="331" w:val="left" w:leader="none"/>
              </w:tabs>
              <w:spacing w:line="228" w:lineRule="exact"/>
              <w:ind w:right="96"/>
              <w:jc w:val="right"/>
              <w:rPr>
                <w:rFonts w:ascii="Arial"/>
                <w:sz w:val="20"/>
              </w:rPr>
            </w:pPr>
            <w:r>
              <w:rPr>
                <w:rFonts w:ascii="Arial"/>
                <w:sz w:val="20"/>
              </w:rPr>
              <w:t>$</w:t>
              <w:tab/>
            </w:r>
            <w:r>
              <w:rPr>
                <w:rFonts w:ascii="Arial"/>
                <w:w w:val="95"/>
                <w:sz w:val="20"/>
              </w:rPr>
              <w:t>100.00</w:t>
            </w:r>
          </w:p>
        </w:tc>
        <w:tc>
          <w:tcPr>
            <w:tcW w:w="1222" w:type="dxa"/>
            <w:shd w:val="clear" w:color="auto" w:fill="E6EDD4"/>
          </w:tcPr>
          <w:p>
            <w:pPr/>
          </w:p>
        </w:tc>
      </w:tr>
      <w:tr>
        <w:trPr>
          <w:trHeight w:val="481" w:hRule="exact"/>
        </w:trPr>
        <w:tc>
          <w:tcPr>
            <w:tcW w:w="1886" w:type="dxa"/>
          </w:tcPr>
          <w:p>
            <w:pPr>
              <w:pStyle w:val="TableParagraph"/>
              <w:spacing w:line="225" w:lineRule="exact"/>
              <w:ind w:left="98" w:right="133"/>
              <w:rPr>
                <w:rFonts w:ascii="Arial"/>
                <w:b/>
                <w:sz w:val="20"/>
              </w:rPr>
            </w:pPr>
            <w:r>
              <w:rPr>
                <w:rFonts w:ascii="Arial"/>
                <w:b/>
                <w:sz w:val="20"/>
              </w:rPr>
              <w:t>Clientes</w:t>
            </w:r>
          </w:p>
        </w:tc>
        <w:tc>
          <w:tcPr>
            <w:tcW w:w="1222" w:type="dxa"/>
          </w:tcPr>
          <w:p>
            <w:pPr>
              <w:pStyle w:val="TableParagraph"/>
              <w:spacing w:before="9"/>
              <w:rPr>
                <w:rFonts w:ascii="Arial"/>
                <w:sz w:val="19"/>
              </w:rPr>
            </w:pPr>
          </w:p>
          <w:p>
            <w:pPr>
              <w:pStyle w:val="TableParagraph"/>
              <w:ind w:right="96"/>
              <w:jc w:val="right"/>
              <w:rPr>
                <w:rFonts w:ascii="Arial"/>
                <w:sz w:val="20"/>
              </w:rPr>
            </w:pPr>
            <w:r>
              <w:rPr>
                <w:rFonts w:ascii="Arial"/>
                <w:w w:val="95"/>
                <w:sz w:val="20"/>
              </w:rPr>
              <w:t>100.00</w:t>
            </w:r>
          </w:p>
        </w:tc>
        <w:tc>
          <w:tcPr>
            <w:tcW w:w="1222" w:type="dxa"/>
          </w:tcPr>
          <w:p>
            <w:pPr/>
          </w:p>
        </w:tc>
        <w:tc>
          <w:tcPr>
            <w:tcW w:w="2223" w:type="dxa"/>
          </w:tcPr>
          <w:p>
            <w:pPr>
              <w:pStyle w:val="TableParagraph"/>
              <w:spacing w:line="227" w:lineRule="exact"/>
              <w:ind w:left="98"/>
              <w:rPr>
                <w:rFonts w:ascii="Arial"/>
                <w:sz w:val="20"/>
              </w:rPr>
            </w:pPr>
            <w:r>
              <w:rPr>
                <w:rFonts w:ascii="Arial"/>
                <w:sz w:val="20"/>
              </w:rPr>
              <w:t>Acreedores</w:t>
            </w:r>
          </w:p>
        </w:tc>
        <w:tc>
          <w:tcPr>
            <w:tcW w:w="1222" w:type="dxa"/>
          </w:tcPr>
          <w:p>
            <w:pPr>
              <w:pStyle w:val="TableParagraph"/>
              <w:spacing w:before="9"/>
              <w:rPr>
                <w:rFonts w:ascii="Arial"/>
                <w:sz w:val="19"/>
              </w:rPr>
            </w:pPr>
          </w:p>
          <w:p>
            <w:pPr>
              <w:pStyle w:val="TableParagraph"/>
              <w:ind w:right="96"/>
              <w:jc w:val="right"/>
              <w:rPr>
                <w:rFonts w:ascii="Arial"/>
                <w:sz w:val="20"/>
              </w:rPr>
            </w:pPr>
            <w:r>
              <w:rPr>
                <w:rFonts w:ascii="Arial"/>
                <w:w w:val="95"/>
                <w:sz w:val="20"/>
              </w:rPr>
              <w:t>200.00</w:t>
            </w:r>
          </w:p>
        </w:tc>
        <w:tc>
          <w:tcPr>
            <w:tcW w:w="1222" w:type="dxa"/>
          </w:tcPr>
          <w:p>
            <w:pPr>
              <w:pStyle w:val="TableParagraph"/>
              <w:tabs>
                <w:tab w:pos="331" w:val="left" w:leader="none"/>
              </w:tabs>
              <w:spacing w:line="227" w:lineRule="exact"/>
              <w:ind w:right="96"/>
              <w:jc w:val="right"/>
              <w:rPr>
                <w:rFonts w:ascii="Arial"/>
                <w:sz w:val="20"/>
              </w:rPr>
            </w:pPr>
            <w:r>
              <w:rPr>
                <w:rFonts w:ascii="Arial"/>
                <w:sz w:val="20"/>
              </w:rPr>
              <w:t>$</w:t>
              <w:tab/>
            </w:r>
            <w:r>
              <w:rPr>
                <w:rFonts w:ascii="Arial"/>
                <w:w w:val="95"/>
                <w:sz w:val="20"/>
              </w:rPr>
              <w:t>300.00</w:t>
            </w:r>
          </w:p>
        </w:tc>
      </w:tr>
      <w:tr>
        <w:trPr>
          <w:trHeight w:val="480" w:hRule="exact"/>
        </w:trPr>
        <w:tc>
          <w:tcPr>
            <w:tcW w:w="1886" w:type="dxa"/>
            <w:shd w:val="clear" w:color="auto" w:fill="E6EDD4"/>
          </w:tcPr>
          <w:p>
            <w:pPr>
              <w:pStyle w:val="TableParagraph"/>
              <w:spacing w:line="225" w:lineRule="exact"/>
              <w:ind w:left="98" w:right="133"/>
              <w:rPr>
                <w:rFonts w:ascii="Arial" w:hAnsi="Arial"/>
                <w:b/>
                <w:sz w:val="20"/>
              </w:rPr>
            </w:pPr>
            <w:r>
              <w:rPr>
                <w:rFonts w:ascii="Arial" w:hAnsi="Arial"/>
                <w:b/>
                <w:sz w:val="20"/>
              </w:rPr>
              <w:t>Almacén</w:t>
            </w:r>
          </w:p>
        </w:tc>
        <w:tc>
          <w:tcPr>
            <w:tcW w:w="1222" w:type="dxa"/>
            <w:shd w:val="clear" w:color="auto" w:fill="E6EDD4"/>
          </w:tcPr>
          <w:p>
            <w:pPr>
              <w:pStyle w:val="TableParagraph"/>
              <w:spacing w:before="9"/>
              <w:rPr>
                <w:rFonts w:ascii="Arial"/>
                <w:sz w:val="19"/>
              </w:rPr>
            </w:pPr>
          </w:p>
          <w:p>
            <w:pPr>
              <w:pStyle w:val="TableParagraph"/>
              <w:ind w:right="96"/>
              <w:jc w:val="right"/>
              <w:rPr>
                <w:rFonts w:ascii="Arial"/>
                <w:sz w:val="20"/>
              </w:rPr>
            </w:pPr>
            <w:r>
              <w:rPr>
                <w:rFonts w:ascii="Arial"/>
                <w:w w:val="95"/>
                <w:sz w:val="20"/>
              </w:rPr>
              <w:t>400.00</w:t>
            </w:r>
          </w:p>
        </w:tc>
        <w:tc>
          <w:tcPr>
            <w:tcW w:w="1222" w:type="dxa"/>
            <w:shd w:val="clear" w:color="auto" w:fill="E6EDD4"/>
          </w:tcPr>
          <w:p>
            <w:pPr>
              <w:pStyle w:val="TableParagraph"/>
              <w:tabs>
                <w:tab w:pos="331" w:val="left" w:leader="none"/>
              </w:tabs>
              <w:spacing w:line="227" w:lineRule="exact"/>
              <w:ind w:right="96"/>
              <w:jc w:val="right"/>
              <w:rPr>
                <w:rFonts w:ascii="Arial"/>
                <w:sz w:val="20"/>
              </w:rPr>
            </w:pPr>
            <w:r>
              <w:rPr>
                <w:rFonts w:ascii="Arial"/>
                <w:sz w:val="20"/>
              </w:rPr>
              <w:t>$</w:t>
              <w:tab/>
            </w:r>
            <w:r>
              <w:rPr>
                <w:rFonts w:ascii="Arial"/>
                <w:w w:val="95"/>
                <w:sz w:val="20"/>
              </w:rPr>
              <w:t>700.00</w:t>
            </w:r>
          </w:p>
        </w:tc>
        <w:tc>
          <w:tcPr>
            <w:tcW w:w="2223" w:type="dxa"/>
            <w:shd w:val="clear" w:color="auto" w:fill="E6EDD4"/>
          </w:tcPr>
          <w:p>
            <w:pPr>
              <w:pStyle w:val="TableParagraph"/>
              <w:spacing w:line="225" w:lineRule="exact"/>
              <w:ind w:left="98"/>
              <w:rPr>
                <w:rFonts w:ascii="Arial"/>
                <w:b/>
                <w:sz w:val="20"/>
              </w:rPr>
            </w:pPr>
            <w:r>
              <w:rPr>
                <w:rFonts w:ascii="Arial"/>
                <w:b/>
                <w:sz w:val="20"/>
              </w:rPr>
              <w:t>No circulante</w:t>
            </w:r>
          </w:p>
        </w:tc>
        <w:tc>
          <w:tcPr>
            <w:tcW w:w="1222" w:type="dxa"/>
            <w:shd w:val="clear" w:color="auto" w:fill="E6EDD4"/>
          </w:tcPr>
          <w:p>
            <w:pPr/>
          </w:p>
        </w:tc>
        <w:tc>
          <w:tcPr>
            <w:tcW w:w="1222" w:type="dxa"/>
            <w:shd w:val="clear" w:color="auto" w:fill="E6EDD4"/>
          </w:tcPr>
          <w:p>
            <w:pPr/>
          </w:p>
        </w:tc>
      </w:tr>
      <w:tr>
        <w:trPr>
          <w:trHeight w:val="480" w:hRule="exact"/>
        </w:trPr>
        <w:tc>
          <w:tcPr>
            <w:tcW w:w="1886" w:type="dxa"/>
          </w:tcPr>
          <w:p>
            <w:pPr>
              <w:pStyle w:val="TableParagraph"/>
              <w:spacing w:line="225" w:lineRule="exact"/>
              <w:ind w:left="98" w:right="133"/>
              <w:rPr>
                <w:rFonts w:ascii="Arial"/>
                <w:b/>
                <w:sz w:val="20"/>
              </w:rPr>
            </w:pPr>
            <w:r>
              <w:rPr>
                <w:rFonts w:ascii="Arial"/>
                <w:b/>
                <w:sz w:val="20"/>
              </w:rPr>
              <w:t>No circulante</w:t>
            </w:r>
          </w:p>
        </w:tc>
        <w:tc>
          <w:tcPr>
            <w:tcW w:w="1222" w:type="dxa"/>
          </w:tcPr>
          <w:p>
            <w:pPr/>
          </w:p>
        </w:tc>
        <w:tc>
          <w:tcPr>
            <w:tcW w:w="1222" w:type="dxa"/>
          </w:tcPr>
          <w:p>
            <w:pPr/>
          </w:p>
        </w:tc>
        <w:tc>
          <w:tcPr>
            <w:tcW w:w="2223" w:type="dxa"/>
          </w:tcPr>
          <w:p>
            <w:pPr>
              <w:pStyle w:val="TableParagraph"/>
              <w:spacing w:line="227" w:lineRule="exact"/>
              <w:ind w:left="98"/>
              <w:rPr>
                <w:rFonts w:ascii="Arial"/>
                <w:sz w:val="20"/>
              </w:rPr>
            </w:pPr>
            <w:r>
              <w:rPr>
                <w:rFonts w:ascii="Arial"/>
                <w:sz w:val="20"/>
              </w:rPr>
              <w:t>Hipotecas</w:t>
            </w:r>
          </w:p>
        </w:tc>
        <w:tc>
          <w:tcPr>
            <w:tcW w:w="1222" w:type="dxa"/>
          </w:tcPr>
          <w:p>
            <w:pPr/>
          </w:p>
        </w:tc>
        <w:tc>
          <w:tcPr>
            <w:tcW w:w="1222" w:type="dxa"/>
          </w:tcPr>
          <w:p>
            <w:pPr>
              <w:pStyle w:val="TableParagraph"/>
              <w:spacing w:before="9"/>
              <w:rPr>
                <w:rFonts w:ascii="Arial"/>
                <w:sz w:val="19"/>
              </w:rPr>
            </w:pPr>
          </w:p>
          <w:p>
            <w:pPr>
              <w:pStyle w:val="TableParagraph"/>
              <w:ind w:right="96"/>
              <w:jc w:val="right"/>
              <w:rPr>
                <w:rFonts w:ascii="Arial"/>
                <w:sz w:val="20"/>
              </w:rPr>
            </w:pPr>
            <w:r>
              <w:rPr>
                <w:rFonts w:ascii="Arial"/>
                <w:w w:val="95"/>
                <w:sz w:val="20"/>
              </w:rPr>
              <w:t>100.00</w:t>
            </w:r>
          </w:p>
        </w:tc>
      </w:tr>
      <w:tr>
        <w:trPr>
          <w:trHeight w:val="480" w:hRule="exact"/>
        </w:trPr>
        <w:tc>
          <w:tcPr>
            <w:tcW w:w="1886" w:type="dxa"/>
            <w:shd w:val="clear" w:color="auto" w:fill="E6EDD4"/>
          </w:tcPr>
          <w:p>
            <w:pPr>
              <w:pStyle w:val="TableParagraph"/>
              <w:spacing w:line="225" w:lineRule="exact"/>
              <w:ind w:left="98" w:right="133"/>
              <w:rPr>
                <w:rFonts w:ascii="Arial"/>
                <w:b/>
                <w:sz w:val="20"/>
              </w:rPr>
            </w:pPr>
            <w:r>
              <w:rPr>
                <w:rFonts w:ascii="Arial"/>
                <w:b/>
                <w:sz w:val="20"/>
              </w:rPr>
              <w:t>Edificio</w:t>
            </w:r>
          </w:p>
        </w:tc>
        <w:tc>
          <w:tcPr>
            <w:tcW w:w="1222" w:type="dxa"/>
            <w:shd w:val="clear" w:color="auto" w:fill="E6EDD4"/>
          </w:tcPr>
          <w:p>
            <w:pPr>
              <w:pStyle w:val="TableParagraph"/>
              <w:tabs>
                <w:tab w:pos="331" w:val="left" w:leader="none"/>
              </w:tabs>
              <w:spacing w:line="227" w:lineRule="exact"/>
              <w:ind w:right="96"/>
              <w:jc w:val="right"/>
              <w:rPr>
                <w:rFonts w:ascii="Arial"/>
                <w:sz w:val="20"/>
              </w:rPr>
            </w:pPr>
            <w:r>
              <w:rPr>
                <w:rFonts w:ascii="Arial"/>
                <w:sz w:val="20"/>
              </w:rPr>
              <w:t>$</w:t>
              <w:tab/>
            </w:r>
            <w:r>
              <w:rPr>
                <w:rFonts w:ascii="Arial"/>
                <w:w w:val="95"/>
                <w:sz w:val="20"/>
              </w:rPr>
              <w:t>600.00</w:t>
            </w:r>
          </w:p>
        </w:tc>
        <w:tc>
          <w:tcPr>
            <w:tcW w:w="1222" w:type="dxa"/>
            <w:shd w:val="clear" w:color="auto" w:fill="E6EDD4"/>
          </w:tcPr>
          <w:p>
            <w:pPr/>
          </w:p>
        </w:tc>
        <w:tc>
          <w:tcPr>
            <w:tcW w:w="2223" w:type="dxa"/>
            <w:shd w:val="clear" w:color="auto" w:fill="E6EDD4"/>
          </w:tcPr>
          <w:p>
            <w:pPr>
              <w:pStyle w:val="TableParagraph"/>
              <w:spacing w:line="227" w:lineRule="exact"/>
              <w:ind w:left="98"/>
              <w:rPr>
                <w:rFonts w:ascii="Arial"/>
                <w:sz w:val="20"/>
              </w:rPr>
            </w:pPr>
            <w:r>
              <w:rPr>
                <w:rFonts w:ascii="Arial"/>
                <w:sz w:val="20"/>
              </w:rPr>
              <w:t>Suma pasivo</w:t>
            </w:r>
          </w:p>
        </w:tc>
        <w:tc>
          <w:tcPr>
            <w:tcW w:w="1222" w:type="dxa"/>
            <w:shd w:val="clear" w:color="auto" w:fill="E6EDD4"/>
          </w:tcPr>
          <w:p>
            <w:pPr/>
          </w:p>
        </w:tc>
        <w:tc>
          <w:tcPr>
            <w:tcW w:w="1222" w:type="dxa"/>
            <w:shd w:val="clear" w:color="auto" w:fill="E6EDD4"/>
          </w:tcPr>
          <w:p>
            <w:pPr>
              <w:pStyle w:val="TableParagraph"/>
              <w:spacing w:before="9"/>
              <w:rPr>
                <w:rFonts w:ascii="Arial"/>
                <w:sz w:val="19"/>
              </w:rPr>
            </w:pPr>
          </w:p>
          <w:p>
            <w:pPr>
              <w:pStyle w:val="TableParagraph"/>
              <w:ind w:right="96"/>
              <w:jc w:val="right"/>
              <w:rPr>
                <w:rFonts w:ascii="Arial"/>
                <w:sz w:val="20"/>
              </w:rPr>
            </w:pPr>
            <w:r>
              <w:rPr>
                <w:rFonts w:ascii="Arial"/>
                <w:w w:val="95"/>
                <w:sz w:val="20"/>
              </w:rPr>
              <w:t>400.00</w:t>
            </w:r>
          </w:p>
        </w:tc>
      </w:tr>
      <w:tr>
        <w:trPr>
          <w:trHeight w:val="335" w:hRule="exact"/>
        </w:trPr>
        <w:tc>
          <w:tcPr>
            <w:tcW w:w="1886" w:type="dxa"/>
          </w:tcPr>
          <w:p>
            <w:pPr>
              <w:pStyle w:val="TableParagraph"/>
              <w:spacing w:line="225" w:lineRule="exact"/>
              <w:ind w:left="98" w:right="133"/>
              <w:rPr>
                <w:rFonts w:ascii="Arial"/>
                <w:b/>
                <w:sz w:val="20"/>
              </w:rPr>
            </w:pPr>
            <w:r>
              <w:rPr>
                <w:rFonts w:ascii="Arial"/>
                <w:b/>
                <w:sz w:val="20"/>
              </w:rPr>
              <w:t>Mobiliario</w:t>
            </w:r>
          </w:p>
        </w:tc>
        <w:tc>
          <w:tcPr>
            <w:tcW w:w="1222" w:type="dxa"/>
          </w:tcPr>
          <w:p>
            <w:pPr>
              <w:pStyle w:val="TableParagraph"/>
              <w:spacing w:line="227" w:lineRule="exact"/>
              <w:ind w:right="96"/>
              <w:jc w:val="right"/>
              <w:rPr>
                <w:rFonts w:ascii="Arial"/>
                <w:sz w:val="20"/>
              </w:rPr>
            </w:pPr>
            <w:r>
              <w:rPr>
                <w:rFonts w:ascii="Arial"/>
                <w:w w:val="95"/>
                <w:sz w:val="20"/>
              </w:rPr>
              <w:t>50.00</w:t>
            </w:r>
          </w:p>
        </w:tc>
        <w:tc>
          <w:tcPr>
            <w:tcW w:w="1222" w:type="dxa"/>
          </w:tcPr>
          <w:p>
            <w:pPr/>
          </w:p>
        </w:tc>
        <w:tc>
          <w:tcPr>
            <w:tcW w:w="2223" w:type="dxa"/>
          </w:tcPr>
          <w:p>
            <w:pPr>
              <w:pStyle w:val="TableParagraph"/>
              <w:spacing w:line="225" w:lineRule="exact"/>
              <w:ind w:left="98"/>
              <w:rPr>
                <w:rFonts w:ascii="Arial"/>
                <w:b/>
                <w:sz w:val="20"/>
              </w:rPr>
            </w:pPr>
            <w:r>
              <w:rPr>
                <w:rFonts w:ascii="Arial"/>
                <w:b/>
                <w:sz w:val="20"/>
              </w:rPr>
              <w:t>Capital contable</w:t>
            </w:r>
          </w:p>
        </w:tc>
        <w:tc>
          <w:tcPr>
            <w:tcW w:w="1222" w:type="dxa"/>
          </w:tcPr>
          <w:p>
            <w:pPr/>
          </w:p>
        </w:tc>
        <w:tc>
          <w:tcPr>
            <w:tcW w:w="1222" w:type="dxa"/>
          </w:tcPr>
          <w:p>
            <w:pPr/>
          </w:p>
        </w:tc>
      </w:tr>
      <w:tr>
        <w:trPr>
          <w:trHeight w:val="479" w:hRule="exact"/>
        </w:trPr>
        <w:tc>
          <w:tcPr>
            <w:tcW w:w="1886" w:type="dxa"/>
            <w:shd w:val="clear" w:color="auto" w:fill="E6EDD4"/>
          </w:tcPr>
          <w:p>
            <w:pPr>
              <w:pStyle w:val="TableParagraph"/>
              <w:ind w:left="98" w:right="133"/>
              <w:rPr>
                <w:rFonts w:ascii="Arial"/>
                <w:b/>
                <w:sz w:val="20"/>
              </w:rPr>
            </w:pPr>
            <w:r>
              <w:rPr>
                <w:rFonts w:ascii="Arial"/>
                <w:b/>
                <w:sz w:val="20"/>
              </w:rPr>
              <w:t>Pagos </w:t>
            </w:r>
            <w:r>
              <w:rPr>
                <w:rFonts w:ascii="Arial"/>
                <w:b/>
                <w:w w:val="95"/>
                <w:sz w:val="20"/>
              </w:rPr>
              <w:t>anticipados</w:t>
            </w:r>
          </w:p>
        </w:tc>
        <w:tc>
          <w:tcPr>
            <w:tcW w:w="1222" w:type="dxa"/>
            <w:shd w:val="clear" w:color="auto" w:fill="E6EDD4"/>
          </w:tcPr>
          <w:p>
            <w:pPr>
              <w:pStyle w:val="TableParagraph"/>
              <w:spacing w:line="228" w:lineRule="exact"/>
              <w:ind w:right="96"/>
              <w:jc w:val="right"/>
              <w:rPr>
                <w:rFonts w:ascii="Arial"/>
                <w:sz w:val="20"/>
              </w:rPr>
            </w:pPr>
            <w:r>
              <w:rPr>
                <w:rFonts w:ascii="Arial"/>
                <w:w w:val="95"/>
                <w:sz w:val="20"/>
              </w:rPr>
              <w:t>50.00</w:t>
            </w:r>
          </w:p>
        </w:tc>
        <w:tc>
          <w:tcPr>
            <w:tcW w:w="1222" w:type="dxa"/>
            <w:shd w:val="clear" w:color="auto" w:fill="E6EDD4"/>
          </w:tcPr>
          <w:p>
            <w:pPr>
              <w:pStyle w:val="TableParagraph"/>
              <w:spacing w:before="10"/>
              <w:rPr>
                <w:rFonts w:ascii="Arial"/>
                <w:sz w:val="19"/>
              </w:rPr>
            </w:pPr>
          </w:p>
          <w:p>
            <w:pPr>
              <w:pStyle w:val="TableParagraph"/>
              <w:ind w:right="96"/>
              <w:jc w:val="right"/>
              <w:rPr>
                <w:rFonts w:ascii="Arial"/>
                <w:sz w:val="20"/>
              </w:rPr>
            </w:pPr>
            <w:r>
              <w:rPr>
                <w:rFonts w:ascii="Arial"/>
                <w:w w:val="95"/>
                <w:sz w:val="20"/>
              </w:rPr>
              <w:t>700.00</w:t>
            </w:r>
          </w:p>
        </w:tc>
        <w:tc>
          <w:tcPr>
            <w:tcW w:w="2223" w:type="dxa"/>
            <w:shd w:val="clear" w:color="auto" w:fill="E6EDD4"/>
          </w:tcPr>
          <w:p>
            <w:pPr>
              <w:pStyle w:val="TableParagraph"/>
              <w:spacing w:line="228" w:lineRule="exact"/>
              <w:ind w:left="98"/>
              <w:rPr>
                <w:rFonts w:ascii="Arial"/>
                <w:sz w:val="20"/>
              </w:rPr>
            </w:pPr>
            <w:r>
              <w:rPr>
                <w:rFonts w:ascii="Arial"/>
                <w:sz w:val="20"/>
              </w:rPr>
              <w:t>Capital social</w:t>
            </w:r>
          </w:p>
        </w:tc>
        <w:tc>
          <w:tcPr>
            <w:tcW w:w="1222" w:type="dxa"/>
            <w:shd w:val="clear" w:color="auto" w:fill="E6EDD4"/>
          </w:tcPr>
          <w:p>
            <w:pPr/>
          </w:p>
        </w:tc>
        <w:tc>
          <w:tcPr>
            <w:tcW w:w="1222" w:type="dxa"/>
            <w:shd w:val="clear" w:color="auto" w:fill="E6EDD4"/>
          </w:tcPr>
          <w:p>
            <w:pPr>
              <w:pStyle w:val="TableParagraph"/>
              <w:spacing w:before="10"/>
              <w:rPr>
                <w:rFonts w:ascii="Arial"/>
                <w:sz w:val="19"/>
              </w:rPr>
            </w:pPr>
          </w:p>
          <w:p>
            <w:pPr>
              <w:pStyle w:val="TableParagraph"/>
              <w:ind w:right="98"/>
              <w:jc w:val="right"/>
              <w:rPr>
                <w:rFonts w:ascii="Arial"/>
                <w:sz w:val="20"/>
              </w:rPr>
            </w:pPr>
            <w:r>
              <w:rPr>
                <w:rFonts w:ascii="Arial"/>
                <w:sz w:val="20"/>
              </w:rPr>
              <w:t>1,000.00</w:t>
            </w:r>
          </w:p>
        </w:tc>
      </w:tr>
      <w:tr>
        <w:trPr>
          <w:trHeight w:val="336" w:hRule="exact"/>
        </w:trPr>
        <w:tc>
          <w:tcPr>
            <w:tcW w:w="1886" w:type="dxa"/>
          </w:tcPr>
          <w:p>
            <w:pPr>
              <w:pStyle w:val="TableParagraph"/>
              <w:spacing w:line="227" w:lineRule="exact"/>
              <w:ind w:left="98"/>
              <w:rPr>
                <w:rFonts w:ascii="Arial"/>
                <w:b/>
                <w:sz w:val="20"/>
              </w:rPr>
            </w:pPr>
            <w:r>
              <w:rPr>
                <w:rFonts w:ascii="Arial"/>
                <w:b/>
                <w:sz w:val="20"/>
              </w:rPr>
              <w:t>Suma de efectivo</w:t>
            </w:r>
          </w:p>
        </w:tc>
        <w:tc>
          <w:tcPr>
            <w:tcW w:w="1222" w:type="dxa"/>
          </w:tcPr>
          <w:p>
            <w:pPr/>
          </w:p>
        </w:tc>
        <w:tc>
          <w:tcPr>
            <w:tcW w:w="1222" w:type="dxa"/>
          </w:tcPr>
          <w:p>
            <w:pPr>
              <w:pStyle w:val="TableParagraph"/>
              <w:spacing w:line="230" w:lineRule="exact"/>
              <w:ind w:right="96"/>
              <w:jc w:val="right"/>
              <w:rPr>
                <w:rFonts w:ascii="Arial"/>
                <w:sz w:val="20"/>
              </w:rPr>
            </w:pPr>
            <w:r>
              <w:rPr>
                <w:rFonts w:ascii="Arial"/>
                <w:sz w:val="20"/>
              </w:rPr>
              <w:t>$ 1,400.00</w:t>
            </w:r>
          </w:p>
        </w:tc>
        <w:tc>
          <w:tcPr>
            <w:tcW w:w="2223" w:type="dxa"/>
          </w:tcPr>
          <w:p>
            <w:pPr>
              <w:pStyle w:val="TableParagraph"/>
              <w:spacing w:line="230" w:lineRule="exact"/>
              <w:ind w:left="98"/>
              <w:rPr>
                <w:rFonts w:ascii="Arial"/>
                <w:sz w:val="20"/>
              </w:rPr>
            </w:pPr>
            <w:r>
              <w:rPr>
                <w:rFonts w:ascii="Arial"/>
                <w:sz w:val="20"/>
              </w:rPr>
              <w:t>Suma pasivo y capital</w:t>
            </w:r>
          </w:p>
        </w:tc>
        <w:tc>
          <w:tcPr>
            <w:tcW w:w="1222" w:type="dxa"/>
          </w:tcPr>
          <w:p>
            <w:pPr/>
          </w:p>
        </w:tc>
        <w:tc>
          <w:tcPr>
            <w:tcW w:w="1222" w:type="dxa"/>
          </w:tcPr>
          <w:p>
            <w:pPr>
              <w:pStyle w:val="TableParagraph"/>
              <w:spacing w:line="230" w:lineRule="exact"/>
              <w:ind w:right="96"/>
              <w:jc w:val="right"/>
              <w:rPr>
                <w:rFonts w:ascii="Arial"/>
                <w:sz w:val="20"/>
              </w:rPr>
            </w:pPr>
            <w:r>
              <w:rPr>
                <w:rFonts w:ascii="Arial"/>
                <w:sz w:val="20"/>
              </w:rPr>
              <w:t>$ 1,400.00</w:t>
            </w:r>
          </w:p>
        </w:tc>
      </w:tr>
      <w:tr>
        <w:trPr>
          <w:trHeight w:val="336" w:hRule="exact"/>
        </w:trPr>
        <w:tc>
          <w:tcPr>
            <w:tcW w:w="1886" w:type="dxa"/>
            <w:shd w:val="clear" w:color="auto" w:fill="E6EDD4"/>
          </w:tcPr>
          <w:p>
            <w:pPr/>
          </w:p>
        </w:tc>
        <w:tc>
          <w:tcPr>
            <w:tcW w:w="1222" w:type="dxa"/>
            <w:shd w:val="clear" w:color="auto" w:fill="E6EDD4"/>
          </w:tcPr>
          <w:p>
            <w:pPr/>
          </w:p>
        </w:tc>
        <w:tc>
          <w:tcPr>
            <w:tcW w:w="1222" w:type="dxa"/>
            <w:shd w:val="clear" w:color="auto" w:fill="E6EDD4"/>
          </w:tcPr>
          <w:p>
            <w:pPr/>
          </w:p>
        </w:tc>
        <w:tc>
          <w:tcPr>
            <w:tcW w:w="2223" w:type="dxa"/>
            <w:shd w:val="clear" w:color="auto" w:fill="E6EDD4"/>
          </w:tcPr>
          <w:p>
            <w:pPr/>
          </w:p>
        </w:tc>
        <w:tc>
          <w:tcPr>
            <w:tcW w:w="1222" w:type="dxa"/>
            <w:shd w:val="clear" w:color="auto" w:fill="E6EDD4"/>
          </w:tcPr>
          <w:p>
            <w:pPr/>
          </w:p>
        </w:tc>
        <w:tc>
          <w:tcPr>
            <w:tcW w:w="1222" w:type="dxa"/>
            <w:shd w:val="clear" w:color="auto" w:fill="E6EDD4"/>
          </w:tcPr>
          <w:p>
            <w:pPr/>
          </w:p>
        </w:tc>
      </w:tr>
    </w:tbl>
    <w:p>
      <w:pPr>
        <w:pStyle w:val="BodyText"/>
        <w:rPr>
          <w:sz w:val="20"/>
        </w:rPr>
      </w:pPr>
    </w:p>
    <w:p>
      <w:pPr>
        <w:pStyle w:val="ListParagraph"/>
        <w:numPr>
          <w:ilvl w:val="3"/>
          <w:numId w:val="26"/>
        </w:numPr>
        <w:tabs>
          <w:tab w:pos="829" w:val="left" w:leader="none"/>
          <w:tab w:pos="830" w:val="left" w:leader="none"/>
        </w:tabs>
        <w:spacing w:line="240" w:lineRule="auto" w:before="182" w:after="0"/>
        <w:ind w:left="829" w:right="0" w:hanging="360"/>
        <w:jc w:val="left"/>
        <w:rPr>
          <w:sz w:val="24"/>
        </w:rPr>
      </w:pPr>
      <w:r>
        <w:rPr>
          <w:sz w:val="24"/>
        </w:rPr>
        <w:t>En forma de</w:t>
      </w:r>
      <w:r>
        <w:rPr>
          <w:spacing w:val="-12"/>
          <w:sz w:val="24"/>
        </w:rPr>
        <w:t> </w:t>
      </w:r>
      <w:r>
        <w:rPr>
          <w:sz w:val="24"/>
        </w:rPr>
        <w:t>reporte</w:t>
      </w:r>
    </w:p>
    <w:p>
      <w:pPr>
        <w:pStyle w:val="BodyText"/>
        <w:spacing w:line="360" w:lineRule="auto" w:before="137"/>
        <w:ind w:left="109" w:right="116"/>
        <w:jc w:val="both"/>
      </w:pPr>
      <w:r>
        <w:rPr/>
        <w:t>Esta presentación es de lectura más fácil, ya que las cuentas están en forma de listado. En la parte superior, se colocan las cuentas del activo, luego, las de pasivo y, por último, las de capital contable. Este formato obedece a la fórmula activo menos pasivo igual a capital contable.</w:t>
      </w:r>
    </w:p>
    <w:p>
      <w:pPr>
        <w:pStyle w:val="BodyText"/>
        <w:rPr>
          <w:sz w:val="20"/>
        </w:rPr>
      </w:pPr>
    </w:p>
    <w:p>
      <w:pPr>
        <w:pStyle w:val="BodyText"/>
        <w:spacing w:before="5"/>
        <w:rPr>
          <w:sz w:val="25"/>
        </w:rPr>
      </w:pPr>
    </w:p>
    <w:tbl>
      <w:tblPr>
        <w:tblW w:w="0" w:type="auto"/>
        <w:jc w:val="left"/>
        <w:tblInd w:w="117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154"/>
        <w:gridCol w:w="1889"/>
        <w:gridCol w:w="1868"/>
      </w:tblGrid>
      <w:tr>
        <w:trPr>
          <w:trHeight w:val="407" w:hRule="exact"/>
        </w:trPr>
        <w:tc>
          <w:tcPr>
            <w:tcW w:w="6911" w:type="dxa"/>
            <w:gridSpan w:val="3"/>
            <w:tcBorders>
              <w:bottom w:val="single" w:sz="18" w:space="0" w:color="9BBA58"/>
            </w:tcBorders>
          </w:tcPr>
          <w:p>
            <w:pPr>
              <w:pStyle w:val="TableParagraph"/>
              <w:spacing w:line="265" w:lineRule="exact"/>
              <w:ind w:left="2690" w:right="2689"/>
              <w:jc w:val="center"/>
              <w:rPr>
                <w:b/>
                <w:sz w:val="22"/>
              </w:rPr>
            </w:pPr>
            <w:r>
              <w:rPr>
                <w:b/>
                <w:sz w:val="22"/>
              </w:rPr>
              <w:t>La entidad X S.A</w:t>
            </w:r>
          </w:p>
        </w:tc>
      </w:tr>
      <w:tr>
        <w:trPr>
          <w:trHeight w:val="405" w:hRule="exact"/>
        </w:trPr>
        <w:tc>
          <w:tcPr>
            <w:tcW w:w="6911" w:type="dxa"/>
            <w:gridSpan w:val="3"/>
            <w:tcBorders>
              <w:top w:val="single" w:sz="17" w:space="0" w:color="9BBA58"/>
            </w:tcBorders>
            <w:shd w:val="clear" w:color="auto" w:fill="E6EDD4"/>
          </w:tcPr>
          <w:p>
            <w:pPr>
              <w:pStyle w:val="TableParagraph"/>
              <w:spacing w:line="267" w:lineRule="exact"/>
              <w:ind w:left="1755"/>
              <w:rPr>
                <w:b/>
                <w:sz w:val="22"/>
              </w:rPr>
            </w:pPr>
            <w:r>
              <w:rPr>
                <w:b/>
                <w:sz w:val="22"/>
              </w:rPr>
              <w:t>Balance general al xx de xxxx de xxxx</w:t>
            </w:r>
          </w:p>
        </w:tc>
      </w:tr>
      <w:tr>
        <w:trPr>
          <w:trHeight w:val="394" w:hRule="exact"/>
        </w:trPr>
        <w:tc>
          <w:tcPr>
            <w:tcW w:w="3154" w:type="dxa"/>
          </w:tcPr>
          <w:p>
            <w:pPr>
              <w:pStyle w:val="TableParagraph"/>
              <w:spacing w:line="265" w:lineRule="exact"/>
              <w:ind w:left="98"/>
              <w:rPr>
                <w:b/>
                <w:sz w:val="22"/>
              </w:rPr>
            </w:pPr>
            <w:r>
              <w:rPr>
                <w:b/>
                <w:sz w:val="22"/>
              </w:rPr>
              <w:t>Activo circulante</w:t>
            </w:r>
          </w:p>
        </w:tc>
        <w:tc>
          <w:tcPr>
            <w:tcW w:w="1889" w:type="dxa"/>
          </w:tcPr>
          <w:p>
            <w:pPr/>
          </w:p>
        </w:tc>
        <w:tc>
          <w:tcPr>
            <w:tcW w:w="1868" w:type="dxa"/>
          </w:tcPr>
          <w:p>
            <w:pPr/>
          </w:p>
        </w:tc>
      </w:tr>
      <w:tr>
        <w:trPr>
          <w:trHeight w:val="391" w:hRule="exact"/>
        </w:trPr>
        <w:tc>
          <w:tcPr>
            <w:tcW w:w="3154" w:type="dxa"/>
            <w:shd w:val="clear" w:color="auto" w:fill="E6EDD4"/>
          </w:tcPr>
          <w:p>
            <w:pPr>
              <w:pStyle w:val="TableParagraph"/>
              <w:spacing w:line="265" w:lineRule="exact"/>
              <w:ind w:left="98"/>
              <w:rPr>
                <w:sz w:val="22"/>
              </w:rPr>
            </w:pPr>
            <w:r>
              <w:rPr>
                <w:sz w:val="22"/>
              </w:rPr>
              <w:t>Bancos</w:t>
            </w:r>
          </w:p>
        </w:tc>
        <w:tc>
          <w:tcPr>
            <w:tcW w:w="1889" w:type="dxa"/>
            <w:shd w:val="clear" w:color="auto" w:fill="E6EDD4"/>
          </w:tcPr>
          <w:p>
            <w:pPr>
              <w:pStyle w:val="TableParagraph"/>
              <w:tabs>
                <w:tab w:pos="359" w:val="left" w:leader="none"/>
              </w:tabs>
              <w:spacing w:line="265" w:lineRule="exact"/>
              <w:ind w:right="97"/>
              <w:jc w:val="right"/>
              <w:rPr>
                <w:sz w:val="22"/>
              </w:rPr>
            </w:pPr>
            <w:r>
              <w:rPr>
                <w:sz w:val="22"/>
              </w:rPr>
              <w:t>$</w:t>
              <w:tab/>
            </w:r>
            <w:r>
              <w:rPr>
                <w:spacing w:val="-1"/>
                <w:sz w:val="22"/>
              </w:rPr>
              <w:t>200.00</w:t>
            </w:r>
          </w:p>
        </w:tc>
        <w:tc>
          <w:tcPr>
            <w:tcW w:w="1868" w:type="dxa"/>
            <w:shd w:val="clear" w:color="auto" w:fill="E6EDD4"/>
          </w:tcPr>
          <w:p>
            <w:pPr/>
          </w:p>
        </w:tc>
      </w:tr>
      <w:tr>
        <w:trPr>
          <w:trHeight w:val="395" w:hRule="exact"/>
        </w:trPr>
        <w:tc>
          <w:tcPr>
            <w:tcW w:w="3154" w:type="dxa"/>
          </w:tcPr>
          <w:p>
            <w:pPr>
              <w:pStyle w:val="TableParagraph"/>
              <w:spacing w:line="268" w:lineRule="exact"/>
              <w:ind w:left="98"/>
              <w:rPr>
                <w:sz w:val="22"/>
              </w:rPr>
            </w:pPr>
            <w:r>
              <w:rPr>
                <w:sz w:val="22"/>
              </w:rPr>
              <w:t>Clientes</w:t>
            </w:r>
          </w:p>
        </w:tc>
        <w:tc>
          <w:tcPr>
            <w:tcW w:w="1889" w:type="dxa"/>
          </w:tcPr>
          <w:p>
            <w:pPr>
              <w:pStyle w:val="TableParagraph"/>
              <w:spacing w:line="268" w:lineRule="exact"/>
              <w:ind w:right="97"/>
              <w:jc w:val="right"/>
              <w:rPr>
                <w:sz w:val="22"/>
              </w:rPr>
            </w:pPr>
            <w:r>
              <w:rPr>
                <w:sz w:val="22"/>
              </w:rPr>
              <w:t>100.00</w:t>
            </w:r>
          </w:p>
        </w:tc>
        <w:tc>
          <w:tcPr>
            <w:tcW w:w="1868" w:type="dxa"/>
          </w:tcPr>
          <w:p>
            <w:pPr/>
          </w:p>
        </w:tc>
      </w:tr>
      <w:tr>
        <w:trPr>
          <w:trHeight w:val="392" w:hRule="exact"/>
        </w:trPr>
        <w:tc>
          <w:tcPr>
            <w:tcW w:w="3154" w:type="dxa"/>
            <w:shd w:val="clear" w:color="auto" w:fill="E6EDD4"/>
          </w:tcPr>
          <w:p>
            <w:pPr>
              <w:pStyle w:val="TableParagraph"/>
              <w:spacing w:line="267" w:lineRule="exact"/>
              <w:ind w:left="98"/>
              <w:rPr>
                <w:sz w:val="22"/>
              </w:rPr>
            </w:pPr>
            <w:r>
              <w:rPr>
                <w:sz w:val="22"/>
              </w:rPr>
              <w:t>Almacén</w:t>
            </w:r>
          </w:p>
        </w:tc>
        <w:tc>
          <w:tcPr>
            <w:tcW w:w="1889" w:type="dxa"/>
            <w:shd w:val="clear" w:color="auto" w:fill="E6EDD4"/>
          </w:tcPr>
          <w:p>
            <w:pPr>
              <w:pStyle w:val="TableParagraph"/>
              <w:spacing w:line="267" w:lineRule="exact"/>
              <w:ind w:right="97"/>
              <w:jc w:val="right"/>
              <w:rPr>
                <w:sz w:val="22"/>
              </w:rPr>
            </w:pPr>
            <w:r>
              <w:rPr>
                <w:sz w:val="22"/>
              </w:rPr>
              <w:t>400.00</w:t>
            </w:r>
          </w:p>
        </w:tc>
        <w:tc>
          <w:tcPr>
            <w:tcW w:w="1868" w:type="dxa"/>
            <w:shd w:val="clear" w:color="auto" w:fill="E6EDD4"/>
          </w:tcPr>
          <w:p>
            <w:pPr>
              <w:pStyle w:val="TableParagraph"/>
              <w:tabs>
                <w:tab w:pos="1135" w:val="left" w:leader="none"/>
              </w:tabs>
              <w:spacing w:line="267" w:lineRule="exact"/>
              <w:ind w:left="775"/>
              <w:rPr>
                <w:sz w:val="22"/>
              </w:rPr>
            </w:pPr>
            <w:r>
              <w:rPr>
                <w:sz w:val="22"/>
              </w:rPr>
              <w:t>$</w:t>
              <w:tab/>
              <w:t>700.00</w:t>
            </w:r>
          </w:p>
        </w:tc>
      </w:tr>
      <w:tr>
        <w:trPr>
          <w:trHeight w:val="394" w:hRule="exact"/>
        </w:trPr>
        <w:tc>
          <w:tcPr>
            <w:tcW w:w="3154" w:type="dxa"/>
          </w:tcPr>
          <w:p>
            <w:pPr>
              <w:pStyle w:val="TableParagraph"/>
              <w:spacing w:line="265" w:lineRule="exact"/>
              <w:ind w:left="98"/>
              <w:rPr>
                <w:b/>
                <w:sz w:val="22"/>
              </w:rPr>
            </w:pPr>
            <w:r>
              <w:rPr>
                <w:b/>
                <w:sz w:val="22"/>
              </w:rPr>
              <w:t>No Circulante</w:t>
            </w:r>
          </w:p>
        </w:tc>
        <w:tc>
          <w:tcPr>
            <w:tcW w:w="1889" w:type="dxa"/>
          </w:tcPr>
          <w:p>
            <w:pPr/>
          </w:p>
        </w:tc>
        <w:tc>
          <w:tcPr>
            <w:tcW w:w="1868" w:type="dxa"/>
          </w:tcPr>
          <w:p>
            <w:pPr/>
          </w:p>
        </w:tc>
      </w:tr>
      <w:tr>
        <w:trPr>
          <w:trHeight w:val="392" w:hRule="exact"/>
        </w:trPr>
        <w:tc>
          <w:tcPr>
            <w:tcW w:w="3154" w:type="dxa"/>
            <w:shd w:val="clear" w:color="auto" w:fill="E6EDD4"/>
          </w:tcPr>
          <w:p>
            <w:pPr>
              <w:pStyle w:val="TableParagraph"/>
              <w:spacing w:line="265" w:lineRule="exact"/>
              <w:ind w:left="98"/>
              <w:rPr>
                <w:sz w:val="22"/>
              </w:rPr>
            </w:pPr>
            <w:r>
              <w:rPr>
                <w:sz w:val="22"/>
              </w:rPr>
              <w:t>Edificio</w:t>
            </w:r>
          </w:p>
        </w:tc>
        <w:tc>
          <w:tcPr>
            <w:tcW w:w="1889" w:type="dxa"/>
            <w:shd w:val="clear" w:color="auto" w:fill="E6EDD4"/>
          </w:tcPr>
          <w:p>
            <w:pPr>
              <w:pStyle w:val="TableParagraph"/>
              <w:tabs>
                <w:tab w:pos="359" w:val="left" w:leader="none"/>
              </w:tabs>
              <w:spacing w:line="265" w:lineRule="exact"/>
              <w:ind w:right="97"/>
              <w:jc w:val="right"/>
              <w:rPr>
                <w:sz w:val="22"/>
              </w:rPr>
            </w:pPr>
            <w:r>
              <w:rPr>
                <w:sz w:val="22"/>
              </w:rPr>
              <w:t>$</w:t>
              <w:tab/>
            </w:r>
            <w:r>
              <w:rPr>
                <w:spacing w:val="-1"/>
                <w:sz w:val="22"/>
              </w:rPr>
              <w:t>600.00</w:t>
            </w:r>
          </w:p>
        </w:tc>
        <w:tc>
          <w:tcPr>
            <w:tcW w:w="1868" w:type="dxa"/>
            <w:shd w:val="clear" w:color="auto" w:fill="E6EDD4"/>
          </w:tcPr>
          <w:p>
            <w:pPr/>
          </w:p>
        </w:tc>
      </w:tr>
    </w:tbl>
    <w:p>
      <w:pPr>
        <w:spacing w:after="0"/>
        <w:sectPr>
          <w:footerReference w:type="default" r:id="rId88"/>
          <w:pgSz w:w="12240" w:h="15840"/>
          <w:pgMar w:footer="450" w:header="0" w:top="1360" w:bottom="640" w:left="1360" w:right="1580"/>
          <w:pgNumType w:start="41"/>
        </w:sectPr>
      </w:pPr>
    </w:p>
    <w:tbl>
      <w:tblPr>
        <w:tblW w:w="0" w:type="auto"/>
        <w:jc w:val="left"/>
        <w:tblInd w:w="117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154"/>
        <w:gridCol w:w="1889"/>
        <w:gridCol w:w="1868"/>
      </w:tblGrid>
      <w:tr>
        <w:trPr>
          <w:trHeight w:val="394" w:hRule="exact"/>
        </w:trPr>
        <w:tc>
          <w:tcPr>
            <w:tcW w:w="3154" w:type="dxa"/>
          </w:tcPr>
          <w:p>
            <w:pPr>
              <w:pStyle w:val="TableParagraph"/>
              <w:spacing w:line="266" w:lineRule="exact"/>
              <w:ind w:left="98"/>
              <w:rPr>
                <w:sz w:val="22"/>
              </w:rPr>
            </w:pPr>
            <w:r>
              <w:rPr>
                <w:sz w:val="22"/>
              </w:rPr>
              <w:t>Mobiliario</w:t>
            </w:r>
          </w:p>
        </w:tc>
        <w:tc>
          <w:tcPr>
            <w:tcW w:w="1889" w:type="dxa"/>
          </w:tcPr>
          <w:p>
            <w:pPr>
              <w:pStyle w:val="TableParagraph"/>
              <w:spacing w:line="266" w:lineRule="exact"/>
              <w:ind w:right="97"/>
              <w:jc w:val="right"/>
              <w:rPr>
                <w:sz w:val="22"/>
              </w:rPr>
            </w:pPr>
            <w:r>
              <w:rPr>
                <w:sz w:val="22"/>
              </w:rPr>
              <w:t>50.00</w:t>
            </w:r>
          </w:p>
        </w:tc>
        <w:tc>
          <w:tcPr>
            <w:tcW w:w="1868" w:type="dxa"/>
          </w:tcPr>
          <w:p>
            <w:pPr/>
          </w:p>
        </w:tc>
      </w:tr>
      <w:tr>
        <w:trPr>
          <w:trHeight w:val="391" w:hRule="exact"/>
        </w:trPr>
        <w:tc>
          <w:tcPr>
            <w:tcW w:w="3154" w:type="dxa"/>
            <w:shd w:val="clear" w:color="auto" w:fill="E6EDD4"/>
          </w:tcPr>
          <w:p>
            <w:pPr>
              <w:pStyle w:val="TableParagraph"/>
              <w:spacing w:line="265" w:lineRule="exact"/>
              <w:ind w:left="98"/>
              <w:rPr>
                <w:sz w:val="22"/>
              </w:rPr>
            </w:pPr>
            <w:r>
              <w:rPr>
                <w:sz w:val="22"/>
              </w:rPr>
              <w:t>Pagos anticipados</w:t>
            </w:r>
          </w:p>
        </w:tc>
        <w:tc>
          <w:tcPr>
            <w:tcW w:w="1889" w:type="dxa"/>
            <w:shd w:val="clear" w:color="auto" w:fill="E6EDD4"/>
          </w:tcPr>
          <w:p>
            <w:pPr>
              <w:pStyle w:val="TableParagraph"/>
              <w:spacing w:line="265" w:lineRule="exact"/>
              <w:ind w:right="97"/>
              <w:jc w:val="right"/>
              <w:rPr>
                <w:sz w:val="22"/>
              </w:rPr>
            </w:pPr>
            <w:r>
              <w:rPr>
                <w:sz w:val="22"/>
              </w:rPr>
              <w:t>50.00</w:t>
            </w:r>
          </w:p>
        </w:tc>
        <w:tc>
          <w:tcPr>
            <w:tcW w:w="1868" w:type="dxa"/>
            <w:shd w:val="clear" w:color="auto" w:fill="E6EDD4"/>
          </w:tcPr>
          <w:p>
            <w:pPr>
              <w:pStyle w:val="TableParagraph"/>
              <w:spacing w:line="265" w:lineRule="exact"/>
              <w:ind w:right="98"/>
              <w:jc w:val="right"/>
              <w:rPr>
                <w:sz w:val="22"/>
              </w:rPr>
            </w:pPr>
            <w:r>
              <w:rPr>
                <w:sz w:val="22"/>
              </w:rPr>
              <w:t>700.00</w:t>
            </w:r>
          </w:p>
        </w:tc>
      </w:tr>
      <w:tr>
        <w:trPr>
          <w:trHeight w:val="413" w:hRule="exact"/>
        </w:trPr>
        <w:tc>
          <w:tcPr>
            <w:tcW w:w="3154" w:type="dxa"/>
          </w:tcPr>
          <w:p>
            <w:pPr>
              <w:pStyle w:val="TableParagraph"/>
              <w:spacing w:line="268" w:lineRule="exact"/>
              <w:ind w:left="98"/>
              <w:rPr>
                <w:b/>
                <w:sz w:val="22"/>
              </w:rPr>
            </w:pPr>
            <w:r>
              <w:rPr>
                <w:b/>
                <w:sz w:val="22"/>
              </w:rPr>
              <w:t>Suma el activo</w:t>
            </w:r>
          </w:p>
        </w:tc>
        <w:tc>
          <w:tcPr>
            <w:tcW w:w="1889" w:type="dxa"/>
          </w:tcPr>
          <w:p>
            <w:pPr/>
          </w:p>
        </w:tc>
        <w:tc>
          <w:tcPr>
            <w:tcW w:w="1868" w:type="dxa"/>
          </w:tcPr>
          <w:p>
            <w:pPr>
              <w:pStyle w:val="TableParagraph"/>
              <w:spacing w:line="268" w:lineRule="exact"/>
              <w:ind w:right="95"/>
              <w:jc w:val="right"/>
              <w:rPr>
                <w:sz w:val="22"/>
              </w:rPr>
            </w:pPr>
            <w:r>
              <w:rPr>
                <w:sz w:val="22"/>
              </w:rPr>
              <w:t>$ 1,400.00</w:t>
            </w:r>
          </w:p>
        </w:tc>
      </w:tr>
      <w:tr>
        <w:trPr>
          <w:trHeight w:val="410" w:hRule="exact"/>
        </w:trPr>
        <w:tc>
          <w:tcPr>
            <w:tcW w:w="3154" w:type="dxa"/>
            <w:shd w:val="clear" w:color="auto" w:fill="E6EDD4"/>
          </w:tcPr>
          <w:p>
            <w:pPr>
              <w:pStyle w:val="TableParagraph"/>
              <w:spacing w:line="265" w:lineRule="exact"/>
              <w:ind w:left="98"/>
              <w:rPr>
                <w:b/>
                <w:sz w:val="22"/>
              </w:rPr>
            </w:pPr>
            <w:r>
              <w:rPr>
                <w:b/>
                <w:sz w:val="22"/>
              </w:rPr>
              <w:t>Pasivo circulante</w:t>
            </w:r>
          </w:p>
        </w:tc>
        <w:tc>
          <w:tcPr>
            <w:tcW w:w="1889" w:type="dxa"/>
            <w:shd w:val="clear" w:color="auto" w:fill="E6EDD4"/>
          </w:tcPr>
          <w:p>
            <w:pPr/>
          </w:p>
        </w:tc>
        <w:tc>
          <w:tcPr>
            <w:tcW w:w="1868" w:type="dxa"/>
            <w:shd w:val="clear" w:color="auto" w:fill="E6EDD4"/>
          </w:tcPr>
          <w:p>
            <w:pPr/>
          </w:p>
        </w:tc>
      </w:tr>
      <w:tr>
        <w:trPr>
          <w:trHeight w:val="394" w:hRule="exact"/>
        </w:trPr>
        <w:tc>
          <w:tcPr>
            <w:tcW w:w="3154" w:type="dxa"/>
          </w:tcPr>
          <w:p>
            <w:pPr>
              <w:pStyle w:val="TableParagraph"/>
              <w:spacing w:line="265" w:lineRule="exact"/>
              <w:ind w:left="98"/>
              <w:rPr>
                <w:sz w:val="22"/>
              </w:rPr>
            </w:pPr>
            <w:r>
              <w:rPr>
                <w:sz w:val="22"/>
              </w:rPr>
              <w:t>Proveedores</w:t>
            </w:r>
          </w:p>
        </w:tc>
        <w:tc>
          <w:tcPr>
            <w:tcW w:w="1889" w:type="dxa"/>
          </w:tcPr>
          <w:p>
            <w:pPr>
              <w:pStyle w:val="TableParagraph"/>
              <w:tabs>
                <w:tab w:pos="359" w:val="left" w:leader="none"/>
              </w:tabs>
              <w:spacing w:line="265" w:lineRule="exact"/>
              <w:ind w:right="97"/>
              <w:jc w:val="right"/>
              <w:rPr>
                <w:sz w:val="22"/>
              </w:rPr>
            </w:pPr>
            <w:r>
              <w:rPr>
                <w:sz w:val="22"/>
              </w:rPr>
              <w:t>$</w:t>
              <w:tab/>
            </w:r>
            <w:r>
              <w:rPr>
                <w:spacing w:val="-1"/>
                <w:sz w:val="22"/>
              </w:rPr>
              <w:t>100.00</w:t>
            </w:r>
          </w:p>
        </w:tc>
        <w:tc>
          <w:tcPr>
            <w:tcW w:w="1868" w:type="dxa"/>
          </w:tcPr>
          <w:p>
            <w:pPr/>
          </w:p>
        </w:tc>
      </w:tr>
      <w:tr>
        <w:trPr>
          <w:trHeight w:val="391" w:hRule="exact"/>
        </w:trPr>
        <w:tc>
          <w:tcPr>
            <w:tcW w:w="3154" w:type="dxa"/>
            <w:shd w:val="clear" w:color="auto" w:fill="E6EDD4"/>
          </w:tcPr>
          <w:p>
            <w:pPr>
              <w:pStyle w:val="TableParagraph"/>
              <w:spacing w:line="265" w:lineRule="exact"/>
              <w:ind w:left="98"/>
              <w:rPr>
                <w:sz w:val="22"/>
              </w:rPr>
            </w:pPr>
            <w:r>
              <w:rPr>
                <w:sz w:val="22"/>
              </w:rPr>
              <w:t>Acreedores</w:t>
            </w:r>
          </w:p>
        </w:tc>
        <w:tc>
          <w:tcPr>
            <w:tcW w:w="1889" w:type="dxa"/>
            <w:shd w:val="clear" w:color="auto" w:fill="E6EDD4"/>
          </w:tcPr>
          <w:p>
            <w:pPr>
              <w:pStyle w:val="TableParagraph"/>
              <w:spacing w:line="265" w:lineRule="exact"/>
              <w:ind w:right="97"/>
              <w:jc w:val="right"/>
              <w:rPr>
                <w:sz w:val="22"/>
              </w:rPr>
            </w:pPr>
            <w:r>
              <w:rPr>
                <w:sz w:val="22"/>
              </w:rPr>
              <w:t>200.00</w:t>
            </w:r>
          </w:p>
        </w:tc>
        <w:tc>
          <w:tcPr>
            <w:tcW w:w="1868" w:type="dxa"/>
            <w:shd w:val="clear" w:color="auto" w:fill="E6EDD4"/>
          </w:tcPr>
          <w:p>
            <w:pPr>
              <w:pStyle w:val="TableParagraph"/>
              <w:tabs>
                <w:tab w:pos="359" w:val="left" w:leader="none"/>
              </w:tabs>
              <w:spacing w:line="265" w:lineRule="exact"/>
              <w:ind w:right="98"/>
              <w:jc w:val="right"/>
              <w:rPr>
                <w:sz w:val="22"/>
              </w:rPr>
            </w:pPr>
            <w:r>
              <w:rPr>
                <w:sz w:val="22"/>
              </w:rPr>
              <w:t>$</w:t>
              <w:tab/>
            </w:r>
            <w:r>
              <w:rPr>
                <w:spacing w:val="-1"/>
                <w:sz w:val="22"/>
              </w:rPr>
              <w:t>300.00</w:t>
            </w:r>
          </w:p>
        </w:tc>
      </w:tr>
      <w:tr>
        <w:trPr>
          <w:trHeight w:val="394" w:hRule="exact"/>
        </w:trPr>
        <w:tc>
          <w:tcPr>
            <w:tcW w:w="3154" w:type="dxa"/>
          </w:tcPr>
          <w:p>
            <w:pPr>
              <w:pStyle w:val="TableParagraph"/>
              <w:spacing w:line="268" w:lineRule="exact"/>
              <w:ind w:left="98"/>
              <w:rPr>
                <w:b/>
                <w:sz w:val="22"/>
              </w:rPr>
            </w:pPr>
            <w:r>
              <w:rPr>
                <w:b/>
                <w:sz w:val="22"/>
              </w:rPr>
              <w:t>No circulante</w:t>
            </w:r>
          </w:p>
        </w:tc>
        <w:tc>
          <w:tcPr>
            <w:tcW w:w="1889" w:type="dxa"/>
          </w:tcPr>
          <w:p>
            <w:pPr/>
          </w:p>
        </w:tc>
        <w:tc>
          <w:tcPr>
            <w:tcW w:w="1868" w:type="dxa"/>
          </w:tcPr>
          <w:p>
            <w:pPr/>
          </w:p>
        </w:tc>
      </w:tr>
      <w:tr>
        <w:trPr>
          <w:trHeight w:val="394" w:hRule="exact"/>
        </w:trPr>
        <w:tc>
          <w:tcPr>
            <w:tcW w:w="3154" w:type="dxa"/>
            <w:shd w:val="clear" w:color="auto" w:fill="E6EDD4"/>
          </w:tcPr>
          <w:p>
            <w:pPr>
              <w:pStyle w:val="TableParagraph"/>
              <w:spacing w:line="265" w:lineRule="exact"/>
              <w:ind w:left="98"/>
              <w:rPr>
                <w:sz w:val="22"/>
              </w:rPr>
            </w:pPr>
            <w:r>
              <w:rPr>
                <w:sz w:val="22"/>
              </w:rPr>
              <w:t>Hipotecas</w:t>
            </w:r>
          </w:p>
        </w:tc>
        <w:tc>
          <w:tcPr>
            <w:tcW w:w="1889" w:type="dxa"/>
            <w:shd w:val="clear" w:color="auto" w:fill="E6EDD4"/>
          </w:tcPr>
          <w:p>
            <w:pPr/>
          </w:p>
        </w:tc>
        <w:tc>
          <w:tcPr>
            <w:tcW w:w="1868" w:type="dxa"/>
            <w:shd w:val="clear" w:color="auto" w:fill="E6EDD4"/>
          </w:tcPr>
          <w:p>
            <w:pPr>
              <w:pStyle w:val="TableParagraph"/>
              <w:spacing w:line="265" w:lineRule="exact"/>
              <w:ind w:right="98"/>
              <w:jc w:val="right"/>
              <w:rPr>
                <w:sz w:val="22"/>
              </w:rPr>
            </w:pPr>
            <w:r>
              <w:rPr>
                <w:sz w:val="22"/>
              </w:rPr>
              <w:t>100.00</w:t>
            </w:r>
          </w:p>
        </w:tc>
      </w:tr>
      <w:tr>
        <w:trPr>
          <w:trHeight w:val="394" w:hRule="exact"/>
        </w:trPr>
        <w:tc>
          <w:tcPr>
            <w:tcW w:w="3154" w:type="dxa"/>
          </w:tcPr>
          <w:p>
            <w:pPr>
              <w:pStyle w:val="TableParagraph"/>
              <w:spacing w:line="265" w:lineRule="exact"/>
              <w:ind w:left="98"/>
              <w:rPr>
                <w:sz w:val="22"/>
              </w:rPr>
            </w:pPr>
            <w:r>
              <w:rPr>
                <w:sz w:val="22"/>
              </w:rPr>
              <w:t>Suma el pasivo</w:t>
            </w:r>
          </w:p>
        </w:tc>
        <w:tc>
          <w:tcPr>
            <w:tcW w:w="1889" w:type="dxa"/>
          </w:tcPr>
          <w:p>
            <w:pPr/>
          </w:p>
        </w:tc>
        <w:tc>
          <w:tcPr>
            <w:tcW w:w="1868" w:type="dxa"/>
          </w:tcPr>
          <w:p>
            <w:pPr>
              <w:pStyle w:val="TableParagraph"/>
              <w:tabs>
                <w:tab w:pos="359" w:val="left" w:leader="none"/>
              </w:tabs>
              <w:spacing w:line="265" w:lineRule="exact"/>
              <w:ind w:right="98"/>
              <w:jc w:val="right"/>
              <w:rPr>
                <w:sz w:val="22"/>
              </w:rPr>
            </w:pPr>
            <w:r>
              <w:rPr>
                <w:sz w:val="22"/>
              </w:rPr>
              <w:t>$</w:t>
              <w:tab/>
            </w:r>
            <w:r>
              <w:rPr>
                <w:spacing w:val="-1"/>
                <w:sz w:val="22"/>
              </w:rPr>
              <w:t>400.00</w:t>
            </w:r>
          </w:p>
        </w:tc>
      </w:tr>
      <w:tr>
        <w:trPr>
          <w:trHeight w:val="391" w:hRule="exact"/>
        </w:trPr>
        <w:tc>
          <w:tcPr>
            <w:tcW w:w="3154" w:type="dxa"/>
            <w:shd w:val="clear" w:color="auto" w:fill="E6EDD4"/>
          </w:tcPr>
          <w:p>
            <w:pPr>
              <w:pStyle w:val="TableParagraph"/>
              <w:spacing w:line="265" w:lineRule="exact"/>
              <w:ind w:left="98"/>
              <w:rPr>
                <w:b/>
                <w:sz w:val="22"/>
              </w:rPr>
            </w:pPr>
            <w:r>
              <w:rPr>
                <w:b/>
                <w:sz w:val="22"/>
              </w:rPr>
              <w:t>Capital contable</w:t>
            </w:r>
          </w:p>
        </w:tc>
        <w:tc>
          <w:tcPr>
            <w:tcW w:w="1889" w:type="dxa"/>
            <w:shd w:val="clear" w:color="auto" w:fill="E6EDD4"/>
          </w:tcPr>
          <w:p>
            <w:pPr/>
          </w:p>
        </w:tc>
        <w:tc>
          <w:tcPr>
            <w:tcW w:w="1868" w:type="dxa"/>
            <w:shd w:val="clear" w:color="auto" w:fill="E6EDD4"/>
          </w:tcPr>
          <w:p>
            <w:pPr/>
          </w:p>
        </w:tc>
      </w:tr>
      <w:tr>
        <w:trPr>
          <w:trHeight w:val="394" w:hRule="exact"/>
        </w:trPr>
        <w:tc>
          <w:tcPr>
            <w:tcW w:w="3154" w:type="dxa"/>
          </w:tcPr>
          <w:p>
            <w:pPr>
              <w:pStyle w:val="TableParagraph"/>
              <w:spacing w:line="268" w:lineRule="exact"/>
              <w:ind w:left="98"/>
              <w:rPr>
                <w:sz w:val="22"/>
              </w:rPr>
            </w:pPr>
            <w:r>
              <w:rPr>
                <w:sz w:val="22"/>
              </w:rPr>
              <w:t>Capital social</w:t>
            </w:r>
          </w:p>
        </w:tc>
        <w:tc>
          <w:tcPr>
            <w:tcW w:w="1889" w:type="dxa"/>
          </w:tcPr>
          <w:p>
            <w:pPr/>
          </w:p>
        </w:tc>
        <w:tc>
          <w:tcPr>
            <w:tcW w:w="1868" w:type="dxa"/>
          </w:tcPr>
          <w:p>
            <w:pPr>
              <w:pStyle w:val="TableParagraph"/>
              <w:spacing w:line="268" w:lineRule="exact"/>
              <w:ind w:right="96"/>
              <w:jc w:val="right"/>
              <w:rPr>
                <w:sz w:val="22"/>
              </w:rPr>
            </w:pPr>
            <w:r>
              <w:rPr>
                <w:sz w:val="22"/>
              </w:rPr>
              <w:t>1,000.00</w:t>
            </w:r>
          </w:p>
        </w:tc>
      </w:tr>
      <w:tr>
        <w:trPr>
          <w:trHeight w:val="394" w:hRule="exact"/>
        </w:trPr>
        <w:tc>
          <w:tcPr>
            <w:tcW w:w="3154" w:type="dxa"/>
            <w:shd w:val="clear" w:color="auto" w:fill="E6EDD4"/>
          </w:tcPr>
          <w:p>
            <w:pPr>
              <w:pStyle w:val="TableParagraph"/>
              <w:spacing w:line="265" w:lineRule="exact"/>
              <w:ind w:left="98"/>
              <w:rPr>
                <w:b/>
                <w:sz w:val="22"/>
              </w:rPr>
            </w:pPr>
            <w:r>
              <w:rPr>
                <w:b/>
                <w:sz w:val="22"/>
              </w:rPr>
              <w:t>Suma el capital</w:t>
            </w:r>
          </w:p>
        </w:tc>
        <w:tc>
          <w:tcPr>
            <w:tcW w:w="1889" w:type="dxa"/>
            <w:shd w:val="clear" w:color="auto" w:fill="E6EDD4"/>
          </w:tcPr>
          <w:p>
            <w:pPr/>
          </w:p>
        </w:tc>
        <w:tc>
          <w:tcPr>
            <w:tcW w:w="1868" w:type="dxa"/>
            <w:shd w:val="clear" w:color="auto" w:fill="E6EDD4"/>
          </w:tcPr>
          <w:p>
            <w:pPr>
              <w:pStyle w:val="TableParagraph"/>
              <w:spacing w:line="265" w:lineRule="exact"/>
              <w:ind w:right="95"/>
              <w:jc w:val="right"/>
              <w:rPr>
                <w:sz w:val="22"/>
              </w:rPr>
            </w:pPr>
            <w:r>
              <w:rPr>
                <w:sz w:val="22"/>
              </w:rPr>
              <w:t>$ 1,400.00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2"/>
        <w:numPr>
          <w:ilvl w:val="1"/>
          <w:numId w:val="27"/>
        </w:numPr>
        <w:tabs>
          <w:tab w:pos="578" w:val="left" w:leader="none"/>
        </w:tabs>
        <w:spacing w:line="240" w:lineRule="auto" w:before="0" w:after="0"/>
        <w:ind w:left="577" w:right="0" w:hanging="468"/>
        <w:jc w:val="both"/>
      </w:pPr>
      <w:bookmarkStart w:name="_bookmark32" w:id="57"/>
      <w:bookmarkEnd w:id="57"/>
      <w:r>
        <w:rPr>
          <w:b w:val="0"/>
        </w:rPr>
      </w:r>
      <w:bookmarkStart w:name="_bookmark32" w:id="58"/>
      <w:bookmarkEnd w:id="58"/>
      <w:r>
        <w:rPr/>
        <w:t>ES</w:t>
      </w:r>
      <w:r>
        <w:rPr/>
        <w:t>TADO DE</w:t>
      </w:r>
      <w:r>
        <w:rPr>
          <w:spacing w:val="-11"/>
        </w:rPr>
        <w:t> </w:t>
      </w:r>
      <w:r>
        <w:rPr/>
        <w:t>RESULTADOS.</w:t>
      </w:r>
    </w:p>
    <w:p>
      <w:pPr>
        <w:pStyle w:val="BodyText"/>
        <w:spacing w:line="360" w:lineRule="auto" w:before="41"/>
        <w:ind w:left="109" w:right="115"/>
        <w:jc w:val="both"/>
      </w:pPr>
      <w:r>
        <w:rPr/>
        <w:t>El Estado de Resultados también conocido como Estado de Pérdidas y Ganancias para entidades lucrativas o, en su caso; Estado de Actividades para entidades con propósitos no lucrativos es el documento que muestra, ordenada y</w:t>
      </w:r>
      <w:r>
        <w:rPr>
          <w:spacing w:val="-42"/>
        </w:rPr>
        <w:t> </w:t>
      </w:r>
      <w:r>
        <w:rPr/>
        <w:t>sistemáticamente, los ingresos y egresos de la entidad durante un lapso determinado. Al final de tal documento aparece la utilidad o pérdida alcanzada en el periodo</w:t>
      </w:r>
      <w:r>
        <w:rPr>
          <w:spacing w:val="-25"/>
        </w:rPr>
        <w:t> </w:t>
      </w:r>
      <w:r>
        <w:rPr/>
        <w:t>citado.</w:t>
      </w:r>
    </w:p>
    <w:p>
      <w:pPr>
        <w:pStyle w:val="BodyText"/>
        <w:spacing w:before="204"/>
        <w:ind w:left="109"/>
        <w:jc w:val="both"/>
      </w:pPr>
      <w:r>
        <w:rPr/>
        <w:t>Elementos que lo integran:</w:t>
      </w:r>
    </w:p>
    <w:p>
      <w:pPr>
        <w:pStyle w:val="BodyText"/>
        <w:spacing w:before="2"/>
        <w:rPr>
          <w:sz w:val="29"/>
        </w:rPr>
      </w:pPr>
    </w:p>
    <w:p>
      <w:pPr>
        <w:spacing w:before="0"/>
        <w:ind w:left="109" w:right="0" w:firstLine="0"/>
        <w:jc w:val="both"/>
        <w:rPr>
          <w:i/>
          <w:sz w:val="24"/>
        </w:rPr>
      </w:pPr>
      <w:r>
        <w:rPr>
          <w:i/>
          <w:sz w:val="24"/>
        </w:rPr>
        <w:t>Ingresos</w:t>
      </w:r>
    </w:p>
    <w:p>
      <w:pPr>
        <w:pStyle w:val="BodyText"/>
        <w:spacing w:before="7"/>
        <w:rPr>
          <w:i/>
          <w:sz w:val="29"/>
        </w:rPr>
      </w:pPr>
    </w:p>
    <w:p>
      <w:pPr>
        <w:pStyle w:val="BodyText"/>
        <w:spacing w:line="360" w:lineRule="auto"/>
        <w:ind w:left="109" w:right="115"/>
        <w:jc w:val="both"/>
      </w:pPr>
      <w:r>
        <w:rPr/>
        <w:t>Su definición es: representan cualquier operación practicada por la entidad que incrementa</w:t>
      </w:r>
      <w:r>
        <w:rPr>
          <w:spacing w:val="-9"/>
        </w:rPr>
        <w:t> </w:t>
      </w:r>
      <w:r>
        <w:rPr/>
        <w:t>el</w:t>
      </w:r>
      <w:r>
        <w:rPr>
          <w:spacing w:val="-8"/>
        </w:rPr>
        <w:t> </w:t>
      </w:r>
      <w:r>
        <w:rPr/>
        <w:t>capital</w:t>
      </w:r>
      <w:r>
        <w:rPr>
          <w:spacing w:val="-8"/>
        </w:rPr>
        <w:t> </w:t>
      </w:r>
      <w:r>
        <w:rPr/>
        <w:t>contable.</w:t>
      </w:r>
      <w:r>
        <w:rPr>
          <w:spacing w:val="-9"/>
        </w:rPr>
        <w:t> </w:t>
      </w:r>
      <w:r>
        <w:rPr/>
        <w:t>En</w:t>
      </w:r>
      <w:r>
        <w:rPr>
          <w:spacing w:val="-9"/>
        </w:rPr>
        <w:t> </w:t>
      </w:r>
      <w:r>
        <w:rPr/>
        <w:t>otras</w:t>
      </w:r>
      <w:r>
        <w:rPr>
          <w:spacing w:val="-10"/>
        </w:rPr>
        <w:t> </w:t>
      </w:r>
      <w:r>
        <w:rPr/>
        <w:t>palabras,</w:t>
      </w:r>
      <w:r>
        <w:rPr>
          <w:spacing w:val="-7"/>
        </w:rPr>
        <w:t> </w:t>
      </w:r>
      <w:r>
        <w:rPr/>
        <w:t>son</w:t>
      </w:r>
      <w:r>
        <w:rPr>
          <w:spacing w:val="-9"/>
        </w:rPr>
        <w:t> </w:t>
      </w:r>
      <w:r>
        <w:rPr/>
        <w:t>las</w:t>
      </w:r>
      <w:r>
        <w:rPr>
          <w:spacing w:val="-7"/>
        </w:rPr>
        <w:t> </w:t>
      </w:r>
      <w:r>
        <w:rPr/>
        <w:t>actividades</w:t>
      </w:r>
      <w:r>
        <w:rPr>
          <w:spacing w:val="-8"/>
        </w:rPr>
        <w:t> </w:t>
      </w:r>
      <w:r>
        <w:rPr/>
        <w:t>necesarias para alcanzar el objetivo de la entidad, que generan productos y dan como resultado utilidades.</w:t>
      </w:r>
    </w:p>
    <w:p>
      <w:pPr>
        <w:spacing w:before="202"/>
        <w:ind w:left="109" w:right="0" w:firstLine="0"/>
        <w:jc w:val="both"/>
        <w:rPr>
          <w:i/>
          <w:sz w:val="24"/>
        </w:rPr>
      </w:pPr>
      <w:r>
        <w:rPr>
          <w:i/>
          <w:sz w:val="24"/>
        </w:rPr>
        <w:t>Costos y gastos</w:t>
      </w:r>
    </w:p>
    <w:p>
      <w:pPr>
        <w:pStyle w:val="BodyText"/>
        <w:spacing w:before="7"/>
        <w:rPr>
          <w:i/>
          <w:sz w:val="29"/>
        </w:rPr>
      </w:pPr>
    </w:p>
    <w:p>
      <w:pPr>
        <w:pStyle w:val="BodyText"/>
        <w:spacing w:line="360" w:lineRule="auto"/>
        <w:ind w:left="109" w:right="115"/>
        <w:jc w:val="both"/>
      </w:pPr>
      <w:r>
        <w:rPr/>
        <w:t>Los costos y gastos representan el decremento de los activos o el incremento de los pasivos de una entidad, durante un periodo contable, con la intención de generar</w:t>
      </w:r>
    </w:p>
    <w:p>
      <w:pPr>
        <w:spacing w:after="0" w:line="360" w:lineRule="auto"/>
        <w:jc w:val="both"/>
        <w:sectPr>
          <w:pgSz w:w="12240" w:h="15840"/>
          <w:pgMar w:header="0" w:footer="450" w:top="1420" w:bottom="960" w:left="1360" w:right="1580"/>
        </w:sectPr>
      </w:pPr>
    </w:p>
    <w:p>
      <w:pPr>
        <w:pStyle w:val="BodyText"/>
        <w:spacing w:line="360" w:lineRule="auto" w:before="57"/>
        <w:ind w:left="109" w:right="398"/>
        <w:jc w:val="both"/>
      </w:pPr>
      <w:r>
        <w:rPr/>
        <w:t>ingresos y con un impacto desfavorable en la utilidad o pérdida neta y, consecuentemente, en su capital ganado o en su patrimonio contable respectivamente.</w:t>
      </w:r>
    </w:p>
    <w:p>
      <w:pPr>
        <w:pStyle w:val="BodyText"/>
      </w:pPr>
    </w:p>
    <w:p>
      <w:pPr>
        <w:pStyle w:val="BodyText"/>
      </w:pPr>
    </w:p>
    <w:p>
      <w:pPr>
        <w:pStyle w:val="BodyText"/>
        <w:spacing w:before="9"/>
        <w:rPr>
          <w:sz w:val="22"/>
        </w:rPr>
      </w:pPr>
    </w:p>
    <w:p>
      <w:pPr>
        <w:spacing w:before="0"/>
        <w:ind w:left="109" w:right="0" w:firstLine="0"/>
        <w:jc w:val="both"/>
        <w:rPr>
          <w:i/>
          <w:sz w:val="24"/>
        </w:rPr>
      </w:pPr>
      <w:r>
        <w:rPr>
          <w:i/>
          <w:sz w:val="24"/>
        </w:rPr>
        <w:t>Utilidad o pérdida neta</w:t>
      </w:r>
    </w:p>
    <w:p>
      <w:pPr>
        <w:pStyle w:val="BodyText"/>
        <w:spacing w:before="7"/>
        <w:rPr>
          <w:i/>
          <w:sz w:val="29"/>
        </w:rPr>
      </w:pPr>
    </w:p>
    <w:p>
      <w:pPr>
        <w:pStyle w:val="BodyText"/>
        <w:spacing w:line="360" w:lineRule="auto"/>
        <w:ind w:left="109" w:right="395"/>
        <w:jc w:val="both"/>
      </w:pPr>
      <w:r>
        <w:rPr/>
        <w:t>La utilidad neta es el valor residual de los ingresos de una entidad lucrativa después de haber disminuido sus costos y gastos relativos, presentados en el estado de resultados, siempre que estos últimos sean menores a dichos ingresos durante un periodo</w:t>
      </w:r>
      <w:r>
        <w:rPr>
          <w:spacing w:val="-12"/>
        </w:rPr>
        <w:t> </w:t>
      </w:r>
      <w:r>
        <w:rPr/>
        <w:t>contable.</w:t>
      </w:r>
      <w:r>
        <w:rPr>
          <w:spacing w:val="-10"/>
        </w:rPr>
        <w:t> </w:t>
      </w:r>
      <w:r>
        <w:rPr/>
        <w:t>En</w:t>
      </w:r>
      <w:r>
        <w:rPr>
          <w:spacing w:val="-9"/>
        </w:rPr>
        <w:t> </w:t>
      </w:r>
      <w:r>
        <w:rPr/>
        <w:t>caso</w:t>
      </w:r>
      <w:r>
        <w:rPr>
          <w:spacing w:val="-9"/>
        </w:rPr>
        <w:t> </w:t>
      </w:r>
      <w:r>
        <w:rPr/>
        <w:t>contrario,</w:t>
      </w:r>
      <w:r>
        <w:rPr>
          <w:spacing w:val="-12"/>
        </w:rPr>
        <w:t> </w:t>
      </w:r>
      <w:r>
        <w:rPr/>
        <w:t>es</w:t>
      </w:r>
      <w:r>
        <w:rPr>
          <w:spacing w:val="-10"/>
        </w:rPr>
        <w:t> </w:t>
      </w:r>
      <w:r>
        <w:rPr/>
        <w:t>decir,</w:t>
      </w:r>
      <w:r>
        <w:rPr>
          <w:spacing w:val="-12"/>
        </w:rPr>
        <w:t> </w:t>
      </w:r>
      <w:r>
        <w:rPr/>
        <w:t>cuando</w:t>
      </w:r>
      <w:r>
        <w:rPr>
          <w:spacing w:val="-9"/>
        </w:rPr>
        <w:t> </w:t>
      </w:r>
      <w:r>
        <w:rPr/>
        <w:t>los</w:t>
      </w:r>
      <w:r>
        <w:rPr>
          <w:spacing w:val="-4"/>
        </w:rPr>
        <w:t> </w:t>
      </w:r>
      <w:r>
        <w:rPr/>
        <w:t>gastos</w:t>
      </w:r>
      <w:r>
        <w:rPr>
          <w:spacing w:val="-10"/>
        </w:rPr>
        <w:t> </w:t>
      </w:r>
      <w:r>
        <w:rPr/>
        <w:t>sean</w:t>
      </w:r>
      <w:r>
        <w:rPr>
          <w:spacing w:val="-9"/>
        </w:rPr>
        <w:t> </w:t>
      </w:r>
      <w:r>
        <w:rPr/>
        <w:t>superiores</w:t>
      </w:r>
      <w:r>
        <w:rPr>
          <w:spacing w:val="-10"/>
        </w:rPr>
        <w:t> </w:t>
      </w:r>
      <w:r>
        <w:rPr/>
        <w:t>a</w:t>
      </w:r>
      <w:r>
        <w:rPr>
          <w:spacing w:val="-12"/>
        </w:rPr>
        <w:t> </w:t>
      </w:r>
      <w:r>
        <w:rPr/>
        <w:t>los ingresos, la resultante es una pérdida</w:t>
      </w:r>
      <w:r>
        <w:rPr>
          <w:spacing w:val="-13"/>
        </w:rPr>
        <w:t> </w:t>
      </w:r>
      <w:r>
        <w:rPr/>
        <w:t>neta.</w:t>
      </w:r>
    </w:p>
    <w:p>
      <w:pPr>
        <w:pStyle w:val="Heading2"/>
        <w:numPr>
          <w:ilvl w:val="2"/>
          <w:numId w:val="27"/>
        </w:numPr>
        <w:tabs>
          <w:tab w:pos="778" w:val="left" w:leader="none"/>
        </w:tabs>
        <w:spacing w:line="240" w:lineRule="auto" w:before="204" w:after="0"/>
        <w:ind w:left="777" w:right="0" w:hanging="668"/>
        <w:jc w:val="both"/>
        <w:rPr>
          <w:b w:val="0"/>
        </w:rPr>
      </w:pPr>
      <w:bookmarkStart w:name="_bookmark33" w:id="59"/>
      <w:bookmarkEnd w:id="59"/>
      <w:r>
        <w:rPr>
          <w:b w:val="0"/>
        </w:rPr>
      </w:r>
      <w:bookmarkStart w:name="_bookmark33" w:id="60"/>
      <w:bookmarkEnd w:id="60"/>
      <w:r>
        <w:rPr/>
        <w:t>E</w:t>
      </w:r>
      <w:r>
        <w:rPr/>
        <w:t>structura</w:t>
      </w:r>
      <w:r>
        <w:rPr>
          <w:b w:val="0"/>
        </w:rPr>
        <w:t>.</w:t>
      </w:r>
    </w:p>
    <w:p>
      <w:pPr>
        <w:pStyle w:val="ListParagraph"/>
        <w:numPr>
          <w:ilvl w:val="3"/>
          <w:numId w:val="27"/>
        </w:numPr>
        <w:tabs>
          <w:tab w:pos="829" w:val="left" w:leader="none"/>
          <w:tab w:pos="830" w:val="left" w:leader="none"/>
        </w:tabs>
        <w:spacing w:line="240" w:lineRule="auto" w:before="41" w:after="0"/>
        <w:ind w:left="829" w:right="0" w:hanging="360"/>
        <w:jc w:val="left"/>
        <w:rPr>
          <w:sz w:val="24"/>
        </w:rPr>
      </w:pPr>
      <w:r>
        <w:rPr>
          <w:sz w:val="24"/>
        </w:rPr>
        <w:t>Presentación</w:t>
      </w:r>
      <w:r>
        <w:rPr>
          <w:spacing w:val="-9"/>
          <w:sz w:val="24"/>
        </w:rPr>
        <w:t> </w:t>
      </w:r>
      <w:r>
        <w:rPr>
          <w:sz w:val="24"/>
        </w:rPr>
        <w:t>analítica</w:t>
      </w:r>
    </w:p>
    <w:p>
      <w:pPr>
        <w:pStyle w:val="BodyText"/>
        <w:spacing w:line="360" w:lineRule="auto" w:before="135"/>
        <w:ind w:left="109" w:right="396"/>
        <w:jc w:val="both"/>
      </w:pPr>
      <w:r>
        <w:rPr/>
        <w:t>En esta presentación, para obtener la utilidad o pérdida, son considerados a detalle todos los elementos u operaciones que intervinieron en un periodo determinado.</w:t>
      </w:r>
    </w:p>
    <w:p>
      <w:pPr>
        <w:pStyle w:val="BodyText"/>
        <w:spacing w:before="204"/>
        <w:ind w:left="109"/>
        <w:jc w:val="both"/>
      </w:pPr>
      <w:r>
        <w:rPr/>
        <w:t>Ejemplo:</w:t>
      </w:r>
    </w:p>
    <w:p>
      <w:pPr>
        <w:pStyle w:val="BodyText"/>
        <w:rPr>
          <w:sz w:val="21"/>
        </w:rPr>
      </w:pPr>
    </w:p>
    <w:tbl>
      <w:tblPr>
        <w:tblW w:w="0" w:type="auto"/>
        <w:jc w:val="left"/>
        <w:tblInd w:w="10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232"/>
        <w:gridCol w:w="1522"/>
        <w:gridCol w:w="1522"/>
        <w:gridCol w:w="2048"/>
      </w:tblGrid>
      <w:tr>
        <w:trPr>
          <w:trHeight w:val="570" w:hRule="exact"/>
        </w:trPr>
        <w:tc>
          <w:tcPr>
            <w:tcW w:w="9323" w:type="dxa"/>
            <w:gridSpan w:val="4"/>
            <w:tcBorders>
              <w:bottom w:val="single" w:sz="17" w:space="0" w:color="9BBA58"/>
            </w:tcBorders>
          </w:tcPr>
          <w:p>
            <w:pPr>
              <w:pStyle w:val="TableParagraph"/>
              <w:ind w:left="4409" w:right="292" w:hanging="4103"/>
              <w:rPr>
                <w:b/>
                <w:sz w:val="22"/>
              </w:rPr>
            </w:pPr>
            <w:r>
              <w:rPr>
                <w:b/>
                <w:sz w:val="22"/>
              </w:rPr>
              <w:t>Estado de resultados por el periodo comprendido de XX de mes de XXXX al XX del mes XXXX de XXXX</w:t>
            </w:r>
          </w:p>
        </w:tc>
      </w:tr>
      <w:tr>
        <w:trPr>
          <w:trHeight w:val="332" w:hRule="exact"/>
        </w:trPr>
        <w:tc>
          <w:tcPr>
            <w:tcW w:w="4232" w:type="dxa"/>
            <w:tcBorders>
              <w:top w:val="single" w:sz="17" w:space="0" w:color="9BBA58"/>
            </w:tcBorders>
            <w:shd w:val="clear" w:color="auto" w:fill="E6EDD4"/>
          </w:tcPr>
          <w:p>
            <w:pPr>
              <w:pStyle w:val="TableParagraph"/>
              <w:spacing w:line="267" w:lineRule="exact"/>
              <w:ind w:left="98"/>
              <w:rPr>
                <w:b/>
                <w:sz w:val="22"/>
              </w:rPr>
            </w:pPr>
            <w:r>
              <w:rPr>
                <w:b/>
                <w:sz w:val="22"/>
              </w:rPr>
              <w:t>Ventas</w:t>
            </w:r>
          </w:p>
        </w:tc>
        <w:tc>
          <w:tcPr>
            <w:tcW w:w="1522" w:type="dxa"/>
            <w:tcBorders>
              <w:top w:val="single" w:sz="17" w:space="0" w:color="9BBA58"/>
            </w:tcBorders>
            <w:shd w:val="clear" w:color="auto" w:fill="E6EDD4"/>
          </w:tcPr>
          <w:p>
            <w:pPr/>
          </w:p>
        </w:tc>
        <w:tc>
          <w:tcPr>
            <w:tcW w:w="1522" w:type="dxa"/>
            <w:tcBorders>
              <w:top w:val="single" w:sz="17" w:space="0" w:color="9BBA58"/>
            </w:tcBorders>
            <w:shd w:val="clear" w:color="auto" w:fill="E6EDD4"/>
          </w:tcPr>
          <w:p>
            <w:pPr/>
          </w:p>
        </w:tc>
        <w:tc>
          <w:tcPr>
            <w:tcW w:w="2048" w:type="dxa"/>
            <w:tcBorders>
              <w:top w:val="single" w:sz="17" w:space="0" w:color="9BBA58"/>
            </w:tcBorders>
            <w:shd w:val="clear" w:color="auto" w:fill="E6EDD4"/>
          </w:tcPr>
          <w:p>
            <w:pPr>
              <w:pStyle w:val="TableParagraph"/>
              <w:tabs>
                <w:tab w:pos="509" w:val="left" w:leader="none"/>
              </w:tabs>
              <w:spacing w:line="267" w:lineRule="exact"/>
              <w:ind w:left="149"/>
              <w:rPr>
                <w:sz w:val="22"/>
              </w:rPr>
            </w:pPr>
            <w:r>
              <w:rPr>
                <w:sz w:val="22"/>
              </w:rPr>
              <w:t>$</w:t>
              <w:tab/>
              <w:t>2,000,000.00</w:t>
            </w:r>
          </w:p>
        </w:tc>
      </w:tr>
      <w:tr>
        <w:trPr>
          <w:trHeight w:val="322" w:hRule="exact"/>
        </w:trPr>
        <w:tc>
          <w:tcPr>
            <w:tcW w:w="4232" w:type="dxa"/>
          </w:tcPr>
          <w:p>
            <w:pPr>
              <w:pStyle w:val="TableParagraph"/>
              <w:spacing w:line="268" w:lineRule="exact"/>
              <w:ind w:left="98"/>
              <w:rPr>
                <w:sz w:val="22"/>
              </w:rPr>
            </w:pPr>
            <w:r>
              <w:rPr>
                <w:sz w:val="22"/>
              </w:rPr>
              <w:t>Devoluciones sobre venta</w:t>
            </w:r>
          </w:p>
        </w:tc>
        <w:tc>
          <w:tcPr>
            <w:tcW w:w="1522" w:type="dxa"/>
          </w:tcPr>
          <w:p>
            <w:pPr/>
          </w:p>
        </w:tc>
        <w:tc>
          <w:tcPr>
            <w:tcW w:w="1522" w:type="dxa"/>
          </w:tcPr>
          <w:p>
            <w:pPr/>
          </w:p>
        </w:tc>
        <w:tc>
          <w:tcPr>
            <w:tcW w:w="2048" w:type="dxa"/>
          </w:tcPr>
          <w:p>
            <w:pPr>
              <w:pStyle w:val="TableParagraph"/>
              <w:spacing w:line="268" w:lineRule="exact"/>
              <w:ind w:right="340"/>
              <w:jc w:val="right"/>
              <w:rPr>
                <w:sz w:val="22"/>
              </w:rPr>
            </w:pPr>
            <w:r>
              <w:rPr>
                <w:sz w:val="22"/>
              </w:rPr>
              <w:t>75,000.00</w:t>
            </w:r>
          </w:p>
        </w:tc>
      </w:tr>
      <w:tr>
        <w:trPr>
          <w:trHeight w:val="319" w:hRule="exact"/>
        </w:trPr>
        <w:tc>
          <w:tcPr>
            <w:tcW w:w="4232" w:type="dxa"/>
            <w:shd w:val="clear" w:color="auto" w:fill="E6EDD4"/>
          </w:tcPr>
          <w:p>
            <w:pPr>
              <w:pStyle w:val="TableParagraph"/>
              <w:spacing w:line="265" w:lineRule="exact"/>
              <w:ind w:left="98"/>
              <w:rPr>
                <w:sz w:val="22"/>
              </w:rPr>
            </w:pPr>
            <w:r>
              <w:rPr>
                <w:sz w:val="22"/>
              </w:rPr>
              <w:t>Descuentos y rebajas sobre venta</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spacing w:line="265" w:lineRule="exact"/>
              <w:ind w:right="340"/>
              <w:jc w:val="right"/>
              <w:rPr>
                <w:sz w:val="22"/>
              </w:rPr>
            </w:pPr>
            <w:r>
              <w:rPr>
                <w:sz w:val="22"/>
              </w:rPr>
              <w:t>25,000.00</w:t>
            </w:r>
          </w:p>
        </w:tc>
      </w:tr>
      <w:tr>
        <w:trPr>
          <w:trHeight w:val="320" w:hRule="exact"/>
        </w:trPr>
        <w:tc>
          <w:tcPr>
            <w:tcW w:w="4232" w:type="dxa"/>
          </w:tcPr>
          <w:p>
            <w:pPr>
              <w:pStyle w:val="TableParagraph"/>
              <w:spacing w:line="265" w:lineRule="exact"/>
              <w:ind w:left="98"/>
              <w:rPr>
                <w:sz w:val="22"/>
              </w:rPr>
            </w:pPr>
            <w:r>
              <w:rPr>
                <w:sz w:val="22"/>
              </w:rPr>
              <w:t>Ventas netas</w:t>
            </w:r>
          </w:p>
        </w:tc>
        <w:tc>
          <w:tcPr>
            <w:tcW w:w="1522" w:type="dxa"/>
          </w:tcPr>
          <w:p>
            <w:pPr/>
          </w:p>
        </w:tc>
        <w:tc>
          <w:tcPr>
            <w:tcW w:w="1522" w:type="dxa"/>
          </w:tcPr>
          <w:p>
            <w:pPr/>
          </w:p>
        </w:tc>
        <w:tc>
          <w:tcPr>
            <w:tcW w:w="2048" w:type="dxa"/>
          </w:tcPr>
          <w:p>
            <w:pPr>
              <w:pStyle w:val="TableParagraph"/>
              <w:tabs>
                <w:tab w:pos="559" w:val="left" w:leader="none"/>
              </w:tabs>
              <w:spacing w:line="265" w:lineRule="exact"/>
              <w:ind w:left="149"/>
              <w:rPr>
                <w:sz w:val="22"/>
              </w:rPr>
            </w:pPr>
            <w:r>
              <w:rPr>
                <w:sz w:val="22"/>
              </w:rPr>
              <w:t>$</w:t>
              <w:tab/>
              <w:t>1,900,000.00</w:t>
            </w:r>
          </w:p>
        </w:tc>
      </w:tr>
      <w:tr>
        <w:trPr>
          <w:trHeight w:val="320" w:hRule="exact"/>
        </w:trPr>
        <w:tc>
          <w:tcPr>
            <w:tcW w:w="4232" w:type="dxa"/>
            <w:shd w:val="clear" w:color="auto" w:fill="E6EDD4"/>
          </w:tcPr>
          <w:p>
            <w:pPr>
              <w:pStyle w:val="TableParagraph"/>
              <w:spacing w:line="267" w:lineRule="exact"/>
              <w:ind w:left="98"/>
              <w:rPr>
                <w:sz w:val="22"/>
              </w:rPr>
            </w:pPr>
            <w:r>
              <w:rPr>
                <w:sz w:val="22"/>
              </w:rPr>
              <w:t>Costo de ventas</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spacing w:line="267" w:lineRule="exact"/>
              <w:ind w:right="278"/>
              <w:jc w:val="right"/>
              <w:rPr>
                <w:sz w:val="22"/>
              </w:rPr>
            </w:pPr>
            <w:r>
              <w:rPr>
                <w:sz w:val="22"/>
              </w:rPr>
              <w:t>860,000.00</w:t>
            </w:r>
          </w:p>
        </w:tc>
      </w:tr>
      <w:tr>
        <w:trPr>
          <w:trHeight w:val="319" w:hRule="exact"/>
        </w:trPr>
        <w:tc>
          <w:tcPr>
            <w:tcW w:w="4232" w:type="dxa"/>
          </w:tcPr>
          <w:p>
            <w:pPr>
              <w:pStyle w:val="TableParagraph"/>
              <w:spacing w:line="265" w:lineRule="exact"/>
              <w:ind w:left="98"/>
              <w:rPr>
                <w:sz w:val="22"/>
              </w:rPr>
            </w:pPr>
            <w:r>
              <w:rPr>
                <w:sz w:val="22"/>
              </w:rPr>
              <w:t>Inventario inicial</w:t>
            </w:r>
          </w:p>
        </w:tc>
        <w:tc>
          <w:tcPr>
            <w:tcW w:w="1522" w:type="dxa"/>
          </w:tcPr>
          <w:p>
            <w:pPr/>
          </w:p>
        </w:tc>
        <w:tc>
          <w:tcPr>
            <w:tcW w:w="1522" w:type="dxa"/>
          </w:tcPr>
          <w:p>
            <w:pPr>
              <w:pStyle w:val="TableParagraph"/>
              <w:spacing w:line="265" w:lineRule="exact"/>
              <w:ind w:right="139"/>
              <w:jc w:val="right"/>
              <w:rPr>
                <w:sz w:val="22"/>
              </w:rPr>
            </w:pPr>
            <w:r>
              <w:rPr>
                <w:sz w:val="22"/>
              </w:rPr>
              <w:t>$ 170,000.00</w:t>
            </w:r>
          </w:p>
        </w:tc>
        <w:tc>
          <w:tcPr>
            <w:tcW w:w="2048" w:type="dxa"/>
          </w:tcPr>
          <w:p>
            <w:pPr/>
          </w:p>
        </w:tc>
      </w:tr>
      <w:tr>
        <w:trPr>
          <w:trHeight w:val="319" w:hRule="exact"/>
        </w:trPr>
        <w:tc>
          <w:tcPr>
            <w:tcW w:w="4232" w:type="dxa"/>
            <w:shd w:val="clear" w:color="auto" w:fill="E6EDD4"/>
          </w:tcPr>
          <w:p>
            <w:pPr>
              <w:pStyle w:val="TableParagraph"/>
              <w:spacing w:line="265" w:lineRule="exact"/>
              <w:ind w:left="98"/>
              <w:rPr>
                <w:sz w:val="22"/>
              </w:rPr>
            </w:pPr>
            <w:r>
              <w:rPr>
                <w:sz w:val="22"/>
              </w:rPr>
              <w:t>Compras netas</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2" w:hRule="exact"/>
        </w:trPr>
        <w:tc>
          <w:tcPr>
            <w:tcW w:w="4232" w:type="dxa"/>
          </w:tcPr>
          <w:p>
            <w:pPr>
              <w:pStyle w:val="TableParagraph"/>
              <w:ind w:left="758"/>
              <w:rPr>
                <w:sz w:val="22"/>
              </w:rPr>
            </w:pPr>
            <w:r>
              <w:rPr>
                <w:sz w:val="22"/>
              </w:rPr>
              <w:t>Compras</w:t>
            </w:r>
          </w:p>
        </w:tc>
        <w:tc>
          <w:tcPr>
            <w:tcW w:w="1522" w:type="dxa"/>
          </w:tcPr>
          <w:p>
            <w:pPr/>
          </w:p>
        </w:tc>
        <w:tc>
          <w:tcPr>
            <w:tcW w:w="1522" w:type="dxa"/>
          </w:tcPr>
          <w:p>
            <w:pP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Gastos sobre compra</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0" w:hRule="exact"/>
        </w:trPr>
        <w:tc>
          <w:tcPr>
            <w:tcW w:w="4232" w:type="dxa"/>
          </w:tcPr>
          <w:p>
            <w:pPr>
              <w:pStyle w:val="TableParagraph"/>
              <w:spacing w:line="265" w:lineRule="exact"/>
              <w:ind w:left="1197"/>
              <w:rPr>
                <w:sz w:val="22"/>
              </w:rPr>
            </w:pPr>
            <w:r>
              <w:rPr>
                <w:sz w:val="22"/>
              </w:rPr>
              <w:t>Compras totales</w:t>
            </w:r>
          </w:p>
        </w:tc>
        <w:tc>
          <w:tcPr>
            <w:tcW w:w="1522" w:type="dxa"/>
          </w:tcPr>
          <w:p>
            <w:pPr>
              <w:pStyle w:val="TableParagraph"/>
              <w:spacing w:line="265" w:lineRule="exact"/>
              <w:ind w:right="139"/>
              <w:jc w:val="right"/>
              <w:rPr>
                <w:sz w:val="22"/>
              </w:rPr>
            </w:pPr>
            <w:r>
              <w:rPr>
                <w:sz w:val="22"/>
              </w:rPr>
              <w:t>$ 900,000.00</w:t>
            </w:r>
          </w:p>
        </w:tc>
        <w:tc>
          <w:tcPr>
            <w:tcW w:w="1522" w:type="dxa"/>
          </w:tcPr>
          <w:p>
            <w:pPr/>
          </w:p>
        </w:tc>
        <w:tc>
          <w:tcPr>
            <w:tcW w:w="2048" w:type="dxa"/>
          </w:tcPr>
          <w:p>
            <w:pPr/>
          </w:p>
        </w:tc>
      </w:tr>
      <w:tr>
        <w:trPr>
          <w:trHeight w:val="320" w:hRule="exact"/>
        </w:trPr>
        <w:tc>
          <w:tcPr>
            <w:tcW w:w="4232" w:type="dxa"/>
            <w:shd w:val="clear" w:color="auto" w:fill="E6EDD4"/>
          </w:tcPr>
          <w:p>
            <w:pPr>
              <w:pStyle w:val="TableParagraph"/>
              <w:spacing w:line="267" w:lineRule="exact"/>
              <w:ind w:left="758"/>
              <w:rPr>
                <w:sz w:val="22"/>
              </w:rPr>
            </w:pPr>
            <w:r>
              <w:rPr>
                <w:sz w:val="22"/>
              </w:rPr>
              <w:t>Devoluciones sobre compra</w:t>
            </w:r>
          </w:p>
        </w:tc>
        <w:tc>
          <w:tcPr>
            <w:tcW w:w="1522" w:type="dxa"/>
            <w:shd w:val="clear" w:color="auto" w:fill="E6EDD4"/>
          </w:tcPr>
          <w:p>
            <w:pPr>
              <w:pStyle w:val="TableParagraph"/>
              <w:spacing w:line="267" w:lineRule="exact"/>
              <w:ind w:right="163"/>
              <w:jc w:val="right"/>
              <w:rPr>
                <w:sz w:val="22"/>
              </w:rPr>
            </w:pPr>
            <w:r>
              <w:rPr>
                <w:sz w:val="22"/>
              </w:rPr>
              <w:t>60,000.00</w:t>
            </w:r>
          </w:p>
        </w:tc>
        <w:tc>
          <w:tcPr>
            <w:tcW w:w="1522" w:type="dxa"/>
            <w:shd w:val="clear" w:color="auto" w:fill="E6EDD4"/>
          </w:tcPr>
          <w:p>
            <w:pPr/>
          </w:p>
        </w:tc>
        <w:tc>
          <w:tcPr>
            <w:tcW w:w="2048" w:type="dxa"/>
            <w:shd w:val="clear" w:color="auto" w:fill="E6EDD4"/>
          </w:tcPr>
          <w:p>
            <w:pPr/>
          </w:p>
        </w:tc>
      </w:tr>
      <w:tr>
        <w:trPr>
          <w:trHeight w:val="319" w:hRule="exact"/>
        </w:trPr>
        <w:tc>
          <w:tcPr>
            <w:tcW w:w="4232" w:type="dxa"/>
          </w:tcPr>
          <w:p>
            <w:pPr>
              <w:pStyle w:val="TableParagraph"/>
              <w:spacing w:line="265" w:lineRule="exact"/>
              <w:ind w:left="758"/>
              <w:rPr>
                <w:sz w:val="22"/>
              </w:rPr>
            </w:pPr>
            <w:r>
              <w:rPr>
                <w:sz w:val="22"/>
              </w:rPr>
              <w:t>Descuentos y rebajas sobre compra</w:t>
            </w:r>
          </w:p>
        </w:tc>
        <w:tc>
          <w:tcPr>
            <w:tcW w:w="1522" w:type="dxa"/>
          </w:tcPr>
          <w:p>
            <w:pPr>
              <w:pStyle w:val="TableParagraph"/>
              <w:spacing w:line="265" w:lineRule="exact"/>
              <w:ind w:right="163"/>
              <w:jc w:val="right"/>
              <w:rPr>
                <w:sz w:val="22"/>
              </w:rPr>
            </w:pPr>
            <w:r>
              <w:rPr>
                <w:sz w:val="22"/>
              </w:rPr>
              <w:t>40,000.00</w:t>
            </w:r>
          </w:p>
        </w:tc>
        <w:tc>
          <w:tcPr>
            <w:tcW w:w="1522" w:type="dxa"/>
          </w:tcPr>
          <w:p>
            <w:pPr>
              <w:pStyle w:val="TableParagraph"/>
              <w:spacing w:line="265" w:lineRule="exact"/>
              <w:ind w:right="150"/>
              <w:jc w:val="right"/>
              <w:rPr>
                <w:sz w:val="22"/>
              </w:rPr>
            </w:pPr>
            <w:r>
              <w:rPr>
                <w:sz w:val="22"/>
              </w:rPr>
              <w:t>800,000.00</w:t>
            </w:r>
          </w:p>
        </w:tc>
        <w:tc>
          <w:tcPr>
            <w:tcW w:w="2048" w:type="dxa"/>
          </w:tcPr>
          <w:p>
            <w:pPr/>
          </w:p>
        </w:tc>
      </w:tr>
      <w:tr>
        <w:trPr>
          <w:trHeight w:val="319" w:hRule="exact"/>
        </w:trPr>
        <w:tc>
          <w:tcPr>
            <w:tcW w:w="4232" w:type="dxa"/>
            <w:shd w:val="clear" w:color="auto" w:fill="E6EDD4"/>
          </w:tcPr>
          <w:p>
            <w:pPr>
              <w:pStyle w:val="TableParagraph"/>
              <w:spacing w:line="265" w:lineRule="exact"/>
              <w:ind w:left="98"/>
              <w:rPr>
                <w:sz w:val="22"/>
              </w:rPr>
            </w:pPr>
            <w:r>
              <w:rPr>
                <w:sz w:val="22"/>
              </w:rPr>
              <w:t>Inventario final</w:t>
            </w:r>
          </w:p>
        </w:tc>
        <w:tc>
          <w:tcPr>
            <w:tcW w:w="1522" w:type="dxa"/>
            <w:shd w:val="clear" w:color="auto" w:fill="E6EDD4"/>
          </w:tcPr>
          <w:p>
            <w:pPr/>
          </w:p>
        </w:tc>
        <w:tc>
          <w:tcPr>
            <w:tcW w:w="1522" w:type="dxa"/>
            <w:shd w:val="clear" w:color="auto" w:fill="E6EDD4"/>
          </w:tcPr>
          <w:p>
            <w:pPr>
              <w:pStyle w:val="TableParagraph"/>
              <w:spacing w:line="265" w:lineRule="exact"/>
              <w:ind w:right="139"/>
              <w:jc w:val="right"/>
              <w:rPr>
                <w:sz w:val="22"/>
              </w:rPr>
            </w:pPr>
            <w:r>
              <w:rPr>
                <w:sz w:val="22"/>
              </w:rPr>
              <w:t>$ 110,000.00</w:t>
            </w:r>
          </w:p>
        </w:tc>
        <w:tc>
          <w:tcPr>
            <w:tcW w:w="2048" w:type="dxa"/>
            <w:shd w:val="clear" w:color="auto" w:fill="E6EDD4"/>
          </w:tcPr>
          <w:p>
            <w:pPr/>
          </w:p>
        </w:tc>
      </w:tr>
      <w:tr>
        <w:trPr>
          <w:trHeight w:val="322" w:hRule="exact"/>
        </w:trPr>
        <w:tc>
          <w:tcPr>
            <w:tcW w:w="4232" w:type="dxa"/>
          </w:tcPr>
          <w:p>
            <w:pPr>
              <w:pStyle w:val="TableParagraph"/>
              <w:spacing w:line="268" w:lineRule="exact"/>
              <w:ind w:left="98"/>
              <w:rPr>
                <w:sz w:val="22"/>
              </w:rPr>
            </w:pPr>
            <w:r>
              <w:rPr>
                <w:sz w:val="22"/>
              </w:rPr>
              <w:t>Utilidad bruta</w:t>
            </w:r>
          </w:p>
        </w:tc>
        <w:tc>
          <w:tcPr>
            <w:tcW w:w="1522" w:type="dxa"/>
          </w:tcPr>
          <w:p>
            <w:pPr/>
          </w:p>
        </w:tc>
        <w:tc>
          <w:tcPr>
            <w:tcW w:w="1522" w:type="dxa"/>
          </w:tcPr>
          <w:p>
            <w:pPr/>
          </w:p>
        </w:tc>
        <w:tc>
          <w:tcPr>
            <w:tcW w:w="2048" w:type="dxa"/>
          </w:tcPr>
          <w:p>
            <w:pPr>
              <w:pStyle w:val="TableParagraph"/>
              <w:tabs>
                <w:tab w:pos="658" w:val="left" w:leader="none"/>
              </w:tabs>
              <w:spacing w:line="268" w:lineRule="exact"/>
              <w:ind w:left="149"/>
              <w:rPr>
                <w:sz w:val="22"/>
              </w:rPr>
            </w:pPr>
            <w:r>
              <w:rPr>
                <w:sz w:val="22"/>
              </w:rPr>
              <w:t>$</w:t>
              <w:tab/>
              <w:t>1,040,000.00</w:t>
            </w:r>
          </w:p>
        </w:tc>
      </w:tr>
      <w:tr>
        <w:trPr>
          <w:trHeight w:val="319" w:hRule="exact"/>
        </w:trPr>
        <w:tc>
          <w:tcPr>
            <w:tcW w:w="4232" w:type="dxa"/>
            <w:shd w:val="clear" w:color="auto" w:fill="E6EDD4"/>
          </w:tcPr>
          <w:p>
            <w:pPr>
              <w:pStyle w:val="TableParagraph"/>
              <w:spacing w:line="265" w:lineRule="exact"/>
              <w:ind w:left="98"/>
              <w:rPr>
                <w:sz w:val="22"/>
              </w:rPr>
            </w:pPr>
            <w:r>
              <w:rPr>
                <w:sz w:val="22"/>
              </w:rPr>
              <w:t>Gastos de operación</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2" w:hRule="exact"/>
        </w:trPr>
        <w:tc>
          <w:tcPr>
            <w:tcW w:w="4232" w:type="dxa"/>
          </w:tcPr>
          <w:p>
            <w:pPr>
              <w:pStyle w:val="TableParagraph"/>
              <w:spacing w:line="265" w:lineRule="exact"/>
              <w:ind w:left="758"/>
              <w:rPr>
                <w:sz w:val="22"/>
              </w:rPr>
            </w:pPr>
            <w:r>
              <w:rPr>
                <w:sz w:val="22"/>
              </w:rPr>
              <w:t>Gastos de administración</w:t>
            </w:r>
          </w:p>
        </w:tc>
        <w:tc>
          <w:tcPr>
            <w:tcW w:w="1522" w:type="dxa"/>
          </w:tcPr>
          <w:p>
            <w:pPr/>
          </w:p>
        </w:tc>
        <w:tc>
          <w:tcPr>
            <w:tcW w:w="1522" w:type="dxa"/>
          </w:tcPr>
          <w:p>
            <w:pPr>
              <w:pStyle w:val="TableParagraph"/>
              <w:spacing w:line="265" w:lineRule="exact"/>
              <w:ind w:right="139"/>
              <w:jc w:val="right"/>
              <w:rPr>
                <w:sz w:val="22"/>
              </w:rPr>
            </w:pPr>
            <w:r>
              <w:rPr>
                <w:sz w:val="22"/>
              </w:rPr>
              <w:t>$ 300,000.00</w:t>
            </w:r>
          </w:p>
        </w:tc>
        <w:tc>
          <w:tcPr>
            <w:tcW w:w="2048" w:type="dxa"/>
          </w:tcPr>
          <w:p>
            <w:pPr/>
          </w:p>
        </w:tc>
      </w:tr>
    </w:tbl>
    <w:p>
      <w:pPr>
        <w:spacing w:after="0"/>
        <w:sectPr>
          <w:pgSz w:w="12240" w:h="15840"/>
          <w:pgMar w:header="0" w:footer="450" w:top="1360" w:bottom="960" w:left="1360" w:right="1300"/>
        </w:sectPr>
      </w:pPr>
    </w:p>
    <w:tbl>
      <w:tblPr>
        <w:tblW w:w="0" w:type="auto"/>
        <w:jc w:val="left"/>
        <w:tblInd w:w="109"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232"/>
        <w:gridCol w:w="1522"/>
        <w:gridCol w:w="1522"/>
        <w:gridCol w:w="2048"/>
      </w:tblGrid>
      <w:tr>
        <w:trPr>
          <w:trHeight w:val="320" w:hRule="exact"/>
        </w:trPr>
        <w:tc>
          <w:tcPr>
            <w:tcW w:w="4232" w:type="dxa"/>
            <w:shd w:val="clear" w:color="auto" w:fill="E6EDD4"/>
          </w:tcPr>
          <w:p>
            <w:pPr>
              <w:pStyle w:val="TableParagraph"/>
              <w:spacing w:line="266" w:lineRule="exact"/>
              <w:ind w:left="758"/>
              <w:rPr>
                <w:sz w:val="22"/>
              </w:rPr>
            </w:pPr>
            <w:r>
              <w:rPr>
                <w:sz w:val="22"/>
              </w:rPr>
              <w:t>Gastos de venta</w:t>
            </w:r>
          </w:p>
        </w:tc>
        <w:tc>
          <w:tcPr>
            <w:tcW w:w="1522" w:type="dxa"/>
            <w:shd w:val="clear" w:color="auto" w:fill="E6EDD4"/>
          </w:tcPr>
          <w:p>
            <w:pPr/>
          </w:p>
        </w:tc>
        <w:tc>
          <w:tcPr>
            <w:tcW w:w="1522" w:type="dxa"/>
            <w:shd w:val="clear" w:color="auto" w:fill="E6EDD4"/>
          </w:tcPr>
          <w:p>
            <w:pPr>
              <w:pStyle w:val="TableParagraph"/>
              <w:spacing w:line="266" w:lineRule="exact"/>
              <w:ind w:right="150"/>
              <w:jc w:val="right"/>
              <w:rPr>
                <w:sz w:val="22"/>
              </w:rPr>
            </w:pPr>
            <w:r>
              <w:rPr>
                <w:sz w:val="22"/>
              </w:rPr>
              <w:t>240,000.00</w:t>
            </w:r>
          </w:p>
        </w:tc>
        <w:tc>
          <w:tcPr>
            <w:tcW w:w="2048" w:type="dxa"/>
            <w:shd w:val="clear" w:color="auto" w:fill="E6EDD4"/>
          </w:tcPr>
          <w:p>
            <w:pPr>
              <w:pStyle w:val="TableParagraph"/>
              <w:spacing w:line="266" w:lineRule="exact"/>
              <w:ind w:right="177"/>
              <w:jc w:val="right"/>
              <w:rPr>
                <w:sz w:val="22"/>
              </w:rPr>
            </w:pPr>
            <w:r>
              <w:rPr>
                <w:sz w:val="22"/>
              </w:rPr>
              <w:t>540,000.00</w:t>
            </w:r>
          </w:p>
        </w:tc>
      </w:tr>
      <w:tr>
        <w:trPr>
          <w:trHeight w:val="320" w:hRule="exact"/>
        </w:trPr>
        <w:tc>
          <w:tcPr>
            <w:tcW w:w="4232" w:type="dxa"/>
          </w:tcPr>
          <w:p>
            <w:pPr>
              <w:pStyle w:val="TableParagraph"/>
              <w:spacing w:line="265" w:lineRule="exact"/>
              <w:ind w:left="98"/>
              <w:rPr>
                <w:sz w:val="22"/>
              </w:rPr>
            </w:pPr>
            <w:r>
              <w:rPr>
                <w:sz w:val="22"/>
              </w:rPr>
              <w:t>Utilidad en operación</w:t>
            </w:r>
          </w:p>
        </w:tc>
        <w:tc>
          <w:tcPr>
            <w:tcW w:w="1522" w:type="dxa"/>
          </w:tcPr>
          <w:p>
            <w:pPr/>
          </w:p>
        </w:tc>
        <w:tc>
          <w:tcPr>
            <w:tcW w:w="1522" w:type="dxa"/>
          </w:tcPr>
          <w:p>
            <w:pPr/>
          </w:p>
        </w:tc>
        <w:tc>
          <w:tcPr>
            <w:tcW w:w="2048" w:type="dxa"/>
          </w:tcPr>
          <w:p>
            <w:pPr>
              <w:pStyle w:val="TableParagraph"/>
              <w:tabs>
                <w:tab w:pos="707" w:val="left" w:leader="none"/>
              </w:tabs>
              <w:spacing w:line="265" w:lineRule="exact"/>
              <w:ind w:right="166"/>
              <w:jc w:val="right"/>
              <w:rPr>
                <w:sz w:val="22"/>
              </w:rPr>
            </w:pPr>
            <w:r>
              <w:rPr>
                <w:sz w:val="22"/>
              </w:rPr>
              <w:t>$</w:t>
              <w:tab/>
            </w:r>
            <w:r>
              <w:rPr>
                <w:spacing w:val="-1"/>
                <w:sz w:val="22"/>
              </w:rPr>
              <w:t>500,000.00</w:t>
            </w:r>
          </w:p>
        </w:tc>
      </w:tr>
      <w:tr>
        <w:trPr>
          <w:trHeight w:val="320" w:hRule="exact"/>
        </w:trPr>
        <w:tc>
          <w:tcPr>
            <w:tcW w:w="4232" w:type="dxa"/>
            <w:shd w:val="clear" w:color="auto" w:fill="E6EDD4"/>
          </w:tcPr>
          <w:p>
            <w:pPr>
              <w:pStyle w:val="TableParagraph"/>
              <w:spacing w:line="267" w:lineRule="exact"/>
              <w:ind w:left="98"/>
              <w:rPr>
                <w:sz w:val="22"/>
              </w:rPr>
            </w:pPr>
            <w:r>
              <w:rPr>
                <w:sz w:val="22"/>
              </w:rPr>
              <w:t>Costo integral de financiamiento</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19" w:hRule="exact"/>
        </w:trPr>
        <w:tc>
          <w:tcPr>
            <w:tcW w:w="4232" w:type="dxa"/>
          </w:tcPr>
          <w:p>
            <w:pPr>
              <w:pStyle w:val="TableParagraph"/>
              <w:spacing w:line="265" w:lineRule="exact"/>
              <w:ind w:left="758"/>
              <w:rPr>
                <w:sz w:val="22"/>
              </w:rPr>
            </w:pPr>
            <w:r>
              <w:rPr>
                <w:sz w:val="22"/>
              </w:rPr>
              <w:t>Gastos financieros</w:t>
            </w:r>
          </w:p>
        </w:tc>
        <w:tc>
          <w:tcPr>
            <w:tcW w:w="1522" w:type="dxa"/>
          </w:tcPr>
          <w:p>
            <w:pPr/>
          </w:p>
        </w:tc>
        <w:tc>
          <w:tcPr>
            <w:tcW w:w="1522" w:type="dxa"/>
          </w:tcPr>
          <w:p>
            <w:pPr>
              <w:pStyle w:val="TableParagraph"/>
              <w:spacing w:line="265" w:lineRule="exact"/>
              <w:ind w:right="150"/>
              <w:jc w:val="right"/>
              <w:rPr>
                <w:sz w:val="22"/>
              </w:rPr>
            </w:pPr>
            <w:r>
              <w:rPr>
                <w:sz w:val="22"/>
              </w:rPr>
              <w:t>$   35,000.00</w:t>
            </w: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Productos financieros</w:t>
            </w:r>
          </w:p>
        </w:tc>
        <w:tc>
          <w:tcPr>
            <w:tcW w:w="1522" w:type="dxa"/>
            <w:shd w:val="clear" w:color="auto" w:fill="E6EDD4"/>
          </w:tcPr>
          <w:p>
            <w:pPr/>
          </w:p>
        </w:tc>
        <w:tc>
          <w:tcPr>
            <w:tcW w:w="1522" w:type="dxa"/>
            <w:shd w:val="clear" w:color="auto" w:fill="E6EDD4"/>
          </w:tcPr>
          <w:p>
            <w:pPr>
              <w:pStyle w:val="TableParagraph"/>
              <w:spacing w:line="265" w:lineRule="exact"/>
              <w:ind w:right="162"/>
              <w:jc w:val="right"/>
              <w:rPr>
                <w:sz w:val="22"/>
              </w:rPr>
            </w:pPr>
            <w:r>
              <w:rPr>
                <w:sz w:val="22"/>
              </w:rPr>
              <w:t>55,000.00</w:t>
            </w:r>
          </w:p>
        </w:tc>
        <w:tc>
          <w:tcPr>
            <w:tcW w:w="2048" w:type="dxa"/>
            <w:shd w:val="clear" w:color="auto" w:fill="E6EDD4"/>
          </w:tcPr>
          <w:p>
            <w:pPr>
              <w:pStyle w:val="TableParagraph"/>
              <w:spacing w:line="265" w:lineRule="exact"/>
              <w:ind w:right="141"/>
              <w:jc w:val="right"/>
              <w:rPr>
                <w:sz w:val="22"/>
              </w:rPr>
            </w:pPr>
            <w:r>
              <w:rPr>
                <w:sz w:val="22"/>
              </w:rPr>
              <w:t>20,000.00</w:t>
            </w:r>
          </w:p>
        </w:tc>
      </w:tr>
      <w:tr>
        <w:trPr>
          <w:trHeight w:val="322" w:hRule="exact"/>
        </w:trPr>
        <w:tc>
          <w:tcPr>
            <w:tcW w:w="4232" w:type="dxa"/>
          </w:tcPr>
          <w:p>
            <w:pPr>
              <w:pStyle w:val="TableParagraph"/>
              <w:spacing w:line="268" w:lineRule="exact"/>
              <w:ind w:left="98"/>
              <w:rPr>
                <w:sz w:val="22"/>
              </w:rPr>
            </w:pPr>
            <w:r>
              <w:rPr>
                <w:sz w:val="22"/>
              </w:rPr>
              <w:t>Utilidad después de financiamiento</w:t>
            </w:r>
          </w:p>
        </w:tc>
        <w:tc>
          <w:tcPr>
            <w:tcW w:w="1522" w:type="dxa"/>
          </w:tcPr>
          <w:p>
            <w:pPr/>
          </w:p>
        </w:tc>
        <w:tc>
          <w:tcPr>
            <w:tcW w:w="1522" w:type="dxa"/>
          </w:tcPr>
          <w:p>
            <w:pPr/>
          </w:p>
        </w:tc>
        <w:tc>
          <w:tcPr>
            <w:tcW w:w="2048" w:type="dxa"/>
          </w:tcPr>
          <w:p>
            <w:pPr>
              <w:pStyle w:val="TableParagraph"/>
              <w:tabs>
                <w:tab w:pos="758" w:val="left" w:leader="none"/>
              </w:tabs>
              <w:spacing w:line="268" w:lineRule="exact"/>
              <w:ind w:right="117"/>
              <w:jc w:val="right"/>
              <w:rPr>
                <w:sz w:val="22"/>
              </w:rPr>
            </w:pPr>
            <w:r>
              <w:rPr>
                <w:sz w:val="22"/>
              </w:rPr>
              <w:t>$</w:t>
              <w:tab/>
            </w:r>
            <w:r>
              <w:rPr>
                <w:spacing w:val="-1"/>
                <w:sz w:val="22"/>
              </w:rPr>
              <w:t>520,000.00</w:t>
            </w:r>
          </w:p>
        </w:tc>
      </w:tr>
      <w:tr>
        <w:trPr>
          <w:trHeight w:val="319" w:hRule="exact"/>
        </w:trPr>
        <w:tc>
          <w:tcPr>
            <w:tcW w:w="4232" w:type="dxa"/>
            <w:shd w:val="clear" w:color="auto" w:fill="E6EDD4"/>
          </w:tcPr>
          <w:p>
            <w:pPr>
              <w:pStyle w:val="TableParagraph"/>
              <w:spacing w:line="265" w:lineRule="exact"/>
              <w:ind w:left="98"/>
              <w:rPr>
                <w:sz w:val="22"/>
              </w:rPr>
            </w:pPr>
            <w:r>
              <w:rPr>
                <w:sz w:val="22"/>
              </w:rPr>
              <w:t>Otros gastos</w:t>
            </w:r>
          </w:p>
        </w:tc>
        <w:tc>
          <w:tcPr>
            <w:tcW w:w="1522" w:type="dxa"/>
            <w:shd w:val="clear" w:color="auto" w:fill="E6EDD4"/>
          </w:tcPr>
          <w:p>
            <w:pPr/>
          </w:p>
        </w:tc>
        <w:tc>
          <w:tcPr>
            <w:tcW w:w="1522" w:type="dxa"/>
            <w:shd w:val="clear" w:color="auto" w:fill="E6EDD4"/>
          </w:tcPr>
          <w:p>
            <w:pPr>
              <w:pStyle w:val="TableParagraph"/>
              <w:spacing w:line="265" w:lineRule="exact"/>
              <w:ind w:right="150"/>
              <w:jc w:val="right"/>
              <w:rPr>
                <w:sz w:val="22"/>
              </w:rPr>
            </w:pPr>
            <w:r>
              <w:rPr>
                <w:sz w:val="22"/>
              </w:rPr>
              <w:t>$   22,000.00</w:t>
            </w:r>
          </w:p>
        </w:tc>
        <w:tc>
          <w:tcPr>
            <w:tcW w:w="2048" w:type="dxa"/>
            <w:shd w:val="clear" w:color="auto" w:fill="E6EDD4"/>
          </w:tcPr>
          <w:p>
            <w:pPr/>
          </w:p>
        </w:tc>
      </w:tr>
      <w:tr>
        <w:trPr>
          <w:trHeight w:val="320" w:hRule="exact"/>
        </w:trPr>
        <w:tc>
          <w:tcPr>
            <w:tcW w:w="4232" w:type="dxa"/>
          </w:tcPr>
          <w:p>
            <w:pPr>
              <w:pStyle w:val="TableParagraph"/>
              <w:spacing w:line="265" w:lineRule="exact"/>
              <w:ind w:left="98"/>
              <w:rPr>
                <w:sz w:val="22"/>
              </w:rPr>
            </w:pPr>
            <w:r>
              <w:rPr>
                <w:sz w:val="22"/>
              </w:rPr>
              <w:t>Otros productos</w:t>
            </w:r>
          </w:p>
        </w:tc>
        <w:tc>
          <w:tcPr>
            <w:tcW w:w="1522" w:type="dxa"/>
          </w:tcPr>
          <w:p>
            <w:pPr/>
          </w:p>
        </w:tc>
        <w:tc>
          <w:tcPr>
            <w:tcW w:w="1522" w:type="dxa"/>
          </w:tcPr>
          <w:p>
            <w:pPr>
              <w:pStyle w:val="TableParagraph"/>
              <w:spacing w:line="265" w:lineRule="exact"/>
              <w:ind w:right="162"/>
              <w:jc w:val="right"/>
              <w:rPr>
                <w:sz w:val="22"/>
              </w:rPr>
            </w:pPr>
            <w:r>
              <w:rPr>
                <w:sz w:val="22"/>
              </w:rPr>
              <w:t>12,000.00</w:t>
            </w:r>
          </w:p>
        </w:tc>
        <w:tc>
          <w:tcPr>
            <w:tcW w:w="2048" w:type="dxa"/>
          </w:tcPr>
          <w:p>
            <w:pPr>
              <w:pStyle w:val="TableParagraph"/>
              <w:spacing w:line="265" w:lineRule="exact"/>
              <w:ind w:right="141"/>
              <w:jc w:val="right"/>
              <w:rPr>
                <w:sz w:val="22"/>
              </w:rPr>
            </w:pPr>
            <w:r>
              <w:rPr>
                <w:sz w:val="22"/>
              </w:rPr>
              <w:t>10,000.00</w:t>
            </w:r>
          </w:p>
        </w:tc>
      </w:tr>
      <w:tr>
        <w:trPr>
          <w:trHeight w:val="320" w:hRule="exact"/>
        </w:trPr>
        <w:tc>
          <w:tcPr>
            <w:tcW w:w="4232" w:type="dxa"/>
            <w:shd w:val="clear" w:color="auto" w:fill="E6EDD4"/>
          </w:tcPr>
          <w:p>
            <w:pPr>
              <w:pStyle w:val="TableParagraph"/>
              <w:spacing w:line="267" w:lineRule="exact"/>
              <w:ind w:left="98"/>
              <w:rPr>
                <w:sz w:val="22"/>
              </w:rPr>
            </w:pPr>
            <w:r>
              <w:rPr>
                <w:sz w:val="22"/>
              </w:rPr>
              <w:t>Utilidad neta antes de impuestos</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tabs>
                <w:tab w:pos="757" w:val="left" w:leader="none"/>
              </w:tabs>
              <w:spacing w:line="267" w:lineRule="exact"/>
              <w:ind w:right="117"/>
              <w:jc w:val="right"/>
              <w:rPr>
                <w:sz w:val="22"/>
              </w:rPr>
            </w:pPr>
            <w:r>
              <w:rPr>
                <w:sz w:val="22"/>
              </w:rPr>
              <w:t>$</w:t>
              <w:tab/>
            </w:r>
            <w:r>
              <w:rPr>
                <w:spacing w:val="-1"/>
                <w:sz w:val="22"/>
              </w:rPr>
              <w:t>510,000.00</w:t>
            </w:r>
          </w:p>
        </w:tc>
      </w:tr>
    </w:tbl>
    <w:p>
      <w:pPr>
        <w:spacing w:after="0" w:line="267" w:lineRule="exact"/>
        <w:jc w:val="right"/>
        <w:rPr>
          <w:sz w:val="22"/>
        </w:rPr>
        <w:sectPr>
          <w:pgSz w:w="12240" w:h="15840"/>
          <w:pgMar w:header="0" w:footer="450" w:top="1420" w:bottom="640" w:left="1360" w:right="1300"/>
        </w:sectPr>
      </w:pPr>
    </w:p>
    <w:p>
      <w:pPr>
        <w:pStyle w:val="BodyText"/>
        <w:spacing w:before="3"/>
        <w:rPr>
          <w:sz w:val="14"/>
        </w:rPr>
      </w:pPr>
    </w:p>
    <w:p>
      <w:pPr>
        <w:pStyle w:val="Heading2"/>
        <w:spacing w:before="69"/>
        <w:jc w:val="left"/>
      </w:pPr>
      <w:bookmarkStart w:name="_bookmark34" w:id="61"/>
      <w:bookmarkEnd w:id="61"/>
      <w:r>
        <w:rPr>
          <w:b w:val="0"/>
        </w:rPr>
      </w:r>
      <w:r>
        <w:rPr/>
        <w:t>3.4. Actividad de Aprendizaje.</w:t>
      </w:r>
    </w:p>
    <w:p>
      <w:pPr>
        <w:pStyle w:val="BodyText"/>
        <w:tabs>
          <w:tab w:pos="1841" w:val="left" w:leader="none"/>
          <w:tab w:pos="3584" w:val="left" w:leader="none"/>
          <w:tab w:pos="4138" w:val="left" w:leader="none"/>
          <w:tab w:pos="5466" w:val="left" w:leader="none"/>
          <w:tab w:pos="6824" w:val="left" w:leader="none"/>
          <w:tab w:pos="7457" w:val="left" w:leader="none"/>
          <w:tab w:pos="8014" w:val="left" w:leader="none"/>
        </w:tabs>
        <w:spacing w:line="278" w:lineRule="auto" w:before="41"/>
        <w:ind w:left="109" w:right="103"/>
      </w:pPr>
      <w:r>
        <w:rPr/>
        <w:t>Instrucciones:</w:t>
        <w:tab/>
        <w:t>Complementa</w:t>
        <w:tab/>
        <w:t>las</w:t>
        <w:tab/>
        <w:t>siguientes</w:t>
        <w:tab/>
        <w:t>oraciones,</w:t>
        <w:tab/>
        <w:t>con</w:t>
        <w:tab/>
        <w:t>los</w:t>
        <w:tab/>
        <w:t>contenidos relacionados con la unidad de</w:t>
      </w:r>
      <w:r>
        <w:rPr>
          <w:spacing w:val="-16"/>
        </w:rPr>
        <w:t> </w:t>
      </w:r>
      <w:r>
        <w:rPr/>
        <w:t>aprendizaje.</w:t>
      </w:r>
    </w:p>
    <w:p>
      <w:pPr>
        <w:pStyle w:val="BodyText"/>
        <w:ind w:left="108"/>
        <w:rPr>
          <w:sz w:val="20"/>
        </w:rPr>
      </w:pPr>
      <w:r>
        <w:rPr>
          <w:sz w:val="20"/>
        </w:rPr>
        <w:pict>
          <v:group style="width:453pt;height:300.4pt;mso-position-horizontal-relative:char;mso-position-vertical-relative:line" coordorigin="0,0" coordsize="9060,6008">
            <v:shape style="position:absolute;left:0;top:0;width:4810;height:746" type="#_x0000_t75" stroked="false">
              <v:imagedata r:id="rId89" o:title=""/>
            </v:shape>
            <v:shape style="position:absolute;left:0;top:792;width:9060;height:5215" type="#_x0000_t75" stroked="false">
              <v:imagedata r:id="rId90" o:title=""/>
            </v:shape>
          </v:group>
        </w:pict>
      </w:r>
      <w:r>
        <w:rPr>
          <w:sz w:val="20"/>
        </w:rPr>
      </w:r>
    </w:p>
    <w:p>
      <w:pPr>
        <w:pStyle w:val="BodyText"/>
        <w:rPr>
          <w:sz w:val="20"/>
        </w:rPr>
      </w:pPr>
    </w:p>
    <w:p>
      <w:pPr>
        <w:pStyle w:val="BodyText"/>
        <w:rPr>
          <w:sz w:val="20"/>
        </w:rPr>
      </w:pPr>
    </w:p>
    <w:p>
      <w:pPr>
        <w:pStyle w:val="BodyText"/>
        <w:spacing w:before="7"/>
        <w:rPr>
          <w:sz w:val="14"/>
        </w:rPr>
      </w:pPr>
      <w:r>
        <w:rPr/>
        <w:drawing>
          <wp:anchor distT="0" distB="0" distL="0" distR="0" allowOverlap="1" layoutInCell="1" locked="0" behindDoc="0" simplePos="0" relativeHeight="3040">
            <wp:simplePos x="0" y="0"/>
            <wp:positionH relativeFrom="page">
              <wp:posOffset>932688</wp:posOffset>
            </wp:positionH>
            <wp:positionV relativeFrom="paragraph">
              <wp:posOffset>132003</wp:posOffset>
            </wp:positionV>
            <wp:extent cx="5688775" cy="2657475"/>
            <wp:effectExtent l="0" t="0" r="0" b="0"/>
            <wp:wrapTopAndBottom/>
            <wp:docPr id="15" name="image76.png" descr=""/>
            <wp:cNvGraphicFramePr>
              <a:graphicFrameLocks noChangeAspect="1"/>
            </wp:cNvGraphicFramePr>
            <a:graphic>
              <a:graphicData uri="http://schemas.openxmlformats.org/drawingml/2006/picture">
                <pic:pic>
                  <pic:nvPicPr>
                    <pic:cNvPr id="16" name="image76.png"/>
                    <pic:cNvPicPr/>
                  </pic:nvPicPr>
                  <pic:blipFill>
                    <a:blip r:embed="rId91" cstate="print"/>
                    <a:stretch>
                      <a:fillRect/>
                    </a:stretch>
                  </pic:blipFill>
                  <pic:spPr>
                    <a:xfrm>
                      <a:off x="0" y="0"/>
                      <a:ext cx="5688775" cy="2657475"/>
                    </a:xfrm>
                    <a:prstGeom prst="rect">
                      <a:avLst/>
                    </a:prstGeom>
                  </pic:spPr>
                </pic:pic>
              </a:graphicData>
            </a:graphic>
          </wp:anchor>
        </w:drawing>
      </w:r>
    </w:p>
    <w:p>
      <w:pPr>
        <w:spacing w:after="0"/>
        <w:rPr>
          <w:sz w:val="14"/>
        </w:rPr>
        <w:sectPr>
          <w:pgSz w:w="12240" w:h="15840"/>
          <w:pgMar w:header="0" w:footer="450" w:top="1500" w:bottom="640" w:left="1360" w:right="1600"/>
        </w:sectPr>
      </w:pPr>
    </w:p>
    <w:p>
      <w:pPr>
        <w:pStyle w:val="BodyText"/>
        <w:rPr>
          <w:sz w:val="20"/>
        </w:rPr>
      </w:pPr>
    </w:p>
    <w:p>
      <w:pPr>
        <w:pStyle w:val="Heading1"/>
        <w:spacing w:before="239"/>
        <w:ind w:left="949"/>
      </w:pPr>
      <w:bookmarkStart w:name="_bookmark35" w:id="62"/>
      <w:bookmarkEnd w:id="62"/>
      <w:r>
        <w:rPr>
          <w:b w:val="0"/>
        </w:rPr>
      </w:r>
      <w:r>
        <w:rPr/>
        <w:t>UNIDAD IV MÉTODOS DE VALUACIÓN DE INVETARIOS</w:t>
      </w:r>
    </w:p>
    <w:p>
      <w:pPr>
        <w:pStyle w:val="BodyText"/>
        <w:rPr>
          <w:b/>
          <w:sz w:val="28"/>
        </w:rPr>
      </w:pPr>
    </w:p>
    <w:p>
      <w:pPr>
        <w:pStyle w:val="Heading2"/>
        <w:spacing w:before="248"/>
        <w:jc w:val="left"/>
      </w:pPr>
      <w:r>
        <w:rPr/>
        <w:t>Competencia</w:t>
      </w:r>
    </w:p>
    <w:p>
      <w:pPr>
        <w:pStyle w:val="BodyText"/>
        <w:spacing w:before="10"/>
        <w:rPr>
          <w:b/>
          <w:sz w:val="20"/>
        </w:rPr>
      </w:pPr>
    </w:p>
    <w:p>
      <w:pPr>
        <w:pStyle w:val="BodyText"/>
        <w:ind w:left="109"/>
      </w:pPr>
      <w:r>
        <w:rPr/>
        <w:t>Aplicará los Métodos de Valuación de Inventarios.</w:t>
      </w:r>
    </w:p>
    <w:p>
      <w:pPr>
        <w:pStyle w:val="BodyText"/>
        <w:rPr>
          <w:sz w:val="21"/>
        </w:rPr>
      </w:pPr>
    </w:p>
    <w:p>
      <w:pPr>
        <w:pStyle w:val="Heading2"/>
        <w:spacing w:before="1"/>
        <w:jc w:val="left"/>
      </w:pPr>
      <w:r>
        <w:rPr/>
        <w:t>Elementos de la competencia</w:t>
      </w:r>
    </w:p>
    <w:p>
      <w:pPr>
        <w:pStyle w:val="BodyText"/>
        <w:spacing w:before="4"/>
        <w:rPr>
          <w:b/>
          <w:sz w:val="29"/>
        </w:rPr>
      </w:pPr>
    </w:p>
    <w:p>
      <w:pPr>
        <w:pStyle w:val="ListParagraph"/>
        <w:numPr>
          <w:ilvl w:val="1"/>
          <w:numId w:val="28"/>
        </w:numPr>
        <w:tabs>
          <w:tab w:pos="829" w:val="left" w:leader="none"/>
          <w:tab w:pos="830" w:val="left" w:leader="none"/>
        </w:tabs>
        <w:spacing w:line="240" w:lineRule="auto" w:before="1" w:after="0"/>
        <w:ind w:left="829" w:right="0" w:hanging="720"/>
        <w:jc w:val="left"/>
        <w:rPr>
          <w:sz w:val="24"/>
        </w:rPr>
      </w:pPr>
      <w:r>
        <w:rPr>
          <w:sz w:val="24"/>
        </w:rPr>
        <w:t>Métodos:</w:t>
      </w:r>
    </w:p>
    <w:p>
      <w:pPr>
        <w:pStyle w:val="ListParagraph"/>
        <w:numPr>
          <w:ilvl w:val="2"/>
          <w:numId w:val="28"/>
        </w:numPr>
        <w:tabs>
          <w:tab w:pos="1525" w:val="left" w:leader="none"/>
          <w:tab w:pos="1526" w:val="left" w:leader="none"/>
        </w:tabs>
        <w:spacing w:line="240" w:lineRule="auto" w:before="137" w:after="0"/>
        <w:ind w:left="1525" w:right="0" w:hanging="989"/>
        <w:jc w:val="left"/>
        <w:rPr>
          <w:sz w:val="24"/>
        </w:rPr>
      </w:pPr>
      <w:r>
        <w:rPr>
          <w:sz w:val="24"/>
        </w:rPr>
        <w:t>Costo de</w:t>
      </w:r>
      <w:r>
        <w:rPr>
          <w:spacing w:val="-6"/>
          <w:sz w:val="24"/>
        </w:rPr>
        <w:t> </w:t>
      </w:r>
      <w:r>
        <w:rPr>
          <w:sz w:val="24"/>
        </w:rPr>
        <w:t>Adquisición,</w:t>
      </w:r>
    </w:p>
    <w:p>
      <w:pPr>
        <w:pStyle w:val="ListParagraph"/>
        <w:numPr>
          <w:ilvl w:val="2"/>
          <w:numId w:val="28"/>
        </w:numPr>
        <w:tabs>
          <w:tab w:pos="1525" w:val="left" w:leader="none"/>
          <w:tab w:pos="1526" w:val="left" w:leader="none"/>
        </w:tabs>
        <w:spacing w:line="240" w:lineRule="auto" w:before="139" w:after="0"/>
        <w:ind w:left="1525" w:right="0" w:hanging="989"/>
        <w:jc w:val="left"/>
        <w:rPr>
          <w:sz w:val="24"/>
        </w:rPr>
      </w:pPr>
      <w:r>
        <w:rPr>
          <w:sz w:val="24"/>
        </w:rPr>
        <w:t>Costo Estándar y Costo</w:t>
      </w:r>
      <w:r>
        <w:rPr>
          <w:spacing w:val="-5"/>
          <w:sz w:val="24"/>
        </w:rPr>
        <w:t> </w:t>
      </w:r>
      <w:r>
        <w:rPr>
          <w:sz w:val="24"/>
        </w:rPr>
        <w:t>Detallistas.</w:t>
      </w:r>
    </w:p>
    <w:p>
      <w:pPr>
        <w:pStyle w:val="ListParagraph"/>
        <w:numPr>
          <w:ilvl w:val="1"/>
          <w:numId w:val="28"/>
        </w:numPr>
        <w:tabs>
          <w:tab w:pos="829" w:val="left" w:leader="none"/>
          <w:tab w:pos="830" w:val="left" w:leader="none"/>
        </w:tabs>
        <w:spacing w:line="240" w:lineRule="auto" w:before="137" w:after="0"/>
        <w:ind w:left="829" w:right="0" w:hanging="720"/>
        <w:jc w:val="left"/>
        <w:rPr>
          <w:sz w:val="24"/>
        </w:rPr>
      </w:pPr>
      <w:r>
        <w:rPr>
          <w:sz w:val="24"/>
        </w:rPr>
        <w:t>Fórmulas de asignación del</w:t>
      </w:r>
      <w:r>
        <w:rPr>
          <w:spacing w:val="-12"/>
          <w:sz w:val="24"/>
        </w:rPr>
        <w:t> </w:t>
      </w:r>
      <w:r>
        <w:rPr>
          <w:sz w:val="24"/>
        </w:rPr>
        <w:t>costo:</w:t>
      </w:r>
    </w:p>
    <w:p>
      <w:pPr>
        <w:pStyle w:val="ListParagraph"/>
        <w:numPr>
          <w:ilvl w:val="2"/>
          <w:numId w:val="28"/>
        </w:numPr>
        <w:tabs>
          <w:tab w:pos="1206" w:val="left" w:leader="none"/>
        </w:tabs>
        <w:spacing w:line="240" w:lineRule="auto" w:before="139" w:after="0"/>
        <w:ind w:left="1206" w:right="0" w:hanging="670"/>
        <w:jc w:val="left"/>
        <w:rPr>
          <w:sz w:val="24"/>
        </w:rPr>
      </w:pPr>
      <w:r>
        <w:rPr>
          <w:sz w:val="24"/>
        </w:rPr>
        <w:t>PEPS.</w:t>
      </w:r>
    </w:p>
    <w:p>
      <w:pPr>
        <w:pStyle w:val="ListParagraph"/>
        <w:numPr>
          <w:ilvl w:val="2"/>
          <w:numId w:val="28"/>
        </w:numPr>
        <w:tabs>
          <w:tab w:pos="1525" w:val="left" w:leader="none"/>
          <w:tab w:pos="1526" w:val="left" w:leader="none"/>
        </w:tabs>
        <w:spacing w:line="240" w:lineRule="auto" w:before="137" w:after="0"/>
        <w:ind w:left="1525" w:right="0" w:hanging="989"/>
        <w:jc w:val="left"/>
        <w:rPr>
          <w:sz w:val="24"/>
        </w:rPr>
      </w:pPr>
      <w:r>
        <w:rPr>
          <w:sz w:val="24"/>
        </w:rPr>
        <w:t>Promedio.</w:t>
      </w:r>
    </w:p>
    <w:p>
      <w:pPr>
        <w:pStyle w:val="ListParagraph"/>
        <w:numPr>
          <w:ilvl w:val="2"/>
          <w:numId w:val="28"/>
        </w:numPr>
        <w:tabs>
          <w:tab w:pos="1525" w:val="left" w:leader="none"/>
          <w:tab w:pos="1526" w:val="left" w:leader="none"/>
        </w:tabs>
        <w:spacing w:line="240" w:lineRule="auto" w:before="139" w:after="0"/>
        <w:ind w:left="1525" w:right="0" w:hanging="989"/>
        <w:jc w:val="left"/>
        <w:rPr>
          <w:sz w:val="24"/>
        </w:rPr>
      </w:pPr>
      <w:r>
        <w:rPr>
          <w:sz w:val="24"/>
        </w:rPr>
        <w:t>Identificado.</w:t>
      </w:r>
    </w:p>
    <w:p>
      <w:pPr>
        <w:pStyle w:val="ListParagraph"/>
        <w:numPr>
          <w:ilvl w:val="1"/>
          <w:numId w:val="28"/>
        </w:numPr>
        <w:tabs>
          <w:tab w:pos="829" w:val="left" w:leader="none"/>
          <w:tab w:pos="830" w:val="left" w:leader="none"/>
        </w:tabs>
        <w:spacing w:line="240" w:lineRule="auto" w:before="137" w:after="0"/>
        <w:ind w:left="829" w:right="0" w:hanging="720"/>
        <w:jc w:val="left"/>
        <w:rPr>
          <w:sz w:val="24"/>
        </w:rPr>
      </w:pPr>
      <w:r>
        <w:rPr>
          <w:sz w:val="24"/>
        </w:rPr>
        <w:t>Actividad de</w:t>
      </w:r>
      <w:r>
        <w:rPr>
          <w:spacing w:val="-10"/>
          <w:sz w:val="24"/>
        </w:rPr>
        <w:t> </w:t>
      </w:r>
      <w:r>
        <w:rPr>
          <w:sz w:val="24"/>
        </w:rPr>
        <w:t>aprendizaje.</w:t>
      </w:r>
    </w:p>
    <w:p>
      <w:pPr>
        <w:spacing w:after="0" w:line="240" w:lineRule="auto"/>
        <w:jc w:val="left"/>
        <w:rPr>
          <w:sz w:val="24"/>
        </w:rPr>
        <w:sectPr>
          <w:pgSz w:w="12240" w:h="15840"/>
          <w:pgMar w:header="0" w:footer="450" w:top="1500" w:bottom="960" w:left="1360" w:right="1720"/>
        </w:sectPr>
      </w:pPr>
    </w:p>
    <w:p>
      <w:pPr>
        <w:pStyle w:val="BodyText"/>
        <w:spacing w:before="11"/>
        <w:rPr>
          <w:sz w:val="25"/>
        </w:rPr>
      </w:pPr>
    </w:p>
    <w:p>
      <w:pPr>
        <w:pStyle w:val="Heading2"/>
        <w:numPr>
          <w:ilvl w:val="1"/>
          <w:numId w:val="29"/>
        </w:numPr>
        <w:tabs>
          <w:tab w:pos="579" w:val="left" w:leader="none"/>
        </w:tabs>
        <w:spacing w:line="240" w:lineRule="auto" w:before="69" w:after="0"/>
        <w:ind w:left="578" w:right="0" w:hanging="469"/>
        <w:jc w:val="both"/>
      </w:pPr>
      <w:bookmarkStart w:name="_bookmark36" w:id="63"/>
      <w:bookmarkEnd w:id="63"/>
      <w:r>
        <w:rPr>
          <w:b w:val="0"/>
        </w:rPr>
      </w:r>
      <w:bookmarkStart w:name="_bookmark36" w:id="64"/>
      <w:bookmarkEnd w:id="64"/>
      <w:r>
        <w:rPr/>
        <w:t>M</w:t>
      </w:r>
      <w:r>
        <w:rPr/>
        <w:t>ETODOS.</w:t>
      </w:r>
    </w:p>
    <w:p>
      <w:pPr>
        <w:pStyle w:val="BodyText"/>
        <w:rPr>
          <w:b/>
        </w:rPr>
      </w:pPr>
    </w:p>
    <w:p>
      <w:pPr>
        <w:pStyle w:val="BodyText"/>
        <w:spacing w:before="2"/>
        <w:rPr>
          <w:b/>
          <w:sz w:val="19"/>
        </w:rPr>
      </w:pPr>
    </w:p>
    <w:p>
      <w:pPr>
        <w:pStyle w:val="Heading2"/>
        <w:numPr>
          <w:ilvl w:val="2"/>
          <w:numId w:val="29"/>
        </w:numPr>
        <w:tabs>
          <w:tab w:pos="779" w:val="left" w:leader="none"/>
        </w:tabs>
        <w:spacing w:line="240" w:lineRule="auto" w:before="0" w:after="0"/>
        <w:ind w:left="778" w:right="0" w:hanging="669"/>
        <w:jc w:val="both"/>
      </w:pPr>
      <w:bookmarkStart w:name="_bookmark37" w:id="65"/>
      <w:bookmarkEnd w:id="65"/>
      <w:r>
        <w:rPr>
          <w:b w:val="0"/>
        </w:rPr>
      </w:r>
      <w:bookmarkStart w:name="_bookmark37" w:id="66"/>
      <w:bookmarkEnd w:id="66"/>
      <w:r>
        <w:rPr/>
        <w:t>C</w:t>
      </w:r>
      <w:r>
        <w:rPr/>
        <w:t>osto de</w:t>
      </w:r>
      <w:r>
        <w:rPr>
          <w:spacing w:val="-5"/>
        </w:rPr>
        <w:t> </w:t>
      </w:r>
      <w:r>
        <w:rPr/>
        <w:t>adquisición</w:t>
      </w:r>
      <w:r>
        <w:rPr>
          <w:color w:val="233E5F"/>
        </w:rPr>
        <w:t>.</w:t>
      </w:r>
    </w:p>
    <w:p>
      <w:pPr>
        <w:pStyle w:val="BodyText"/>
        <w:spacing w:line="360" w:lineRule="auto" w:before="43"/>
        <w:ind w:left="109" w:right="127"/>
        <w:jc w:val="both"/>
      </w:pPr>
      <w:r>
        <w:rPr/>
        <w:t>Es el importe pagado de efectivo o equivalentes por un activo o servicio al momento de su adquisición.</w:t>
      </w:r>
    </w:p>
    <w:p>
      <w:pPr>
        <w:pStyle w:val="BodyText"/>
      </w:pPr>
    </w:p>
    <w:p>
      <w:pPr>
        <w:pStyle w:val="Heading2"/>
        <w:numPr>
          <w:ilvl w:val="2"/>
          <w:numId w:val="29"/>
        </w:numPr>
        <w:tabs>
          <w:tab w:pos="779" w:val="left" w:leader="none"/>
        </w:tabs>
        <w:spacing w:line="240" w:lineRule="auto" w:before="180" w:after="0"/>
        <w:ind w:left="778" w:right="0" w:hanging="669"/>
        <w:jc w:val="both"/>
      </w:pPr>
      <w:bookmarkStart w:name="_bookmark38" w:id="67"/>
      <w:bookmarkEnd w:id="67"/>
      <w:r>
        <w:rPr>
          <w:b w:val="0"/>
        </w:rPr>
      </w:r>
      <w:bookmarkStart w:name="_bookmark38" w:id="68"/>
      <w:bookmarkEnd w:id="68"/>
      <w:r>
        <w:rPr/>
        <w:t>C</w:t>
      </w:r>
      <w:r>
        <w:rPr/>
        <w:t>osto estándar y costo</w:t>
      </w:r>
      <w:r>
        <w:rPr>
          <w:spacing w:val="-8"/>
        </w:rPr>
        <w:t> </w:t>
      </w:r>
      <w:r>
        <w:rPr/>
        <w:t>Detallista.</w:t>
      </w:r>
    </w:p>
    <w:p>
      <w:pPr>
        <w:spacing w:before="41"/>
        <w:ind w:left="109" w:right="0" w:firstLine="0"/>
        <w:jc w:val="both"/>
        <w:rPr>
          <w:sz w:val="24"/>
        </w:rPr>
      </w:pPr>
      <w:r>
        <w:rPr>
          <w:i/>
          <w:sz w:val="24"/>
          <w:u w:val="single"/>
        </w:rPr>
        <w:t>Costo estándar</w:t>
      </w:r>
      <w:r>
        <w:rPr>
          <w:sz w:val="24"/>
          <w:u w:val="single"/>
        </w:rPr>
        <w:t>.</w:t>
      </w:r>
    </w:p>
    <w:p>
      <w:pPr>
        <w:pStyle w:val="BodyText"/>
        <w:spacing w:line="360" w:lineRule="auto" w:before="140"/>
        <w:ind w:left="109" w:right="119"/>
        <w:jc w:val="both"/>
      </w:pPr>
      <w:r>
        <w:rPr/>
        <w:t>El</w:t>
      </w:r>
      <w:r>
        <w:rPr>
          <w:spacing w:val="-7"/>
        </w:rPr>
        <w:t> </w:t>
      </w:r>
      <w:r>
        <w:rPr/>
        <w:t>costo</w:t>
      </w:r>
      <w:r>
        <w:rPr>
          <w:spacing w:val="-8"/>
        </w:rPr>
        <w:t> </w:t>
      </w:r>
      <w:r>
        <w:rPr/>
        <w:t>estándar</w:t>
      </w:r>
      <w:r>
        <w:rPr>
          <w:spacing w:val="-10"/>
        </w:rPr>
        <w:t> </w:t>
      </w:r>
      <w:r>
        <w:rPr/>
        <w:t>se</w:t>
      </w:r>
      <w:r>
        <w:rPr>
          <w:spacing w:val="-8"/>
        </w:rPr>
        <w:t> </w:t>
      </w:r>
      <w:r>
        <w:rPr/>
        <w:t>determina</w:t>
      </w:r>
      <w:r>
        <w:rPr>
          <w:spacing w:val="-8"/>
        </w:rPr>
        <w:t> </w:t>
      </w:r>
      <w:r>
        <w:rPr/>
        <w:t>anticipadamente</w:t>
      </w:r>
      <w:r>
        <w:rPr>
          <w:spacing w:val="-8"/>
        </w:rPr>
        <w:t> </w:t>
      </w:r>
      <w:r>
        <w:rPr/>
        <w:t>y</w:t>
      </w:r>
      <w:r>
        <w:rPr>
          <w:spacing w:val="-9"/>
        </w:rPr>
        <w:t> </w:t>
      </w:r>
      <w:r>
        <w:rPr/>
        <w:t>en</w:t>
      </w:r>
      <w:r>
        <w:rPr>
          <w:spacing w:val="-8"/>
        </w:rPr>
        <w:t> </w:t>
      </w:r>
      <w:r>
        <w:rPr/>
        <w:t>esta</w:t>
      </w:r>
      <w:r>
        <w:rPr>
          <w:spacing w:val="-8"/>
        </w:rPr>
        <w:t> </w:t>
      </w:r>
      <w:r>
        <w:rPr/>
        <w:t>determinación</w:t>
      </w:r>
      <w:r>
        <w:rPr>
          <w:spacing w:val="-8"/>
        </w:rPr>
        <w:t> </w:t>
      </w:r>
      <w:r>
        <w:rPr/>
        <w:t>se</w:t>
      </w:r>
      <w:r>
        <w:rPr>
          <w:spacing w:val="-8"/>
        </w:rPr>
        <w:t> </w:t>
      </w:r>
      <w:r>
        <w:rPr/>
        <w:t>toman</w:t>
      </w:r>
      <w:r>
        <w:rPr>
          <w:spacing w:val="-8"/>
        </w:rPr>
        <w:t> </w:t>
      </w:r>
      <w:r>
        <w:rPr/>
        <w:t>en consideración los niveles normales de utilización de materia prima, materiales, mano de obra y gastos de fabricación y la eficiencia y la utilización de la capacidad de producción instalada. Las cuotas de costo estándar se revisan periódicamente, y deben ajustarse a la luz de las circunstancias</w:t>
      </w:r>
      <w:r>
        <w:rPr>
          <w:spacing w:val="-16"/>
        </w:rPr>
        <w:t> </w:t>
      </w:r>
      <w:r>
        <w:rPr/>
        <w:t>actuales.</w:t>
      </w:r>
    </w:p>
    <w:p>
      <w:pPr>
        <w:pStyle w:val="BodyText"/>
      </w:pPr>
    </w:p>
    <w:p>
      <w:pPr>
        <w:spacing w:before="139"/>
        <w:ind w:left="109" w:right="0" w:firstLine="0"/>
        <w:jc w:val="both"/>
        <w:rPr>
          <w:b/>
          <w:sz w:val="24"/>
        </w:rPr>
      </w:pPr>
      <w:r>
        <w:rPr>
          <w:i/>
          <w:sz w:val="24"/>
          <w:u w:val="single"/>
        </w:rPr>
        <w:t>Costo Detallistas</w:t>
      </w:r>
      <w:r>
        <w:rPr>
          <w:b/>
          <w:sz w:val="24"/>
        </w:rPr>
        <w:t>.</w:t>
      </w:r>
    </w:p>
    <w:p>
      <w:pPr>
        <w:pStyle w:val="BodyText"/>
        <w:spacing w:line="360" w:lineRule="auto" w:before="141"/>
        <w:ind w:left="109" w:right="116"/>
        <w:jc w:val="both"/>
      </w:pPr>
      <w:r>
        <w:rPr/>
        <w:t>Con el método de detallistas, los inventarios se valúan a los precios de venta de los artículos que los integran deducidos del correspondiente margen de utilidad bruta. Para efectos del método de detallistas, por margen de utilidad bruta debe entenderse el importe del precio de venta asignado a un artículo disminuido de su costo de adquisición. El porcentaje de margen de utilidad bruta se determina dividiendo la utilidad bruta entre el precio de venta.</w:t>
      </w:r>
    </w:p>
    <w:p>
      <w:pPr>
        <w:pStyle w:val="BodyText"/>
      </w:pPr>
    </w:p>
    <w:p>
      <w:pPr>
        <w:pStyle w:val="BodyText"/>
        <w:spacing w:line="360" w:lineRule="auto" w:before="142"/>
        <w:ind w:left="109" w:right="121"/>
        <w:jc w:val="both"/>
      </w:pPr>
      <w:r>
        <w:rPr/>
        <w:t>El método de detallistas se utiliza en entidades que tienen grandes cantidades de artículos con márgenes de utilidad bruta semejantes y con una alta rotación, que hacen</w:t>
      </w:r>
      <w:r>
        <w:rPr>
          <w:spacing w:val="-16"/>
        </w:rPr>
        <w:t> </w:t>
      </w:r>
      <w:r>
        <w:rPr/>
        <w:t>impráctico</w:t>
      </w:r>
      <w:r>
        <w:rPr>
          <w:spacing w:val="-16"/>
        </w:rPr>
        <w:t> </w:t>
      </w:r>
      <w:r>
        <w:rPr/>
        <w:t>utilizar</w:t>
      </w:r>
      <w:r>
        <w:rPr>
          <w:spacing w:val="-17"/>
        </w:rPr>
        <w:t> </w:t>
      </w:r>
      <w:r>
        <w:rPr/>
        <w:t>otro</w:t>
      </w:r>
      <w:r>
        <w:rPr>
          <w:spacing w:val="-16"/>
        </w:rPr>
        <w:t> </w:t>
      </w:r>
      <w:r>
        <w:rPr/>
        <w:t>método.</w:t>
      </w:r>
      <w:r>
        <w:rPr>
          <w:spacing w:val="-16"/>
        </w:rPr>
        <w:t> </w:t>
      </w:r>
      <w:r>
        <w:rPr/>
        <w:t>El</w:t>
      </w:r>
      <w:r>
        <w:rPr>
          <w:spacing w:val="-17"/>
        </w:rPr>
        <w:t> </w:t>
      </w:r>
      <w:r>
        <w:rPr/>
        <w:t>importe</w:t>
      </w:r>
      <w:r>
        <w:rPr>
          <w:spacing w:val="-16"/>
        </w:rPr>
        <w:t> </w:t>
      </w:r>
      <w:r>
        <w:rPr/>
        <w:t>de</w:t>
      </w:r>
      <w:r>
        <w:rPr>
          <w:spacing w:val="-16"/>
        </w:rPr>
        <w:t> </w:t>
      </w:r>
      <w:r>
        <w:rPr/>
        <w:t>los</w:t>
      </w:r>
      <w:r>
        <w:rPr>
          <w:spacing w:val="-16"/>
        </w:rPr>
        <w:t> </w:t>
      </w:r>
      <w:r>
        <w:rPr/>
        <w:t>inventarios</w:t>
      </w:r>
      <w:r>
        <w:rPr>
          <w:spacing w:val="-16"/>
        </w:rPr>
        <w:t> </w:t>
      </w:r>
      <w:r>
        <w:rPr/>
        <w:t>y</w:t>
      </w:r>
      <w:r>
        <w:rPr>
          <w:spacing w:val="-19"/>
        </w:rPr>
        <w:t> </w:t>
      </w:r>
      <w:r>
        <w:rPr/>
        <w:t>el</w:t>
      </w:r>
      <w:r>
        <w:rPr>
          <w:spacing w:val="-17"/>
        </w:rPr>
        <w:t> </w:t>
      </w:r>
      <w:r>
        <w:rPr/>
        <w:t>costo</w:t>
      </w:r>
      <w:r>
        <w:rPr>
          <w:spacing w:val="-15"/>
        </w:rPr>
        <w:t> </w:t>
      </w:r>
      <w:r>
        <w:rPr/>
        <w:t>de</w:t>
      </w:r>
      <w:r>
        <w:rPr>
          <w:spacing w:val="-16"/>
        </w:rPr>
        <w:t> </w:t>
      </w:r>
      <w:r>
        <w:rPr/>
        <w:t>ventas se determinan valuando los artículos en inventario a su precio de venta menos un porcentaje apropiado de utilidad bruta. El porcentaje utilizado de margen de utilidad bruta</w:t>
      </w:r>
      <w:r>
        <w:rPr>
          <w:spacing w:val="-13"/>
        </w:rPr>
        <w:t> </w:t>
      </w:r>
      <w:r>
        <w:rPr/>
        <w:t>debe</w:t>
      </w:r>
      <w:r>
        <w:rPr>
          <w:spacing w:val="-13"/>
        </w:rPr>
        <w:t> </w:t>
      </w:r>
      <w:r>
        <w:rPr/>
        <w:t>considerar,</w:t>
      </w:r>
      <w:r>
        <w:rPr>
          <w:spacing w:val="-16"/>
        </w:rPr>
        <w:t> </w:t>
      </w:r>
      <w:r>
        <w:rPr/>
        <w:t>cuando</w:t>
      </w:r>
      <w:r>
        <w:rPr>
          <w:spacing w:val="-13"/>
        </w:rPr>
        <w:t> </w:t>
      </w:r>
      <w:r>
        <w:rPr/>
        <w:t>es</w:t>
      </w:r>
      <w:r>
        <w:rPr>
          <w:spacing w:val="-14"/>
        </w:rPr>
        <w:t> </w:t>
      </w:r>
      <w:r>
        <w:rPr/>
        <w:t>el</w:t>
      </w:r>
      <w:r>
        <w:rPr>
          <w:spacing w:val="-14"/>
        </w:rPr>
        <w:t> </w:t>
      </w:r>
      <w:r>
        <w:rPr/>
        <w:t>caso,</w:t>
      </w:r>
      <w:r>
        <w:rPr>
          <w:spacing w:val="-13"/>
        </w:rPr>
        <w:t> </w:t>
      </w:r>
      <w:r>
        <w:rPr/>
        <w:t>que</w:t>
      </w:r>
      <w:r>
        <w:rPr>
          <w:spacing w:val="-13"/>
        </w:rPr>
        <w:t> </w:t>
      </w:r>
      <w:r>
        <w:rPr/>
        <w:t>el</w:t>
      </w:r>
      <w:r>
        <w:rPr>
          <w:spacing w:val="-14"/>
        </w:rPr>
        <w:t> </w:t>
      </w:r>
      <w:r>
        <w:rPr/>
        <w:t>precio</w:t>
      </w:r>
      <w:r>
        <w:rPr>
          <w:spacing w:val="-13"/>
        </w:rPr>
        <w:t> </w:t>
      </w:r>
      <w:r>
        <w:rPr/>
        <w:t>de</w:t>
      </w:r>
      <w:r>
        <w:rPr>
          <w:spacing w:val="-13"/>
        </w:rPr>
        <w:t> </w:t>
      </w:r>
      <w:r>
        <w:rPr/>
        <w:t>venta</w:t>
      </w:r>
      <w:r>
        <w:rPr>
          <w:spacing w:val="-13"/>
        </w:rPr>
        <w:t> </w:t>
      </w:r>
      <w:r>
        <w:rPr/>
        <w:t>del</w:t>
      </w:r>
      <w:r>
        <w:rPr>
          <w:spacing w:val="-14"/>
        </w:rPr>
        <w:t> </w:t>
      </w:r>
      <w:r>
        <w:rPr/>
        <w:t>inventario</w:t>
      </w:r>
      <w:r>
        <w:rPr>
          <w:spacing w:val="-13"/>
        </w:rPr>
        <w:t> </w:t>
      </w:r>
      <w:r>
        <w:rPr/>
        <w:t>ha</w:t>
      </w:r>
      <w:r>
        <w:rPr>
          <w:spacing w:val="-13"/>
        </w:rPr>
        <w:t> </w:t>
      </w:r>
      <w:r>
        <w:rPr/>
        <w:t>sido reducido mediante rebajas, bonificaciones y descuentos. Es frecuente que para cada departamento de una tienda se utilice un porcentaje</w:t>
      </w:r>
      <w:r>
        <w:rPr>
          <w:spacing w:val="-18"/>
        </w:rPr>
        <w:t> </w:t>
      </w:r>
      <w:r>
        <w:rPr/>
        <w:t>promedio.</w:t>
      </w:r>
    </w:p>
    <w:p>
      <w:pPr>
        <w:spacing w:after="0" w:line="360" w:lineRule="auto"/>
        <w:jc w:val="both"/>
        <w:sectPr>
          <w:pgSz w:w="12240" w:h="15840"/>
          <w:pgMar w:header="0" w:footer="450" w:top="1500" w:bottom="960" w:left="1360" w:right="1580"/>
        </w:sectPr>
      </w:pPr>
    </w:p>
    <w:p>
      <w:pPr>
        <w:pStyle w:val="BodyText"/>
        <w:spacing w:line="360" w:lineRule="auto" w:before="57"/>
        <w:ind w:left="109" w:right="116"/>
        <w:jc w:val="both"/>
      </w:pPr>
      <w:r>
        <w:rPr/>
        <w:t>Para el reconocimiento adecuado de los inventarios con base en el método de detallistas</w:t>
      </w:r>
      <w:r>
        <w:rPr>
          <w:spacing w:val="-14"/>
        </w:rPr>
        <w:t> </w:t>
      </w:r>
      <w:r>
        <w:rPr/>
        <w:t>se</w:t>
      </w:r>
      <w:r>
        <w:rPr>
          <w:spacing w:val="-13"/>
        </w:rPr>
        <w:t> </w:t>
      </w:r>
      <w:r>
        <w:rPr/>
        <w:t>establecen</w:t>
      </w:r>
      <w:r>
        <w:rPr>
          <w:spacing w:val="-11"/>
        </w:rPr>
        <w:t> </w:t>
      </w:r>
      <w:r>
        <w:rPr/>
        <w:t>grupos</w:t>
      </w:r>
      <w:r>
        <w:rPr>
          <w:spacing w:val="-14"/>
        </w:rPr>
        <w:t> </w:t>
      </w:r>
      <w:r>
        <w:rPr/>
        <w:t>de</w:t>
      </w:r>
      <w:r>
        <w:rPr>
          <w:spacing w:val="-13"/>
        </w:rPr>
        <w:t> </w:t>
      </w:r>
      <w:r>
        <w:rPr/>
        <w:t>artículos</w:t>
      </w:r>
      <w:r>
        <w:rPr>
          <w:spacing w:val="-13"/>
        </w:rPr>
        <w:t> </w:t>
      </w:r>
      <w:r>
        <w:rPr/>
        <w:t>con</w:t>
      </w:r>
      <w:r>
        <w:rPr>
          <w:spacing w:val="-13"/>
        </w:rPr>
        <w:t> </w:t>
      </w:r>
      <w:r>
        <w:rPr/>
        <w:t>margen</w:t>
      </w:r>
      <w:r>
        <w:rPr>
          <w:spacing w:val="-13"/>
        </w:rPr>
        <w:t> </w:t>
      </w:r>
      <w:r>
        <w:rPr/>
        <w:t>de</w:t>
      </w:r>
      <w:r>
        <w:rPr>
          <w:spacing w:val="-13"/>
        </w:rPr>
        <w:t> </w:t>
      </w:r>
      <w:r>
        <w:rPr/>
        <w:t>utilidad</w:t>
      </w:r>
      <w:r>
        <w:rPr>
          <w:spacing w:val="-13"/>
        </w:rPr>
        <w:t> </w:t>
      </w:r>
      <w:r>
        <w:rPr/>
        <w:t>homogéneo,</w:t>
      </w:r>
      <w:r>
        <w:rPr>
          <w:spacing w:val="-13"/>
        </w:rPr>
        <w:t> </w:t>
      </w:r>
      <w:r>
        <w:rPr/>
        <w:t>a</w:t>
      </w:r>
      <w:r>
        <w:rPr>
          <w:spacing w:val="-11"/>
        </w:rPr>
        <w:t> </w:t>
      </w:r>
      <w:r>
        <w:rPr/>
        <w:t>los cuales</w:t>
      </w:r>
      <w:r>
        <w:rPr>
          <w:spacing w:val="-9"/>
        </w:rPr>
        <w:t> </w:t>
      </w:r>
      <w:r>
        <w:rPr/>
        <w:t>se</w:t>
      </w:r>
      <w:r>
        <w:rPr>
          <w:spacing w:val="-8"/>
        </w:rPr>
        <w:t> </w:t>
      </w:r>
      <w:r>
        <w:rPr/>
        <w:t>les</w:t>
      </w:r>
      <w:r>
        <w:rPr>
          <w:spacing w:val="-9"/>
        </w:rPr>
        <w:t> </w:t>
      </w:r>
      <w:r>
        <w:rPr/>
        <w:t>asigna</w:t>
      </w:r>
      <w:r>
        <w:rPr>
          <w:spacing w:val="-8"/>
        </w:rPr>
        <w:t> </w:t>
      </w:r>
      <w:r>
        <w:rPr/>
        <w:t>su</w:t>
      </w:r>
      <w:r>
        <w:rPr>
          <w:spacing w:val="-11"/>
        </w:rPr>
        <w:t> </w:t>
      </w:r>
      <w:r>
        <w:rPr/>
        <w:t>precio</w:t>
      </w:r>
      <w:r>
        <w:rPr>
          <w:spacing w:val="-9"/>
        </w:rPr>
        <w:t> </w:t>
      </w:r>
      <w:r>
        <w:rPr/>
        <w:t>de</w:t>
      </w:r>
      <w:r>
        <w:rPr>
          <w:spacing w:val="-11"/>
        </w:rPr>
        <w:t> </w:t>
      </w:r>
      <w:r>
        <w:rPr/>
        <w:t>venta</w:t>
      </w:r>
      <w:r>
        <w:rPr>
          <w:spacing w:val="-8"/>
        </w:rPr>
        <w:t> </w:t>
      </w:r>
      <w:r>
        <w:rPr/>
        <w:t>tomando</w:t>
      </w:r>
      <w:r>
        <w:rPr>
          <w:spacing w:val="-8"/>
        </w:rPr>
        <w:t> </w:t>
      </w:r>
      <w:r>
        <w:rPr/>
        <w:t>en</w:t>
      </w:r>
      <w:r>
        <w:rPr>
          <w:spacing w:val="-8"/>
        </w:rPr>
        <w:t> </w:t>
      </w:r>
      <w:r>
        <w:rPr/>
        <w:t>consideración</w:t>
      </w:r>
      <w:r>
        <w:rPr>
          <w:spacing w:val="-8"/>
        </w:rPr>
        <w:t> </w:t>
      </w:r>
      <w:r>
        <w:rPr/>
        <w:t>el</w:t>
      </w:r>
      <w:r>
        <w:rPr>
          <w:spacing w:val="-12"/>
        </w:rPr>
        <w:t> </w:t>
      </w:r>
      <w:r>
        <w:rPr/>
        <w:t>costo</w:t>
      </w:r>
      <w:r>
        <w:rPr>
          <w:spacing w:val="-8"/>
        </w:rPr>
        <w:t> </w:t>
      </w:r>
      <w:r>
        <w:rPr/>
        <w:t>de</w:t>
      </w:r>
      <w:r>
        <w:rPr>
          <w:spacing w:val="-8"/>
        </w:rPr>
        <w:t> </w:t>
      </w:r>
      <w:r>
        <w:rPr/>
        <w:t>compra y el margen de utilidad bruta deseado y aprobado por la</w:t>
      </w:r>
      <w:r>
        <w:rPr>
          <w:spacing w:val="-28"/>
        </w:rPr>
        <w:t> </w:t>
      </w:r>
      <w:r>
        <w:rPr/>
        <w:t>entidad.</w:t>
      </w:r>
    </w:p>
    <w:p>
      <w:pPr>
        <w:pStyle w:val="BodyText"/>
      </w:pPr>
    </w:p>
    <w:p>
      <w:pPr>
        <w:pStyle w:val="Heading2"/>
        <w:numPr>
          <w:ilvl w:val="1"/>
          <w:numId w:val="29"/>
        </w:numPr>
        <w:tabs>
          <w:tab w:pos="830" w:val="left" w:leader="none"/>
        </w:tabs>
        <w:spacing w:line="240" w:lineRule="auto" w:before="142" w:after="0"/>
        <w:ind w:left="829" w:right="0" w:hanging="720"/>
        <w:jc w:val="both"/>
      </w:pPr>
      <w:bookmarkStart w:name="_bookmark39" w:id="69"/>
      <w:bookmarkEnd w:id="69"/>
      <w:r>
        <w:rPr>
          <w:b w:val="0"/>
        </w:rPr>
      </w:r>
      <w:bookmarkStart w:name="_bookmark39" w:id="70"/>
      <w:bookmarkEnd w:id="70"/>
      <w:r>
        <w:rPr/>
        <w:t>FÓR</w:t>
      </w:r>
      <w:r>
        <w:rPr/>
        <w:t>MULAS DE ASIGNACIÓN DE</w:t>
      </w:r>
      <w:r>
        <w:rPr>
          <w:spacing w:val="-9"/>
        </w:rPr>
        <w:t> </w:t>
      </w:r>
      <w:r>
        <w:rPr/>
        <w:t>COSTOS.</w:t>
      </w:r>
    </w:p>
    <w:p>
      <w:pPr>
        <w:pStyle w:val="BodyText"/>
        <w:rPr>
          <w:b/>
        </w:rPr>
      </w:pPr>
    </w:p>
    <w:p>
      <w:pPr>
        <w:pStyle w:val="BodyText"/>
        <w:spacing w:before="3"/>
        <w:rPr>
          <w:b/>
          <w:sz w:val="27"/>
        </w:rPr>
      </w:pPr>
    </w:p>
    <w:p>
      <w:pPr>
        <w:pStyle w:val="Heading2"/>
        <w:numPr>
          <w:ilvl w:val="2"/>
          <w:numId w:val="30"/>
        </w:numPr>
        <w:tabs>
          <w:tab w:pos="711" w:val="left" w:leader="none"/>
        </w:tabs>
        <w:spacing w:line="240" w:lineRule="auto" w:before="1" w:after="0"/>
        <w:ind w:left="710" w:right="0" w:hanging="601"/>
        <w:jc w:val="both"/>
      </w:pPr>
      <w:bookmarkStart w:name="_bookmark40" w:id="71"/>
      <w:bookmarkEnd w:id="71"/>
      <w:r>
        <w:rPr>
          <w:b w:val="0"/>
        </w:rPr>
      </w:r>
      <w:bookmarkStart w:name="_bookmark40" w:id="72"/>
      <w:bookmarkEnd w:id="72"/>
      <w:r>
        <w:rPr/>
        <w:t>P</w:t>
      </w:r>
      <w:r>
        <w:rPr/>
        <w:t>EPS.</w:t>
      </w:r>
    </w:p>
    <w:p>
      <w:pPr>
        <w:pStyle w:val="BodyText"/>
        <w:spacing w:line="360" w:lineRule="auto" w:before="43"/>
        <w:ind w:left="109" w:right="118"/>
        <w:jc w:val="both"/>
      </w:pPr>
      <w:r>
        <w:rPr/>
        <w:t>El método PEPS se basa en los primeros artículos que entran en el almacén son los primeros que salen, por lo que las existencias están representadas por las últimas entradas y, por tanto, están valuadas a los últimos precios de adquisición.</w:t>
      </w:r>
    </w:p>
    <w:p>
      <w:pPr>
        <w:pStyle w:val="BodyText"/>
        <w:spacing w:line="360" w:lineRule="auto" w:before="204"/>
        <w:ind w:left="109" w:right="115"/>
        <w:jc w:val="both"/>
      </w:pPr>
      <w:r>
        <w:rPr/>
        <w:t>Los artículos que se han vendidos y que deben cargarse a resultados como un costo de venta, están representados por el inventario inicial o las primeras compras del periodo y, por tanto, deben evaluarse a los precios de las primeras compras.</w:t>
      </w:r>
    </w:p>
    <w:p>
      <w:pPr>
        <w:pStyle w:val="BodyText"/>
        <w:spacing w:line="360" w:lineRule="auto" w:before="204"/>
        <w:ind w:left="109" w:right="127"/>
        <w:jc w:val="both"/>
      </w:pPr>
      <w:r>
        <w:rPr/>
        <w:t>El valor del inventario está integrado por diferentes capas de existencia que tienen diferentes costos unitarios.</w:t>
      </w:r>
    </w:p>
    <w:p>
      <w:pPr>
        <w:pStyle w:val="BodyText"/>
        <w:spacing w:line="360" w:lineRule="auto" w:before="204"/>
        <w:ind w:left="109" w:right="120"/>
        <w:jc w:val="both"/>
      </w:pPr>
      <w:r>
        <w:rPr/>
        <w:t>El movimiento y el manejo físico de los artículos no necesariamente tienen que coincidir  con las capas del inventario en que están valuadas las existencias.</w:t>
      </w:r>
    </w:p>
    <w:p>
      <w:pPr>
        <w:pStyle w:val="BodyText"/>
        <w:spacing w:line="360" w:lineRule="auto" w:before="202"/>
        <w:ind w:left="109" w:right="119"/>
        <w:jc w:val="both"/>
      </w:pPr>
      <w:r>
        <w:rPr/>
        <w:t>En época de alza de precios pueden originarse utilidades adicionales por incremento en</w:t>
      </w:r>
      <w:r>
        <w:rPr>
          <w:spacing w:val="-15"/>
        </w:rPr>
        <w:t> </w:t>
      </w:r>
      <w:r>
        <w:rPr/>
        <w:t>los</w:t>
      </w:r>
      <w:r>
        <w:rPr>
          <w:spacing w:val="-15"/>
        </w:rPr>
        <w:t> </w:t>
      </w:r>
      <w:r>
        <w:rPr/>
        <w:t>precios</w:t>
      </w:r>
      <w:r>
        <w:rPr>
          <w:spacing w:val="36"/>
        </w:rPr>
        <w:t> </w:t>
      </w:r>
      <w:r>
        <w:rPr/>
        <w:t>y</w:t>
      </w:r>
      <w:r>
        <w:rPr>
          <w:spacing w:val="-18"/>
        </w:rPr>
        <w:t> </w:t>
      </w:r>
      <w:r>
        <w:rPr/>
        <w:t>no</w:t>
      </w:r>
      <w:r>
        <w:rPr>
          <w:spacing w:val="-15"/>
        </w:rPr>
        <w:t> </w:t>
      </w:r>
      <w:r>
        <w:rPr/>
        <w:t>por</w:t>
      </w:r>
      <w:r>
        <w:rPr>
          <w:spacing w:val="-18"/>
        </w:rPr>
        <w:t> </w:t>
      </w:r>
      <w:r>
        <w:rPr/>
        <w:t>volumen</w:t>
      </w:r>
      <w:r>
        <w:rPr>
          <w:spacing w:val="-15"/>
        </w:rPr>
        <w:t> </w:t>
      </w:r>
      <w:r>
        <w:rPr/>
        <w:t>adicional</w:t>
      </w:r>
      <w:r>
        <w:rPr>
          <w:spacing w:val="-16"/>
        </w:rPr>
        <w:t> </w:t>
      </w:r>
      <w:r>
        <w:rPr/>
        <w:t>de</w:t>
      </w:r>
      <w:r>
        <w:rPr>
          <w:spacing w:val="-15"/>
        </w:rPr>
        <w:t> </w:t>
      </w:r>
      <w:r>
        <w:rPr/>
        <w:t>unidades</w:t>
      </w:r>
      <w:r>
        <w:rPr>
          <w:spacing w:val="-15"/>
        </w:rPr>
        <w:t> </w:t>
      </w:r>
      <w:r>
        <w:rPr/>
        <w:t>vendidas,</w:t>
      </w:r>
      <w:r>
        <w:rPr>
          <w:spacing w:val="-17"/>
        </w:rPr>
        <w:t> </w:t>
      </w:r>
      <w:r>
        <w:rPr/>
        <w:t>debido</w:t>
      </w:r>
      <w:r>
        <w:rPr>
          <w:spacing w:val="-15"/>
        </w:rPr>
        <w:t> </w:t>
      </w:r>
      <w:r>
        <w:rPr/>
        <w:t>a</w:t>
      </w:r>
      <w:r>
        <w:rPr>
          <w:spacing w:val="-15"/>
        </w:rPr>
        <w:t> </w:t>
      </w:r>
      <w:r>
        <w:rPr/>
        <w:t>que</w:t>
      </w:r>
      <w:r>
        <w:rPr>
          <w:spacing w:val="-15"/>
        </w:rPr>
        <w:t> </w:t>
      </w:r>
      <w:r>
        <w:rPr/>
        <w:t>el</w:t>
      </w:r>
      <w:r>
        <w:rPr>
          <w:spacing w:val="-16"/>
        </w:rPr>
        <w:t> </w:t>
      </w:r>
      <w:r>
        <w:rPr/>
        <w:t>costo de ventas será más bajo por corresponder a existencias de precio unitario de compras anteriores y no</w:t>
      </w:r>
      <w:r>
        <w:rPr>
          <w:spacing w:val="-11"/>
        </w:rPr>
        <w:t> </w:t>
      </w:r>
      <w:r>
        <w:rPr/>
        <w:t>actuales.</w:t>
      </w:r>
    </w:p>
    <w:p>
      <w:pPr>
        <w:pStyle w:val="BodyText"/>
        <w:spacing w:line="360" w:lineRule="auto" w:before="205"/>
        <w:ind w:left="109" w:right="122"/>
        <w:jc w:val="both"/>
      </w:pPr>
      <w:r>
        <w:rPr/>
        <w:t>Este método de valuación de inventarios presenta los siguientes efectos de la información financiera:</w:t>
      </w:r>
    </w:p>
    <w:p>
      <w:pPr>
        <w:pStyle w:val="ListParagraph"/>
        <w:numPr>
          <w:ilvl w:val="0"/>
          <w:numId w:val="31"/>
        </w:numPr>
        <w:tabs>
          <w:tab w:pos="470" w:val="left" w:leader="none"/>
        </w:tabs>
        <w:spacing w:line="240" w:lineRule="auto" w:before="205" w:after="0"/>
        <w:ind w:left="469" w:right="0" w:hanging="360"/>
        <w:jc w:val="both"/>
        <w:rPr>
          <w:sz w:val="24"/>
        </w:rPr>
      </w:pPr>
      <w:r>
        <w:rPr>
          <w:sz w:val="24"/>
        </w:rPr>
        <w:t>En época inflacionaria, en la que los precios unitarios se</w:t>
      </w:r>
      <w:r>
        <w:rPr>
          <w:spacing w:val="-26"/>
          <w:sz w:val="24"/>
        </w:rPr>
        <w:t> </w:t>
      </w:r>
      <w:r>
        <w:rPr>
          <w:sz w:val="24"/>
        </w:rPr>
        <w:t>incrementan:</w:t>
      </w:r>
    </w:p>
    <w:p>
      <w:pPr>
        <w:pStyle w:val="ListParagraph"/>
        <w:numPr>
          <w:ilvl w:val="3"/>
          <w:numId w:val="30"/>
        </w:numPr>
        <w:tabs>
          <w:tab w:pos="1190" w:val="left" w:leader="none"/>
        </w:tabs>
        <w:spacing w:line="360" w:lineRule="auto" w:before="135" w:after="0"/>
        <w:ind w:left="1189" w:right="124" w:hanging="360"/>
        <w:jc w:val="left"/>
        <w:rPr>
          <w:sz w:val="24"/>
        </w:rPr>
      </w:pPr>
      <w:r>
        <w:rPr>
          <w:sz w:val="24"/>
        </w:rPr>
        <w:t>El inventario queda valuado a los últimos precios unitarios de compra, por tanto, su valor está actualmente</w:t>
      </w:r>
      <w:r>
        <w:rPr>
          <w:spacing w:val="-16"/>
          <w:sz w:val="24"/>
        </w:rPr>
        <w:t> </w:t>
      </w:r>
      <w:r>
        <w:rPr>
          <w:sz w:val="24"/>
        </w:rPr>
        <w:t>actualizado.</w:t>
      </w:r>
    </w:p>
    <w:p>
      <w:pPr>
        <w:spacing w:after="0" w:line="360" w:lineRule="auto"/>
        <w:jc w:val="left"/>
        <w:rPr>
          <w:sz w:val="24"/>
        </w:rPr>
        <w:sectPr>
          <w:pgSz w:w="12240" w:h="15840"/>
          <w:pgMar w:header="0" w:footer="450" w:top="1360" w:bottom="960" w:left="1360" w:right="1580"/>
        </w:sectPr>
      </w:pPr>
    </w:p>
    <w:p>
      <w:pPr>
        <w:pStyle w:val="ListParagraph"/>
        <w:numPr>
          <w:ilvl w:val="3"/>
          <w:numId w:val="30"/>
        </w:numPr>
        <w:tabs>
          <w:tab w:pos="1190" w:val="left" w:leader="none"/>
        </w:tabs>
        <w:spacing w:line="360" w:lineRule="auto" w:before="57" w:after="0"/>
        <w:ind w:left="1189" w:right="104" w:hanging="360"/>
        <w:jc w:val="both"/>
        <w:rPr>
          <w:sz w:val="24"/>
        </w:rPr>
      </w:pPr>
      <w:r>
        <w:rPr>
          <w:sz w:val="24"/>
        </w:rPr>
        <w:t>El costo de venta queda valuado a precios unitarios anteriores (no actualizados), lo que afecta los resultados de la entidad produciendo una mayor</w:t>
      </w:r>
      <w:r>
        <w:rPr>
          <w:spacing w:val="-6"/>
          <w:sz w:val="24"/>
        </w:rPr>
        <w:t> </w:t>
      </w:r>
      <w:r>
        <w:rPr>
          <w:sz w:val="24"/>
        </w:rPr>
        <w:t>utilidad.</w:t>
      </w:r>
    </w:p>
    <w:p>
      <w:pPr>
        <w:pStyle w:val="ListParagraph"/>
        <w:numPr>
          <w:ilvl w:val="0"/>
          <w:numId w:val="31"/>
        </w:numPr>
        <w:tabs>
          <w:tab w:pos="470" w:val="left" w:leader="none"/>
        </w:tabs>
        <w:spacing w:line="240" w:lineRule="auto" w:before="3" w:after="0"/>
        <w:ind w:left="469" w:right="0" w:hanging="360"/>
        <w:jc w:val="both"/>
        <w:rPr>
          <w:sz w:val="24"/>
        </w:rPr>
      </w:pPr>
      <w:r>
        <w:rPr>
          <w:sz w:val="24"/>
        </w:rPr>
        <w:t>En épocas deflacionarias, en la que los procesos unitarios  se</w:t>
      </w:r>
      <w:r>
        <w:rPr>
          <w:spacing w:val="-29"/>
          <w:sz w:val="24"/>
        </w:rPr>
        <w:t> </w:t>
      </w:r>
      <w:r>
        <w:rPr>
          <w:sz w:val="24"/>
        </w:rPr>
        <w:t>reducen:</w:t>
      </w:r>
    </w:p>
    <w:p>
      <w:pPr>
        <w:pStyle w:val="ListParagraph"/>
        <w:numPr>
          <w:ilvl w:val="4"/>
          <w:numId w:val="30"/>
        </w:numPr>
        <w:tabs>
          <w:tab w:pos="1550" w:val="left" w:leader="none"/>
        </w:tabs>
        <w:spacing w:line="360" w:lineRule="auto" w:before="137" w:after="0"/>
        <w:ind w:left="1549" w:right="98" w:hanging="360"/>
        <w:jc w:val="both"/>
        <w:rPr>
          <w:sz w:val="24"/>
        </w:rPr>
      </w:pPr>
      <w:r>
        <w:rPr>
          <w:sz w:val="24"/>
        </w:rPr>
        <w:t>El inventario queda valuado generalmente a un valor superior al precio de mercado por efecto de las capas de inventario, con un costo unitario superior a las últimas compras. Aquí se aplica el criterio prudencial que señala</w:t>
      </w:r>
      <w:r>
        <w:rPr>
          <w:spacing w:val="-8"/>
          <w:sz w:val="24"/>
        </w:rPr>
        <w:t> </w:t>
      </w:r>
      <w:r>
        <w:rPr>
          <w:sz w:val="24"/>
        </w:rPr>
        <w:t>que</w:t>
      </w:r>
      <w:r>
        <w:rPr>
          <w:spacing w:val="-6"/>
          <w:sz w:val="24"/>
        </w:rPr>
        <w:t> </w:t>
      </w:r>
      <w:r>
        <w:rPr>
          <w:sz w:val="24"/>
        </w:rPr>
        <w:t>los</w:t>
      </w:r>
      <w:r>
        <w:rPr>
          <w:spacing w:val="-6"/>
          <w:sz w:val="24"/>
        </w:rPr>
        <w:t> </w:t>
      </w:r>
      <w:r>
        <w:rPr>
          <w:sz w:val="24"/>
        </w:rPr>
        <w:t>inventarios</w:t>
      </w:r>
      <w:r>
        <w:rPr>
          <w:spacing w:val="-6"/>
          <w:sz w:val="24"/>
        </w:rPr>
        <w:t> </w:t>
      </w:r>
      <w:r>
        <w:rPr>
          <w:sz w:val="24"/>
        </w:rPr>
        <w:t>deben</w:t>
      </w:r>
      <w:r>
        <w:rPr>
          <w:spacing w:val="-8"/>
          <w:sz w:val="24"/>
        </w:rPr>
        <w:t> </w:t>
      </w:r>
      <w:r>
        <w:rPr>
          <w:sz w:val="24"/>
        </w:rPr>
        <w:t>valuarse</w:t>
      </w:r>
      <w:r>
        <w:rPr>
          <w:spacing w:val="-7"/>
          <w:sz w:val="24"/>
        </w:rPr>
        <w:t> </w:t>
      </w:r>
      <w:r>
        <w:rPr>
          <w:sz w:val="24"/>
        </w:rPr>
        <w:t>a</w:t>
      </w:r>
      <w:r>
        <w:rPr>
          <w:spacing w:val="-8"/>
          <w:sz w:val="24"/>
        </w:rPr>
        <w:t> </w:t>
      </w:r>
      <w:r>
        <w:rPr>
          <w:sz w:val="24"/>
        </w:rPr>
        <w:t>“Costos</w:t>
      </w:r>
      <w:r>
        <w:rPr>
          <w:spacing w:val="-7"/>
          <w:sz w:val="24"/>
        </w:rPr>
        <w:t> </w:t>
      </w:r>
      <w:r>
        <w:rPr>
          <w:sz w:val="24"/>
        </w:rPr>
        <w:t>o</w:t>
      </w:r>
      <w:r>
        <w:rPr>
          <w:spacing w:val="-8"/>
          <w:sz w:val="24"/>
        </w:rPr>
        <w:t> </w:t>
      </w:r>
      <w:r>
        <w:rPr>
          <w:sz w:val="24"/>
        </w:rPr>
        <w:t>mercados,</w:t>
      </w:r>
      <w:r>
        <w:rPr>
          <w:spacing w:val="-6"/>
          <w:sz w:val="24"/>
        </w:rPr>
        <w:t> </w:t>
      </w:r>
      <w:r>
        <w:rPr>
          <w:sz w:val="24"/>
        </w:rPr>
        <w:t>el</w:t>
      </w:r>
      <w:r>
        <w:rPr>
          <w:spacing w:val="-12"/>
          <w:sz w:val="24"/>
        </w:rPr>
        <w:t> </w:t>
      </w:r>
      <w:r>
        <w:rPr>
          <w:sz w:val="24"/>
        </w:rPr>
        <w:t>que sea menor” y en este caso se requeriría un ajuste en la valuación del inventario a precio de mercado, lo que produciría una</w:t>
      </w:r>
      <w:r>
        <w:rPr>
          <w:spacing w:val="-26"/>
          <w:sz w:val="24"/>
        </w:rPr>
        <w:t> </w:t>
      </w:r>
      <w:r>
        <w:rPr>
          <w:sz w:val="24"/>
        </w:rPr>
        <w:t>pérdida.</w:t>
      </w:r>
    </w:p>
    <w:p>
      <w:pPr>
        <w:pStyle w:val="BodyText"/>
      </w:pPr>
    </w:p>
    <w:p>
      <w:pPr>
        <w:pStyle w:val="ListParagraph"/>
        <w:numPr>
          <w:ilvl w:val="4"/>
          <w:numId w:val="30"/>
        </w:numPr>
        <w:tabs>
          <w:tab w:pos="1550" w:val="left" w:leader="none"/>
        </w:tabs>
        <w:spacing w:line="360" w:lineRule="auto" w:before="142" w:after="0"/>
        <w:ind w:left="1549" w:right="98" w:hanging="360"/>
        <w:jc w:val="both"/>
        <w:rPr>
          <w:sz w:val="24"/>
        </w:rPr>
      </w:pPr>
      <w:r>
        <w:rPr>
          <w:sz w:val="24"/>
        </w:rPr>
        <w:t>El costo de ventas queda valuado a precios unitarios anteriores que serían superiores a los actuales lo que origina una reducción en la unidad del</w:t>
      </w:r>
      <w:r>
        <w:rPr>
          <w:spacing w:val="-7"/>
          <w:sz w:val="24"/>
        </w:rPr>
        <w:t> </w:t>
      </w:r>
      <w:r>
        <w:rPr>
          <w:sz w:val="24"/>
        </w:rPr>
        <w:t>periodo.</w:t>
      </w:r>
    </w:p>
    <w:p>
      <w:pPr>
        <w:pStyle w:val="BodyText"/>
        <w:spacing w:line="360" w:lineRule="auto" w:before="204"/>
        <w:ind w:left="109" w:right="99"/>
        <w:jc w:val="both"/>
      </w:pPr>
      <w:r>
        <w:rPr/>
        <w:t>El método tiene dos modalidades de riesgo llamada base periódica y base perpetua, Los resultados son iguales, únicamente que el cálculo del primero se hace periódicamente,</w:t>
      </w:r>
      <w:r>
        <w:rPr>
          <w:spacing w:val="-7"/>
        </w:rPr>
        <w:t> </w:t>
      </w:r>
      <w:r>
        <w:rPr/>
        <w:t>por</w:t>
      </w:r>
      <w:r>
        <w:rPr>
          <w:spacing w:val="-8"/>
        </w:rPr>
        <w:t> </w:t>
      </w:r>
      <w:r>
        <w:rPr/>
        <w:t>ejemplo,</w:t>
      </w:r>
      <w:r>
        <w:rPr>
          <w:spacing w:val="-5"/>
        </w:rPr>
        <w:t> </w:t>
      </w:r>
      <w:r>
        <w:rPr/>
        <w:t>cada</w:t>
      </w:r>
      <w:r>
        <w:rPr>
          <w:spacing w:val="-7"/>
        </w:rPr>
        <w:t> </w:t>
      </w:r>
      <w:r>
        <w:rPr/>
        <w:t>fin</w:t>
      </w:r>
      <w:r>
        <w:rPr>
          <w:spacing w:val="-5"/>
        </w:rPr>
        <w:t> </w:t>
      </w:r>
      <w:r>
        <w:rPr/>
        <w:t>de</w:t>
      </w:r>
      <w:r>
        <w:rPr>
          <w:spacing w:val="-5"/>
        </w:rPr>
        <w:t> </w:t>
      </w:r>
      <w:r>
        <w:rPr/>
        <w:t>mes,</w:t>
      </w:r>
      <w:r>
        <w:rPr>
          <w:spacing w:val="-5"/>
        </w:rPr>
        <w:t> </w:t>
      </w:r>
      <w:r>
        <w:rPr/>
        <w:t>y</w:t>
      </w:r>
      <w:r>
        <w:rPr>
          <w:spacing w:val="-8"/>
        </w:rPr>
        <w:t> </w:t>
      </w:r>
      <w:r>
        <w:rPr/>
        <w:t>el</w:t>
      </w:r>
      <w:r>
        <w:rPr>
          <w:spacing w:val="-6"/>
        </w:rPr>
        <w:t> </w:t>
      </w:r>
      <w:r>
        <w:rPr/>
        <w:t>segundo</w:t>
      </w:r>
      <w:r>
        <w:rPr>
          <w:spacing w:val="-5"/>
        </w:rPr>
        <w:t> </w:t>
      </w:r>
      <w:r>
        <w:rPr/>
        <w:t>se</w:t>
      </w:r>
      <w:r>
        <w:rPr>
          <w:spacing w:val="-5"/>
        </w:rPr>
        <w:t> </w:t>
      </w:r>
      <w:r>
        <w:rPr/>
        <w:t>mantiene</w:t>
      </w:r>
      <w:r>
        <w:rPr>
          <w:spacing w:val="-5"/>
        </w:rPr>
        <w:t> </w:t>
      </w:r>
      <w:r>
        <w:rPr/>
        <w:t>sobre</w:t>
      </w:r>
      <w:r>
        <w:rPr>
          <w:spacing w:val="-8"/>
        </w:rPr>
        <w:t> </w:t>
      </w:r>
      <w:r>
        <w:rPr/>
        <w:t>bases de inventarios perpetuo, determinándose el valor del inventario y el costo de ventas con forme se van realizando  las</w:t>
      </w:r>
      <w:r>
        <w:rPr>
          <w:spacing w:val="-17"/>
        </w:rPr>
        <w:t> </w:t>
      </w:r>
      <w:r>
        <w:rPr/>
        <w:t>operaciones.</w:t>
      </w:r>
    </w:p>
    <w:p>
      <w:pPr>
        <w:pStyle w:val="BodyText"/>
        <w:spacing w:line="360" w:lineRule="auto" w:before="202"/>
        <w:ind w:left="109" w:right="101"/>
        <w:jc w:val="both"/>
      </w:pPr>
      <w:r>
        <w:rPr/>
        <w:t>En cualquiera de las modalidades el inventario inicial y las compras se manejan por capas de precios unitarios hasta integrar el total de las unidades en existencia.</w:t>
      </w:r>
    </w:p>
    <w:p>
      <w:pPr>
        <w:spacing w:after="0" w:line="360" w:lineRule="auto"/>
        <w:jc w:val="both"/>
        <w:sectPr>
          <w:pgSz w:w="12240" w:h="15840"/>
          <w:pgMar w:header="0" w:footer="450" w:top="1360" w:bottom="960" w:left="1360" w:right="1600"/>
        </w:sectPr>
      </w:pPr>
    </w:p>
    <w:p>
      <w:pPr>
        <w:pStyle w:val="BodyText"/>
        <w:ind w:left="108"/>
        <w:rPr>
          <w:sz w:val="20"/>
        </w:rPr>
      </w:pPr>
      <w:r>
        <w:rPr>
          <w:sz w:val="20"/>
        </w:rPr>
        <w:drawing>
          <wp:inline distT="0" distB="0" distL="0" distR="0">
            <wp:extent cx="5738579" cy="3011424"/>
            <wp:effectExtent l="0" t="0" r="0" b="0"/>
            <wp:docPr id="17" name="image77.jpeg" descr=""/>
            <wp:cNvGraphicFramePr>
              <a:graphicFrameLocks noChangeAspect="1"/>
            </wp:cNvGraphicFramePr>
            <a:graphic>
              <a:graphicData uri="http://schemas.openxmlformats.org/drawingml/2006/picture">
                <pic:pic>
                  <pic:nvPicPr>
                    <pic:cNvPr id="18" name="image77.jpeg"/>
                    <pic:cNvPicPr/>
                  </pic:nvPicPr>
                  <pic:blipFill>
                    <a:blip r:embed="rId93" cstate="print"/>
                    <a:stretch>
                      <a:fillRect/>
                    </a:stretch>
                  </pic:blipFill>
                  <pic:spPr>
                    <a:xfrm>
                      <a:off x="0" y="0"/>
                      <a:ext cx="5738579" cy="3011424"/>
                    </a:xfrm>
                    <a:prstGeom prst="rect">
                      <a:avLst/>
                    </a:prstGeom>
                  </pic:spPr>
                </pic:pic>
              </a:graphicData>
            </a:graphic>
          </wp:inline>
        </w:drawing>
      </w:r>
      <w:r>
        <w:rPr>
          <w:sz w:val="20"/>
        </w:rPr>
      </w:r>
    </w:p>
    <w:p>
      <w:pPr>
        <w:pStyle w:val="BodyText"/>
        <w:spacing w:before="1"/>
        <w:rPr>
          <w:sz w:val="25"/>
        </w:rPr>
      </w:pPr>
    </w:p>
    <w:p>
      <w:pPr>
        <w:spacing w:after="0"/>
        <w:rPr>
          <w:sz w:val="25"/>
        </w:rPr>
        <w:sectPr>
          <w:footerReference w:type="default" r:id="rId92"/>
          <w:pgSz w:w="12240" w:h="15840"/>
          <w:pgMar w:footer="779" w:header="0" w:top="1420" w:bottom="960" w:left="1360" w:right="1580"/>
        </w:sectPr>
      </w:pPr>
    </w:p>
    <w:p>
      <w:pPr>
        <w:pStyle w:val="BodyText"/>
      </w:pPr>
    </w:p>
    <w:p>
      <w:pPr>
        <w:pStyle w:val="BodyText"/>
        <w:spacing w:before="8"/>
        <w:rPr>
          <w:sz w:val="28"/>
        </w:rPr>
      </w:pPr>
    </w:p>
    <w:p>
      <w:pPr>
        <w:pStyle w:val="Heading2"/>
        <w:numPr>
          <w:ilvl w:val="2"/>
          <w:numId w:val="32"/>
        </w:numPr>
        <w:tabs>
          <w:tab w:pos="846" w:val="left" w:leader="none"/>
        </w:tabs>
        <w:spacing w:line="240" w:lineRule="auto" w:before="0" w:after="0"/>
        <w:ind w:left="846" w:right="0" w:hanging="737"/>
        <w:jc w:val="left"/>
      </w:pPr>
      <w:bookmarkStart w:name="_bookmark41" w:id="73"/>
      <w:bookmarkEnd w:id="73"/>
      <w:r>
        <w:rPr>
          <w:b w:val="0"/>
        </w:rPr>
      </w:r>
      <w:bookmarkStart w:name="_bookmark41" w:id="74"/>
      <w:bookmarkEnd w:id="74"/>
      <w:r>
        <w:rPr/>
        <w:t>C</w:t>
      </w:r>
      <w:r>
        <w:rPr/>
        <w:t>osto</w:t>
      </w:r>
      <w:r>
        <w:rPr>
          <w:spacing w:val="-9"/>
        </w:rPr>
        <w:t> </w:t>
      </w:r>
      <w:r>
        <w:rPr/>
        <w:t>Promedio.</w:t>
      </w:r>
    </w:p>
    <w:p>
      <w:pPr>
        <w:spacing w:line="273" w:lineRule="auto" w:before="74"/>
        <w:ind w:left="380" w:right="3285" w:hanging="272"/>
        <w:jc w:val="left"/>
        <w:rPr>
          <w:sz w:val="20"/>
        </w:rPr>
      </w:pPr>
      <w:r>
        <w:rPr/>
        <w:br w:type="column"/>
      </w:r>
      <w:r>
        <w:rPr>
          <w:sz w:val="20"/>
        </w:rPr>
        <w:t>Figura 15. Método UEPS. Autoría propia.</w:t>
      </w:r>
    </w:p>
    <w:p>
      <w:pPr>
        <w:spacing w:after="0" w:line="273" w:lineRule="auto"/>
        <w:jc w:val="left"/>
        <w:rPr>
          <w:sz w:val="20"/>
        </w:rPr>
        <w:sectPr>
          <w:type w:val="continuous"/>
          <w:pgSz w:w="12240" w:h="15840"/>
          <w:pgMar w:top="880" w:bottom="280" w:left="1360" w:right="1580"/>
          <w:cols w:num="2" w:equalWidth="0">
            <w:col w:w="2763" w:space="845"/>
            <w:col w:w="5692"/>
          </w:cols>
        </w:sectPr>
      </w:pPr>
    </w:p>
    <w:p>
      <w:pPr>
        <w:pStyle w:val="BodyText"/>
        <w:spacing w:line="360" w:lineRule="auto" w:before="43"/>
        <w:ind w:left="109" w:right="121"/>
        <w:jc w:val="both"/>
      </w:pPr>
      <w:r>
        <w:rPr/>
        <w:t>De acuerdo con la fórmula de costos promedios, el costo de cada artículo debe determinarse mediante el promedio del costo de artículos similares al inicio de un periodo adicionando el costo de artículos similares comprados o producidos durante éste.</w:t>
      </w:r>
      <w:r>
        <w:rPr>
          <w:spacing w:val="-7"/>
        </w:rPr>
        <w:t> </w:t>
      </w:r>
      <w:r>
        <w:rPr/>
        <w:t>El</w:t>
      </w:r>
      <w:r>
        <w:rPr>
          <w:spacing w:val="-6"/>
        </w:rPr>
        <w:t> </w:t>
      </w:r>
      <w:r>
        <w:rPr/>
        <w:t>promedio</w:t>
      </w:r>
      <w:r>
        <w:rPr>
          <w:spacing w:val="-5"/>
        </w:rPr>
        <w:t> </w:t>
      </w:r>
      <w:r>
        <w:rPr/>
        <w:t>puede</w:t>
      </w:r>
      <w:r>
        <w:rPr>
          <w:spacing w:val="-5"/>
        </w:rPr>
        <w:t> </w:t>
      </w:r>
      <w:r>
        <w:rPr/>
        <w:t>calcularse</w:t>
      </w:r>
      <w:r>
        <w:rPr>
          <w:spacing w:val="-5"/>
        </w:rPr>
        <w:t> </w:t>
      </w:r>
      <w:r>
        <w:rPr/>
        <w:t>periódicamente</w:t>
      </w:r>
      <w:r>
        <w:rPr>
          <w:spacing w:val="-7"/>
        </w:rPr>
        <w:t> </w:t>
      </w:r>
      <w:r>
        <w:rPr/>
        <w:t>o</w:t>
      </w:r>
      <w:r>
        <w:rPr>
          <w:spacing w:val="-5"/>
        </w:rPr>
        <w:t> </w:t>
      </w:r>
      <w:r>
        <w:rPr/>
        <w:t>a</w:t>
      </w:r>
      <w:r>
        <w:rPr>
          <w:spacing w:val="-7"/>
        </w:rPr>
        <w:t> </w:t>
      </w:r>
      <w:r>
        <w:rPr/>
        <w:t>medida</w:t>
      </w:r>
      <w:r>
        <w:rPr>
          <w:spacing w:val="-6"/>
        </w:rPr>
        <w:t> </w:t>
      </w:r>
      <w:r>
        <w:rPr/>
        <w:t>en</w:t>
      </w:r>
      <w:r>
        <w:rPr>
          <w:spacing w:val="-7"/>
        </w:rPr>
        <w:t> </w:t>
      </w:r>
      <w:r>
        <w:rPr/>
        <w:t>que</w:t>
      </w:r>
      <w:r>
        <w:rPr>
          <w:spacing w:val="-5"/>
        </w:rPr>
        <w:t> </w:t>
      </w:r>
      <w:r>
        <w:rPr/>
        <w:t>entren</w:t>
      </w:r>
      <w:r>
        <w:rPr>
          <w:spacing w:val="-7"/>
        </w:rPr>
        <w:t> </w:t>
      </w:r>
      <w:r>
        <w:rPr/>
        <w:t>nuevos artículos al inventario, ya sea adquiridos o</w:t>
      </w:r>
      <w:r>
        <w:rPr>
          <w:spacing w:val="-20"/>
        </w:rPr>
        <w:t> </w:t>
      </w:r>
      <w:r>
        <w:rPr/>
        <w:t>producidos.</w:t>
      </w:r>
    </w:p>
    <w:p>
      <w:pPr>
        <w:pStyle w:val="BodyText"/>
        <w:spacing w:line="532" w:lineRule="auto" w:before="204"/>
        <w:ind w:left="109" w:right="5749"/>
      </w:pPr>
      <w:r>
        <w:rPr/>
        <w:t>CFT= Costos Fijos Totales. CVT= Costos Variables Totales. CT= Costo Total.</w:t>
      </w:r>
    </w:p>
    <w:p>
      <w:pPr>
        <w:pStyle w:val="BodyText"/>
        <w:spacing w:line="535" w:lineRule="auto" w:before="12" w:after="11"/>
        <w:ind w:left="109" w:right="5620"/>
      </w:pPr>
      <w:r>
        <w:rPr/>
        <w:t>CFP= Costo Fijo Promedio. CTP= Costos Totales Promedios. CM= Costo</w:t>
      </w:r>
      <w:r>
        <w:rPr>
          <w:spacing w:val="-5"/>
        </w:rPr>
        <w:t> </w:t>
      </w:r>
      <w:r>
        <w:rPr/>
        <w:t>Marginal.</w:t>
      </w:r>
    </w:p>
    <w:tbl>
      <w:tblPr>
        <w:tblW w:w="0" w:type="auto"/>
        <w:jc w:val="left"/>
        <w:tblInd w:w="109"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CellMar>
          <w:top w:w="0" w:type="dxa"/>
          <w:left w:w="0" w:type="dxa"/>
          <w:bottom w:w="0" w:type="dxa"/>
          <w:right w:w="0" w:type="dxa"/>
        </w:tblCellMar>
        <w:tblLook w:val="01E0"/>
      </w:tblPr>
      <w:tblGrid>
        <w:gridCol w:w="1812"/>
        <w:gridCol w:w="1813"/>
        <w:gridCol w:w="1812"/>
        <w:gridCol w:w="1812"/>
        <w:gridCol w:w="1813"/>
      </w:tblGrid>
      <w:tr>
        <w:trPr>
          <w:trHeight w:val="709" w:hRule="exact"/>
        </w:trPr>
        <w:tc>
          <w:tcPr>
            <w:tcW w:w="1812" w:type="dxa"/>
            <w:tcBorders>
              <w:bottom w:val="single" w:sz="12" w:space="0" w:color="94B3D6"/>
            </w:tcBorders>
            <w:shd w:val="clear" w:color="auto" w:fill="C5D9F0"/>
          </w:tcPr>
          <w:p>
            <w:pPr>
              <w:pStyle w:val="TableParagraph"/>
              <w:spacing w:line="225" w:lineRule="exact"/>
              <w:ind w:left="103"/>
              <w:rPr>
                <w:rFonts w:ascii="Arial"/>
                <w:b/>
                <w:sz w:val="20"/>
              </w:rPr>
            </w:pPr>
            <w:r>
              <w:rPr>
                <w:rFonts w:ascii="Arial"/>
                <w:b/>
                <w:sz w:val="20"/>
              </w:rPr>
              <w:t>CT= CFT+CVT</w:t>
            </w:r>
          </w:p>
        </w:tc>
        <w:tc>
          <w:tcPr>
            <w:tcW w:w="1813" w:type="dxa"/>
            <w:tcBorders>
              <w:bottom w:val="single" w:sz="12" w:space="0" w:color="94B3D6"/>
            </w:tcBorders>
            <w:shd w:val="clear" w:color="auto" w:fill="C5D9F0"/>
          </w:tcPr>
          <w:p>
            <w:pPr>
              <w:pStyle w:val="TableParagraph"/>
              <w:spacing w:line="225" w:lineRule="exact"/>
              <w:ind w:left="103"/>
              <w:rPr>
                <w:rFonts w:ascii="Arial"/>
                <w:b/>
                <w:sz w:val="20"/>
              </w:rPr>
            </w:pPr>
            <w:r>
              <w:rPr>
                <w:rFonts w:ascii="Arial"/>
                <w:b/>
                <w:sz w:val="20"/>
              </w:rPr>
              <w:t>CFP= CFT/Q</w:t>
            </w:r>
          </w:p>
          <w:p>
            <w:pPr>
              <w:pStyle w:val="TableParagraph"/>
              <w:spacing w:before="115"/>
              <w:ind w:left="103"/>
              <w:rPr>
                <w:rFonts w:ascii="Arial" w:hAnsi="Arial"/>
                <w:b/>
                <w:sz w:val="20"/>
              </w:rPr>
            </w:pPr>
            <w:r>
              <w:rPr>
                <w:rFonts w:ascii="Arial" w:hAnsi="Arial"/>
                <w:b/>
                <w:sz w:val="20"/>
              </w:rPr>
              <w:t>Q= Producción.</w:t>
            </w:r>
          </w:p>
        </w:tc>
        <w:tc>
          <w:tcPr>
            <w:tcW w:w="1812" w:type="dxa"/>
            <w:tcBorders>
              <w:bottom w:val="single" w:sz="12" w:space="0" w:color="94B3D6"/>
            </w:tcBorders>
            <w:shd w:val="clear" w:color="auto" w:fill="C5D9F0"/>
          </w:tcPr>
          <w:p>
            <w:pPr>
              <w:pStyle w:val="TableParagraph"/>
              <w:spacing w:line="225" w:lineRule="exact"/>
              <w:ind w:left="103"/>
              <w:rPr>
                <w:rFonts w:ascii="Arial"/>
                <w:b/>
                <w:sz w:val="20"/>
              </w:rPr>
            </w:pPr>
            <w:r>
              <w:rPr>
                <w:rFonts w:ascii="Arial"/>
                <w:b/>
                <w:sz w:val="20"/>
              </w:rPr>
              <w:t>CVP= CVT/Q</w:t>
            </w:r>
          </w:p>
        </w:tc>
        <w:tc>
          <w:tcPr>
            <w:tcW w:w="1812" w:type="dxa"/>
            <w:tcBorders>
              <w:bottom w:val="single" w:sz="12" w:space="0" w:color="94B3D6"/>
            </w:tcBorders>
            <w:shd w:val="clear" w:color="auto" w:fill="C5D9F0"/>
          </w:tcPr>
          <w:p>
            <w:pPr>
              <w:pStyle w:val="TableParagraph"/>
              <w:spacing w:line="360" w:lineRule="auto"/>
              <w:ind w:left="103" w:right="119"/>
              <w:rPr>
                <w:rFonts w:ascii="Arial"/>
                <w:b/>
                <w:sz w:val="20"/>
              </w:rPr>
            </w:pPr>
            <w:r>
              <w:rPr>
                <w:rFonts w:ascii="Arial"/>
                <w:b/>
                <w:sz w:val="20"/>
              </w:rPr>
              <w:t>CTP= CFP+CVP=</w:t>
            </w:r>
            <w:r>
              <w:rPr>
                <w:rFonts w:ascii="Arial"/>
                <w:b/>
                <w:spacing w:val="-4"/>
                <w:sz w:val="20"/>
              </w:rPr>
              <w:t> </w:t>
            </w:r>
            <w:r>
              <w:rPr>
                <w:rFonts w:ascii="Arial"/>
                <w:b/>
                <w:sz w:val="20"/>
              </w:rPr>
              <w:t>CT/Q</w:t>
            </w:r>
          </w:p>
        </w:tc>
        <w:tc>
          <w:tcPr>
            <w:tcW w:w="1813" w:type="dxa"/>
            <w:tcBorders>
              <w:bottom w:val="single" w:sz="12" w:space="0" w:color="94B3D6"/>
            </w:tcBorders>
            <w:shd w:val="clear" w:color="auto" w:fill="C5D9F0"/>
          </w:tcPr>
          <w:p>
            <w:pPr>
              <w:pStyle w:val="TableParagraph"/>
              <w:spacing w:line="225" w:lineRule="exact"/>
              <w:ind w:left="103"/>
              <w:rPr>
                <w:rFonts w:ascii="Arial"/>
                <w:b/>
                <w:sz w:val="20"/>
              </w:rPr>
            </w:pPr>
            <w:r>
              <w:rPr>
                <w:rFonts w:ascii="Arial"/>
                <w:b/>
                <w:sz w:val="20"/>
              </w:rPr>
              <w:t>CM= CVT/Q</w:t>
            </w:r>
          </w:p>
        </w:tc>
      </w:tr>
    </w:tbl>
    <w:p>
      <w:pPr>
        <w:spacing w:after="0" w:line="225" w:lineRule="exact"/>
        <w:rPr>
          <w:rFonts w:ascii="Arial"/>
          <w:sz w:val="20"/>
        </w:rPr>
        <w:sectPr>
          <w:type w:val="continuous"/>
          <w:pgSz w:w="12240" w:h="15840"/>
          <w:pgMar w:top="880" w:bottom="280" w:left="1360" w:right="1580"/>
        </w:sectPr>
      </w:pPr>
    </w:p>
    <w:p>
      <w:pPr>
        <w:pStyle w:val="Heading2"/>
        <w:numPr>
          <w:ilvl w:val="2"/>
          <w:numId w:val="32"/>
        </w:numPr>
        <w:tabs>
          <w:tab w:pos="830" w:val="left" w:leader="none"/>
        </w:tabs>
        <w:spacing w:line="240" w:lineRule="auto" w:before="57" w:after="0"/>
        <w:ind w:left="829" w:right="0" w:hanging="720"/>
        <w:jc w:val="both"/>
      </w:pPr>
      <w:bookmarkStart w:name="_bookmark42" w:id="75"/>
      <w:bookmarkEnd w:id="75"/>
      <w:r>
        <w:rPr>
          <w:b w:val="0"/>
        </w:rPr>
      </w:r>
      <w:bookmarkStart w:name="_bookmark42" w:id="76"/>
      <w:bookmarkEnd w:id="76"/>
      <w:r>
        <w:rPr/>
        <w:t>C</w:t>
      </w:r>
      <w:r>
        <w:rPr/>
        <w:t>ostos</w:t>
      </w:r>
      <w:r>
        <w:rPr>
          <w:spacing w:val="-5"/>
        </w:rPr>
        <w:t> </w:t>
      </w:r>
      <w:r>
        <w:rPr/>
        <w:t>identificados.</w:t>
      </w:r>
    </w:p>
    <w:p>
      <w:pPr>
        <w:pStyle w:val="BodyText"/>
        <w:spacing w:before="10"/>
        <w:rPr>
          <w:b/>
          <w:sz w:val="20"/>
        </w:rPr>
      </w:pPr>
    </w:p>
    <w:p>
      <w:pPr>
        <w:pStyle w:val="BodyText"/>
        <w:spacing w:line="360" w:lineRule="auto"/>
        <w:ind w:left="109" w:right="117"/>
        <w:jc w:val="both"/>
      </w:pPr>
      <w:r>
        <w:rPr/>
        <w:t>El</w:t>
      </w:r>
      <w:r>
        <w:rPr>
          <w:spacing w:val="-7"/>
        </w:rPr>
        <w:t> </w:t>
      </w:r>
      <w:r>
        <w:rPr/>
        <w:t>costo</w:t>
      </w:r>
      <w:r>
        <w:rPr>
          <w:spacing w:val="-8"/>
        </w:rPr>
        <w:t> </w:t>
      </w:r>
      <w:r>
        <w:rPr/>
        <w:t>de</w:t>
      </w:r>
      <w:r>
        <w:rPr>
          <w:spacing w:val="-6"/>
        </w:rPr>
        <w:t> </w:t>
      </w:r>
      <w:r>
        <w:rPr/>
        <w:t>los</w:t>
      </w:r>
      <w:r>
        <w:rPr>
          <w:spacing w:val="-6"/>
        </w:rPr>
        <w:t> </w:t>
      </w:r>
      <w:r>
        <w:rPr/>
        <w:t>inventarios</w:t>
      </w:r>
      <w:r>
        <w:rPr>
          <w:spacing w:val="-7"/>
        </w:rPr>
        <w:t> </w:t>
      </w:r>
      <w:r>
        <w:rPr/>
        <w:t>de</w:t>
      </w:r>
      <w:r>
        <w:rPr>
          <w:spacing w:val="-6"/>
        </w:rPr>
        <w:t> </w:t>
      </w:r>
      <w:r>
        <w:rPr/>
        <w:t>partidas</w:t>
      </w:r>
      <w:r>
        <w:rPr>
          <w:spacing w:val="-7"/>
        </w:rPr>
        <w:t> </w:t>
      </w:r>
      <w:r>
        <w:rPr/>
        <w:t>que</w:t>
      </w:r>
      <w:r>
        <w:rPr>
          <w:spacing w:val="-8"/>
        </w:rPr>
        <w:t> </w:t>
      </w:r>
      <w:r>
        <w:rPr/>
        <w:t>normalmente</w:t>
      </w:r>
      <w:r>
        <w:rPr>
          <w:spacing w:val="-6"/>
        </w:rPr>
        <w:t> </w:t>
      </w:r>
      <w:r>
        <w:rPr/>
        <w:t>no</w:t>
      </w:r>
      <w:r>
        <w:rPr>
          <w:spacing w:val="-8"/>
        </w:rPr>
        <w:t> </w:t>
      </w:r>
      <w:r>
        <w:rPr/>
        <w:t>son</w:t>
      </w:r>
      <w:r>
        <w:rPr>
          <w:spacing w:val="-8"/>
        </w:rPr>
        <w:t> </w:t>
      </w:r>
      <w:r>
        <w:rPr/>
        <w:t>intercambiables</w:t>
      </w:r>
      <w:r>
        <w:rPr>
          <w:spacing w:val="-9"/>
        </w:rPr>
        <w:t> </w:t>
      </w:r>
      <w:r>
        <w:rPr/>
        <w:t>entre sí</w:t>
      </w:r>
      <w:r>
        <w:rPr>
          <w:spacing w:val="-10"/>
        </w:rPr>
        <w:t> </w:t>
      </w:r>
      <w:r>
        <w:rPr/>
        <w:t>y</w:t>
      </w:r>
      <w:r>
        <w:rPr>
          <w:spacing w:val="-12"/>
        </w:rPr>
        <w:t> </w:t>
      </w:r>
      <w:r>
        <w:rPr/>
        <w:t>de</w:t>
      </w:r>
      <w:r>
        <w:rPr>
          <w:spacing w:val="-9"/>
        </w:rPr>
        <w:t> </w:t>
      </w:r>
      <w:r>
        <w:rPr/>
        <w:t>artículos</w:t>
      </w:r>
      <w:r>
        <w:rPr>
          <w:spacing w:val="-10"/>
        </w:rPr>
        <w:t> </w:t>
      </w:r>
      <w:r>
        <w:rPr/>
        <w:t>o</w:t>
      </w:r>
      <w:r>
        <w:rPr>
          <w:spacing w:val="-9"/>
        </w:rPr>
        <w:t> </w:t>
      </w:r>
      <w:r>
        <w:rPr/>
        <w:t>servicios</w:t>
      </w:r>
      <w:r>
        <w:rPr>
          <w:spacing w:val="-10"/>
        </w:rPr>
        <w:t> </w:t>
      </w:r>
      <w:r>
        <w:rPr/>
        <w:t>producidos</w:t>
      </w:r>
      <w:r>
        <w:rPr>
          <w:spacing w:val="-10"/>
        </w:rPr>
        <w:t> </w:t>
      </w:r>
      <w:r>
        <w:rPr/>
        <w:t>y</w:t>
      </w:r>
      <w:r>
        <w:rPr>
          <w:spacing w:val="-12"/>
        </w:rPr>
        <w:t> </w:t>
      </w:r>
      <w:r>
        <w:rPr/>
        <w:t>segregados</w:t>
      </w:r>
      <w:r>
        <w:rPr>
          <w:spacing w:val="-10"/>
        </w:rPr>
        <w:t> </w:t>
      </w:r>
      <w:r>
        <w:rPr/>
        <w:t>para</w:t>
      </w:r>
      <w:r>
        <w:rPr>
          <w:spacing w:val="-10"/>
        </w:rPr>
        <w:t> </w:t>
      </w:r>
      <w:r>
        <w:rPr/>
        <w:t>proyectos</w:t>
      </w:r>
      <w:r>
        <w:rPr>
          <w:spacing w:val="-12"/>
        </w:rPr>
        <w:t> </w:t>
      </w:r>
      <w:r>
        <w:rPr/>
        <w:t>específicos</w:t>
      </w:r>
      <w:r>
        <w:rPr>
          <w:spacing w:val="-10"/>
        </w:rPr>
        <w:t> </w:t>
      </w:r>
      <w:r>
        <w:rPr/>
        <w:t>debe asignarse utilizando la identificación específica de sus costos</w:t>
      </w:r>
      <w:r>
        <w:rPr>
          <w:spacing w:val="-25"/>
        </w:rPr>
        <w:t> </w:t>
      </w:r>
      <w:r>
        <w:rPr/>
        <w:t>individuales.</w:t>
      </w:r>
    </w:p>
    <w:p>
      <w:pPr>
        <w:pStyle w:val="BodyText"/>
        <w:spacing w:line="360" w:lineRule="auto" w:before="204"/>
        <w:ind w:left="109" w:right="115"/>
        <w:jc w:val="both"/>
      </w:pPr>
      <w:r>
        <w:rPr/>
        <w:t>La identificación específica significa asignar los costos a partidas individuales del inventario. Este es el tratamiento apropiado para partidas que se segregan para un proyecto específico, sin tomar en cuenta si esas partidas fueron compradas o producidas por la entidad. Sin embargo, la identificación específica de los costos es inapropiada cuando en el inventario hay grandes números de partidas que normalmente son intercambiables entre sí, ya que en estas circunstancias, el procedimiento de seleccionar partidas que permanecerán en los inventarios puede utilizarse para lograr efectos predeterminados en la utilidad o pérdida.</w:t>
      </w:r>
    </w:p>
    <w:p>
      <w:pPr>
        <w:spacing w:after="0" w:line="360" w:lineRule="auto"/>
        <w:jc w:val="both"/>
        <w:sectPr>
          <w:footerReference w:type="default" r:id="rId94"/>
          <w:pgSz w:w="12240" w:h="15840"/>
          <w:pgMar w:footer="779" w:header="0" w:top="1360" w:bottom="960" w:left="1360" w:right="1580"/>
          <w:pgNumType w:start="51"/>
        </w:sectPr>
      </w:pPr>
    </w:p>
    <w:p>
      <w:pPr>
        <w:pStyle w:val="Heading2"/>
        <w:tabs>
          <w:tab w:pos="829" w:val="left" w:leader="none"/>
        </w:tabs>
        <w:spacing w:before="57"/>
        <w:jc w:val="left"/>
      </w:pPr>
      <w:bookmarkStart w:name="_bookmark44" w:id="77"/>
      <w:bookmarkEnd w:id="77"/>
      <w:r>
        <w:rPr>
          <w:b w:val="0"/>
        </w:rPr>
      </w:r>
      <w:bookmarkStart w:name="_bookmark43" w:id="78"/>
      <w:bookmarkEnd w:id="78"/>
      <w:r>
        <w:rPr>
          <w:b w:val="0"/>
        </w:rPr>
      </w:r>
      <w:r>
        <w:rPr/>
        <w:t>4.3.</w:t>
        <w:tab/>
        <w:t>Actividad de</w:t>
      </w:r>
      <w:r>
        <w:rPr>
          <w:spacing w:val="-9"/>
        </w:rPr>
        <w:t> </w:t>
      </w:r>
      <w:r>
        <w:rPr/>
        <w:t>Aprendizaje.</w:t>
      </w:r>
    </w:p>
    <w:p>
      <w:pPr>
        <w:pStyle w:val="BodyText"/>
        <w:spacing w:before="4"/>
        <w:rPr>
          <w:b/>
          <w:sz w:val="29"/>
        </w:rPr>
      </w:pPr>
    </w:p>
    <w:p>
      <w:pPr>
        <w:pStyle w:val="BodyText"/>
        <w:spacing w:before="1"/>
        <w:ind w:left="109"/>
      </w:pPr>
      <w:r>
        <w:rPr/>
        <w:t>Instrucciones: Elige la respuesta correcta de las siguientes cuestiones.</w:t>
      </w:r>
    </w:p>
    <w:p>
      <w:pPr>
        <w:pStyle w:val="BodyText"/>
        <w:spacing w:before="5"/>
        <w:rPr>
          <w:sz w:val="29"/>
        </w:rPr>
      </w:pPr>
      <w:r>
        <w:rPr/>
        <w:pict>
          <v:group style="position:absolute;margin-left:73.440002pt;margin-top:18.916996pt;width:476.3pt;height:560.9pt;mso-position-horizontal-relative:page;mso-position-vertical-relative:paragraph;z-index:3064;mso-wrap-distance-left:0;mso-wrap-distance-right:0" coordorigin="1469,378" coordsize="9526,11218">
            <v:shape style="position:absolute;left:1469;top:378;width:9526;height:6631" type="#_x0000_t75" stroked="false">
              <v:imagedata r:id="rId95" o:title=""/>
            </v:shape>
            <v:shape style="position:absolute;left:1469;top:7050;width:8714;height:4546" type="#_x0000_t75" stroked="false">
              <v:imagedata r:id="rId96" o:title=""/>
            </v:shape>
            <w10:wrap type="topAndBottom"/>
          </v:group>
        </w:pict>
      </w:r>
    </w:p>
    <w:p>
      <w:pPr>
        <w:spacing w:after="0"/>
        <w:rPr>
          <w:sz w:val="29"/>
        </w:rPr>
        <w:sectPr>
          <w:pgSz w:w="12240" w:h="15840"/>
          <w:pgMar w:header="0" w:footer="779" w:top="1360" w:bottom="960" w:left="1360" w:right="1140"/>
        </w:sectPr>
      </w:pPr>
    </w:p>
    <w:p>
      <w:pPr>
        <w:pStyle w:val="Heading2"/>
        <w:spacing w:before="54"/>
        <w:ind w:right="212"/>
        <w:jc w:val="left"/>
      </w:pPr>
      <w:bookmarkStart w:name="_bookmark45" w:id="79"/>
      <w:bookmarkEnd w:id="79"/>
      <w:r>
        <w:rPr>
          <w:b w:val="0"/>
        </w:rPr>
      </w:r>
      <w:r>
        <w:rPr/>
        <w:t>GLOSARIO.</w:t>
      </w:r>
    </w:p>
    <w:p>
      <w:pPr>
        <w:pStyle w:val="BodyText"/>
        <w:spacing w:before="2"/>
        <w:rPr>
          <w:b/>
          <w:sz w:val="28"/>
        </w:rPr>
      </w:pPr>
    </w:p>
    <w:p>
      <w:pPr>
        <w:pStyle w:val="ListParagraph"/>
        <w:numPr>
          <w:ilvl w:val="3"/>
          <w:numId w:val="32"/>
        </w:numPr>
        <w:tabs>
          <w:tab w:pos="830" w:val="left" w:leader="none"/>
        </w:tabs>
        <w:spacing w:line="360" w:lineRule="auto" w:before="0" w:after="0"/>
        <w:ind w:left="829" w:right="116" w:hanging="360"/>
        <w:jc w:val="both"/>
        <w:rPr>
          <w:sz w:val="24"/>
        </w:rPr>
      </w:pPr>
      <w:r>
        <w:rPr>
          <w:b/>
          <w:sz w:val="24"/>
        </w:rPr>
        <w:t>Abono</w:t>
      </w:r>
      <w:r>
        <w:rPr>
          <w:sz w:val="24"/>
        </w:rPr>
        <w:t>: Anotación económica que se realiza en el Haber de una cuenta. Pago parcial.</w:t>
      </w:r>
    </w:p>
    <w:p>
      <w:pPr>
        <w:pStyle w:val="ListParagraph"/>
        <w:numPr>
          <w:ilvl w:val="3"/>
          <w:numId w:val="32"/>
        </w:numPr>
        <w:tabs>
          <w:tab w:pos="829" w:val="left" w:leader="none"/>
          <w:tab w:pos="830" w:val="left" w:leader="none"/>
        </w:tabs>
        <w:spacing w:line="240" w:lineRule="auto" w:before="5" w:after="0"/>
        <w:ind w:left="829" w:right="0" w:hanging="360"/>
        <w:jc w:val="left"/>
        <w:rPr>
          <w:sz w:val="24"/>
        </w:rPr>
      </w:pPr>
      <w:r>
        <w:rPr>
          <w:b/>
          <w:sz w:val="24"/>
        </w:rPr>
        <w:t>Accionista</w:t>
      </w:r>
      <w:r>
        <w:rPr>
          <w:sz w:val="24"/>
        </w:rPr>
        <w:t>: Propietario de una o varias acciones de alguna</w:t>
      </w:r>
      <w:r>
        <w:rPr>
          <w:spacing w:val="-28"/>
          <w:sz w:val="24"/>
        </w:rPr>
        <w:t> </w:t>
      </w:r>
      <w:r>
        <w:rPr>
          <w:sz w:val="24"/>
        </w:rPr>
        <w:t>empresa.</w:t>
      </w:r>
    </w:p>
    <w:p>
      <w:pPr>
        <w:pStyle w:val="ListParagraph"/>
        <w:numPr>
          <w:ilvl w:val="3"/>
          <w:numId w:val="32"/>
        </w:numPr>
        <w:tabs>
          <w:tab w:pos="829" w:val="left" w:leader="none"/>
          <w:tab w:pos="830" w:val="left" w:leader="none"/>
        </w:tabs>
        <w:spacing w:line="240" w:lineRule="auto" w:before="137" w:after="0"/>
        <w:ind w:left="829" w:right="0" w:hanging="360"/>
        <w:jc w:val="left"/>
        <w:rPr>
          <w:sz w:val="24"/>
        </w:rPr>
      </w:pPr>
      <w:r>
        <w:rPr>
          <w:b/>
          <w:sz w:val="24"/>
        </w:rPr>
        <w:t>Acreedor</w:t>
      </w:r>
      <w:r>
        <w:rPr>
          <w:sz w:val="24"/>
        </w:rPr>
        <w:t>:</w:t>
      </w:r>
      <w:r>
        <w:rPr>
          <w:spacing w:val="-17"/>
          <w:sz w:val="24"/>
        </w:rPr>
        <w:t> </w:t>
      </w:r>
      <w:r>
        <w:rPr>
          <w:sz w:val="24"/>
        </w:rPr>
        <w:t>Persona</w:t>
      </w:r>
      <w:r>
        <w:rPr>
          <w:spacing w:val="-19"/>
          <w:sz w:val="24"/>
        </w:rPr>
        <w:t> </w:t>
      </w:r>
      <w:r>
        <w:rPr>
          <w:sz w:val="24"/>
        </w:rPr>
        <w:t>o</w:t>
      </w:r>
      <w:r>
        <w:rPr>
          <w:spacing w:val="-17"/>
          <w:sz w:val="24"/>
        </w:rPr>
        <w:t> </w:t>
      </w:r>
      <w:r>
        <w:rPr>
          <w:sz w:val="24"/>
        </w:rPr>
        <w:t>institución</w:t>
      </w:r>
      <w:r>
        <w:rPr>
          <w:spacing w:val="-17"/>
          <w:sz w:val="24"/>
        </w:rPr>
        <w:t> </w:t>
      </w:r>
      <w:r>
        <w:rPr>
          <w:sz w:val="24"/>
        </w:rPr>
        <w:t>que</w:t>
      </w:r>
      <w:r>
        <w:rPr>
          <w:spacing w:val="-19"/>
          <w:sz w:val="24"/>
        </w:rPr>
        <w:t> </w:t>
      </w:r>
      <w:r>
        <w:rPr>
          <w:sz w:val="24"/>
        </w:rPr>
        <w:t>presta</w:t>
      </w:r>
      <w:r>
        <w:rPr>
          <w:spacing w:val="-19"/>
          <w:sz w:val="24"/>
        </w:rPr>
        <w:t> </w:t>
      </w:r>
      <w:r>
        <w:rPr>
          <w:sz w:val="24"/>
        </w:rPr>
        <w:t>dinero</w:t>
      </w:r>
      <w:r>
        <w:rPr>
          <w:spacing w:val="-20"/>
          <w:sz w:val="24"/>
        </w:rPr>
        <w:t> </w:t>
      </w:r>
      <w:r>
        <w:rPr>
          <w:sz w:val="24"/>
        </w:rPr>
        <w:t>o</w:t>
      </w:r>
      <w:r>
        <w:rPr>
          <w:spacing w:val="-17"/>
          <w:sz w:val="24"/>
        </w:rPr>
        <w:t> </w:t>
      </w:r>
      <w:r>
        <w:rPr>
          <w:sz w:val="24"/>
        </w:rPr>
        <w:t>vende</w:t>
      </w:r>
      <w:r>
        <w:rPr>
          <w:spacing w:val="-19"/>
          <w:sz w:val="24"/>
        </w:rPr>
        <w:t> </w:t>
      </w:r>
      <w:r>
        <w:rPr>
          <w:sz w:val="24"/>
        </w:rPr>
        <w:t>mercancía</w:t>
      </w:r>
      <w:r>
        <w:rPr>
          <w:spacing w:val="-17"/>
          <w:sz w:val="24"/>
        </w:rPr>
        <w:t> </w:t>
      </w:r>
      <w:r>
        <w:rPr>
          <w:sz w:val="24"/>
        </w:rPr>
        <w:t>a</w:t>
      </w:r>
      <w:r>
        <w:rPr>
          <w:spacing w:val="-17"/>
          <w:sz w:val="24"/>
        </w:rPr>
        <w:t> </w:t>
      </w:r>
      <w:r>
        <w:rPr>
          <w:sz w:val="24"/>
        </w:rPr>
        <w:t>crédito.</w:t>
      </w:r>
    </w:p>
    <w:p>
      <w:pPr>
        <w:pStyle w:val="ListParagraph"/>
        <w:numPr>
          <w:ilvl w:val="3"/>
          <w:numId w:val="32"/>
        </w:numPr>
        <w:tabs>
          <w:tab w:pos="830" w:val="left" w:leader="none"/>
        </w:tabs>
        <w:spacing w:line="360" w:lineRule="auto" w:before="139" w:after="0"/>
        <w:ind w:left="829" w:right="125" w:hanging="360"/>
        <w:jc w:val="both"/>
        <w:rPr>
          <w:sz w:val="24"/>
        </w:rPr>
      </w:pPr>
      <w:r>
        <w:rPr>
          <w:b/>
          <w:sz w:val="24"/>
        </w:rPr>
        <w:t>Activos</w:t>
      </w:r>
      <w:r>
        <w:rPr>
          <w:sz w:val="24"/>
        </w:rPr>
        <w:t>: Propiedades, bienes y derechos adquiridos o generados por una empresa o una persona, sean tangibles o</w:t>
      </w:r>
      <w:r>
        <w:rPr>
          <w:spacing w:val="-14"/>
          <w:sz w:val="24"/>
        </w:rPr>
        <w:t> </w:t>
      </w:r>
      <w:r>
        <w:rPr>
          <w:sz w:val="24"/>
        </w:rPr>
        <w:t>no.</w:t>
      </w:r>
    </w:p>
    <w:p>
      <w:pPr>
        <w:pStyle w:val="ListParagraph"/>
        <w:numPr>
          <w:ilvl w:val="3"/>
          <w:numId w:val="32"/>
        </w:numPr>
        <w:tabs>
          <w:tab w:pos="829" w:val="left" w:leader="none"/>
          <w:tab w:pos="830" w:val="left" w:leader="none"/>
        </w:tabs>
        <w:spacing w:line="240" w:lineRule="auto" w:before="5" w:after="0"/>
        <w:ind w:left="829" w:right="0" w:hanging="360"/>
        <w:jc w:val="left"/>
        <w:rPr>
          <w:sz w:val="24"/>
        </w:rPr>
      </w:pPr>
      <w:r>
        <w:rPr>
          <w:b/>
          <w:sz w:val="24"/>
        </w:rPr>
        <w:t>Amortización</w:t>
      </w:r>
      <w:r>
        <w:rPr>
          <w:sz w:val="24"/>
        </w:rPr>
        <w:t>: Cancelación gradual de una</w:t>
      </w:r>
      <w:r>
        <w:rPr>
          <w:spacing w:val="-16"/>
          <w:sz w:val="24"/>
        </w:rPr>
        <w:t> </w:t>
      </w:r>
      <w:r>
        <w:rPr>
          <w:sz w:val="24"/>
        </w:rPr>
        <w:t>deuda.</w:t>
      </w:r>
    </w:p>
    <w:p>
      <w:pPr>
        <w:pStyle w:val="ListParagraph"/>
        <w:numPr>
          <w:ilvl w:val="3"/>
          <w:numId w:val="32"/>
        </w:numPr>
        <w:tabs>
          <w:tab w:pos="830" w:val="left" w:leader="none"/>
        </w:tabs>
        <w:spacing w:line="360" w:lineRule="auto" w:before="137" w:after="0"/>
        <w:ind w:left="829" w:right="126" w:hanging="360"/>
        <w:jc w:val="both"/>
        <w:rPr>
          <w:sz w:val="24"/>
        </w:rPr>
      </w:pPr>
      <w:r>
        <w:rPr>
          <w:b/>
          <w:sz w:val="24"/>
        </w:rPr>
        <w:t>Arancel</w:t>
      </w:r>
      <w:r>
        <w:rPr>
          <w:sz w:val="24"/>
        </w:rPr>
        <w:t>: Importe, pago, tarifa oficial de un servicio como gastos jurídicos, impuestos de aduanas, transportes,</w:t>
      </w:r>
      <w:r>
        <w:rPr>
          <w:spacing w:val="-16"/>
          <w:sz w:val="24"/>
        </w:rPr>
        <w:t> </w:t>
      </w:r>
      <w:r>
        <w:rPr>
          <w:sz w:val="24"/>
        </w:rPr>
        <w:t>etc.</w:t>
      </w:r>
    </w:p>
    <w:p>
      <w:pPr>
        <w:pStyle w:val="ListParagraph"/>
        <w:numPr>
          <w:ilvl w:val="3"/>
          <w:numId w:val="32"/>
        </w:numPr>
        <w:tabs>
          <w:tab w:pos="830" w:val="left" w:leader="none"/>
        </w:tabs>
        <w:spacing w:line="360" w:lineRule="auto" w:before="2" w:after="0"/>
        <w:ind w:left="829" w:right="123" w:hanging="360"/>
        <w:jc w:val="both"/>
        <w:rPr>
          <w:sz w:val="24"/>
        </w:rPr>
      </w:pPr>
      <w:r>
        <w:rPr>
          <w:b/>
          <w:sz w:val="24"/>
        </w:rPr>
        <w:t>Asiento Contable</w:t>
      </w:r>
      <w:r>
        <w:rPr>
          <w:sz w:val="24"/>
        </w:rPr>
        <w:t>: Asentar, anotar una transacción mercantil o cualquier otra operación en los libros contables. En los asientos contables participan como mínimo dos partidas o cuentas: una que va registrada en él debe y otra en el haber.</w:t>
      </w:r>
    </w:p>
    <w:p>
      <w:pPr>
        <w:pStyle w:val="ListParagraph"/>
        <w:numPr>
          <w:ilvl w:val="3"/>
          <w:numId w:val="32"/>
        </w:numPr>
        <w:tabs>
          <w:tab w:pos="830" w:val="left" w:leader="none"/>
        </w:tabs>
        <w:spacing w:line="360" w:lineRule="auto" w:before="2" w:after="0"/>
        <w:ind w:left="829" w:right="121" w:hanging="360"/>
        <w:jc w:val="both"/>
        <w:rPr>
          <w:sz w:val="24"/>
        </w:rPr>
      </w:pPr>
      <w:r>
        <w:rPr>
          <w:b/>
          <w:sz w:val="24"/>
        </w:rPr>
        <w:t>Aval</w:t>
      </w:r>
      <w:r>
        <w:rPr>
          <w:sz w:val="24"/>
        </w:rPr>
        <w:t>: Una garantía. Se garantiza algo (puede ser el pago de un préstamo) dejando algo en garantía o haciéndose cargo o responsable otra persona por el pago de la deuda que le corresponde a</w:t>
      </w:r>
      <w:r>
        <w:rPr>
          <w:spacing w:val="-20"/>
          <w:sz w:val="24"/>
        </w:rPr>
        <w:t> </w:t>
      </w:r>
      <w:r>
        <w:rPr>
          <w:sz w:val="24"/>
        </w:rPr>
        <w:t>otro.</w:t>
      </w:r>
    </w:p>
    <w:p>
      <w:pPr>
        <w:pStyle w:val="ListParagraph"/>
        <w:numPr>
          <w:ilvl w:val="3"/>
          <w:numId w:val="32"/>
        </w:numPr>
        <w:tabs>
          <w:tab w:pos="830" w:val="left" w:leader="none"/>
        </w:tabs>
        <w:spacing w:line="360" w:lineRule="auto" w:before="5" w:after="0"/>
        <w:ind w:left="829" w:right="123" w:hanging="360"/>
        <w:jc w:val="both"/>
        <w:rPr>
          <w:sz w:val="24"/>
        </w:rPr>
      </w:pPr>
      <w:r>
        <w:rPr>
          <w:b/>
          <w:sz w:val="24"/>
        </w:rPr>
        <w:t>Balance Consolidado</w:t>
      </w:r>
      <w:r>
        <w:rPr>
          <w:sz w:val="24"/>
        </w:rPr>
        <w:t>: Balance de varias empresas presentados en conjunto en un mismo ejemplar. Se presentan todos los activos, pasivos y capital en conjunto.</w:t>
      </w:r>
    </w:p>
    <w:p>
      <w:pPr>
        <w:pStyle w:val="ListParagraph"/>
        <w:numPr>
          <w:ilvl w:val="3"/>
          <w:numId w:val="32"/>
        </w:numPr>
        <w:tabs>
          <w:tab w:pos="830" w:val="left" w:leader="none"/>
        </w:tabs>
        <w:spacing w:line="360" w:lineRule="auto" w:before="5" w:after="0"/>
        <w:ind w:left="829" w:right="123" w:hanging="360"/>
        <w:jc w:val="both"/>
        <w:rPr>
          <w:sz w:val="24"/>
        </w:rPr>
      </w:pPr>
      <w:r>
        <w:rPr>
          <w:b/>
          <w:sz w:val="24"/>
        </w:rPr>
        <w:t>Balance General</w:t>
      </w:r>
      <w:r>
        <w:rPr>
          <w:sz w:val="24"/>
        </w:rPr>
        <w:t>: Estado financiero donde se presenta la situación financiera de la empresa o de una persona en un momento dado. Lo conforman las cuentas</w:t>
      </w:r>
      <w:r>
        <w:rPr>
          <w:spacing w:val="-15"/>
          <w:sz w:val="24"/>
        </w:rPr>
        <w:t> </w:t>
      </w:r>
      <w:r>
        <w:rPr>
          <w:sz w:val="24"/>
        </w:rPr>
        <w:t>de</w:t>
      </w:r>
      <w:r>
        <w:rPr>
          <w:spacing w:val="-16"/>
          <w:sz w:val="24"/>
        </w:rPr>
        <w:t> </w:t>
      </w:r>
      <w:r>
        <w:rPr>
          <w:sz w:val="24"/>
        </w:rPr>
        <w:t>activo,</w:t>
      </w:r>
      <w:r>
        <w:rPr>
          <w:spacing w:val="-14"/>
          <w:sz w:val="24"/>
        </w:rPr>
        <w:t> </w:t>
      </w:r>
      <w:r>
        <w:rPr>
          <w:sz w:val="24"/>
        </w:rPr>
        <w:t>pasivo</w:t>
      </w:r>
      <w:r>
        <w:rPr>
          <w:spacing w:val="-12"/>
          <w:sz w:val="24"/>
        </w:rPr>
        <w:t> </w:t>
      </w:r>
      <w:r>
        <w:rPr>
          <w:sz w:val="24"/>
        </w:rPr>
        <w:t>y</w:t>
      </w:r>
      <w:r>
        <w:rPr>
          <w:spacing w:val="-16"/>
          <w:sz w:val="24"/>
        </w:rPr>
        <w:t> </w:t>
      </w:r>
      <w:r>
        <w:rPr>
          <w:sz w:val="24"/>
        </w:rPr>
        <w:t>capital.</w:t>
      </w:r>
      <w:r>
        <w:rPr>
          <w:spacing w:val="-15"/>
          <w:sz w:val="24"/>
        </w:rPr>
        <w:t> </w:t>
      </w:r>
      <w:r>
        <w:rPr>
          <w:sz w:val="24"/>
        </w:rPr>
        <w:t>En</w:t>
      </w:r>
      <w:r>
        <w:rPr>
          <w:spacing w:val="-14"/>
          <w:sz w:val="24"/>
        </w:rPr>
        <w:t> </w:t>
      </w:r>
      <w:r>
        <w:rPr>
          <w:sz w:val="24"/>
        </w:rPr>
        <w:t>todo</w:t>
      </w:r>
      <w:r>
        <w:rPr>
          <w:spacing w:val="-14"/>
          <w:sz w:val="24"/>
        </w:rPr>
        <w:t> </w:t>
      </w:r>
      <w:r>
        <w:rPr>
          <w:sz w:val="24"/>
        </w:rPr>
        <w:t>balance</w:t>
      </w:r>
      <w:r>
        <w:rPr>
          <w:spacing w:val="-14"/>
          <w:sz w:val="24"/>
        </w:rPr>
        <w:t> </w:t>
      </w:r>
      <w:r>
        <w:rPr>
          <w:sz w:val="24"/>
        </w:rPr>
        <w:t>debe</w:t>
      </w:r>
      <w:r>
        <w:rPr>
          <w:spacing w:val="-14"/>
          <w:sz w:val="24"/>
        </w:rPr>
        <w:t> </w:t>
      </w:r>
      <w:r>
        <w:rPr>
          <w:sz w:val="24"/>
        </w:rPr>
        <w:t>cumplirse</w:t>
      </w:r>
      <w:r>
        <w:rPr>
          <w:spacing w:val="-15"/>
          <w:sz w:val="24"/>
        </w:rPr>
        <w:t> </w:t>
      </w:r>
      <w:r>
        <w:rPr>
          <w:sz w:val="24"/>
        </w:rPr>
        <w:t>la</w:t>
      </w:r>
      <w:r>
        <w:rPr>
          <w:spacing w:val="-14"/>
          <w:sz w:val="24"/>
        </w:rPr>
        <w:t> </w:t>
      </w:r>
      <w:r>
        <w:rPr>
          <w:sz w:val="24"/>
        </w:rPr>
        <w:t>ecuación básica de la contabilidad:</w:t>
      </w:r>
      <w:r>
        <w:rPr>
          <w:spacing w:val="-12"/>
          <w:sz w:val="24"/>
        </w:rPr>
        <w:t> </w:t>
      </w:r>
      <w:r>
        <w:rPr>
          <w:sz w:val="24"/>
        </w:rPr>
        <w:t>A=P+C.</w:t>
      </w:r>
    </w:p>
    <w:p>
      <w:pPr>
        <w:pStyle w:val="ListParagraph"/>
        <w:numPr>
          <w:ilvl w:val="3"/>
          <w:numId w:val="32"/>
        </w:numPr>
        <w:tabs>
          <w:tab w:pos="830" w:val="left" w:leader="none"/>
        </w:tabs>
        <w:spacing w:line="360" w:lineRule="auto" w:before="5" w:after="0"/>
        <w:ind w:left="829" w:right="125" w:hanging="360"/>
        <w:jc w:val="both"/>
        <w:rPr>
          <w:sz w:val="24"/>
        </w:rPr>
      </w:pPr>
      <w:r>
        <w:rPr>
          <w:b/>
          <w:sz w:val="24"/>
        </w:rPr>
        <w:t>Capital</w:t>
      </w:r>
      <w:r>
        <w:rPr>
          <w:sz w:val="24"/>
        </w:rPr>
        <w:t>: Aporte realizado por los socios de una empresa y que aumenta o disminuye según sea la magnitud del éxito o fracaso de las operaciones de la empresa. Se calcula así: C = A –</w:t>
      </w:r>
      <w:r>
        <w:rPr>
          <w:spacing w:val="-10"/>
          <w:sz w:val="24"/>
        </w:rPr>
        <w:t> </w:t>
      </w:r>
      <w:r>
        <w:rPr>
          <w:sz w:val="24"/>
        </w:rPr>
        <w:t>P.</w:t>
      </w:r>
    </w:p>
    <w:p>
      <w:pPr>
        <w:pStyle w:val="ListParagraph"/>
        <w:numPr>
          <w:ilvl w:val="3"/>
          <w:numId w:val="32"/>
        </w:numPr>
        <w:tabs>
          <w:tab w:pos="829" w:val="left" w:leader="none"/>
          <w:tab w:pos="830" w:val="left" w:leader="none"/>
        </w:tabs>
        <w:spacing w:line="240" w:lineRule="auto" w:before="2" w:after="0"/>
        <w:ind w:left="829" w:right="0" w:hanging="360"/>
        <w:jc w:val="left"/>
        <w:rPr>
          <w:sz w:val="24"/>
        </w:rPr>
      </w:pPr>
      <w:r>
        <w:rPr>
          <w:b/>
          <w:sz w:val="24"/>
        </w:rPr>
        <w:t>Costo</w:t>
      </w:r>
      <w:r>
        <w:rPr>
          <w:sz w:val="24"/>
        </w:rPr>
        <w:t>: egreso en que se incurre para producir un bien o prestar un</w:t>
      </w:r>
      <w:r>
        <w:rPr>
          <w:spacing w:val="-22"/>
          <w:sz w:val="24"/>
        </w:rPr>
        <w:t> </w:t>
      </w:r>
      <w:r>
        <w:rPr>
          <w:sz w:val="24"/>
        </w:rPr>
        <w:t>servicio.</w:t>
      </w:r>
    </w:p>
    <w:p>
      <w:pPr>
        <w:pStyle w:val="ListParagraph"/>
        <w:numPr>
          <w:ilvl w:val="3"/>
          <w:numId w:val="32"/>
        </w:numPr>
        <w:tabs>
          <w:tab w:pos="829" w:val="left" w:leader="none"/>
          <w:tab w:pos="830" w:val="left" w:leader="none"/>
        </w:tabs>
        <w:spacing w:line="240" w:lineRule="auto" w:before="139" w:after="0"/>
        <w:ind w:left="829" w:right="0" w:hanging="360"/>
        <w:jc w:val="left"/>
        <w:rPr>
          <w:sz w:val="24"/>
        </w:rPr>
      </w:pPr>
      <w:r>
        <w:rPr>
          <w:b/>
          <w:sz w:val="24"/>
        </w:rPr>
        <w:t>Cuenta</w:t>
      </w:r>
      <w:r>
        <w:rPr>
          <w:sz w:val="24"/>
        </w:rPr>
        <w:t>: Registro de</w:t>
      </w:r>
      <w:r>
        <w:rPr>
          <w:spacing w:val="-4"/>
          <w:sz w:val="24"/>
        </w:rPr>
        <w:t> </w:t>
      </w:r>
      <w:r>
        <w:rPr>
          <w:sz w:val="24"/>
        </w:rPr>
        <w:t>dinero.</w:t>
      </w:r>
    </w:p>
    <w:p>
      <w:pPr>
        <w:pStyle w:val="ListParagraph"/>
        <w:numPr>
          <w:ilvl w:val="3"/>
          <w:numId w:val="32"/>
        </w:numPr>
        <w:tabs>
          <w:tab w:pos="830" w:val="left" w:leader="none"/>
        </w:tabs>
        <w:spacing w:line="360" w:lineRule="auto" w:before="137" w:after="0"/>
        <w:ind w:left="829" w:right="125" w:hanging="360"/>
        <w:jc w:val="both"/>
        <w:rPr>
          <w:sz w:val="24"/>
        </w:rPr>
      </w:pPr>
      <w:r>
        <w:rPr>
          <w:b/>
          <w:sz w:val="24"/>
        </w:rPr>
        <w:t>Depreciación</w:t>
      </w:r>
      <w:r>
        <w:rPr>
          <w:sz w:val="24"/>
        </w:rPr>
        <w:t>: Disminución del valor de algo, generalmente un activo. Se usa para designar la medida del gasto de un activo debido al paso del</w:t>
      </w:r>
      <w:r>
        <w:rPr>
          <w:spacing w:val="-29"/>
          <w:sz w:val="24"/>
        </w:rPr>
        <w:t> </w:t>
      </w:r>
      <w:r>
        <w:rPr>
          <w:sz w:val="24"/>
        </w:rPr>
        <w:t>tiempo.</w:t>
      </w:r>
    </w:p>
    <w:p>
      <w:pPr>
        <w:spacing w:after="0" w:line="360" w:lineRule="auto"/>
        <w:jc w:val="both"/>
        <w:rPr>
          <w:sz w:val="24"/>
        </w:rPr>
        <w:sectPr>
          <w:pgSz w:w="12240" w:h="15840"/>
          <w:pgMar w:header="0" w:footer="779" w:top="1360" w:bottom="960" w:left="1360" w:right="1580"/>
        </w:sectPr>
      </w:pPr>
    </w:p>
    <w:p>
      <w:pPr>
        <w:pStyle w:val="ListParagraph"/>
        <w:numPr>
          <w:ilvl w:val="0"/>
          <w:numId w:val="12"/>
        </w:numPr>
        <w:tabs>
          <w:tab w:pos="470" w:val="left" w:leader="none"/>
        </w:tabs>
        <w:spacing w:line="360" w:lineRule="auto" w:before="57" w:after="0"/>
        <w:ind w:left="469" w:right="116" w:hanging="360"/>
        <w:jc w:val="both"/>
        <w:rPr>
          <w:rFonts w:ascii="Symbol" w:hAnsi="Symbol"/>
          <w:sz w:val="20"/>
        </w:rPr>
      </w:pPr>
      <w:r>
        <w:rPr>
          <w:b/>
          <w:sz w:val="24"/>
        </w:rPr>
        <w:t>Déficit</w:t>
      </w:r>
      <w:r>
        <w:rPr>
          <w:sz w:val="24"/>
        </w:rPr>
        <w:t>:</w:t>
      </w:r>
      <w:r>
        <w:rPr>
          <w:spacing w:val="-5"/>
          <w:sz w:val="24"/>
        </w:rPr>
        <w:t> </w:t>
      </w:r>
      <w:r>
        <w:rPr>
          <w:sz w:val="24"/>
        </w:rPr>
        <w:t>Falta</w:t>
      </w:r>
      <w:r>
        <w:rPr>
          <w:spacing w:val="-7"/>
          <w:sz w:val="24"/>
        </w:rPr>
        <w:t> </w:t>
      </w:r>
      <w:r>
        <w:rPr>
          <w:sz w:val="24"/>
        </w:rPr>
        <w:t>o</w:t>
      </w:r>
      <w:r>
        <w:rPr>
          <w:spacing w:val="-5"/>
          <w:sz w:val="24"/>
        </w:rPr>
        <w:t> </w:t>
      </w:r>
      <w:r>
        <w:rPr>
          <w:sz w:val="24"/>
        </w:rPr>
        <w:t>pérdida.</w:t>
      </w:r>
      <w:r>
        <w:rPr>
          <w:spacing w:val="-5"/>
          <w:sz w:val="24"/>
        </w:rPr>
        <w:t> </w:t>
      </w:r>
      <w:r>
        <w:rPr>
          <w:sz w:val="24"/>
        </w:rPr>
        <w:t>Cantidad</w:t>
      </w:r>
      <w:r>
        <w:rPr>
          <w:spacing w:val="-5"/>
          <w:sz w:val="24"/>
        </w:rPr>
        <w:t> </w:t>
      </w:r>
      <w:r>
        <w:rPr>
          <w:sz w:val="24"/>
        </w:rPr>
        <w:t>que</w:t>
      </w:r>
      <w:r>
        <w:rPr>
          <w:spacing w:val="-7"/>
          <w:sz w:val="24"/>
        </w:rPr>
        <w:t> </w:t>
      </w:r>
      <w:r>
        <w:rPr>
          <w:sz w:val="24"/>
        </w:rPr>
        <w:t>falta</w:t>
      </w:r>
      <w:r>
        <w:rPr>
          <w:spacing w:val="-7"/>
          <w:sz w:val="24"/>
        </w:rPr>
        <w:t> </w:t>
      </w:r>
      <w:r>
        <w:rPr>
          <w:sz w:val="24"/>
        </w:rPr>
        <w:t>a</w:t>
      </w:r>
      <w:r>
        <w:rPr>
          <w:spacing w:val="-5"/>
          <w:sz w:val="24"/>
        </w:rPr>
        <w:t> </w:t>
      </w:r>
      <w:r>
        <w:rPr>
          <w:sz w:val="24"/>
        </w:rPr>
        <w:t>los</w:t>
      </w:r>
      <w:r>
        <w:rPr>
          <w:spacing w:val="-6"/>
          <w:sz w:val="24"/>
        </w:rPr>
        <w:t> </w:t>
      </w:r>
      <w:r>
        <w:rPr>
          <w:sz w:val="24"/>
        </w:rPr>
        <w:t>ingresos</w:t>
      </w:r>
      <w:r>
        <w:rPr>
          <w:spacing w:val="-6"/>
          <w:sz w:val="24"/>
        </w:rPr>
        <w:t> </w:t>
      </w:r>
      <w:r>
        <w:rPr>
          <w:sz w:val="24"/>
        </w:rPr>
        <w:t>para</w:t>
      </w:r>
      <w:r>
        <w:rPr>
          <w:spacing w:val="-8"/>
          <w:sz w:val="24"/>
        </w:rPr>
        <w:t> </w:t>
      </w:r>
      <w:r>
        <w:rPr>
          <w:sz w:val="24"/>
        </w:rPr>
        <w:t>equilibrarse</w:t>
      </w:r>
      <w:r>
        <w:rPr>
          <w:spacing w:val="-6"/>
          <w:sz w:val="24"/>
        </w:rPr>
        <w:t> </w:t>
      </w:r>
      <w:r>
        <w:rPr>
          <w:sz w:val="24"/>
        </w:rPr>
        <w:t>con los egresos. Cantidad faltante que equilibra una partida. Lo contrario al Superávit.</w:t>
      </w:r>
    </w:p>
    <w:p>
      <w:pPr>
        <w:pStyle w:val="ListParagraph"/>
        <w:numPr>
          <w:ilvl w:val="0"/>
          <w:numId w:val="12"/>
        </w:numPr>
        <w:tabs>
          <w:tab w:pos="470" w:val="left" w:leader="none"/>
        </w:tabs>
        <w:spacing w:line="360" w:lineRule="auto" w:before="2" w:after="0"/>
        <w:ind w:left="469" w:right="121" w:hanging="360"/>
        <w:jc w:val="both"/>
        <w:rPr>
          <w:rFonts w:ascii="Symbol" w:hAnsi="Symbol"/>
          <w:sz w:val="20"/>
        </w:rPr>
      </w:pPr>
      <w:r>
        <w:rPr>
          <w:b/>
          <w:sz w:val="24"/>
        </w:rPr>
        <w:t>Egreso</w:t>
      </w:r>
      <w:r>
        <w:rPr>
          <w:sz w:val="24"/>
        </w:rPr>
        <w:t>:</w:t>
      </w:r>
      <w:r>
        <w:rPr>
          <w:spacing w:val="-7"/>
          <w:sz w:val="24"/>
        </w:rPr>
        <w:t> </w:t>
      </w:r>
      <w:r>
        <w:rPr>
          <w:sz w:val="24"/>
        </w:rPr>
        <w:t>Salida</w:t>
      </w:r>
      <w:r>
        <w:rPr>
          <w:spacing w:val="-7"/>
          <w:sz w:val="24"/>
        </w:rPr>
        <w:t> </w:t>
      </w:r>
      <w:r>
        <w:rPr>
          <w:sz w:val="24"/>
        </w:rPr>
        <w:t>de</w:t>
      </w:r>
      <w:r>
        <w:rPr>
          <w:spacing w:val="-5"/>
          <w:sz w:val="24"/>
        </w:rPr>
        <w:t> </w:t>
      </w:r>
      <w:r>
        <w:rPr>
          <w:sz w:val="24"/>
        </w:rPr>
        <w:t>dinero,</w:t>
      </w:r>
      <w:r>
        <w:rPr>
          <w:spacing w:val="-5"/>
          <w:sz w:val="24"/>
        </w:rPr>
        <w:t> </w:t>
      </w:r>
      <w:r>
        <w:rPr>
          <w:sz w:val="24"/>
        </w:rPr>
        <w:t>erogación</w:t>
      </w:r>
      <w:r>
        <w:rPr>
          <w:spacing w:val="-5"/>
          <w:sz w:val="24"/>
        </w:rPr>
        <w:t> </w:t>
      </w:r>
      <w:r>
        <w:rPr>
          <w:sz w:val="24"/>
        </w:rPr>
        <w:t>efectuada</w:t>
      </w:r>
      <w:r>
        <w:rPr>
          <w:spacing w:val="-5"/>
          <w:sz w:val="24"/>
        </w:rPr>
        <w:t> </w:t>
      </w:r>
      <w:r>
        <w:rPr>
          <w:sz w:val="24"/>
        </w:rPr>
        <w:t>para</w:t>
      </w:r>
      <w:r>
        <w:rPr>
          <w:spacing w:val="-8"/>
          <w:sz w:val="24"/>
        </w:rPr>
        <w:t> </w:t>
      </w:r>
      <w:r>
        <w:rPr>
          <w:sz w:val="24"/>
        </w:rPr>
        <w:t>adquirir</w:t>
      </w:r>
      <w:r>
        <w:rPr>
          <w:spacing w:val="-7"/>
          <w:sz w:val="24"/>
        </w:rPr>
        <w:t> </w:t>
      </w:r>
      <w:r>
        <w:rPr>
          <w:sz w:val="24"/>
        </w:rPr>
        <w:t>un</w:t>
      </w:r>
      <w:r>
        <w:rPr>
          <w:spacing w:val="-5"/>
          <w:sz w:val="24"/>
        </w:rPr>
        <w:t> </w:t>
      </w:r>
      <w:r>
        <w:rPr>
          <w:sz w:val="24"/>
        </w:rPr>
        <w:t>bien</w:t>
      </w:r>
      <w:r>
        <w:rPr>
          <w:spacing w:val="-5"/>
          <w:sz w:val="24"/>
        </w:rPr>
        <w:t> </w:t>
      </w:r>
      <w:r>
        <w:rPr>
          <w:sz w:val="24"/>
        </w:rPr>
        <w:t>o</w:t>
      </w:r>
      <w:r>
        <w:rPr>
          <w:spacing w:val="-7"/>
          <w:sz w:val="24"/>
        </w:rPr>
        <w:t> </w:t>
      </w:r>
      <w:r>
        <w:rPr>
          <w:sz w:val="24"/>
        </w:rPr>
        <w:t>ejecutar un gasto o un</w:t>
      </w:r>
      <w:r>
        <w:rPr>
          <w:spacing w:val="-5"/>
          <w:sz w:val="24"/>
        </w:rPr>
        <w:t> </w:t>
      </w:r>
      <w:r>
        <w:rPr>
          <w:sz w:val="24"/>
        </w:rPr>
        <w:t>costo.</w:t>
      </w:r>
    </w:p>
    <w:p>
      <w:pPr>
        <w:pStyle w:val="ListParagraph"/>
        <w:numPr>
          <w:ilvl w:val="0"/>
          <w:numId w:val="12"/>
        </w:numPr>
        <w:tabs>
          <w:tab w:pos="470" w:val="left" w:leader="none"/>
        </w:tabs>
        <w:spacing w:line="360" w:lineRule="auto" w:before="2" w:after="0"/>
        <w:ind w:left="469" w:right="118" w:hanging="360"/>
        <w:jc w:val="both"/>
        <w:rPr>
          <w:rFonts w:ascii="Symbol" w:hAnsi="Symbol"/>
          <w:sz w:val="20"/>
        </w:rPr>
      </w:pPr>
      <w:r>
        <w:rPr>
          <w:b/>
          <w:sz w:val="24"/>
        </w:rPr>
        <w:t>Fianza</w:t>
      </w:r>
      <w:r>
        <w:rPr>
          <w:sz w:val="24"/>
        </w:rPr>
        <w:t>: Promesa legal que garantiza el pago de lo que otra persona o institución debe en caso de que quien debe no pueda cumplir su</w:t>
      </w:r>
      <w:r>
        <w:rPr>
          <w:spacing w:val="-30"/>
          <w:sz w:val="24"/>
        </w:rPr>
        <w:t> </w:t>
      </w:r>
      <w:r>
        <w:rPr>
          <w:sz w:val="24"/>
        </w:rPr>
        <w:t>compromiso.</w:t>
      </w:r>
    </w:p>
    <w:p>
      <w:pPr>
        <w:pStyle w:val="ListParagraph"/>
        <w:numPr>
          <w:ilvl w:val="0"/>
          <w:numId w:val="12"/>
        </w:numPr>
        <w:tabs>
          <w:tab w:pos="470" w:val="left" w:leader="none"/>
        </w:tabs>
        <w:spacing w:line="360" w:lineRule="auto" w:before="2" w:after="0"/>
        <w:ind w:left="469" w:right="123" w:hanging="360"/>
        <w:jc w:val="both"/>
        <w:rPr>
          <w:rFonts w:ascii="Symbol" w:hAnsi="Symbol"/>
          <w:sz w:val="20"/>
        </w:rPr>
      </w:pPr>
      <w:r>
        <w:rPr>
          <w:b/>
          <w:sz w:val="24"/>
        </w:rPr>
        <w:t>Fideicomiso</w:t>
      </w:r>
      <w:r>
        <w:rPr>
          <w:sz w:val="24"/>
        </w:rPr>
        <w:t>: Contrato hecho de buena fe, de ahí viene su nombre. En él se dejan bienes, dinero o cualquier otro activo encomendados a alguien para que lo administre y al cabo de un tiempo estipulado lo remita a un tercero, lo devuelva a su dueño o cumpla cualquier otra</w:t>
      </w:r>
      <w:r>
        <w:rPr>
          <w:spacing w:val="-22"/>
          <w:sz w:val="24"/>
        </w:rPr>
        <w:t> </w:t>
      </w:r>
      <w:r>
        <w:rPr>
          <w:sz w:val="24"/>
        </w:rPr>
        <w:t>condición.</w:t>
      </w:r>
    </w:p>
    <w:p>
      <w:pPr>
        <w:pStyle w:val="ListParagraph"/>
        <w:numPr>
          <w:ilvl w:val="0"/>
          <w:numId w:val="12"/>
        </w:numPr>
        <w:tabs>
          <w:tab w:pos="470" w:val="left" w:leader="none"/>
        </w:tabs>
        <w:spacing w:line="360" w:lineRule="auto" w:before="2" w:after="0"/>
        <w:ind w:left="469" w:right="124" w:hanging="360"/>
        <w:jc w:val="both"/>
        <w:rPr>
          <w:rFonts w:ascii="Symbol"/>
          <w:sz w:val="20"/>
        </w:rPr>
      </w:pPr>
      <w:r>
        <w:rPr>
          <w:b/>
          <w:sz w:val="24"/>
        </w:rPr>
        <w:t>Financiamiento</w:t>
      </w:r>
      <w:r>
        <w:rPr>
          <w:sz w:val="24"/>
        </w:rPr>
        <w:t>: Aportar o buscar fondos. Buscar maneras de obtener dinero para realizar pagos o</w:t>
      </w:r>
      <w:r>
        <w:rPr>
          <w:spacing w:val="-12"/>
          <w:sz w:val="24"/>
        </w:rPr>
        <w:t> </w:t>
      </w:r>
      <w:r>
        <w:rPr>
          <w:sz w:val="24"/>
        </w:rPr>
        <w:t>invertir.</w:t>
      </w:r>
    </w:p>
    <w:p>
      <w:pPr>
        <w:pStyle w:val="ListParagraph"/>
        <w:numPr>
          <w:ilvl w:val="0"/>
          <w:numId w:val="12"/>
        </w:numPr>
        <w:tabs>
          <w:tab w:pos="470" w:val="left" w:leader="none"/>
        </w:tabs>
        <w:spacing w:line="360" w:lineRule="auto" w:before="2" w:after="0"/>
        <w:ind w:left="469" w:right="120" w:hanging="360"/>
        <w:jc w:val="both"/>
        <w:rPr>
          <w:rFonts w:ascii="Symbol" w:hAnsi="Symbol"/>
          <w:sz w:val="20"/>
        </w:rPr>
      </w:pPr>
      <w:r>
        <w:rPr>
          <w:b/>
          <w:sz w:val="24"/>
        </w:rPr>
        <w:t>Flujo</w:t>
      </w:r>
      <w:r>
        <w:rPr>
          <w:b/>
          <w:spacing w:val="-5"/>
          <w:sz w:val="24"/>
        </w:rPr>
        <w:t> </w:t>
      </w:r>
      <w:r>
        <w:rPr>
          <w:b/>
          <w:sz w:val="24"/>
        </w:rPr>
        <w:t>de</w:t>
      </w:r>
      <w:r>
        <w:rPr>
          <w:b/>
          <w:spacing w:val="-4"/>
          <w:sz w:val="24"/>
        </w:rPr>
        <w:t> </w:t>
      </w:r>
      <w:r>
        <w:rPr>
          <w:b/>
          <w:sz w:val="24"/>
        </w:rPr>
        <w:t>Caja</w:t>
      </w:r>
      <w:r>
        <w:rPr>
          <w:sz w:val="24"/>
        </w:rPr>
        <w:t>:</w:t>
      </w:r>
      <w:r>
        <w:rPr>
          <w:spacing w:val="-4"/>
          <w:sz w:val="24"/>
        </w:rPr>
        <w:t> </w:t>
      </w:r>
      <w:r>
        <w:rPr>
          <w:sz w:val="24"/>
        </w:rPr>
        <w:t>Movimiento</w:t>
      </w:r>
      <w:r>
        <w:rPr>
          <w:spacing w:val="-5"/>
          <w:sz w:val="24"/>
        </w:rPr>
        <w:t> </w:t>
      </w:r>
      <w:r>
        <w:rPr>
          <w:sz w:val="24"/>
        </w:rPr>
        <w:t>de</w:t>
      </w:r>
      <w:r>
        <w:rPr>
          <w:spacing w:val="-6"/>
          <w:sz w:val="24"/>
        </w:rPr>
        <w:t> </w:t>
      </w:r>
      <w:r>
        <w:rPr>
          <w:sz w:val="24"/>
        </w:rPr>
        <w:t>entradas</w:t>
      </w:r>
      <w:r>
        <w:rPr>
          <w:spacing w:val="-7"/>
          <w:sz w:val="24"/>
        </w:rPr>
        <w:t> </w:t>
      </w:r>
      <w:r>
        <w:rPr>
          <w:sz w:val="24"/>
        </w:rPr>
        <w:t>y</w:t>
      </w:r>
      <w:r>
        <w:rPr>
          <w:spacing w:val="-7"/>
          <w:sz w:val="24"/>
        </w:rPr>
        <w:t> </w:t>
      </w:r>
      <w:r>
        <w:rPr>
          <w:sz w:val="24"/>
        </w:rPr>
        <w:t>salidas</w:t>
      </w:r>
      <w:r>
        <w:rPr>
          <w:spacing w:val="-7"/>
          <w:sz w:val="24"/>
        </w:rPr>
        <w:t> </w:t>
      </w:r>
      <w:r>
        <w:rPr>
          <w:sz w:val="24"/>
        </w:rPr>
        <w:t>de</w:t>
      </w:r>
      <w:r>
        <w:rPr>
          <w:spacing w:val="-6"/>
          <w:sz w:val="24"/>
        </w:rPr>
        <w:t> </w:t>
      </w:r>
      <w:r>
        <w:rPr>
          <w:sz w:val="24"/>
        </w:rPr>
        <w:t>dinero</w:t>
      </w:r>
      <w:r>
        <w:rPr>
          <w:spacing w:val="-4"/>
          <w:sz w:val="24"/>
        </w:rPr>
        <w:t> </w:t>
      </w:r>
      <w:r>
        <w:rPr>
          <w:sz w:val="24"/>
        </w:rPr>
        <w:t>en</w:t>
      </w:r>
      <w:r>
        <w:rPr>
          <w:spacing w:val="-6"/>
          <w:sz w:val="24"/>
        </w:rPr>
        <w:t> </w:t>
      </w:r>
      <w:r>
        <w:rPr>
          <w:sz w:val="24"/>
        </w:rPr>
        <w:t>una</w:t>
      </w:r>
      <w:r>
        <w:rPr>
          <w:spacing w:val="-4"/>
          <w:sz w:val="24"/>
        </w:rPr>
        <w:t> </w:t>
      </w:r>
      <w:r>
        <w:rPr>
          <w:sz w:val="24"/>
        </w:rPr>
        <w:t>empresa</w:t>
      </w:r>
      <w:r>
        <w:rPr>
          <w:spacing w:val="-6"/>
          <w:sz w:val="24"/>
        </w:rPr>
        <w:t> </w:t>
      </w:r>
      <w:r>
        <w:rPr>
          <w:sz w:val="24"/>
        </w:rPr>
        <w:t>en un</w:t>
      </w:r>
      <w:r>
        <w:rPr>
          <w:spacing w:val="-5"/>
          <w:sz w:val="24"/>
        </w:rPr>
        <w:t> </w:t>
      </w:r>
      <w:r>
        <w:rPr>
          <w:sz w:val="24"/>
        </w:rPr>
        <w:t>período.</w:t>
      </w:r>
    </w:p>
    <w:p>
      <w:pPr>
        <w:pStyle w:val="ListParagraph"/>
        <w:numPr>
          <w:ilvl w:val="0"/>
          <w:numId w:val="12"/>
        </w:numPr>
        <w:tabs>
          <w:tab w:pos="469" w:val="left" w:leader="none"/>
          <w:tab w:pos="470" w:val="left" w:leader="none"/>
        </w:tabs>
        <w:spacing w:line="240" w:lineRule="auto" w:before="2" w:after="0"/>
        <w:ind w:left="469" w:right="0" w:hanging="360"/>
        <w:jc w:val="left"/>
        <w:rPr>
          <w:rFonts w:ascii="Symbol" w:hAnsi="Symbol"/>
          <w:sz w:val="20"/>
        </w:rPr>
      </w:pPr>
      <w:r>
        <w:rPr>
          <w:b/>
          <w:sz w:val="24"/>
        </w:rPr>
        <w:t>Gravamen</w:t>
      </w:r>
      <w:r>
        <w:rPr>
          <w:sz w:val="24"/>
        </w:rPr>
        <w:t>: Impuesto. Imposición que se hace a un bien o</w:t>
      </w:r>
      <w:r>
        <w:rPr>
          <w:spacing w:val="-27"/>
          <w:sz w:val="24"/>
        </w:rPr>
        <w:t> </w:t>
      </w:r>
      <w:r>
        <w:rPr>
          <w:sz w:val="24"/>
        </w:rPr>
        <w:t>ganancia.</w:t>
      </w:r>
    </w:p>
    <w:p>
      <w:pPr>
        <w:pStyle w:val="ListParagraph"/>
        <w:numPr>
          <w:ilvl w:val="0"/>
          <w:numId w:val="12"/>
        </w:numPr>
        <w:tabs>
          <w:tab w:pos="470" w:val="left" w:leader="none"/>
        </w:tabs>
        <w:spacing w:line="360" w:lineRule="auto" w:before="139" w:after="0"/>
        <w:ind w:left="469" w:right="122" w:hanging="360"/>
        <w:jc w:val="both"/>
        <w:rPr>
          <w:rFonts w:ascii="Symbol" w:hAnsi="Symbol"/>
          <w:sz w:val="20"/>
        </w:rPr>
      </w:pPr>
      <w:r>
        <w:rPr>
          <w:b/>
          <w:sz w:val="24"/>
        </w:rPr>
        <w:t>Haber</w:t>
      </w:r>
      <w:r>
        <w:rPr>
          <w:sz w:val="24"/>
        </w:rPr>
        <w:t>:</w:t>
      </w:r>
      <w:r>
        <w:rPr>
          <w:spacing w:val="-13"/>
          <w:sz w:val="24"/>
        </w:rPr>
        <w:t> </w:t>
      </w:r>
      <w:r>
        <w:rPr>
          <w:sz w:val="24"/>
        </w:rPr>
        <w:t>Una</w:t>
      </w:r>
      <w:r>
        <w:rPr>
          <w:spacing w:val="-13"/>
          <w:sz w:val="24"/>
        </w:rPr>
        <w:t> </w:t>
      </w:r>
      <w:r>
        <w:rPr>
          <w:sz w:val="24"/>
        </w:rPr>
        <w:t>de</w:t>
      </w:r>
      <w:r>
        <w:rPr>
          <w:spacing w:val="-13"/>
          <w:sz w:val="24"/>
        </w:rPr>
        <w:t> </w:t>
      </w:r>
      <w:r>
        <w:rPr>
          <w:sz w:val="24"/>
        </w:rPr>
        <w:t>las</w:t>
      </w:r>
      <w:r>
        <w:rPr>
          <w:spacing w:val="-16"/>
          <w:sz w:val="24"/>
        </w:rPr>
        <w:t> </w:t>
      </w:r>
      <w:r>
        <w:rPr>
          <w:sz w:val="24"/>
        </w:rPr>
        <w:t>columnas</w:t>
      </w:r>
      <w:r>
        <w:rPr>
          <w:spacing w:val="-16"/>
          <w:sz w:val="24"/>
        </w:rPr>
        <w:t> </w:t>
      </w:r>
      <w:r>
        <w:rPr>
          <w:sz w:val="24"/>
        </w:rPr>
        <w:t>de</w:t>
      </w:r>
      <w:r>
        <w:rPr>
          <w:spacing w:val="-13"/>
          <w:sz w:val="24"/>
        </w:rPr>
        <w:t> </w:t>
      </w:r>
      <w:r>
        <w:rPr>
          <w:sz w:val="24"/>
        </w:rPr>
        <w:t>los</w:t>
      </w:r>
      <w:r>
        <w:rPr>
          <w:spacing w:val="-16"/>
          <w:sz w:val="24"/>
        </w:rPr>
        <w:t> </w:t>
      </w:r>
      <w:r>
        <w:rPr>
          <w:sz w:val="24"/>
        </w:rPr>
        <w:t>libros</w:t>
      </w:r>
      <w:r>
        <w:rPr>
          <w:spacing w:val="-14"/>
          <w:sz w:val="24"/>
        </w:rPr>
        <w:t> </w:t>
      </w:r>
      <w:r>
        <w:rPr>
          <w:sz w:val="24"/>
        </w:rPr>
        <w:t>de</w:t>
      </w:r>
      <w:r>
        <w:rPr>
          <w:spacing w:val="-13"/>
          <w:sz w:val="24"/>
        </w:rPr>
        <w:t> </w:t>
      </w:r>
      <w:r>
        <w:rPr>
          <w:sz w:val="24"/>
        </w:rPr>
        <w:t>contabilidad.</w:t>
      </w:r>
      <w:r>
        <w:rPr>
          <w:spacing w:val="-16"/>
          <w:sz w:val="24"/>
        </w:rPr>
        <w:t> </w:t>
      </w:r>
      <w:r>
        <w:rPr>
          <w:sz w:val="24"/>
        </w:rPr>
        <w:t>Cuando</w:t>
      </w:r>
      <w:r>
        <w:rPr>
          <w:spacing w:val="-13"/>
          <w:sz w:val="24"/>
        </w:rPr>
        <w:t> </w:t>
      </w:r>
      <w:r>
        <w:rPr>
          <w:sz w:val="24"/>
        </w:rPr>
        <w:t>se</w:t>
      </w:r>
      <w:r>
        <w:rPr>
          <w:spacing w:val="-15"/>
          <w:sz w:val="24"/>
        </w:rPr>
        <w:t> </w:t>
      </w:r>
      <w:r>
        <w:rPr>
          <w:sz w:val="24"/>
        </w:rPr>
        <w:t>anota</w:t>
      </w:r>
      <w:r>
        <w:rPr>
          <w:spacing w:val="-15"/>
          <w:sz w:val="24"/>
        </w:rPr>
        <w:t> </w:t>
      </w:r>
      <w:r>
        <w:rPr>
          <w:sz w:val="24"/>
        </w:rPr>
        <w:t>una cifra en esta columna se dice que se está acreditando o</w:t>
      </w:r>
      <w:r>
        <w:rPr>
          <w:spacing w:val="-21"/>
          <w:sz w:val="24"/>
        </w:rPr>
        <w:t> </w:t>
      </w:r>
      <w:r>
        <w:rPr>
          <w:sz w:val="24"/>
        </w:rPr>
        <w:t>abonando.</w:t>
      </w:r>
    </w:p>
    <w:p>
      <w:pPr>
        <w:pStyle w:val="ListParagraph"/>
        <w:numPr>
          <w:ilvl w:val="0"/>
          <w:numId w:val="12"/>
        </w:numPr>
        <w:tabs>
          <w:tab w:pos="470" w:val="left" w:leader="none"/>
        </w:tabs>
        <w:spacing w:line="360" w:lineRule="auto" w:before="5" w:after="0"/>
        <w:ind w:left="469" w:right="120" w:hanging="360"/>
        <w:jc w:val="both"/>
        <w:rPr>
          <w:rFonts w:ascii="Symbol"/>
          <w:sz w:val="20"/>
        </w:rPr>
      </w:pPr>
      <w:r>
        <w:rPr>
          <w:b/>
          <w:sz w:val="24"/>
        </w:rPr>
        <w:t>Impuesto al Valor Agregado IVA</w:t>
      </w:r>
      <w:r>
        <w:rPr>
          <w:sz w:val="24"/>
        </w:rPr>
        <w:t>: Impuesto que se aplica a todas las transacciones</w:t>
      </w:r>
      <w:r>
        <w:rPr>
          <w:spacing w:val="-10"/>
          <w:sz w:val="24"/>
        </w:rPr>
        <w:t> </w:t>
      </w:r>
      <w:r>
        <w:rPr>
          <w:sz w:val="24"/>
        </w:rPr>
        <w:t>comerciales</w:t>
      </w:r>
      <w:r>
        <w:rPr>
          <w:spacing w:val="-10"/>
          <w:sz w:val="24"/>
        </w:rPr>
        <w:t> </w:t>
      </w:r>
      <w:r>
        <w:rPr>
          <w:sz w:val="24"/>
        </w:rPr>
        <w:t>de</w:t>
      </w:r>
      <w:r>
        <w:rPr>
          <w:spacing w:val="-9"/>
          <w:sz w:val="24"/>
        </w:rPr>
        <w:t> </w:t>
      </w:r>
      <w:r>
        <w:rPr>
          <w:sz w:val="24"/>
        </w:rPr>
        <w:t>venta</w:t>
      </w:r>
      <w:r>
        <w:rPr>
          <w:spacing w:val="-11"/>
          <w:sz w:val="24"/>
        </w:rPr>
        <w:t> </w:t>
      </w:r>
      <w:r>
        <w:rPr>
          <w:sz w:val="24"/>
        </w:rPr>
        <w:t>o</w:t>
      </w:r>
      <w:r>
        <w:rPr>
          <w:spacing w:val="-9"/>
          <w:sz w:val="24"/>
        </w:rPr>
        <w:t> </w:t>
      </w:r>
      <w:r>
        <w:rPr>
          <w:sz w:val="24"/>
        </w:rPr>
        <w:t>servicios</w:t>
      </w:r>
      <w:r>
        <w:rPr>
          <w:spacing w:val="-10"/>
          <w:sz w:val="24"/>
        </w:rPr>
        <w:t> </w:t>
      </w:r>
      <w:r>
        <w:rPr>
          <w:sz w:val="24"/>
        </w:rPr>
        <w:t>donde</w:t>
      </w:r>
      <w:r>
        <w:rPr>
          <w:spacing w:val="-9"/>
          <w:sz w:val="24"/>
        </w:rPr>
        <w:t> </w:t>
      </w:r>
      <w:r>
        <w:rPr>
          <w:sz w:val="24"/>
        </w:rPr>
        <w:t>se</w:t>
      </w:r>
      <w:r>
        <w:rPr>
          <w:spacing w:val="-12"/>
          <w:sz w:val="24"/>
        </w:rPr>
        <w:t> </w:t>
      </w:r>
      <w:r>
        <w:rPr>
          <w:sz w:val="24"/>
        </w:rPr>
        <w:t>emitan</w:t>
      </w:r>
      <w:r>
        <w:rPr>
          <w:spacing w:val="-14"/>
          <w:sz w:val="24"/>
        </w:rPr>
        <w:t> </w:t>
      </w:r>
      <w:r>
        <w:rPr>
          <w:sz w:val="24"/>
        </w:rPr>
        <w:t>facturas</w:t>
      </w:r>
      <w:r>
        <w:rPr>
          <w:spacing w:val="-10"/>
          <w:sz w:val="24"/>
        </w:rPr>
        <w:t> </w:t>
      </w:r>
      <w:r>
        <w:rPr>
          <w:sz w:val="24"/>
        </w:rPr>
        <w:t>y</w:t>
      </w:r>
      <w:r>
        <w:rPr>
          <w:spacing w:val="-13"/>
          <w:sz w:val="24"/>
        </w:rPr>
        <w:t> </w:t>
      </w:r>
      <w:r>
        <w:rPr>
          <w:sz w:val="24"/>
        </w:rPr>
        <w:t>que consiste</w:t>
      </w:r>
      <w:r>
        <w:rPr>
          <w:spacing w:val="-19"/>
          <w:sz w:val="24"/>
        </w:rPr>
        <w:t> </w:t>
      </w:r>
      <w:r>
        <w:rPr>
          <w:sz w:val="24"/>
        </w:rPr>
        <w:t>en</w:t>
      </w:r>
      <w:r>
        <w:rPr>
          <w:spacing w:val="-19"/>
          <w:sz w:val="24"/>
        </w:rPr>
        <w:t> </w:t>
      </w:r>
      <w:r>
        <w:rPr>
          <w:sz w:val="24"/>
        </w:rPr>
        <w:t>agregarle</w:t>
      </w:r>
      <w:r>
        <w:rPr>
          <w:spacing w:val="-17"/>
          <w:sz w:val="24"/>
        </w:rPr>
        <w:t> </w:t>
      </w:r>
      <w:r>
        <w:rPr>
          <w:sz w:val="24"/>
        </w:rPr>
        <w:t>un</w:t>
      </w:r>
      <w:r>
        <w:rPr>
          <w:spacing w:val="-17"/>
          <w:sz w:val="24"/>
        </w:rPr>
        <w:t> </w:t>
      </w:r>
      <w:r>
        <w:rPr>
          <w:sz w:val="24"/>
        </w:rPr>
        <w:t>porcentaje</w:t>
      </w:r>
      <w:r>
        <w:rPr>
          <w:spacing w:val="-17"/>
          <w:sz w:val="24"/>
        </w:rPr>
        <w:t> </w:t>
      </w:r>
      <w:r>
        <w:rPr>
          <w:sz w:val="24"/>
        </w:rPr>
        <w:t>estipulado</w:t>
      </w:r>
      <w:r>
        <w:rPr>
          <w:spacing w:val="-19"/>
          <w:sz w:val="24"/>
        </w:rPr>
        <w:t> </w:t>
      </w:r>
      <w:r>
        <w:rPr>
          <w:sz w:val="24"/>
        </w:rPr>
        <w:t>por</w:t>
      </w:r>
      <w:r>
        <w:rPr>
          <w:spacing w:val="-18"/>
          <w:sz w:val="24"/>
        </w:rPr>
        <w:t> </w:t>
      </w:r>
      <w:r>
        <w:rPr>
          <w:sz w:val="24"/>
        </w:rPr>
        <w:t>el</w:t>
      </w:r>
      <w:r>
        <w:rPr>
          <w:spacing w:val="-20"/>
          <w:sz w:val="24"/>
        </w:rPr>
        <w:t> </w:t>
      </w:r>
      <w:r>
        <w:rPr>
          <w:sz w:val="24"/>
        </w:rPr>
        <w:t>gobierno,</w:t>
      </w:r>
      <w:r>
        <w:rPr>
          <w:spacing w:val="-17"/>
          <w:sz w:val="24"/>
        </w:rPr>
        <w:t> </w:t>
      </w:r>
      <w:r>
        <w:rPr>
          <w:sz w:val="24"/>
        </w:rPr>
        <w:t>al</w:t>
      </w:r>
      <w:r>
        <w:rPr>
          <w:spacing w:val="-18"/>
          <w:sz w:val="24"/>
        </w:rPr>
        <w:t> </w:t>
      </w:r>
      <w:r>
        <w:rPr>
          <w:sz w:val="24"/>
        </w:rPr>
        <w:t>valor</w:t>
      </w:r>
      <w:r>
        <w:rPr>
          <w:spacing w:val="-18"/>
          <w:sz w:val="24"/>
        </w:rPr>
        <w:t> </w:t>
      </w:r>
      <w:r>
        <w:rPr>
          <w:sz w:val="24"/>
        </w:rPr>
        <w:t>del</w:t>
      </w:r>
      <w:r>
        <w:rPr>
          <w:spacing w:val="-18"/>
          <w:sz w:val="24"/>
        </w:rPr>
        <w:t> </w:t>
      </w:r>
      <w:r>
        <w:rPr>
          <w:sz w:val="24"/>
        </w:rPr>
        <w:t>bien.</w:t>
      </w:r>
    </w:p>
    <w:p>
      <w:pPr>
        <w:pStyle w:val="ListParagraph"/>
        <w:numPr>
          <w:ilvl w:val="0"/>
          <w:numId w:val="12"/>
        </w:numPr>
        <w:tabs>
          <w:tab w:pos="470" w:val="left" w:leader="none"/>
        </w:tabs>
        <w:spacing w:line="360" w:lineRule="auto" w:before="2" w:after="0"/>
        <w:ind w:left="469" w:right="124" w:hanging="360"/>
        <w:jc w:val="both"/>
        <w:rPr>
          <w:rFonts w:ascii="Symbol" w:hAnsi="Symbol"/>
          <w:sz w:val="20"/>
        </w:rPr>
      </w:pPr>
      <w:r>
        <w:rPr>
          <w:b/>
          <w:sz w:val="24"/>
        </w:rPr>
        <w:t>Hipoteca</w:t>
      </w:r>
      <w:r>
        <w:rPr>
          <w:sz w:val="24"/>
        </w:rPr>
        <w:t>: Deuda que consiste en recibir dinero a cambio de dejar en garantía algún</w:t>
      </w:r>
      <w:r>
        <w:rPr>
          <w:spacing w:val="-5"/>
          <w:sz w:val="24"/>
        </w:rPr>
        <w:t> </w:t>
      </w:r>
      <w:r>
        <w:rPr>
          <w:sz w:val="24"/>
        </w:rPr>
        <w:t>activo.</w:t>
      </w:r>
    </w:p>
    <w:p>
      <w:pPr>
        <w:pStyle w:val="ListParagraph"/>
        <w:numPr>
          <w:ilvl w:val="0"/>
          <w:numId w:val="12"/>
        </w:numPr>
        <w:tabs>
          <w:tab w:pos="470" w:val="left" w:leader="none"/>
        </w:tabs>
        <w:spacing w:line="360" w:lineRule="auto" w:before="2" w:after="0"/>
        <w:ind w:left="469" w:right="122" w:hanging="360"/>
        <w:jc w:val="both"/>
        <w:rPr>
          <w:rFonts w:ascii="Symbol" w:hAnsi="Symbol"/>
          <w:sz w:val="20"/>
        </w:rPr>
      </w:pPr>
      <w:r>
        <w:rPr>
          <w:b/>
          <w:sz w:val="24"/>
        </w:rPr>
        <w:t>Libros Contables</w:t>
      </w:r>
      <w:r>
        <w:rPr>
          <w:sz w:val="24"/>
        </w:rPr>
        <w:t>: Conjunto de varios libros donde se registra la contabilidad de una empresa. Lo constituyen los libros obligatorios y los libros auxiliares según lo determine la ley de comercio de cada</w:t>
      </w:r>
      <w:r>
        <w:rPr>
          <w:spacing w:val="-16"/>
          <w:sz w:val="24"/>
        </w:rPr>
        <w:t> </w:t>
      </w:r>
      <w:r>
        <w:rPr>
          <w:sz w:val="24"/>
        </w:rPr>
        <w:t>país.</w:t>
      </w:r>
    </w:p>
    <w:p>
      <w:pPr>
        <w:pStyle w:val="ListParagraph"/>
        <w:numPr>
          <w:ilvl w:val="0"/>
          <w:numId w:val="12"/>
        </w:numPr>
        <w:tabs>
          <w:tab w:pos="470" w:val="left" w:leader="none"/>
        </w:tabs>
        <w:spacing w:line="360" w:lineRule="auto" w:before="2" w:after="0"/>
        <w:ind w:left="469" w:right="124" w:hanging="360"/>
        <w:jc w:val="both"/>
        <w:rPr>
          <w:rFonts w:ascii="Symbol"/>
          <w:sz w:val="20"/>
        </w:rPr>
      </w:pPr>
      <w:r>
        <w:rPr>
          <w:b/>
          <w:sz w:val="24"/>
        </w:rPr>
        <w:t>Neto</w:t>
      </w:r>
      <w:r>
        <w:rPr>
          <w:sz w:val="24"/>
        </w:rPr>
        <w:t>: Cantidad que se obtiene cuando a la cifra bruta se le restan algunas partidas.</w:t>
      </w:r>
    </w:p>
    <w:p>
      <w:pPr>
        <w:pStyle w:val="ListParagraph"/>
        <w:numPr>
          <w:ilvl w:val="0"/>
          <w:numId w:val="12"/>
        </w:numPr>
        <w:tabs>
          <w:tab w:pos="470" w:val="left" w:leader="none"/>
        </w:tabs>
        <w:spacing w:line="360" w:lineRule="auto" w:before="2" w:after="0"/>
        <w:ind w:left="469" w:right="117" w:hanging="360"/>
        <w:jc w:val="both"/>
        <w:rPr>
          <w:rFonts w:ascii="Symbol" w:hAnsi="Symbol"/>
          <w:sz w:val="20"/>
        </w:rPr>
      </w:pPr>
      <w:r>
        <w:rPr>
          <w:b/>
          <w:sz w:val="24"/>
        </w:rPr>
        <w:t>Otros Activos</w:t>
      </w:r>
      <w:r>
        <w:rPr>
          <w:sz w:val="24"/>
        </w:rPr>
        <w:t>: Todo lo que no vaya en las otras clasificaciones del activo. Pueden colocarse acá las cuentas por cobrar no circulantes y activos que se encuentren congelados mientras se dirima algún litigio,</w:t>
      </w:r>
      <w:r>
        <w:rPr>
          <w:spacing w:val="-23"/>
          <w:sz w:val="24"/>
        </w:rPr>
        <w:t> </w:t>
      </w:r>
      <w:r>
        <w:rPr>
          <w:sz w:val="24"/>
        </w:rPr>
        <w:t>activos.</w:t>
      </w:r>
    </w:p>
    <w:p>
      <w:pPr>
        <w:spacing w:after="0" w:line="360" w:lineRule="auto"/>
        <w:jc w:val="both"/>
        <w:rPr>
          <w:rFonts w:ascii="Symbol" w:hAnsi="Symbol"/>
          <w:sz w:val="20"/>
        </w:rPr>
        <w:sectPr>
          <w:pgSz w:w="12240" w:h="15840"/>
          <w:pgMar w:header="0" w:footer="779" w:top="1360" w:bottom="960" w:left="1720" w:right="1580"/>
        </w:sectPr>
      </w:pPr>
    </w:p>
    <w:p>
      <w:pPr>
        <w:pStyle w:val="Heading2"/>
        <w:spacing w:before="57"/>
        <w:jc w:val="left"/>
      </w:pPr>
      <w:bookmarkStart w:name="_bookmark46" w:id="80"/>
      <w:bookmarkEnd w:id="80"/>
      <w:r>
        <w:rPr>
          <w:b w:val="0"/>
        </w:rPr>
      </w:r>
      <w:r>
        <w:rPr/>
        <w:t>BIBLIOGRAFÍA</w:t>
      </w:r>
    </w:p>
    <w:p>
      <w:pPr>
        <w:pStyle w:val="ListParagraph"/>
        <w:numPr>
          <w:ilvl w:val="0"/>
          <w:numId w:val="33"/>
        </w:numPr>
        <w:tabs>
          <w:tab w:pos="470" w:val="left" w:leader="none"/>
        </w:tabs>
        <w:spacing w:line="362" w:lineRule="auto" w:before="38" w:after="0"/>
        <w:ind w:left="469" w:right="416" w:hanging="360"/>
        <w:jc w:val="left"/>
        <w:rPr>
          <w:sz w:val="24"/>
        </w:rPr>
      </w:pPr>
      <w:r>
        <w:rPr>
          <w:sz w:val="24"/>
        </w:rPr>
        <w:t>Ballesteros Inda, N. Última edición. </w:t>
      </w:r>
      <w:r>
        <w:rPr>
          <w:i/>
          <w:sz w:val="24"/>
        </w:rPr>
        <w:t>Fundamentos de Contabilidad</w:t>
      </w:r>
      <w:r>
        <w:rPr>
          <w:sz w:val="24"/>
        </w:rPr>
        <w:t>, México: Ed. Interamericana.</w:t>
      </w:r>
    </w:p>
    <w:p>
      <w:pPr>
        <w:pStyle w:val="ListParagraph"/>
        <w:numPr>
          <w:ilvl w:val="0"/>
          <w:numId w:val="33"/>
        </w:numPr>
        <w:tabs>
          <w:tab w:pos="536" w:val="left" w:leader="none"/>
          <w:tab w:pos="537" w:val="left" w:leader="none"/>
        </w:tabs>
        <w:spacing w:line="362" w:lineRule="auto" w:before="0" w:after="0"/>
        <w:ind w:left="469" w:right="803" w:hanging="360"/>
        <w:jc w:val="left"/>
        <w:rPr>
          <w:sz w:val="24"/>
        </w:rPr>
      </w:pPr>
      <w:r>
        <w:rPr>
          <w:sz w:val="24"/>
        </w:rPr>
        <w:t>Elizondo López, A. (2001). </w:t>
      </w:r>
      <w:r>
        <w:rPr>
          <w:i/>
          <w:sz w:val="24"/>
        </w:rPr>
        <w:t>Proceso Contable I, Contabilidad Fundamental</w:t>
      </w:r>
      <w:r>
        <w:rPr>
          <w:sz w:val="24"/>
        </w:rPr>
        <w:t>, México:</w:t>
      </w:r>
      <w:r>
        <w:rPr>
          <w:spacing w:val="-5"/>
          <w:sz w:val="24"/>
        </w:rPr>
        <w:t> </w:t>
      </w:r>
      <w:r>
        <w:rPr>
          <w:sz w:val="24"/>
        </w:rPr>
        <w:t>ECAFSA</w:t>
      </w:r>
    </w:p>
    <w:p>
      <w:pPr>
        <w:pStyle w:val="ListParagraph"/>
        <w:numPr>
          <w:ilvl w:val="0"/>
          <w:numId w:val="33"/>
        </w:numPr>
        <w:tabs>
          <w:tab w:pos="536" w:val="left" w:leader="none"/>
          <w:tab w:pos="537" w:val="left" w:leader="none"/>
        </w:tabs>
        <w:spacing w:line="360" w:lineRule="auto" w:before="0" w:after="0"/>
        <w:ind w:left="469" w:right="242" w:hanging="360"/>
        <w:jc w:val="left"/>
        <w:rPr>
          <w:sz w:val="24"/>
        </w:rPr>
      </w:pPr>
      <w:r>
        <w:rPr>
          <w:sz w:val="24"/>
        </w:rPr>
        <w:t>Elizondo López, A. Última Edición. </w:t>
      </w:r>
      <w:r>
        <w:rPr>
          <w:i/>
          <w:sz w:val="24"/>
        </w:rPr>
        <w:t>Inducción a la Profesión Contable Selección </w:t>
      </w:r>
      <w:r>
        <w:rPr>
          <w:i/>
          <w:sz w:val="24"/>
        </w:rPr>
        <w:t>y Desarrollo</w:t>
      </w:r>
      <w:r>
        <w:rPr>
          <w:sz w:val="24"/>
        </w:rPr>
        <w:t>, México: Ed.</w:t>
      </w:r>
      <w:r>
        <w:rPr>
          <w:spacing w:val="-12"/>
          <w:sz w:val="24"/>
        </w:rPr>
        <w:t> </w:t>
      </w:r>
      <w:r>
        <w:rPr>
          <w:sz w:val="24"/>
        </w:rPr>
        <w:t>ECAFSA.</w:t>
      </w:r>
    </w:p>
    <w:p>
      <w:pPr>
        <w:pStyle w:val="ListParagraph"/>
        <w:numPr>
          <w:ilvl w:val="0"/>
          <w:numId w:val="33"/>
        </w:numPr>
        <w:tabs>
          <w:tab w:pos="470" w:val="left" w:leader="none"/>
        </w:tabs>
        <w:spacing w:line="360" w:lineRule="auto" w:before="5" w:after="0"/>
        <w:ind w:left="469" w:right="376" w:hanging="360"/>
        <w:jc w:val="left"/>
        <w:rPr>
          <w:sz w:val="24"/>
        </w:rPr>
      </w:pPr>
      <w:r>
        <w:rPr>
          <w:sz w:val="24"/>
        </w:rPr>
        <w:t>Guajardo Cantú, G. Última Edición. </w:t>
      </w:r>
      <w:r>
        <w:rPr>
          <w:i/>
          <w:sz w:val="24"/>
        </w:rPr>
        <w:t>Contabilidad Financiera</w:t>
      </w:r>
      <w:r>
        <w:rPr>
          <w:sz w:val="24"/>
        </w:rPr>
        <w:t>, última edición, Ed. Mc. Graw Hill,</w:t>
      </w:r>
      <w:r>
        <w:rPr>
          <w:spacing w:val="-7"/>
          <w:sz w:val="24"/>
        </w:rPr>
        <w:t> </w:t>
      </w:r>
      <w:r>
        <w:rPr>
          <w:sz w:val="24"/>
        </w:rPr>
        <w:t>México.</w:t>
      </w:r>
    </w:p>
    <w:p>
      <w:pPr>
        <w:pStyle w:val="ListParagraph"/>
        <w:numPr>
          <w:ilvl w:val="0"/>
          <w:numId w:val="33"/>
        </w:numPr>
        <w:tabs>
          <w:tab w:pos="470" w:val="left" w:leader="none"/>
        </w:tabs>
        <w:spacing w:line="240" w:lineRule="auto" w:before="3" w:after="0"/>
        <w:ind w:left="469" w:right="0" w:hanging="360"/>
        <w:jc w:val="left"/>
        <w:rPr>
          <w:sz w:val="24"/>
        </w:rPr>
      </w:pPr>
      <w:r>
        <w:rPr>
          <w:sz w:val="24"/>
        </w:rPr>
        <w:t>Huerta Anaya, J. </w:t>
      </w:r>
      <w:r>
        <w:rPr>
          <w:i/>
          <w:sz w:val="24"/>
        </w:rPr>
        <w:t>Documentación Mercantil</w:t>
      </w:r>
      <w:r>
        <w:rPr>
          <w:sz w:val="24"/>
        </w:rPr>
        <w:t>. Ed.</w:t>
      </w:r>
      <w:r>
        <w:rPr>
          <w:spacing w:val="-14"/>
          <w:sz w:val="24"/>
        </w:rPr>
        <w:t> </w:t>
      </w:r>
      <w:r>
        <w:rPr>
          <w:sz w:val="24"/>
        </w:rPr>
        <w:t>Herrero.</w:t>
      </w:r>
    </w:p>
    <w:p>
      <w:pPr>
        <w:pStyle w:val="ListParagraph"/>
        <w:numPr>
          <w:ilvl w:val="0"/>
          <w:numId w:val="33"/>
        </w:numPr>
        <w:tabs>
          <w:tab w:pos="470" w:val="left" w:leader="none"/>
        </w:tabs>
        <w:spacing w:line="360" w:lineRule="auto" w:before="137" w:after="0"/>
        <w:ind w:left="469" w:right="551" w:hanging="360"/>
        <w:jc w:val="left"/>
        <w:rPr>
          <w:sz w:val="24"/>
        </w:rPr>
      </w:pPr>
      <w:r>
        <w:rPr>
          <w:sz w:val="24"/>
        </w:rPr>
        <w:t>Instituto Mexicano de Contadores Públicos, Última edición. </w:t>
      </w:r>
      <w:r>
        <w:rPr>
          <w:i/>
          <w:sz w:val="24"/>
        </w:rPr>
        <w:t>Comisión de Ética </w:t>
      </w:r>
      <w:r>
        <w:rPr>
          <w:i/>
          <w:sz w:val="24"/>
        </w:rPr>
        <w:t>Profesional. Código de Ética Profesional</w:t>
      </w:r>
      <w:r>
        <w:rPr>
          <w:sz w:val="24"/>
        </w:rPr>
        <w:t>, México: Ed.</w:t>
      </w:r>
      <w:r>
        <w:rPr>
          <w:spacing w:val="-15"/>
          <w:sz w:val="24"/>
        </w:rPr>
        <w:t> </w:t>
      </w:r>
      <w:r>
        <w:rPr>
          <w:sz w:val="24"/>
        </w:rPr>
        <w:t>IMCP.</w:t>
      </w:r>
    </w:p>
    <w:p>
      <w:pPr>
        <w:pStyle w:val="ListParagraph"/>
        <w:numPr>
          <w:ilvl w:val="0"/>
          <w:numId w:val="33"/>
        </w:numPr>
        <w:tabs>
          <w:tab w:pos="470" w:val="left" w:leader="none"/>
        </w:tabs>
        <w:spacing w:line="362" w:lineRule="auto" w:before="2" w:after="0"/>
        <w:ind w:left="469" w:right="483" w:hanging="360"/>
        <w:jc w:val="left"/>
        <w:rPr>
          <w:sz w:val="24"/>
        </w:rPr>
      </w:pPr>
      <w:r>
        <w:rPr>
          <w:sz w:val="24"/>
        </w:rPr>
        <w:t>Instituto Mexicano de Contadores Públicos</w:t>
      </w:r>
      <w:r>
        <w:rPr>
          <w:i/>
          <w:sz w:val="24"/>
        </w:rPr>
        <w:t>. </w:t>
      </w:r>
      <w:r>
        <w:rPr>
          <w:sz w:val="24"/>
        </w:rPr>
        <w:t>última edición. </w:t>
      </w:r>
      <w:r>
        <w:rPr>
          <w:i/>
          <w:sz w:val="24"/>
        </w:rPr>
        <w:t>NIF´s, </w:t>
      </w:r>
      <w:r>
        <w:rPr>
          <w:sz w:val="24"/>
        </w:rPr>
        <w:t>México: Ed. IMCP</w:t>
      </w:r>
    </w:p>
    <w:p>
      <w:pPr>
        <w:pStyle w:val="ListParagraph"/>
        <w:numPr>
          <w:ilvl w:val="0"/>
          <w:numId w:val="33"/>
        </w:numPr>
        <w:tabs>
          <w:tab w:pos="470" w:val="left" w:leader="none"/>
        </w:tabs>
        <w:spacing w:line="362" w:lineRule="auto" w:before="0" w:after="0"/>
        <w:ind w:left="469" w:right="937" w:hanging="360"/>
        <w:jc w:val="left"/>
        <w:rPr>
          <w:sz w:val="24"/>
        </w:rPr>
      </w:pPr>
      <w:r>
        <w:rPr>
          <w:sz w:val="24"/>
        </w:rPr>
        <w:t>Moreno Fernández, J. Segunda Edición, </w:t>
      </w:r>
      <w:r>
        <w:rPr>
          <w:i/>
          <w:sz w:val="24"/>
        </w:rPr>
        <w:t>Contabilidad Básica</w:t>
      </w:r>
      <w:r>
        <w:rPr>
          <w:sz w:val="24"/>
        </w:rPr>
        <w:t>, México: Ed. CECSA.</w:t>
      </w:r>
    </w:p>
    <w:p>
      <w:pPr>
        <w:pStyle w:val="ListParagraph"/>
        <w:numPr>
          <w:ilvl w:val="0"/>
          <w:numId w:val="33"/>
        </w:numPr>
        <w:tabs>
          <w:tab w:pos="470" w:val="left" w:leader="none"/>
        </w:tabs>
        <w:spacing w:line="362" w:lineRule="auto" w:before="0" w:after="0"/>
        <w:ind w:left="469" w:right="990" w:hanging="360"/>
        <w:jc w:val="left"/>
        <w:rPr>
          <w:sz w:val="24"/>
        </w:rPr>
      </w:pPr>
      <w:r>
        <w:rPr>
          <w:sz w:val="24"/>
        </w:rPr>
        <w:t>Paz Zavala, E. Última edición. </w:t>
      </w:r>
      <w:r>
        <w:rPr>
          <w:i/>
          <w:sz w:val="24"/>
        </w:rPr>
        <w:t>Introducción a la Contabilidad</w:t>
      </w:r>
      <w:r>
        <w:rPr>
          <w:sz w:val="24"/>
        </w:rPr>
        <w:t>, México: Ed. ECAFSA.</w:t>
      </w:r>
    </w:p>
    <w:p>
      <w:pPr>
        <w:pStyle w:val="ListParagraph"/>
        <w:numPr>
          <w:ilvl w:val="0"/>
          <w:numId w:val="33"/>
        </w:numPr>
        <w:tabs>
          <w:tab w:pos="470" w:val="left" w:leader="none"/>
        </w:tabs>
        <w:spacing w:line="274" w:lineRule="exact" w:before="0" w:after="0"/>
        <w:ind w:left="469" w:right="0" w:hanging="360"/>
        <w:jc w:val="left"/>
        <w:rPr>
          <w:sz w:val="24"/>
        </w:rPr>
      </w:pPr>
      <w:r>
        <w:rPr>
          <w:sz w:val="24"/>
        </w:rPr>
        <w:t>Romero López, J. Última Ed. </w:t>
      </w:r>
      <w:r>
        <w:rPr>
          <w:i/>
          <w:sz w:val="24"/>
        </w:rPr>
        <w:t>Principios de Contabilidad</w:t>
      </w:r>
      <w:r>
        <w:rPr>
          <w:sz w:val="24"/>
        </w:rPr>
        <w:t>, México: Mc. Graw</w:t>
      </w:r>
      <w:r>
        <w:rPr>
          <w:spacing w:val="-22"/>
          <w:sz w:val="24"/>
        </w:rPr>
        <w:t> </w:t>
      </w:r>
      <w:r>
        <w:rPr>
          <w:sz w:val="24"/>
        </w:rPr>
        <w:t>Hill</w:t>
      </w:r>
    </w:p>
    <w:p>
      <w:pPr>
        <w:pStyle w:val="BodyText"/>
        <w:spacing w:line="276" w:lineRule="auto" w:before="141"/>
        <w:ind w:left="469" w:right="93"/>
      </w:pPr>
      <w:r>
        <w:rPr/>
        <w:t>Vartkes Hatzacorsian Hovsepian. Tercera Edición. Fundamentos de Contabilidad. México. Ed. Thomson.</w:t>
      </w:r>
    </w:p>
    <w:sectPr>
      <w:pgSz w:w="12240" w:h="15840"/>
      <w:pgMar w:header="0" w:footer="779" w:top="1360" w:bottom="960" w:left="136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Franklin Gothic Medium">
    <w:altName w:val="Franklin Gothic Medium"/>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504"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5.649994pt;margin-top:755.47998pt;width:9.6pt;height:13.05pt;mso-position-horizontal-relative:page;mso-position-vertical-relative:page;z-index:-82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168"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2.890015pt;margin-top:755.47998pt;width:15.3pt;height:13.05pt;mso-position-horizontal-relative:page;mso-position-vertical-relative:page;z-index:-82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120"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3.890015pt;margin-top:755.47998pt;width:13.3pt;height:13.05pt;mso-position-horizontal-relative:page;mso-position-vertical-relative:page;z-index:-8209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072"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2.890015pt;margin-top:755.47998pt;width:15.3pt;height:13.05pt;mso-position-horizontal-relative:page;mso-position-vertical-relative:page;z-index:-82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44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024"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3.890015pt;margin-top:755.47998pt;width:13.3pt;height:13.05pt;mso-position-horizontal-relative:page;mso-position-vertical-relative:page;z-index:-8200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1976"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2.890015pt;margin-top:755.47998pt;width:15.3pt;height:13.05pt;mso-position-horizontal-relative:page;mso-position-vertical-relative:page;z-index:-81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456"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3.890015pt;margin-top:755.47998pt;width:13.3pt;height:13.05pt;mso-position-horizontal-relative:page;mso-position-vertical-relative:page;z-index:-8243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408"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2.890015pt;margin-top:755.47998pt;width:15.3pt;height:13.05pt;mso-position-horizontal-relative:page;mso-position-vertical-relative:page;z-index:-82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360"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3.890015pt;margin-top:755.47998pt;width:13.3pt;height:13.05pt;mso-position-horizontal-relative:page;mso-position-vertical-relative:page;z-index:-8233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312"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2.890015pt;margin-top:755.47998pt;width:15.3pt;height:13.05pt;mso-position-horizontal-relative:page;mso-position-vertical-relative:page;z-index:-82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264"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3.890015pt;margin-top:755.47998pt;width:13.3pt;height:13.05pt;mso-position-horizontal-relative:page;mso-position-vertical-relative:page;z-index:-8224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9.600006pt;margin-top:743.039978pt;width:101.8pt;height:27.85pt;mso-position-horizontal-relative:page;mso-position-vertical-relative:page;z-index:-82216" coordorigin="4992,14861" coordsize="2036,557">
          <v:shape style="position:absolute;left:4999;top:14868;width:2021;height:543" coordorigin="4999,14868" coordsize="2021,543" path="m4999,14868l5075,14878,5151,14887,5227,14895,5302,14903,5378,14909,5454,14915,5530,14920,5605,14925,5681,14929,5757,14932,5504,14987,5582,14991,5660,14995,5738,14999,5815,15001,5893,15003,5971,15003,6048,15003,6126,15003,6204,15001,6282,14999,6359,14995,6437,14991,6515,14987,6262,14932,6338,14929,6414,14925,6490,14920,6565,14915,6641,14909,6717,14903,6793,14895,6868,14887,6944,14878,7020,14868,6767,15101,7020,15275,6936,15286,6852,15296,6767,15304,6683,15312,6599,15320,6515,15326,6515,15393,6437,15398,6359,15402,6282,15405,6204,15408,6126,15409,6048,15410,5971,15410,5893,15409,5815,15408,5738,15405,5660,15402,5582,15398,5504,15393,5504,15326,5420,15320,5336,15312,5252,15304,5168,15296,5083,15286,4999,15275,5252,15101,4999,14868xm5504,15326l5504,14987m6515,14987l6515,15326m5757,14932l5757,14999m6262,14999l6262,14932e" filled="false" stroked="true" strokeweight=".72pt" strokecolor="#709fdc">
            <v:path arrowok="t"/>
          </v:shape>
          <v:shape style="position:absolute;left:5510;top:15084;width:996;height:230" type="#_x0000_t75" stroked="false">
            <v:imagedata r:id="rId1" o:title=""/>
          </v:shape>
          <w10:wrap type="none"/>
        </v:group>
      </w:pict>
    </w:r>
    <w:r>
      <w:rPr/>
      <w:pict>
        <v:shape style="position:absolute;margin-left:292.890015pt;margin-top:755.47998pt;width:15.3pt;height:13.05pt;mso-position-horizontal-relative:page;mso-position-vertical-relative:page;z-index:-82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1"/>
      <w:numFmt w:val="decimal"/>
      <w:lvlText w:val="%1."/>
      <w:lvlJc w:val="left"/>
      <w:pPr>
        <w:ind w:left="469" w:hanging="360"/>
        <w:jc w:val="left"/>
      </w:pPr>
      <w:rPr>
        <w:rFonts w:hint="default" w:ascii="Arial" w:hAnsi="Arial" w:eastAsia="Arial" w:cs="Arial"/>
        <w:spacing w:val="-4"/>
        <w:w w:val="99"/>
        <w:sz w:val="24"/>
        <w:szCs w:val="24"/>
      </w:rPr>
    </w:lvl>
    <w:lvl w:ilvl="1">
      <w:start w:val="1"/>
      <w:numFmt w:val="bullet"/>
      <w:lvlText w:val="•"/>
      <w:lvlJc w:val="left"/>
      <w:pPr>
        <w:ind w:left="1342" w:hanging="360"/>
      </w:pPr>
      <w:rPr>
        <w:rFonts w:hint="default"/>
      </w:rPr>
    </w:lvl>
    <w:lvl w:ilvl="2">
      <w:start w:val="1"/>
      <w:numFmt w:val="bullet"/>
      <w:lvlText w:val="•"/>
      <w:lvlJc w:val="left"/>
      <w:pPr>
        <w:ind w:left="2224" w:hanging="360"/>
      </w:pPr>
      <w:rPr>
        <w:rFonts w:hint="default"/>
      </w:rPr>
    </w:lvl>
    <w:lvl w:ilvl="3">
      <w:start w:val="1"/>
      <w:numFmt w:val="bullet"/>
      <w:lvlText w:val="•"/>
      <w:lvlJc w:val="left"/>
      <w:pPr>
        <w:ind w:left="3106" w:hanging="360"/>
      </w:pPr>
      <w:rPr>
        <w:rFonts w:hint="default"/>
      </w:rPr>
    </w:lvl>
    <w:lvl w:ilvl="4">
      <w:start w:val="1"/>
      <w:numFmt w:val="bullet"/>
      <w:lvlText w:val="•"/>
      <w:lvlJc w:val="left"/>
      <w:pPr>
        <w:ind w:left="3988"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516" w:hanging="360"/>
      </w:pPr>
      <w:rPr>
        <w:rFonts w:hint="default"/>
      </w:rPr>
    </w:lvl>
  </w:abstractNum>
  <w:abstractNum w:abstractNumId="31">
    <w:multiLevelType w:val="hybridMultilevel"/>
    <w:lvl w:ilvl="0">
      <w:start w:val="4"/>
      <w:numFmt w:val="decimal"/>
      <w:lvlText w:val="%1"/>
      <w:lvlJc w:val="left"/>
      <w:pPr>
        <w:ind w:left="846" w:hanging="737"/>
        <w:jc w:val="left"/>
      </w:pPr>
      <w:rPr>
        <w:rFonts w:hint="default"/>
      </w:rPr>
    </w:lvl>
    <w:lvl w:ilvl="1">
      <w:start w:val="2"/>
      <w:numFmt w:val="decimal"/>
      <w:lvlText w:val="%1.%2"/>
      <w:lvlJc w:val="left"/>
      <w:pPr>
        <w:ind w:left="846" w:hanging="737"/>
        <w:jc w:val="left"/>
      </w:pPr>
      <w:rPr>
        <w:rFonts w:hint="default"/>
      </w:rPr>
    </w:lvl>
    <w:lvl w:ilvl="2">
      <w:start w:val="2"/>
      <w:numFmt w:val="decimal"/>
      <w:lvlText w:val="%1.%2.%3."/>
      <w:lvlJc w:val="left"/>
      <w:pPr>
        <w:ind w:left="846" w:hanging="737"/>
        <w:jc w:val="left"/>
      </w:pPr>
      <w:rPr>
        <w:rFonts w:hint="default" w:ascii="Arial" w:hAnsi="Arial" w:eastAsia="Arial" w:cs="Arial"/>
        <w:b/>
        <w:bCs/>
        <w:spacing w:val="-3"/>
        <w:w w:val="99"/>
        <w:sz w:val="24"/>
        <w:szCs w:val="24"/>
      </w:rPr>
    </w:lvl>
    <w:lvl w:ilvl="3">
      <w:start w:val="1"/>
      <w:numFmt w:val="bullet"/>
      <w:lvlText w:val=""/>
      <w:lvlJc w:val="left"/>
      <w:pPr>
        <w:ind w:left="829" w:hanging="360"/>
      </w:pPr>
      <w:rPr>
        <w:rFonts w:hint="default" w:ascii="Symbol" w:hAnsi="Symbol" w:eastAsia="Symbol" w:cs="Symbol"/>
        <w:w w:val="99"/>
        <w:sz w:val="20"/>
        <w:szCs w:val="20"/>
      </w:rPr>
    </w:lvl>
    <w:lvl w:ilvl="4">
      <w:start w:val="1"/>
      <w:numFmt w:val="bullet"/>
      <w:lvlText w:val="•"/>
      <w:lvlJc w:val="left"/>
      <w:pPr>
        <w:ind w:left="1480" w:hanging="360"/>
      </w:pPr>
      <w:rPr>
        <w:rFonts w:hint="default"/>
      </w:rPr>
    </w:lvl>
    <w:lvl w:ilvl="5">
      <w:start w:val="1"/>
      <w:numFmt w:val="bullet"/>
      <w:lvlText w:val="•"/>
      <w:lvlJc w:val="left"/>
      <w:pPr>
        <w:ind w:left="1694" w:hanging="360"/>
      </w:pPr>
      <w:rPr>
        <w:rFonts w:hint="default"/>
      </w:rPr>
    </w:lvl>
    <w:lvl w:ilvl="6">
      <w:start w:val="1"/>
      <w:numFmt w:val="bullet"/>
      <w:lvlText w:val="•"/>
      <w:lvlJc w:val="left"/>
      <w:pPr>
        <w:ind w:left="1908" w:hanging="360"/>
      </w:pPr>
      <w:rPr>
        <w:rFonts w:hint="default"/>
      </w:rPr>
    </w:lvl>
    <w:lvl w:ilvl="7">
      <w:start w:val="1"/>
      <w:numFmt w:val="bullet"/>
      <w:lvlText w:val="•"/>
      <w:lvlJc w:val="left"/>
      <w:pPr>
        <w:ind w:left="2121" w:hanging="360"/>
      </w:pPr>
      <w:rPr>
        <w:rFonts w:hint="default"/>
      </w:rPr>
    </w:lvl>
    <w:lvl w:ilvl="8">
      <w:start w:val="1"/>
      <w:numFmt w:val="bullet"/>
      <w:lvlText w:val="•"/>
      <w:lvlJc w:val="left"/>
      <w:pPr>
        <w:ind w:left="2335" w:hanging="360"/>
      </w:pPr>
      <w:rPr>
        <w:rFonts w:hint="default"/>
      </w:rPr>
    </w:lvl>
  </w:abstractNum>
  <w:abstractNum w:abstractNumId="30">
    <w:multiLevelType w:val="hybridMultilevel"/>
    <w:lvl w:ilvl="0">
      <w:start w:val="1"/>
      <w:numFmt w:val="bullet"/>
      <w:lvlText w:val=""/>
      <w:lvlJc w:val="left"/>
      <w:pPr>
        <w:ind w:left="469" w:hanging="360"/>
      </w:pPr>
      <w:rPr>
        <w:rFonts w:hint="default" w:ascii="Symbol" w:hAnsi="Symbol" w:eastAsia="Symbol" w:cs="Symbol"/>
        <w:w w:val="100"/>
        <w:sz w:val="24"/>
        <w:szCs w:val="24"/>
      </w:rPr>
    </w:lvl>
    <w:lvl w:ilvl="1">
      <w:start w:val="1"/>
      <w:numFmt w:val="bullet"/>
      <w:lvlText w:val="•"/>
      <w:lvlJc w:val="left"/>
      <w:pPr>
        <w:ind w:left="134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11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648" w:hanging="360"/>
      </w:pPr>
      <w:rPr>
        <w:rFonts w:hint="default"/>
      </w:rPr>
    </w:lvl>
    <w:lvl w:ilvl="8">
      <w:start w:val="1"/>
      <w:numFmt w:val="bullet"/>
      <w:lvlText w:val="•"/>
      <w:lvlJc w:val="left"/>
      <w:pPr>
        <w:ind w:left="7532" w:hanging="360"/>
      </w:pPr>
      <w:rPr>
        <w:rFonts w:hint="default"/>
      </w:rPr>
    </w:lvl>
  </w:abstractNum>
  <w:abstractNum w:abstractNumId="29">
    <w:multiLevelType w:val="hybridMultilevel"/>
    <w:lvl w:ilvl="0">
      <w:start w:val="4"/>
      <w:numFmt w:val="decimal"/>
      <w:lvlText w:val="%1"/>
      <w:lvlJc w:val="left"/>
      <w:pPr>
        <w:ind w:left="710" w:hanging="602"/>
        <w:jc w:val="left"/>
      </w:pPr>
      <w:rPr>
        <w:rFonts w:hint="default"/>
      </w:rPr>
    </w:lvl>
    <w:lvl w:ilvl="1">
      <w:start w:val="2"/>
      <w:numFmt w:val="decimal"/>
      <w:lvlText w:val="%1.%2"/>
      <w:lvlJc w:val="left"/>
      <w:pPr>
        <w:ind w:left="710" w:hanging="602"/>
        <w:jc w:val="left"/>
      </w:pPr>
      <w:rPr>
        <w:rFonts w:hint="default"/>
      </w:rPr>
    </w:lvl>
    <w:lvl w:ilvl="2">
      <w:start w:val="1"/>
      <w:numFmt w:val="decimal"/>
      <w:lvlText w:val="%1.%2.%3"/>
      <w:lvlJc w:val="left"/>
      <w:pPr>
        <w:ind w:left="710" w:hanging="602"/>
        <w:jc w:val="left"/>
      </w:pPr>
      <w:rPr>
        <w:rFonts w:hint="default" w:ascii="Arial" w:hAnsi="Arial" w:eastAsia="Arial" w:cs="Arial"/>
        <w:b/>
        <w:bCs/>
        <w:spacing w:val="-2"/>
        <w:w w:val="99"/>
        <w:sz w:val="24"/>
        <w:szCs w:val="24"/>
      </w:rPr>
    </w:lvl>
    <w:lvl w:ilvl="3">
      <w:start w:val="1"/>
      <w:numFmt w:val="lowerLetter"/>
      <w:lvlText w:val="%4)"/>
      <w:lvlJc w:val="left"/>
      <w:pPr>
        <w:ind w:left="1189" w:hanging="360"/>
        <w:jc w:val="left"/>
      </w:pPr>
      <w:rPr>
        <w:rFonts w:hint="default" w:ascii="Arial" w:hAnsi="Arial" w:eastAsia="Arial" w:cs="Arial"/>
        <w:w w:val="99"/>
        <w:sz w:val="24"/>
        <w:szCs w:val="24"/>
      </w:rPr>
    </w:lvl>
    <w:lvl w:ilvl="4">
      <w:start w:val="1"/>
      <w:numFmt w:val="lowerLetter"/>
      <w:lvlText w:val="%5)"/>
      <w:lvlJc w:val="left"/>
      <w:pPr>
        <w:ind w:left="1549" w:hanging="360"/>
        <w:jc w:val="left"/>
      </w:pPr>
      <w:rPr>
        <w:rFonts w:hint="default" w:ascii="Arial" w:hAnsi="Arial" w:eastAsia="Arial" w:cs="Arial"/>
        <w:w w:val="99"/>
        <w:sz w:val="24"/>
        <w:szCs w:val="24"/>
      </w:rPr>
    </w:lvl>
    <w:lvl w:ilvl="5">
      <w:start w:val="1"/>
      <w:numFmt w:val="bullet"/>
      <w:lvlText w:val="•"/>
      <w:lvlJc w:val="left"/>
      <w:pPr>
        <w:ind w:left="4442" w:hanging="360"/>
      </w:pPr>
      <w:rPr>
        <w:rFonts w:hint="default"/>
      </w:rPr>
    </w:lvl>
    <w:lvl w:ilvl="6">
      <w:start w:val="1"/>
      <w:numFmt w:val="bullet"/>
      <w:lvlText w:val="•"/>
      <w:lvlJc w:val="left"/>
      <w:pPr>
        <w:ind w:left="5410" w:hanging="360"/>
      </w:pPr>
      <w:rPr>
        <w:rFonts w:hint="default"/>
      </w:rPr>
    </w:lvl>
    <w:lvl w:ilvl="7">
      <w:start w:val="1"/>
      <w:numFmt w:val="bullet"/>
      <w:lvlText w:val="•"/>
      <w:lvlJc w:val="left"/>
      <w:pPr>
        <w:ind w:left="6377" w:hanging="360"/>
      </w:pPr>
      <w:rPr>
        <w:rFonts w:hint="default"/>
      </w:rPr>
    </w:lvl>
    <w:lvl w:ilvl="8">
      <w:start w:val="1"/>
      <w:numFmt w:val="bullet"/>
      <w:lvlText w:val="•"/>
      <w:lvlJc w:val="left"/>
      <w:pPr>
        <w:ind w:left="7345" w:hanging="360"/>
      </w:pPr>
      <w:rPr>
        <w:rFonts w:hint="default"/>
      </w:rPr>
    </w:lvl>
  </w:abstractNum>
  <w:abstractNum w:abstractNumId="28">
    <w:multiLevelType w:val="hybridMultilevel"/>
    <w:lvl w:ilvl="0">
      <w:start w:val="4"/>
      <w:numFmt w:val="decimal"/>
      <w:lvlText w:val="%1"/>
      <w:lvlJc w:val="left"/>
      <w:pPr>
        <w:ind w:left="578" w:hanging="470"/>
        <w:jc w:val="left"/>
      </w:pPr>
      <w:rPr>
        <w:rFonts w:hint="default"/>
      </w:rPr>
    </w:lvl>
    <w:lvl w:ilvl="1">
      <w:start w:val="1"/>
      <w:numFmt w:val="decimal"/>
      <w:lvlText w:val="%1.%2."/>
      <w:lvlJc w:val="left"/>
      <w:pPr>
        <w:ind w:left="578" w:hanging="470"/>
        <w:jc w:val="left"/>
      </w:pPr>
      <w:rPr>
        <w:rFonts w:hint="default" w:ascii="Arial" w:hAnsi="Arial" w:eastAsia="Arial" w:cs="Arial"/>
        <w:b/>
        <w:bCs/>
        <w:spacing w:val="-3"/>
        <w:w w:val="99"/>
        <w:sz w:val="24"/>
        <w:szCs w:val="24"/>
      </w:rPr>
    </w:lvl>
    <w:lvl w:ilvl="2">
      <w:start w:val="1"/>
      <w:numFmt w:val="decimal"/>
      <w:lvlText w:val="%1.%2.%3."/>
      <w:lvlJc w:val="left"/>
      <w:pPr>
        <w:ind w:left="778" w:hanging="670"/>
        <w:jc w:val="left"/>
      </w:pPr>
      <w:rPr>
        <w:rFonts w:hint="default" w:ascii="Arial" w:hAnsi="Arial" w:eastAsia="Arial" w:cs="Arial"/>
        <w:b/>
        <w:bCs/>
        <w:spacing w:val="-2"/>
        <w:w w:val="99"/>
        <w:sz w:val="24"/>
        <w:szCs w:val="24"/>
      </w:rPr>
    </w:lvl>
    <w:lvl w:ilvl="3">
      <w:start w:val="1"/>
      <w:numFmt w:val="bullet"/>
      <w:lvlText w:val="•"/>
      <w:lvlJc w:val="left"/>
      <w:pPr>
        <w:ind w:left="2673" w:hanging="670"/>
      </w:pPr>
      <w:rPr>
        <w:rFonts w:hint="default"/>
      </w:rPr>
    </w:lvl>
    <w:lvl w:ilvl="4">
      <w:start w:val="1"/>
      <w:numFmt w:val="bullet"/>
      <w:lvlText w:val="•"/>
      <w:lvlJc w:val="left"/>
      <w:pPr>
        <w:ind w:left="3620" w:hanging="670"/>
      </w:pPr>
      <w:rPr>
        <w:rFonts w:hint="default"/>
      </w:rPr>
    </w:lvl>
    <w:lvl w:ilvl="5">
      <w:start w:val="1"/>
      <w:numFmt w:val="bullet"/>
      <w:lvlText w:val="•"/>
      <w:lvlJc w:val="left"/>
      <w:pPr>
        <w:ind w:left="4566" w:hanging="670"/>
      </w:pPr>
      <w:rPr>
        <w:rFonts w:hint="default"/>
      </w:rPr>
    </w:lvl>
    <w:lvl w:ilvl="6">
      <w:start w:val="1"/>
      <w:numFmt w:val="bullet"/>
      <w:lvlText w:val="•"/>
      <w:lvlJc w:val="left"/>
      <w:pPr>
        <w:ind w:left="5513" w:hanging="670"/>
      </w:pPr>
      <w:rPr>
        <w:rFonts w:hint="default"/>
      </w:rPr>
    </w:lvl>
    <w:lvl w:ilvl="7">
      <w:start w:val="1"/>
      <w:numFmt w:val="bullet"/>
      <w:lvlText w:val="•"/>
      <w:lvlJc w:val="left"/>
      <w:pPr>
        <w:ind w:left="6460" w:hanging="670"/>
      </w:pPr>
      <w:rPr>
        <w:rFonts w:hint="default"/>
      </w:rPr>
    </w:lvl>
    <w:lvl w:ilvl="8">
      <w:start w:val="1"/>
      <w:numFmt w:val="bullet"/>
      <w:lvlText w:val="•"/>
      <w:lvlJc w:val="left"/>
      <w:pPr>
        <w:ind w:left="7406" w:hanging="670"/>
      </w:pPr>
      <w:rPr>
        <w:rFonts w:hint="default"/>
      </w:rPr>
    </w:lvl>
  </w:abstractNum>
  <w:abstractNum w:abstractNumId="27">
    <w:multiLevelType w:val="hybridMultilevel"/>
    <w:lvl w:ilvl="0">
      <w:start w:val="4"/>
      <w:numFmt w:val="decimal"/>
      <w:lvlText w:val="%1"/>
      <w:lvlJc w:val="left"/>
      <w:pPr>
        <w:ind w:left="829" w:hanging="720"/>
        <w:jc w:val="left"/>
      </w:pPr>
      <w:rPr>
        <w:rFonts w:hint="default"/>
      </w:rPr>
    </w:lvl>
    <w:lvl w:ilvl="1">
      <w:start w:val="1"/>
      <w:numFmt w:val="decimal"/>
      <w:lvlText w:val="%1.%2."/>
      <w:lvlJc w:val="left"/>
      <w:pPr>
        <w:ind w:left="829" w:hanging="720"/>
        <w:jc w:val="left"/>
      </w:pPr>
      <w:rPr>
        <w:rFonts w:hint="default"/>
        <w:w w:val="99"/>
      </w:rPr>
    </w:lvl>
    <w:lvl w:ilvl="2">
      <w:start w:val="1"/>
      <w:numFmt w:val="decimal"/>
      <w:lvlText w:val="%1.%2.%3."/>
      <w:lvlJc w:val="left"/>
      <w:pPr>
        <w:ind w:left="1525" w:hanging="989"/>
        <w:jc w:val="left"/>
      </w:pPr>
      <w:rPr>
        <w:rFonts w:hint="default" w:ascii="Arial" w:hAnsi="Arial" w:eastAsia="Arial" w:cs="Arial"/>
        <w:spacing w:val="-2"/>
        <w:w w:val="99"/>
        <w:sz w:val="24"/>
        <w:szCs w:val="24"/>
      </w:rPr>
    </w:lvl>
    <w:lvl w:ilvl="3">
      <w:start w:val="1"/>
      <w:numFmt w:val="bullet"/>
      <w:lvlText w:val="•"/>
      <w:lvlJc w:val="left"/>
      <w:pPr>
        <w:ind w:left="2475" w:hanging="989"/>
      </w:pPr>
      <w:rPr>
        <w:rFonts w:hint="default"/>
      </w:rPr>
    </w:lvl>
    <w:lvl w:ilvl="4">
      <w:start w:val="1"/>
      <w:numFmt w:val="bullet"/>
      <w:lvlText w:val="•"/>
      <w:lvlJc w:val="left"/>
      <w:pPr>
        <w:ind w:left="3430" w:hanging="989"/>
      </w:pPr>
      <w:rPr>
        <w:rFonts w:hint="default"/>
      </w:rPr>
    </w:lvl>
    <w:lvl w:ilvl="5">
      <w:start w:val="1"/>
      <w:numFmt w:val="bullet"/>
      <w:lvlText w:val="•"/>
      <w:lvlJc w:val="left"/>
      <w:pPr>
        <w:ind w:left="4385" w:hanging="989"/>
      </w:pPr>
      <w:rPr>
        <w:rFonts w:hint="default"/>
      </w:rPr>
    </w:lvl>
    <w:lvl w:ilvl="6">
      <w:start w:val="1"/>
      <w:numFmt w:val="bullet"/>
      <w:lvlText w:val="•"/>
      <w:lvlJc w:val="left"/>
      <w:pPr>
        <w:ind w:left="5340" w:hanging="989"/>
      </w:pPr>
      <w:rPr>
        <w:rFonts w:hint="default"/>
      </w:rPr>
    </w:lvl>
    <w:lvl w:ilvl="7">
      <w:start w:val="1"/>
      <w:numFmt w:val="bullet"/>
      <w:lvlText w:val="•"/>
      <w:lvlJc w:val="left"/>
      <w:pPr>
        <w:ind w:left="6295" w:hanging="989"/>
      </w:pPr>
      <w:rPr>
        <w:rFonts w:hint="default"/>
      </w:rPr>
    </w:lvl>
    <w:lvl w:ilvl="8">
      <w:start w:val="1"/>
      <w:numFmt w:val="bullet"/>
      <w:lvlText w:val="•"/>
      <w:lvlJc w:val="left"/>
      <w:pPr>
        <w:ind w:left="7250" w:hanging="989"/>
      </w:pPr>
      <w:rPr>
        <w:rFonts w:hint="default"/>
      </w:rPr>
    </w:lvl>
  </w:abstractNum>
  <w:abstractNum w:abstractNumId="26">
    <w:multiLevelType w:val="hybridMultilevel"/>
    <w:lvl w:ilvl="0">
      <w:start w:val="3"/>
      <w:numFmt w:val="decimal"/>
      <w:lvlText w:val="%1"/>
      <w:lvlJc w:val="left"/>
      <w:pPr>
        <w:ind w:left="577" w:hanging="468"/>
        <w:jc w:val="left"/>
      </w:pPr>
      <w:rPr>
        <w:rFonts w:hint="default"/>
      </w:rPr>
    </w:lvl>
    <w:lvl w:ilvl="1">
      <w:start w:val="3"/>
      <w:numFmt w:val="decimal"/>
      <w:lvlText w:val="%1.%2."/>
      <w:lvlJc w:val="left"/>
      <w:pPr>
        <w:ind w:left="577" w:hanging="468"/>
        <w:jc w:val="left"/>
      </w:pPr>
      <w:rPr>
        <w:rFonts w:hint="default" w:ascii="Arial" w:hAnsi="Arial" w:eastAsia="Arial" w:cs="Arial"/>
        <w:b/>
        <w:bCs/>
        <w:w w:val="99"/>
        <w:sz w:val="24"/>
        <w:szCs w:val="24"/>
      </w:rPr>
    </w:lvl>
    <w:lvl w:ilvl="2">
      <w:start w:val="1"/>
      <w:numFmt w:val="decimal"/>
      <w:lvlText w:val="%1.%2.%3."/>
      <w:lvlJc w:val="left"/>
      <w:pPr>
        <w:ind w:left="777" w:hanging="669"/>
        <w:jc w:val="left"/>
      </w:pPr>
      <w:rPr>
        <w:rFonts w:hint="default" w:ascii="Arial" w:hAnsi="Arial" w:eastAsia="Arial" w:cs="Arial"/>
        <w:b/>
        <w:bCs/>
        <w:spacing w:val="-2"/>
        <w:w w:val="99"/>
        <w:sz w:val="24"/>
        <w:szCs w:val="24"/>
      </w:rPr>
    </w:lvl>
    <w:lvl w:ilvl="3">
      <w:start w:val="1"/>
      <w:numFmt w:val="bullet"/>
      <w:lvlText w:val=""/>
      <w:lvlJc w:val="left"/>
      <w:pPr>
        <w:ind w:left="829" w:hanging="360"/>
      </w:pPr>
      <w:rPr>
        <w:rFonts w:hint="default" w:ascii="Symbol" w:hAnsi="Symbol" w:eastAsia="Symbol" w:cs="Symbol"/>
        <w:w w:val="100"/>
        <w:sz w:val="24"/>
        <w:szCs w:val="24"/>
      </w:rPr>
    </w:lvl>
    <w:lvl w:ilvl="4">
      <w:start w:val="1"/>
      <w:numFmt w:val="bullet"/>
      <w:lvlText w:val="•"/>
      <w:lvlJc w:val="left"/>
      <w:pPr>
        <w:ind w:left="2940" w:hanging="360"/>
      </w:pPr>
      <w:rPr>
        <w:rFonts w:hint="default"/>
      </w:rPr>
    </w:lvl>
    <w:lvl w:ilvl="5">
      <w:start w:val="1"/>
      <w:numFmt w:val="bullet"/>
      <w:lvlText w:val="•"/>
      <w:lvlJc w:val="left"/>
      <w:pPr>
        <w:ind w:left="4000" w:hanging="360"/>
      </w:pPr>
      <w:rPr>
        <w:rFonts w:hint="default"/>
      </w:rPr>
    </w:lvl>
    <w:lvl w:ilvl="6">
      <w:start w:val="1"/>
      <w:numFmt w:val="bullet"/>
      <w:lvlText w:val="•"/>
      <w:lvlJc w:val="left"/>
      <w:pPr>
        <w:ind w:left="5060" w:hanging="360"/>
      </w:pPr>
      <w:rPr>
        <w:rFonts w:hint="default"/>
      </w:rPr>
    </w:lvl>
    <w:lvl w:ilvl="7">
      <w:start w:val="1"/>
      <w:numFmt w:val="bullet"/>
      <w:lvlText w:val="•"/>
      <w:lvlJc w:val="left"/>
      <w:pPr>
        <w:ind w:left="6120" w:hanging="360"/>
      </w:pPr>
      <w:rPr>
        <w:rFonts w:hint="default"/>
      </w:rPr>
    </w:lvl>
    <w:lvl w:ilvl="8">
      <w:start w:val="1"/>
      <w:numFmt w:val="bullet"/>
      <w:lvlText w:val="•"/>
      <w:lvlJc w:val="left"/>
      <w:pPr>
        <w:ind w:left="7180" w:hanging="360"/>
      </w:pPr>
      <w:rPr>
        <w:rFonts w:hint="default"/>
      </w:rPr>
    </w:lvl>
  </w:abstractNum>
  <w:abstractNum w:abstractNumId="25">
    <w:multiLevelType w:val="hybridMultilevel"/>
    <w:lvl w:ilvl="0">
      <w:start w:val="3"/>
      <w:numFmt w:val="decimal"/>
      <w:lvlText w:val="%1"/>
      <w:lvlJc w:val="left"/>
      <w:pPr>
        <w:ind w:left="469" w:hanging="669"/>
        <w:jc w:val="left"/>
      </w:pPr>
      <w:rPr>
        <w:rFonts w:hint="default"/>
      </w:rPr>
    </w:lvl>
    <w:lvl w:ilvl="1">
      <w:start w:val="2"/>
      <w:numFmt w:val="decimal"/>
      <w:lvlText w:val="%1.%2"/>
      <w:lvlJc w:val="left"/>
      <w:pPr>
        <w:ind w:left="469" w:hanging="669"/>
        <w:jc w:val="left"/>
      </w:pPr>
      <w:rPr>
        <w:rFonts w:hint="default"/>
      </w:rPr>
    </w:lvl>
    <w:lvl w:ilvl="2">
      <w:start w:val="1"/>
      <w:numFmt w:val="decimal"/>
      <w:lvlText w:val="%1.%2.%3."/>
      <w:lvlJc w:val="left"/>
      <w:pPr>
        <w:ind w:left="469" w:hanging="669"/>
        <w:jc w:val="left"/>
      </w:pPr>
      <w:rPr>
        <w:rFonts w:hint="default" w:ascii="Arial" w:hAnsi="Arial" w:eastAsia="Arial" w:cs="Arial"/>
        <w:b/>
        <w:bCs/>
        <w:spacing w:val="-6"/>
        <w:w w:val="99"/>
        <w:sz w:val="24"/>
        <w:szCs w:val="24"/>
      </w:rPr>
    </w:lvl>
    <w:lvl w:ilvl="3">
      <w:start w:val="1"/>
      <w:numFmt w:val="bullet"/>
      <w:lvlText w:val=""/>
      <w:lvlJc w:val="left"/>
      <w:pPr>
        <w:ind w:left="829" w:hanging="360"/>
      </w:pPr>
      <w:rPr>
        <w:rFonts w:hint="default" w:ascii="Symbol" w:hAnsi="Symbol" w:eastAsia="Symbol" w:cs="Symbol"/>
        <w:w w:val="100"/>
        <w:sz w:val="24"/>
        <w:szCs w:val="24"/>
      </w:rPr>
    </w:lvl>
    <w:lvl w:ilvl="4">
      <w:start w:val="1"/>
      <w:numFmt w:val="bullet"/>
      <w:lvlText w:val="•"/>
      <w:lvlJc w:val="left"/>
      <w:pPr>
        <w:ind w:left="3646" w:hanging="360"/>
      </w:pPr>
      <w:rPr>
        <w:rFonts w:hint="default"/>
      </w:rPr>
    </w:lvl>
    <w:lvl w:ilvl="5">
      <w:start w:val="1"/>
      <w:numFmt w:val="bullet"/>
      <w:lvlText w:val="•"/>
      <w:lvlJc w:val="left"/>
      <w:pPr>
        <w:ind w:left="4588" w:hanging="360"/>
      </w:pPr>
      <w:rPr>
        <w:rFonts w:hint="default"/>
      </w:rPr>
    </w:lvl>
    <w:lvl w:ilvl="6">
      <w:start w:val="1"/>
      <w:numFmt w:val="bullet"/>
      <w:lvlText w:val="•"/>
      <w:lvlJc w:val="left"/>
      <w:pPr>
        <w:ind w:left="5531"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415" w:hanging="360"/>
      </w:pPr>
      <w:rPr>
        <w:rFonts w:hint="default"/>
      </w:rPr>
    </w:lvl>
  </w:abstractNum>
  <w:abstractNum w:abstractNumId="24">
    <w:multiLevelType w:val="hybridMultilevel"/>
    <w:lvl w:ilvl="0">
      <w:start w:val="3"/>
      <w:numFmt w:val="decimal"/>
      <w:lvlText w:val="%1"/>
      <w:lvlJc w:val="left"/>
      <w:pPr>
        <w:ind w:left="578" w:hanging="470"/>
        <w:jc w:val="left"/>
      </w:pPr>
      <w:rPr>
        <w:rFonts w:hint="default"/>
      </w:rPr>
    </w:lvl>
    <w:lvl w:ilvl="1">
      <w:start w:val="2"/>
      <w:numFmt w:val="decimal"/>
      <w:lvlText w:val="%1.%2."/>
      <w:lvlJc w:val="left"/>
      <w:pPr>
        <w:ind w:left="578" w:hanging="470"/>
        <w:jc w:val="left"/>
      </w:pPr>
      <w:rPr>
        <w:rFonts w:hint="default" w:ascii="Arial" w:hAnsi="Arial" w:eastAsia="Arial" w:cs="Arial"/>
        <w:b/>
        <w:bCs/>
        <w:spacing w:val="-8"/>
        <w:w w:val="99"/>
        <w:sz w:val="24"/>
        <w:szCs w:val="24"/>
      </w:rPr>
    </w:lvl>
    <w:lvl w:ilvl="2">
      <w:start w:val="1"/>
      <w:numFmt w:val="bullet"/>
      <w:lvlText w:val=""/>
      <w:lvlJc w:val="left"/>
      <w:pPr>
        <w:ind w:left="829" w:hanging="360"/>
      </w:pPr>
      <w:rPr>
        <w:rFonts w:hint="default" w:ascii="Symbol" w:hAnsi="Symbol" w:eastAsia="Symbol" w:cs="Symbol"/>
        <w:w w:val="100"/>
        <w:sz w:val="24"/>
        <w:szCs w:val="24"/>
      </w:rPr>
    </w:lvl>
    <w:lvl w:ilvl="3">
      <w:start w:val="1"/>
      <w:numFmt w:val="bullet"/>
      <w:lvlText w:val="•"/>
      <w:lvlJc w:val="left"/>
      <w:pPr>
        <w:ind w:left="270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88" w:hanging="360"/>
      </w:pPr>
      <w:rPr>
        <w:rFonts w:hint="default"/>
      </w:rPr>
    </w:lvl>
    <w:lvl w:ilvl="6">
      <w:start w:val="1"/>
      <w:numFmt w:val="bullet"/>
      <w:lvlText w:val="•"/>
      <w:lvlJc w:val="left"/>
      <w:pPr>
        <w:ind w:left="5531"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415" w:hanging="360"/>
      </w:pPr>
      <w:rPr>
        <w:rFonts w:hint="default"/>
      </w:rPr>
    </w:lvl>
  </w:abstractNum>
  <w:abstractNum w:abstractNumId="23">
    <w:multiLevelType w:val="hybridMultilevel"/>
    <w:lvl w:ilvl="0">
      <w:start w:val="3"/>
      <w:numFmt w:val="decimal"/>
      <w:lvlText w:val="%1"/>
      <w:lvlJc w:val="left"/>
      <w:pPr>
        <w:ind w:left="512" w:hanging="404"/>
        <w:jc w:val="left"/>
      </w:pPr>
      <w:rPr>
        <w:rFonts w:hint="default"/>
      </w:rPr>
    </w:lvl>
    <w:lvl w:ilvl="1">
      <w:start w:val="1"/>
      <w:numFmt w:val="decimal"/>
      <w:lvlText w:val="%1.%2"/>
      <w:lvlJc w:val="left"/>
      <w:pPr>
        <w:ind w:left="512" w:hanging="404"/>
        <w:jc w:val="left"/>
      </w:pPr>
      <w:rPr>
        <w:rFonts w:hint="default" w:ascii="Arial" w:hAnsi="Arial" w:eastAsia="Arial" w:cs="Arial"/>
        <w:w w:val="99"/>
        <w:sz w:val="24"/>
        <w:szCs w:val="24"/>
      </w:rPr>
    </w:lvl>
    <w:lvl w:ilvl="2">
      <w:start w:val="1"/>
      <w:numFmt w:val="decimal"/>
      <w:lvlText w:val="%1.%2.%3"/>
      <w:lvlJc w:val="left"/>
      <w:pPr>
        <w:ind w:left="1276" w:hanging="602"/>
        <w:jc w:val="left"/>
      </w:pPr>
      <w:rPr>
        <w:rFonts w:hint="default" w:ascii="Arial" w:hAnsi="Arial" w:eastAsia="Arial" w:cs="Arial"/>
        <w:spacing w:val="-2"/>
        <w:w w:val="99"/>
        <w:sz w:val="24"/>
        <w:szCs w:val="24"/>
      </w:rPr>
    </w:lvl>
    <w:lvl w:ilvl="3">
      <w:start w:val="1"/>
      <w:numFmt w:val="bullet"/>
      <w:lvlText w:val="•"/>
      <w:lvlJc w:val="left"/>
      <w:pPr>
        <w:ind w:left="3031" w:hanging="602"/>
      </w:pPr>
      <w:rPr>
        <w:rFonts w:hint="default"/>
      </w:rPr>
    </w:lvl>
    <w:lvl w:ilvl="4">
      <w:start w:val="1"/>
      <w:numFmt w:val="bullet"/>
      <w:lvlText w:val="•"/>
      <w:lvlJc w:val="left"/>
      <w:pPr>
        <w:ind w:left="3906" w:hanging="602"/>
      </w:pPr>
      <w:rPr>
        <w:rFonts w:hint="default"/>
      </w:rPr>
    </w:lvl>
    <w:lvl w:ilvl="5">
      <w:start w:val="1"/>
      <w:numFmt w:val="bullet"/>
      <w:lvlText w:val="•"/>
      <w:lvlJc w:val="left"/>
      <w:pPr>
        <w:ind w:left="4782" w:hanging="602"/>
      </w:pPr>
      <w:rPr>
        <w:rFonts w:hint="default"/>
      </w:rPr>
    </w:lvl>
    <w:lvl w:ilvl="6">
      <w:start w:val="1"/>
      <w:numFmt w:val="bullet"/>
      <w:lvlText w:val="•"/>
      <w:lvlJc w:val="left"/>
      <w:pPr>
        <w:ind w:left="5657" w:hanging="602"/>
      </w:pPr>
      <w:rPr>
        <w:rFonts w:hint="default"/>
      </w:rPr>
    </w:lvl>
    <w:lvl w:ilvl="7">
      <w:start w:val="1"/>
      <w:numFmt w:val="bullet"/>
      <w:lvlText w:val="•"/>
      <w:lvlJc w:val="left"/>
      <w:pPr>
        <w:ind w:left="6533" w:hanging="602"/>
      </w:pPr>
      <w:rPr>
        <w:rFonts w:hint="default"/>
      </w:rPr>
    </w:lvl>
    <w:lvl w:ilvl="8">
      <w:start w:val="1"/>
      <w:numFmt w:val="bullet"/>
      <w:lvlText w:val="•"/>
      <w:lvlJc w:val="left"/>
      <w:pPr>
        <w:ind w:left="7408" w:hanging="602"/>
      </w:pPr>
      <w:rPr>
        <w:rFonts w:hint="default"/>
      </w:rPr>
    </w:lvl>
  </w:abstractNum>
  <w:abstractNum w:abstractNumId="22">
    <w:multiLevelType w:val="hybridMultilevel"/>
    <w:lvl w:ilvl="0">
      <w:start w:val="2"/>
      <w:numFmt w:val="decimal"/>
      <w:lvlText w:val="%1"/>
      <w:lvlJc w:val="left"/>
      <w:pPr>
        <w:ind w:left="579" w:hanging="471"/>
        <w:jc w:val="left"/>
      </w:pPr>
      <w:rPr>
        <w:rFonts w:hint="default"/>
      </w:rPr>
    </w:lvl>
    <w:lvl w:ilvl="1">
      <w:start w:val="3"/>
      <w:numFmt w:val="decimal"/>
      <w:lvlText w:val="%1.%2."/>
      <w:lvlJc w:val="left"/>
      <w:pPr>
        <w:ind w:left="579" w:hanging="471"/>
        <w:jc w:val="left"/>
      </w:pPr>
      <w:rPr>
        <w:rFonts w:hint="default" w:ascii="Arial" w:hAnsi="Arial" w:eastAsia="Arial" w:cs="Arial"/>
        <w:b/>
        <w:bCs/>
        <w:w w:val="99"/>
        <w:sz w:val="24"/>
        <w:szCs w:val="24"/>
      </w:rPr>
    </w:lvl>
    <w:lvl w:ilvl="2">
      <w:start w:val="1"/>
      <w:numFmt w:val="bullet"/>
      <w:lvlText w:val=""/>
      <w:lvlJc w:val="left"/>
      <w:pPr>
        <w:ind w:left="829" w:hanging="360"/>
      </w:pPr>
      <w:rPr>
        <w:rFonts w:hint="default" w:ascii="Symbol" w:hAnsi="Symbol" w:eastAsia="Symbol" w:cs="Symbol"/>
        <w:w w:val="100"/>
        <w:sz w:val="24"/>
        <w:szCs w:val="24"/>
      </w:rPr>
    </w:lvl>
    <w:lvl w:ilvl="3">
      <w:start w:val="1"/>
      <w:numFmt w:val="bullet"/>
      <w:lvlText w:val="•"/>
      <w:lvlJc w:val="left"/>
      <w:pPr>
        <w:ind w:left="270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88" w:hanging="360"/>
      </w:pPr>
      <w:rPr>
        <w:rFonts w:hint="default"/>
      </w:rPr>
    </w:lvl>
    <w:lvl w:ilvl="6">
      <w:start w:val="1"/>
      <w:numFmt w:val="bullet"/>
      <w:lvlText w:val="•"/>
      <w:lvlJc w:val="left"/>
      <w:pPr>
        <w:ind w:left="5531"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415" w:hanging="360"/>
      </w:pPr>
      <w:rPr>
        <w:rFonts w:hint="default"/>
      </w:rPr>
    </w:lvl>
  </w:abstractNum>
  <w:abstractNum w:abstractNumId="21">
    <w:multiLevelType w:val="hybridMultilevel"/>
    <w:lvl w:ilvl="0">
      <w:start w:val="2"/>
      <w:numFmt w:val="decimal"/>
      <w:lvlText w:val="%1"/>
      <w:lvlJc w:val="left"/>
      <w:pPr>
        <w:ind w:left="777" w:hanging="669"/>
        <w:jc w:val="left"/>
      </w:pPr>
      <w:rPr>
        <w:rFonts w:hint="default"/>
      </w:rPr>
    </w:lvl>
    <w:lvl w:ilvl="1">
      <w:start w:val="2"/>
      <w:numFmt w:val="decimal"/>
      <w:lvlText w:val="%1.%2"/>
      <w:lvlJc w:val="left"/>
      <w:pPr>
        <w:ind w:left="777" w:hanging="669"/>
        <w:jc w:val="left"/>
      </w:pPr>
      <w:rPr>
        <w:rFonts w:hint="default"/>
      </w:rPr>
    </w:lvl>
    <w:lvl w:ilvl="2">
      <w:start w:val="1"/>
      <w:numFmt w:val="decimal"/>
      <w:lvlText w:val="%1.%2.%3."/>
      <w:lvlJc w:val="left"/>
      <w:pPr>
        <w:ind w:left="777" w:hanging="669"/>
        <w:jc w:val="left"/>
      </w:pPr>
      <w:rPr>
        <w:rFonts w:hint="default" w:ascii="Arial" w:hAnsi="Arial" w:eastAsia="Arial" w:cs="Arial"/>
        <w:b/>
        <w:bCs/>
        <w:spacing w:val="-2"/>
        <w:w w:val="99"/>
        <w:sz w:val="24"/>
        <w:szCs w:val="24"/>
      </w:rPr>
    </w:lvl>
    <w:lvl w:ilvl="3">
      <w:start w:val="1"/>
      <w:numFmt w:val="bullet"/>
      <w:lvlText w:val="•"/>
      <w:lvlJc w:val="left"/>
      <w:pPr>
        <w:ind w:left="3336" w:hanging="669"/>
      </w:pPr>
      <w:rPr>
        <w:rFonts w:hint="default"/>
      </w:rPr>
    </w:lvl>
    <w:lvl w:ilvl="4">
      <w:start w:val="1"/>
      <w:numFmt w:val="bullet"/>
      <w:lvlText w:val="•"/>
      <w:lvlJc w:val="left"/>
      <w:pPr>
        <w:ind w:left="4188" w:hanging="669"/>
      </w:pPr>
      <w:rPr>
        <w:rFonts w:hint="default"/>
      </w:rPr>
    </w:lvl>
    <w:lvl w:ilvl="5">
      <w:start w:val="1"/>
      <w:numFmt w:val="bullet"/>
      <w:lvlText w:val="•"/>
      <w:lvlJc w:val="left"/>
      <w:pPr>
        <w:ind w:left="5040" w:hanging="669"/>
      </w:pPr>
      <w:rPr>
        <w:rFonts w:hint="default"/>
      </w:rPr>
    </w:lvl>
    <w:lvl w:ilvl="6">
      <w:start w:val="1"/>
      <w:numFmt w:val="bullet"/>
      <w:lvlText w:val="•"/>
      <w:lvlJc w:val="left"/>
      <w:pPr>
        <w:ind w:left="5892" w:hanging="669"/>
      </w:pPr>
      <w:rPr>
        <w:rFonts w:hint="default"/>
      </w:rPr>
    </w:lvl>
    <w:lvl w:ilvl="7">
      <w:start w:val="1"/>
      <w:numFmt w:val="bullet"/>
      <w:lvlText w:val="•"/>
      <w:lvlJc w:val="left"/>
      <w:pPr>
        <w:ind w:left="6744" w:hanging="669"/>
      </w:pPr>
      <w:rPr>
        <w:rFonts w:hint="default"/>
      </w:rPr>
    </w:lvl>
    <w:lvl w:ilvl="8">
      <w:start w:val="1"/>
      <w:numFmt w:val="bullet"/>
      <w:lvlText w:val="•"/>
      <w:lvlJc w:val="left"/>
      <w:pPr>
        <w:ind w:left="7596" w:hanging="669"/>
      </w:pPr>
      <w:rPr>
        <w:rFonts w:hint="default"/>
      </w:rPr>
    </w:lvl>
  </w:abstractNum>
  <w:abstractNum w:abstractNumId="20">
    <w:multiLevelType w:val="hybridMultilevel"/>
    <w:lvl w:ilvl="0">
      <w:start w:val="1"/>
      <w:numFmt w:val="decimal"/>
      <w:lvlText w:val="%1."/>
      <w:lvlJc w:val="left"/>
      <w:pPr>
        <w:ind w:left="377" w:hanging="269"/>
        <w:jc w:val="left"/>
      </w:pPr>
      <w:rPr>
        <w:rFonts w:hint="default" w:ascii="Arial" w:hAnsi="Arial" w:eastAsia="Arial" w:cs="Arial"/>
        <w:w w:val="99"/>
        <w:sz w:val="24"/>
        <w:szCs w:val="24"/>
      </w:rPr>
    </w:lvl>
    <w:lvl w:ilvl="1">
      <w:start w:val="1"/>
      <w:numFmt w:val="bullet"/>
      <w:lvlText w:val=""/>
      <w:lvlJc w:val="left"/>
      <w:pPr>
        <w:ind w:left="829" w:hanging="360"/>
      </w:pPr>
      <w:rPr>
        <w:rFonts w:hint="default" w:ascii="Symbol" w:hAnsi="Symbol" w:eastAsia="Symbol" w:cs="Symbol"/>
        <w:w w:val="100"/>
        <w:sz w:val="24"/>
        <w:szCs w:val="24"/>
      </w:rPr>
    </w:lvl>
    <w:lvl w:ilvl="2">
      <w:start w:val="1"/>
      <w:numFmt w:val="bullet"/>
      <w:lvlText w:val=""/>
      <w:lvlJc w:val="left"/>
      <w:pPr>
        <w:ind w:left="2106" w:hanging="360"/>
      </w:pPr>
      <w:rPr>
        <w:rFonts w:hint="default" w:ascii="Wingdings" w:hAnsi="Wingdings" w:eastAsia="Wingdings" w:cs="Wingdings"/>
        <w:w w:val="99"/>
        <w:sz w:val="24"/>
        <w:szCs w:val="24"/>
      </w:rPr>
    </w:lvl>
    <w:lvl w:ilvl="3">
      <w:start w:val="1"/>
      <w:numFmt w:val="bullet"/>
      <w:lvlText w:val="•"/>
      <w:lvlJc w:val="left"/>
      <w:pPr>
        <w:ind w:left="2997" w:hanging="360"/>
      </w:pPr>
      <w:rPr>
        <w:rFonts w:hint="default"/>
      </w:rPr>
    </w:lvl>
    <w:lvl w:ilvl="4">
      <w:start w:val="1"/>
      <w:numFmt w:val="bullet"/>
      <w:lvlText w:val="•"/>
      <w:lvlJc w:val="left"/>
      <w:pPr>
        <w:ind w:left="3895" w:hanging="360"/>
      </w:pPr>
      <w:rPr>
        <w:rFonts w:hint="default"/>
      </w:rPr>
    </w:lvl>
    <w:lvl w:ilvl="5">
      <w:start w:val="1"/>
      <w:numFmt w:val="bullet"/>
      <w:lvlText w:val="•"/>
      <w:lvlJc w:val="left"/>
      <w:pPr>
        <w:ind w:left="4792" w:hanging="360"/>
      </w:pPr>
      <w:rPr>
        <w:rFonts w:hint="default"/>
      </w:rPr>
    </w:lvl>
    <w:lvl w:ilvl="6">
      <w:start w:val="1"/>
      <w:numFmt w:val="bullet"/>
      <w:lvlText w:val="•"/>
      <w:lvlJc w:val="left"/>
      <w:pPr>
        <w:ind w:left="5690" w:hanging="360"/>
      </w:pPr>
      <w:rPr>
        <w:rFonts w:hint="default"/>
      </w:rPr>
    </w:lvl>
    <w:lvl w:ilvl="7">
      <w:start w:val="1"/>
      <w:numFmt w:val="bullet"/>
      <w:lvlText w:val="•"/>
      <w:lvlJc w:val="left"/>
      <w:pPr>
        <w:ind w:left="6587" w:hanging="360"/>
      </w:pPr>
      <w:rPr>
        <w:rFonts w:hint="default"/>
      </w:rPr>
    </w:lvl>
    <w:lvl w:ilvl="8">
      <w:start w:val="1"/>
      <w:numFmt w:val="bullet"/>
      <w:lvlText w:val="•"/>
      <w:lvlJc w:val="left"/>
      <w:pPr>
        <w:ind w:left="7485" w:hanging="360"/>
      </w:pPr>
      <w:rPr>
        <w:rFonts w:hint="default"/>
      </w:rPr>
    </w:lvl>
  </w:abstractNum>
  <w:abstractNum w:abstractNumId="19">
    <w:multiLevelType w:val="hybridMultilevel"/>
    <w:lvl w:ilvl="0">
      <w:start w:val="1"/>
      <w:numFmt w:val="decimal"/>
      <w:lvlText w:val="%1."/>
      <w:lvlJc w:val="left"/>
      <w:pPr>
        <w:ind w:left="829" w:hanging="360"/>
        <w:jc w:val="left"/>
      </w:pPr>
      <w:rPr>
        <w:rFonts w:hint="default" w:ascii="Arial" w:hAnsi="Arial" w:eastAsia="Arial" w:cs="Arial"/>
        <w:spacing w:val="-2"/>
        <w:w w:val="99"/>
        <w:sz w:val="24"/>
        <w:szCs w:val="24"/>
      </w:rPr>
    </w:lvl>
    <w:lvl w:ilvl="1">
      <w:start w:val="1"/>
      <w:numFmt w:val="decimal"/>
      <w:lvlText w:val="%2."/>
      <w:lvlJc w:val="left"/>
      <w:pPr>
        <w:ind w:left="1549" w:hanging="360"/>
        <w:jc w:val="left"/>
      </w:pPr>
      <w:rPr>
        <w:rFonts w:hint="default" w:ascii="Arial" w:hAnsi="Arial" w:eastAsia="Arial" w:cs="Arial"/>
        <w:spacing w:val="-3"/>
        <w:w w:val="99"/>
        <w:sz w:val="24"/>
        <w:szCs w:val="24"/>
      </w:rPr>
    </w:lvl>
    <w:lvl w:ilvl="2">
      <w:start w:val="1"/>
      <w:numFmt w:val="bullet"/>
      <w:lvlText w:val="•"/>
      <w:lvlJc w:val="left"/>
      <w:pPr>
        <w:ind w:left="2400" w:hanging="360"/>
      </w:pPr>
      <w:rPr>
        <w:rFonts w:hint="default"/>
      </w:rPr>
    </w:lvl>
    <w:lvl w:ilvl="3">
      <w:start w:val="1"/>
      <w:numFmt w:val="bullet"/>
      <w:lvlText w:val="•"/>
      <w:lvlJc w:val="left"/>
      <w:pPr>
        <w:ind w:left="3260" w:hanging="360"/>
      </w:pPr>
      <w:rPr>
        <w:rFonts w:hint="default"/>
      </w:rPr>
    </w:lvl>
    <w:lvl w:ilvl="4">
      <w:start w:val="1"/>
      <w:numFmt w:val="bullet"/>
      <w:lvlText w:val="•"/>
      <w:lvlJc w:val="left"/>
      <w:pPr>
        <w:ind w:left="4120"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840" w:hanging="360"/>
      </w:pPr>
      <w:rPr>
        <w:rFonts w:hint="default"/>
      </w:rPr>
    </w:lvl>
    <w:lvl w:ilvl="7">
      <w:start w:val="1"/>
      <w:numFmt w:val="bullet"/>
      <w:lvlText w:val="•"/>
      <w:lvlJc w:val="left"/>
      <w:pPr>
        <w:ind w:left="6700" w:hanging="360"/>
      </w:pPr>
      <w:rPr>
        <w:rFonts w:hint="default"/>
      </w:rPr>
    </w:lvl>
    <w:lvl w:ilvl="8">
      <w:start w:val="1"/>
      <w:numFmt w:val="bullet"/>
      <w:lvlText w:val="•"/>
      <w:lvlJc w:val="left"/>
      <w:pPr>
        <w:ind w:left="7560" w:hanging="360"/>
      </w:pPr>
      <w:rPr>
        <w:rFonts w:hint="default"/>
      </w:rPr>
    </w:lvl>
  </w:abstractNum>
  <w:abstractNum w:abstractNumId="18">
    <w:multiLevelType w:val="hybridMultilevel"/>
    <w:lvl w:ilvl="0">
      <w:start w:val="1"/>
      <w:numFmt w:val="lowerLetter"/>
      <w:lvlText w:val="%1."/>
      <w:lvlJc w:val="left"/>
      <w:pPr>
        <w:ind w:left="536" w:hanging="392"/>
        <w:jc w:val="right"/>
      </w:pPr>
      <w:rPr>
        <w:rFonts w:hint="default"/>
        <w:spacing w:val="-11"/>
        <w:w w:val="93"/>
      </w:rPr>
    </w:lvl>
    <w:lvl w:ilvl="1">
      <w:start w:val="1"/>
      <w:numFmt w:val="bullet"/>
      <w:lvlText w:val="•"/>
      <w:lvlJc w:val="left"/>
      <w:pPr>
        <w:ind w:left="1414" w:hanging="392"/>
      </w:pPr>
      <w:rPr>
        <w:rFonts w:hint="default"/>
      </w:rPr>
    </w:lvl>
    <w:lvl w:ilvl="2">
      <w:start w:val="1"/>
      <w:numFmt w:val="bullet"/>
      <w:lvlText w:val="•"/>
      <w:lvlJc w:val="left"/>
      <w:pPr>
        <w:ind w:left="2288" w:hanging="392"/>
      </w:pPr>
      <w:rPr>
        <w:rFonts w:hint="default"/>
      </w:rPr>
    </w:lvl>
    <w:lvl w:ilvl="3">
      <w:start w:val="1"/>
      <w:numFmt w:val="bullet"/>
      <w:lvlText w:val="•"/>
      <w:lvlJc w:val="left"/>
      <w:pPr>
        <w:ind w:left="3162" w:hanging="392"/>
      </w:pPr>
      <w:rPr>
        <w:rFonts w:hint="default"/>
      </w:rPr>
    </w:lvl>
    <w:lvl w:ilvl="4">
      <w:start w:val="1"/>
      <w:numFmt w:val="bullet"/>
      <w:lvlText w:val="•"/>
      <w:lvlJc w:val="left"/>
      <w:pPr>
        <w:ind w:left="4036" w:hanging="392"/>
      </w:pPr>
      <w:rPr>
        <w:rFonts w:hint="default"/>
      </w:rPr>
    </w:lvl>
    <w:lvl w:ilvl="5">
      <w:start w:val="1"/>
      <w:numFmt w:val="bullet"/>
      <w:lvlText w:val="•"/>
      <w:lvlJc w:val="left"/>
      <w:pPr>
        <w:ind w:left="4910" w:hanging="392"/>
      </w:pPr>
      <w:rPr>
        <w:rFonts w:hint="default"/>
      </w:rPr>
    </w:lvl>
    <w:lvl w:ilvl="6">
      <w:start w:val="1"/>
      <w:numFmt w:val="bullet"/>
      <w:lvlText w:val="•"/>
      <w:lvlJc w:val="left"/>
      <w:pPr>
        <w:ind w:left="5784" w:hanging="392"/>
      </w:pPr>
      <w:rPr>
        <w:rFonts w:hint="default"/>
      </w:rPr>
    </w:lvl>
    <w:lvl w:ilvl="7">
      <w:start w:val="1"/>
      <w:numFmt w:val="bullet"/>
      <w:lvlText w:val="•"/>
      <w:lvlJc w:val="left"/>
      <w:pPr>
        <w:ind w:left="6658" w:hanging="392"/>
      </w:pPr>
      <w:rPr>
        <w:rFonts w:hint="default"/>
      </w:rPr>
    </w:lvl>
    <w:lvl w:ilvl="8">
      <w:start w:val="1"/>
      <w:numFmt w:val="bullet"/>
      <w:lvlText w:val="•"/>
      <w:lvlJc w:val="left"/>
      <w:pPr>
        <w:ind w:left="7532" w:hanging="392"/>
      </w:pPr>
      <w:rPr>
        <w:rFonts w:hint="default"/>
      </w:rPr>
    </w:lvl>
  </w:abstractNum>
  <w:abstractNum w:abstractNumId="17">
    <w:multiLevelType w:val="hybridMultilevel"/>
    <w:lvl w:ilvl="0">
      <w:start w:val="1"/>
      <w:numFmt w:val="decimal"/>
      <w:lvlText w:val="%1."/>
      <w:lvlJc w:val="left"/>
      <w:pPr>
        <w:ind w:left="2151" w:hanging="423"/>
        <w:jc w:val="left"/>
      </w:pPr>
      <w:rPr>
        <w:rFonts w:hint="default" w:ascii="Arial" w:hAnsi="Arial" w:eastAsia="Arial" w:cs="Arial"/>
        <w:w w:val="99"/>
        <w:sz w:val="24"/>
        <w:szCs w:val="24"/>
      </w:rPr>
    </w:lvl>
    <w:lvl w:ilvl="1">
      <w:start w:val="1"/>
      <w:numFmt w:val="bullet"/>
      <w:lvlText w:val="•"/>
      <w:lvlJc w:val="left"/>
      <w:pPr>
        <w:ind w:left="2872" w:hanging="423"/>
      </w:pPr>
      <w:rPr>
        <w:rFonts w:hint="default"/>
      </w:rPr>
    </w:lvl>
    <w:lvl w:ilvl="2">
      <w:start w:val="1"/>
      <w:numFmt w:val="bullet"/>
      <w:lvlText w:val="•"/>
      <w:lvlJc w:val="left"/>
      <w:pPr>
        <w:ind w:left="3584" w:hanging="423"/>
      </w:pPr>
      <w:rPr>
        <w:rFonts w:hint="default"/>
      </w:rPr>
    </w:lvl>
    <w:lvl w:ilvl="3">
      <w:start w:val="1"/>
      <w:numFmt w:val="bullet"/>
      <w:lvlText w:val="•"/>
      <w:lvlJc w:val="left"/>
      <w:pPr>
        <w:ind w:left="4296" w:hanging="423"/>
      </w:pPr>
      <w:rPr>
        <w:rFonts w:hint="default"/>
      </w:rPr>
    </w:lvl>
    <w:lvl w:ilvl="4">
      <w:start w:val="1"/>
      <w:numFmt w:val="bullet"/>
      <w:lvlText w:val="•"/>
      <w:lvlJc w:val="left"/>
      <w:pPr>
        <w:ind w:left="5008" w:hanging="423"/>
      </w:pPr>
      <w:rPr>
        <w:rFonts w:hint="default"/>
      </w:rPr>
    </w:lvl>
    <w:lvl w:ilvl="5">
      <w:start w:val="1"/>
      <w:numFmt w:val="bullet"/>
      <w:lvlText w:val="•"/>
      <w:lvlJc w:val="left"/>
      <w:pPr>
        <w:ind w:left="5720" w:hanging="423"/>
      </w:pPr>
      <w:rPr>
        <w:rFonts w:hint="default"/>
      </w:rPr>
    </w:lvl>
    <w:lvl w:ilvl="6">
      <w:start w:val="1"/>
      <w:numFmt w:val="bullet"/>
      <w:lvlText w:val="•"/>
      <w:lvlJc w:val="left"/>
      <w:pPr>
        <w:ind w:left="6432" w:hanging="423"/>
      </w:pPr>
      <w:rPr>
        <w:rFonts w:hint="default"/>
      </w:rPr>
    </w:lvl>
    <w:lvl w:ilvl="7">
      <w:start w:val="1"/>
      <w:numFmt w:val="bullet"/>
      <w:lvlText w:val="•"/>
      <w:lvlJc w:val="left"/>
      <w:pPr>
        <w:ind w:left="7144" w:hanging="423"/>
      </w:pPr>
      <w:rPr>
        <w:rFonts w:hint="default"/>
      </w:rPr>
    </w:lvl>
    <w:lvl w:ilvl="8">
      <w:start w:val="1"/>
      <w:numFmt w:val="bullet"/>
      <w:lvlText w:val="•"/>
      <w:lvlJc w:val="left"/>
      <w:pPr>
        <w:ind w:left="7856" w:hanging="423"/>
      </w:pPr>
      <w:rPr>
        <w:rFonts w:hint="default"/>
      </w:rPr>
    </w:lvl>
  </w:abstractNum>
  <w:abstractNum w:abstractNumId="16">
    <w:multiLevelType w:val="hybridMultilevel"/>
    <w:lvl w:ilvl="0">
      <w:start w:val="1"/>
      <w:numFmt w:val="lowerLetter"/>
      <w:lvlText w:val="%1)"/>
      <w:lvlJc w:val="left"/>
      <w:pPr>
        <w:ind w:left="829" w:hanging="284"/>
        <w:jc w:val="left"/>
      </w:pPr>
      <w:rPr>
        <w:rFonts w:hint="default" w:ascii="Arial" w:hAnsi="Arial" w:eastAsia="Arial" w:cs="Arial"/>
        <w:w w:val="99"/>
        <w:sz w:val="24"/>
        <w:szCs w:val="24"/>
      </w:rPr>
    </w:lvl>
    <w:lvl w:ilvl="1">
      <w:start w:val="1"/>
      <w:numFmt w:val="bullet"/>
      <w:lvlText w:val="•"/>
      <w:lvlJc w:val="left"/>
      <w:pPr>
        <w:ind w:left="1632" w:hanging="284"/>
      </w:pPr>
      <w:rPr>
        <w:rFonts w:hint="default"/>
      </w:rPr>
    </w:lvl>
    <w:lvl w:ilvl="2">
      <w:start w:val="1"/>
      <w:numFmt w:val="bullet"/>
      <w:lvlText w:val="•"/>
      <w:lvlJc w:val="left"/>
      <w:pPr>
        <w:ind w:left="2444" w:hanging="284"/>
      </w:pPr>
      <w:rPr>
        <w:rFonts w:hint="default"/>
      </w:rPr>
    </w:lvl>
    <w:lvl w:ilvl="3">
      <w:start w:val="1"/>
      <w:numFmt w:val="bullet"/>
      <w:lvlText w:val="•"/>
      <w:lvlJc w:val="left"/>
      <w:pPr>
        <w:ind w:left="325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80" w:hanging="284"/>
      </w:pPr>
      <w:rPr>
        <w:rFonts w:hint="default"/>
      </w:rPr>
    </w:lvl>
    <w:lvl w:ilvl="6">
      <w:start w:val="1"/>
      <w:numFmt w:val="bullet"/>
      <w:lvlText w:val="•"/>
      <w:lvlJc w:val="left"/>
      <w:pPr>
        <w:ind w:left="5692" w:hanging="284"/>
      </w:pPr>
      <w:rPr>
        <w:rFonts w:hint="default"/>
      </w:rPr>
    </w:lvl>
    <w:lvl w:ilvl="7">
      <w:start w:val="1"/>
      <w:numFmt w:val="bullet"/>
      <w:lvlText w:val="•"/>
      <w:lvlJc w:val="left"/>
      <w:pPr>
        <w:ind w:left="6504" w:hanging="284"/>
      </w:pPr>
      <w:rPr>
        <w:rFonts w:hint="default"/>
      </w:rPr>
    </w:lvl>
    <w:lvl w:ilvl="8">
      <w:start w:val="1"/>
      <w:numFmt w:val="bullet"/>
      <w:lvlText w:val="•"/>
      <w:lvlJc w:val="left"/>
      <w:pPr>
        <w:ind w:left="7316" w:hanging="284"/>
      </w:pPr>
      <w:rPr>
        <w:rFonts w:hint="default"/>
      </w:rPr>
    </w:lvl>
  </w:abstractNum>
  <w:abstractNum w:abstractNumId="15">
    <w:multiLevelType w:val="hybridMultilevel"/>
    <w:lvl w:ilvl="0">
      <w:start w:val="1"/>
      <w:numFmt w:val="lowerLetter"/>
      <w:lvlText w:val="%1)"/>
      <w:lvlJc w:val="left"/>
      <w:pPr>
        <w:ind w:left="1189" w:hanging="360"/>
        <w:jc w:val="left"/>
      </w:pPr>
      <w:rPr>
        <w:rFonts w:hint="default" w:ascii="Arial" w:hAnsi="Arial" w:eastAsia="Arial" w:cs="Arial"/>
        <w:w w:val="99"/>
        <w:sz w:val="24"/>
        <w:szCs w:val="24"/>
      </w:rPr>
    </w:lvl>
    <w:lvl w:ilvl="1">
      <w:start w:val="1"/>
      <w:numFmt w:val="bullet"/>
      <w:lvlText w:val="•"/>
      <w:lvlJc w:val="left"/>
      <w:pPr>
        <w:ind w:left="1956" w:hanging="360"/>
      </w:pPr>
      <w:rPr>
        <w:rFonts w:hint="default"/>
      </w:rPr>
    </w:lvl>
    <w:lvl w:ilvl="2">
      <w:start w:val="1"/>
      <w:numFmt w:val="bullet"/>
      <w:lvlText w:val="•"/>
      <w:lvlJc w:val="left"/>
      <w:pPr>
        <w:ind w:left="2732" w:hanging="360"/>
      </w:pPr>
      <w:rPr>
        <w:rFonts w:hint="default"/>
      </w:rPr>
    </w:lvl>
    <w:lvl w:ilvl="3">
      <w:start w:val="1"/>
      <w:numFmt w:val="bullet"/>
      <w:lvlText w:val="•"/>
      <w:lvlJc w:val="left"/>
      <w:pPr>
        <w:ind w:left="350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612" w:hanging="360"/>
      </w:pPr>
      <w:rPr>
        <w:rFonts w:hint="default"/>
      </w:rPr>
    </w:lvl>
    <w:lvl w:ilvl="8">
      <w:start w:val="1"/>
      <w:numFmt w:val="bullet"/>
      <w:lvlText w:val="•"/>
      <w:lvlJc w:val="left"/>
      <w:pPr>
        <w:ind w:left="7388" w:hanging="360"/>
      </w:pPr>
      <w:rPr>
        <w:rFonts w:hint="default"/>
      </w:rPr>
    </w:lvl>
  </w:abstractNum>
  <w:abstractNum w:abstractNumId="14">
    <w:multiLevelType w:val="hybridMultilevel"/>
    <w:lvl w:ilvl="0">
      <w:start w:val="2"/>
      <w:numFmt w:val="decimal"/>
      <w:lvlText w:val="%1"/>
      <w:lvlJc w:val="left"/>
      <w:pPr>
        <w:ind w:left="512" w:hanging="404"/>
        <w:jc w:val="left"/>
      </w:pPr>
      <w:rPr>
        <w:rFonts w:hint="default"/>
      </w:rPr>
    </w:lvl>
    <w:lvl w:ilvl="1">
      <w:start w:val="1"/>
      <w:numFmt w:val="decimal"/>
      <w:lvlText w:val="%1.%2"/>
      <w:lvlJc w:val="left"/>
      <w:pPr>
        <w:ind w:left="512" w:hanging="404"/>
        <w:jc w:val="left"/>
      </w:pPr>
      <w:rPr>
        <w:rFonts w:hint="default" w:ascii="Arial" w:hAnsi="Arial" w:eastAsia="Arial" w:cs="Arial"/>
        <w:b/>
        <w:bCs/>
        <w:w w:val="99"/>
        <w:sz w:val="24"/>
        <w:szCs w:val="24"/>
      </w:rPr>
    </w:lvl>
    <w:lvl w:ilvl="2">
      <w:start w:val="1"/>
      <w:numFmt w:val="decimal"/>
      <w:lvlText w:val="%1.%2.%3"/>
      <w:lvlJc w:val="left"/>
      <w:pPr>
        <w:ind w:left="710" w:hanging="602"/>
        <w:jc w:val="right"/>
      </w:pPr>
      <w:rPr>
        <w:rFonts w:hint="default" w:ascii="Arial" w:hAnsi="Arial" w:eastAsia="Arial" w:cs="Arial"/>
        <w:b/>
        <w:bCs/>
        <w:spacing w:val="-2"/>
        <w:w w:val="99"/>
        <w:sz w:val="24"/>
        <w:szCs w:val="24"/>
      </w:rPr>
    </w:lvl>
    <w:lvl w:ilvl="3">
      <w:start w:val="1"/>
      <w:numFmt w:val="bullet"/>
      <w:lvlText w:val=""/>
      <w:lvlJc w:val="left"/>
      <w:pPr>
        <w:ind w:left="849" w:hanging="360"/>
      </w:pPr>
      <w:rPr>
        <w:rFonts w:hint="default" w:ascii="Symbol" w:hAnsi="Symbol" w:eastAsia="Symbol" w:cs="Symbol"/>
        <w:w w:val="100"/>
        <w:sz w:val="24"/>
        <w:szCs w:val="24"/>
      </w:rPr>
    </w:lvl>
    <w:lvl w:ilvl="4">
      <w:start w:val="1"/>
      <w:numFmt w:val="bullet"/>
      <w:lvlText w:val="•"/>
      <w:lvlJc w:val="left"/>
      <w:pPr>
        <w:ind w:left="2048"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4465" w:hanging="360"/>
      </w:pPr>
      <w:rPr>
        <w:rFonts w:hint="default"/>
      </w:rPr>
    </w:lvl>
    <w:lvl w:ilvl="7">
      <w:start w:val="1"/>
      <w:numFmt w:val="bullet"/>
      <w:lvlText w:val="•"/>
      <w:lvlJc w:val="left"/>
      <w:pPr>
        <w:ind w:left="5674" w:hanging="360"/>
      </w:pPr>
      <w:rPr>
        <w:rFonts w:hint="default"/>
      </w:rPr>
    </w:lvl>
    <w:lvl w:ilvl="8">
      <w:start w:val="1"/>
      <w:numFmt w:val="bullet"/>
      <w:lvlText w:val="•"/>
      <w:lvlJc w:val="left"/>
      <w:pPr>
        <w:ind w:left="6882" w:hanging="360"/>
      </w:pPr>
      <w:rPr>
        <w:rFonts w:hint="default"/>
      </w:rPr>
    </w:lvl>
  </w:abstractNum>
  <w:abstractNum w:abstractNumId="13">
    <w:multiLevelType w:val="hybridMultilevel"/>
    <w:lvl w:ilvl="0">
      <w:start w:val="2"/>
      <w:numFmt w:val="decimal"/>
      <w:lvlText w:val="%1"/>
      <w:lvlJc w:val="left"/>
      <w:pPr>
        <w:ind w:left="829" w:hanging="720"/>
        <w:jc w:val="left"/>
      </w:pPr>
      <w:rPr>
        <w:rFonts w:hint="default"/>
      </w:rPr>
    </w:lvl>
    <w:lvl w:ilvl="1">
      <w:start w:val="2"/>
      <w:numFmt w:val="decimal"/>
      <w:lvlText w:val="%1.%2."/>
      <w:lvlJc w:val="left"/>
      <w:pPr>
        <w:ind w:left="829" w:hanging="720"/>
        <w:jc w:val="left"/>
      </w:pPr>
      <w:rPr>
        <w:rFonts w:hint="default" w:ascii="Arial" w:hAnsi="Arial" w:eastAsia="Arial" w:cs="Arial"/>
        <w:w w:val="99"/>
        <w:sz w:val="24"/>
        <w:szCs w:val="24"/>
      </w:rPr>
    </w:lvl>
    <w:lvl w:ilvl="2">
      <w:start w:val="1"/>
      <w:numFmt w:val="decimal"/>
      <w:lvlText w:val="%1.%2.%3."/>
      <w:lvlJc w:val="left"/>
      <w:pPr>
        <w:ind w:left="1822" w:hanging="720"/>
        <w:jc w:val="left"/>
      </w:pPr>
      <w:rPr>
        <w:rFonts w:hint="default" w:ascii="Arial" w:hAnsi="Arial" w:eastAsia="Arial" w:cs="Arial"/>
        <w:spacing w:val="-2"/>
        <w:w w:val="99"/>
        <w:sz w:val="24"/>
        <w:szCs w:val="24"/>
      </w:rPr>
    </w:lvl>
    <w:lvl w:ilvl="3">
      <w:start w:val="1"/>
      <w:numFmt w:val="bullet"/>
      <w:lvlText w:val="•"/>
      <w:lvlJc w:val="left"/>
      <w:pPr>
        <w:ind w:left="3477" w:hanging="720"/>
      </w:pPr>
      <w:rPr>
        <w:rFonts w:hint="default"/>
      </w:rPr>
    </w:lvl>
    <w:lvl w:ilvl="4">
      <w:start w:val="1"/>
      <w:numFmt w:val="bullet"/>
      <w:lvlText w:val="•"/>
      <w:lvlJc w:val="left"/>
      <w:pPr>
        <w:ind w:left="4306" w:hanging="720"/>
      </w:pPr>
      <w:rPr>
        <w:rFonts w:hint="default"/>
      </w:rPr>
    </w:lvl>
    <w:lvl w:ilvl="5">
      <w:start w:val="1"/>
      <w:numFmt w:val="bullet"/>
      <w:lvlText w:val="•"/>
      <w:lvlJc w:val="left"/>
      <w:pPr>
        <w:ind w:left="5135" w:hanging="720"/>
      </w:pPr>
      <w:rPr>
        <w:rFonts w:hint="default"/>
      </w:rPr>
    </w:lvl>
    <w:lvl w:ilvl="6">
      <w:start w:val="1"/>
      <w:numFmt w:val="bullet"/>
      <w:lvlText w:val="•"/>
      <w:lvlJc w:val="left"/>
      <w:pPr>
        <w:ind w:left="5964" w:hanging="720"/>
      </w:pPr>
      <w:rPr>
        <w:rFonts w:hint="default"/>
      </w:rPr>
    </w:lvl>
    <w:lvl w:ilvl="7">
      <w:start w:val="1"/>
      <w:numFmt w:val="bullet"/>
      <w:lvlText w:val="•"/>
      <w:lvlJc w:val="left"/>
      <w:pPr>
        <w:ind w:left="6793" w:hanging="720"/>
      </w:pPr>
      <w:rPr>
        <w:rFonts w:hint="default"/>
      </w:rPr>
    </w:lvl>
    <w:lvl w:ilvl="8">
      <w:start w:val="1"/>
      <w:numFmt w:val="bullet"/>
      <w:lvlText w:val="•"/>
      <w:lvlJc w:val="left"/>
      <w:pPr>
        <w:ind w:left="7622" w:hanging="720"/>
      </w:pPr>
      <w:rPr>
        <w:rFonts w:hint="default"/>
      </w:rPr>
    </w:lvl>
  </w:abstractNum>
  <w:abstractNum w:abstractNumId="12">
    <w:multiLevelType w:val="hybridMultilevel"/>
    <w:lvl w:ilvl="0">
      <w:start w:val="2"/>
      <w:numFmt w:val="decimal"/>
      <w:lvlText w:val="%1"/>
      <w:lvlJc w:val="left"/>
      <w:pPr>
        <w:ind w:left="817" w:hanging="708"/>
        <w:jc w:val="left"/>
      </w:pPr>
      <w:rPr>
        <w:rFonts w:hint="default"/>
      </w:rPr>
    </w:lvl>
    <w:lvl w:ilvl="1">
      <w:start w:val="1"/>
      <w:numFmt w:val="decimal"/>
      <w:lvlText w:val="%1.%2"/>
      <w:lvlJc w:val="left"/>
      <w:pPr>
        <w:ind w:left="817" w:hanging="708"/>
        <w:jc w:val="left"/>
      </w:pPr>
      <w:rPr>
        <w:rFonts w:hint="default" w:ascii="Arial" w:hAnsi="Arial" w:eastAsia="Arial" w:cs="Arial"/>
        <w:spacing w:val="-1"/>
        <w:w w:val="99"/>
        <w:sz w:val="24"/>
        <w:szCs w:val="24"/>
      </w:rPr>
    </w:lvl>
    <w:lvl w:ilvl="2">
      <w:start w:val="1"/>
      <w:numFmt w:val="decimal"/>
      <w:lvlText w:val="%1.%2.%3."/>
      <w:lvlJc w:val="left"/>
      <w:pPr>
        <w:ind w:left="1822" w:hanging="720"/>
        <w:jc w:val="left"/>
      </w:pPr>
      <w:rPr>
        <w:rFonts w:hint="default" w:ascii="Arial" w:hAnsi="Arial" w:eastAsia="Arial" w:cs="Arial"/>
        <w:spacing w:val="-2"/>
        <w:w w:val="99"/>
        <w:sz w:val="24"/>
        <w:szCs w:val="24"/>
      </w:rPr>
    </w:lvl>
    <w:lvl w:ilvl="3">
      <w:start w:val="1"/>
      <w:numFmt w:val="bullet"/>
      <w:lvlText w:val="•"/>
      <w:lvlJc w:val="left"/>
      <w:pPr>
        <w:ind w:left="3477" w:hanging="720"/>
      </w:pPr>
      <w:rPr>
        <w:rFonts w:hint="default"/>
      </w:rPr>
    </w:lvl>
    <w:lvl w:ilvl="4">
      <w:start w:val="1"/>
      <w:numFmt w:val="bullet"/>
      <w:lvlText w:val="•"/>
      <w:lvlJc w:val="left"/>
      <w:pPr>
        <w:ind w:left="4306" w:hanging="720"/>
      </w:pPr>
      <w:rPr>
        <w:rFonts w:hint="default"/>
      </w:rPr>
    </w:lvl>
    <w:lvl w:ilvl="5">
      <w:start w:val="1"/>
      <w:numFmt w:val="bullet"/>
      <w:lvlText w:val="•"/>
      <w:lvlJc w:val="left"/>
      <w:pPr>
        <w:ind w:left="5135" w:hanging="720"/>
      </w:pPr>
      <w:rPr>
        <w:rFonts w:hint="default"/>
      </w:rPr>
    </w:lvl>
    <w:lvl w:ilvl="6">
      <w:start w:val="1"/>
      <w:numFmt w:val="bullet"/>
      <w:lvlText w:val="•"/>
      <w:lvlJc w:val="left"/>
      <w:pPr>
        <w:ind w:left="5964" w:hanging="720"/>
      </w:pPr>
      <w:rPr>
        <w:rFonts w:hint="default"/>
      </w:rPr>
    </w:lvl>
    <w:lvl w:ilvl="7">
      <w:start w:val="1"/>
      <w:numFmt w:val="bullet"/>
      <w:lvlText w:val="•"/>
      <w:lvlJc w:val="left"/>
      <w:pPr>
        <w:ind w:left="6793" w:hanging="720"/>
      </w:pPr>
      <w:rPr>
        <w:rFonts w:hint="default"/>
      </w:rPr>
    </w:lvl>
    <w:lvl w:ilvl="8">
      <w:start w:val="1"/>
      <w:numFmt w:val="bullet"/>
      <w:lvlText w:val="•"/>
      <w:lvlJc w:val="left"/>
      <w:pPr>
        <w:ind w:left="7622" w:hanging="720"/>
      </w:pPr>
      <w:rPr>
        <w:rFonts w:hint="default"/>
      </w:rPr>
    </w:lvl>
  </w:abstractNum>
  <w:abstractNum w:abstractNumId="11">
    <w:multiLevelType w:val="hybridMultilevel"/>
    <w:lvl w:ilvl="0">
      <w:start w:val="1"/>
      <w:numFmt w:val="bullet"/>
      <w:lvlText w:val=""/>
      <w:lvlJc w:val="left"/>
      <w:pPr>
        <w:ind w:left="463" w:hanging="360"/>
      </w:pPr>
      <w:rPr>
        <w:rFonts w:hint="default"/>
        <w:w w:val="99"/>
      </w:rPr>
    </w:lvl>
    <w:lvl w:ilvl="1">
      <w:start w:val="1"/>
      <w:numFmt w:val="bullet"/>
      <w:lvlText w:val=""/>
      <w:lvlJc w:val="left"/>
      <w:pPr>
        <w:ind w:left="829" w:hanging="360"/>
      </w:pPr>
      <w:rPr>
        <w:rFonts w:hint="default" w:ascii="Symbol" w:hAnsi="Symbol" w:eastAsia="Symbol" w:cs="Symbol"/>
        <w:w w:val="100"/>
        <w:sz w:val="24"/>
        <w:szCs w:val="24"/>
      </w:rPr>
    </w:lvl>
    <w:lvl w:ilvl="2">
      <w:start w:val="1"/>
      <w:numFmt w:val="bullet"/>
      <w:lvlText w:val="•"/>
      <w:lvlJc w:val="left"/>
      <w:pPr>
        <w:ind w:left="1762" w:hanging="360"/>
      </w:pPr>
      <w:rPr>
        <w:rFonts w:hint="default"/>
      </w:rPr>
    </w:lvl>
    <w:lvl w:ilvl="3">
      <w:start w:val="1"/>
      <w:numFmt w:val="bullet"/>
      <w:lvlText w:val="•"/>
      <w:lvlJc w:val="left"/>
      <w:pPr>
        <w:ind w:left="270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88" w:hanging="360"/>
      </w:pPr>
      <w:rPr>
        <w:rFonts w:hint="default"/>
      </w:rPr>
    </w:lvl>
    <w:lvl w:ilvl="6">
      <w:start w:val="1"/>
      <w:numFmt w:val="bullet"/>
      <w:lvlText w:val="•"/>
      <w:lvlJc w:val="left"/>
      <w:pPr>
        <w:ind w:left="5531"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415" w:hanging="360"/>
      </w:pPr>
      <w:rPr>
        <w:rFonts w:hint="default"/>
      </w:rPr>
    </w:lvl>
  </w:abstractNum>
  <w:abstractNum w:abstractNumId="10">
    <w:multiLevelType w:val="hybridMultilevel"/>
    <w:lvl w:ilvl="0">
      <w:start w:val="1"/>
      <w:numFmt w:val="decimal"/>
      <w:lvlText w:val="%1"/>
      <w:lvlJc w:val="left"/>
      <w:pPr>
        <w:ind w:left="709" w:hanging="600"/>
        <w:jc w:val="left"/>
      </w:pPr>
      <w:rPr>
        <w:rFonts w:hint="default"/>
      </w:rPr>
    </w:lvl>
    <w:lvl w:ilvl="1">
      <w:start w:val="2"/>
      <w:numFmt w:val="decimal"/>
      <w:lvlText w:val="%1.%2"/>
      <w:lvlJc w:val="left"/>
      <w:pPr>
        <w:ind w:left="709" w:hanging="600"/>
        <w:jc w:val="left"/>
      </w:pPr>
      <w:rPr>
        <w:rFonts w:hint="default" w:ascii="Arial" w:hAnsi="Arial" w:eastAsia="Arial" w:cs="Arial"/>
        <w:b/>
        <w:bCs/>
        <w:w w:val="99"/>
        <w:sz w:val="24"/>
        <w:szCs w:val="24"/>
      </w:rPr>
    </w:lvl>
    <w:lvl w:ilvl="2">
      <w:start w:val="1"/>
      <w:numFmt w:val="decimal"/>
      <w:lvlText w:val="%1.%2.%3"/>
      <w:lvlJc w:val="left"/>
      <w:pPr>
        <w:ind w:left="829" w:hanging="720"/>
        <w:jc w:val="right"/>
      </w:pPr>
      <w:rPr>
        <w:rFonts w:hint="default" w:ascii="Arial" w:hAnsi="Arial" w:eastAsia="Arial" w:cs="Arial"/>
        <w:b/>
        <w:bCs/>
        <w:spacing w:val="-2"/>
        <w:w w:val="99"/>
        <w:sz w:val="24"/>
        <w:szCs w:val="24"/>
      </w:rPr>
    </w:lvl>
    <w:lvl w:ilvl="3">
      <w:start w:val="1"/>
      <w:numFmt w:val="bullet"/>
      <w:lvlText w:val=""/>
      <w:lvlJc w:val="left"/>
      <w:pPr>
        <w:ind w:left="1549" w:hanging="360"/>
      </w:pPr>
      <w:rPr>
        <w:rFonts w:hint="default" w:ascii="Wingdings" w:hAnsi="Wingdings" w:eastAsia="Wingdings" w:cs="Wingdings"/>
        <w:w w:val="99"/>
        <w:sz w:val="20"/>
        <w:szCs w:val="20"/>
      </w:rPr>
    </w:lvl>
    <w:lvl w:ilvl="4">
      <w:start w:val="1"/>
      <w:numFmt w:val="bullet"/>
      <w:lvlText w:val="•"/>
      <w:lvlJc w:val="left"/>
      <w:pPr>
        <w:ind w:left="3480" w:hanging="360"/>
      </w:pPr>
      <w:rPr>
        <w:rFonts w:hint="default"/>
      </w:rPr>
    </w:lvl>
    <w:lvl w:ilvl="5">
      <w:start w:val="1"/>
      <w:numFmt w:val="bullet"/>
      <w:lvlText w:val="•"/>
      <w:lvlJc w:val="left"/>
      <w:pPr>
        <w:ind w:left="4450" w:hanging="360"/>
      </w:pPr>
      <w:rPr>
        <w:rFonts w:hint="default"/>
      </w:rPr>
    </w:lvl>
    <w:lvl w:ilvl="6">
      <w:start w:val="1"/>
      <w:numFmt w:val="bullet"/>
      <w:lvlText w:val="•"/>
      <w:lvlJc w:val="left"/>
      <w:pPr>
        <w:ind w:left="5420" w:hanging="360"/>
      </w:pPr>
      <w:rPr>
        <w:rFonts w:hint="default"/>
      </w:rPr>
    </w:lvl>
    <w:lvl w:ilvl="7">
      <w:start w:val="1"/>
      <w:numFmt w:val="bullet"/>
      <w:lvlText w:val="•"/>
      <w:lvlJc w:val="left"/>
      <w:pPr>
        <w:ind w:left="6390" w:hanging="360"/>
      </w:pPr>
      <w:rPr>
        <w:rFonts w:hint="default"/>
      </w:rPr>
    </w:lvl>
    <w:lvl w:ilvl="8">
      <w:start w:val="1"/>
      <w:numFmt w:val="bullet"/>
      <w:lvlText w:val="•"/>
      <w:lvlJc w:val="left"/>
      <w:pPr>
        <w:ind w:left="7360" w:hanging="360"/>
      </w:pPr>
      <w:rPr>
        <w:rFonts w:hint="default"/>
      </w:rPr>
    </w:lvl>
  </w:abstractNum>
  <w:abstractNum w:abstractNumId="9">
    <w:multiLevelType w:val="hybridMultilevel"/>
    <w:lvl w:ilvl="0">
      <w:start w:val="1"/>
      <w:numFmt w:val="lowerLetter"/>
      <w:lvlText w:val="%1)"/>
      <w:lvlJc w:val="left"/>
      <w:pPr>
        <w:ind w:left="829" w:hanging="360"/>
        <w:jc w:val="left"/>
      </w:pPr>
      <w:rPr>
        <w:rFonts w:hint="default" w:ascii="Arial" w:hAnsi="Arial" w:eastAsia="Arial" w:cs="Arial"/>
        <w:w w:val="99"/>
        <w:sz w:val="24"/>
        <w:szCs w:val="24"/>
      </w:rPr>
    </w:lvl>
    <w:lvl w:ilvl="1">
      <w:start w:val="1"/>
      <w:numFmt w:val="bullet"/>
      <w:lvlText w:val="•"/>
      <w:lvlJc w:val="left"/>
      <w:pPr>
        <w:ind w:left="171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90" w:hanging="360"/>
      </w:pPr>
      <w:rPr>
        <w:rFonts w:hint="default"/>
      </w:rPr>
    </w:lvl>
    <w:lvl w:ilvl="4">
      <w:start w:val="1"/>
      <w:numFmt w:val="bullet"/>
      <w:lvlText w:val="•"/>
      <w:lvlJc w:val="left"/>
      <w:pPr>
        <w:ind w:left="4380"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60" w:hanging="360"/>
      </w:pPr>
      <w:rPr>
        <w:rFonts w:hint="default"/>
      </w:rPr>
    </w:lvl>
    <w:lvl w:ilvl="7">
      <w:start w:val="1"/>
      <w:numFmt w:val="bullet"/>
      <w:lvlText w:val="•"/>
      <w:lvlJc w:val="left"/>
      <w:pPr>
        <w:ind w:left="7050" w:hanging="360"/>
      </w:pPr>
      <w:rPr>
        <w:rFonts w:hint="default"/>
      </w:rPr>
    </w:lvl>
    <w:lvl w:ilvl="8">
      <w:start w:val="1"/>
      <w:numFmt w:val="bullet"/>
      <w:lvlText w:val="•"/>
      <w:lvlJc w:val="left"/>
      <w:pPr>
        <w:ind w:left="7940" w:hanging="360"/>
      </w:pPr>
      <w:rPr>
        <w:rFonts w:hint="default"/>
      </w:rPr>
    </w:lvl>
  </w:abstractNum>
  <w:abstractNum w:abstractNumId="8">
    <w:multiLevelType w:val="hybridMultilevel"/>
    <w:lvl w:ilvl="0">
      <w:start w:val="1"/>
      <w:numFmt w:val="lowerLetter"/>
      <w:lvlText w:val="%1)"/>
      <w:lvlJc w:val="left"/>
      <w:pPr>
        <w:ind w:left="829" w:hanging="360"/>
        <w:jc w:val="left"/>
      </w:pPr>
      <w:rPr>
        <w:rFonts w:hint="default" w:ascii="Arial" w:hAnsi="Arial" w:eastAsia="Arial" w:cs="Arial"/>
        <w:w w:val="99"/>
        <w:sz w:val="24"/>
        <w:szCs w:val="24"/>
      </w:rPr>
    </w:lvl>
    <w:lvl w:ilvl="1">
      <w:start w:val="1"/>
      <w:numFmt w:val="bullet"/>
      <w:lvlText w:val="•"/>
      <w:lvlJc w:val="left"/>
      <w:pPr>
        <w:ind w:left="166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756" w:hanging="360"/>
      </w:pPr>
      <w:rPr>
        <w:rFonts w:hint="default"/>
      </w:rPr>
    </w:lvl>
    <w:lvl w:ilvl="8">
      <w:start w:val="1"/>
      <w:numFmt w:val="bullet"/>
      <w:lvlText w:val="•"/>
      <w:lvlJc w:val="left"/>
      <w:pPr>
        <w:ind w:left="7604" w:hanging="360"/>
      </w:pPr>
      <w:rPr>
        <w:rFonts w:hint="default"/>
      </w:rPr>
    </w:lvl>
  </w:abstractNum>
  <w:abstractNum w:abstractNumId="7">
    <w:multiLevelType w:val="hybridMultilevel"/>
    <w:lvl w:ilvl="0">
      <w:start w:val="1"/>
      <w:numFmt w:val="decimal"/>
      <w:lvlText w:val="%1"/>
      <w:lvlJc w:val="left"/>
      <w:pPr>
        <w:ind w:left="514" w:hanging="406"/>
        <w:jc w:val="left"/>
      </w:pPr>
      <w:rPr>
        <w:rFonts w:hint="default"/>
      </w:rPr>
    </w:lvl>
    <w:lvl w:ilvl="1">
      <w:start w:val="1"/>
      <w:numFmt w:val="decimal"/>
      <w:lvlText w:val="%1.%2"/>
      <w:lvlJc w:val="left"/>
      <w:pPr>
        <w:ind w:left="514" w:hanging="406"/>
        <w:jc w:val="left"/>
      </w:pPr>
      <w:rPr>
        <w:rFonts w:hint="default" w:ascii="Arial" w:hAnsi="Arial" w:eastAsia="Arial" w:cs="Arial"/>
        <w:b/>
        <w:bCs/>
        <w:w w:val="99"/>
        <w:sz w:val="24"/>
        <w:szCs w:val="24"/>
      </w:rPr>
    </w:lvl>
    <w:lvl w:ilvl="2">
      <w:start w:val="1"/>
      <w:numFmt w:val="decimal"/>
      <w:lvlText w:val="%1.%2.%3"/>
      <w:lvlJc w:val="left"/>
      <w:pPr>
        <w:ind w:left="829" w:hanging="720"/>
        <w:jc w:val="left"/>
      </w:pPr>
      <w:rPr>
        <w:rFonts w:hint="default" w:ascii="Arial" w:hAnsi="Arial" w:eastAsia="Arial" w:cs="Arial"/>
        <w:b/>
        <w:bCs/>
        <w:spacing w:val="-2"/>
        <w:w w:val="99"/>
        <w:sz w:val="24"/>
        <w:szCs w:val="24"/>
      </w:rPr>
    </w:lvl>
    <w:lvl w:ilvl="3">
      <w:start w:val="1"/>
      <w:numFmt w:val="bullet"/>
      <w:lvlText w:val="•"/>
      <w:lvlJc w:val="left"/>
      <w:pPr>
        <w:ind w:left="829" w:hanging="360"/>
      </w:pPr>
      <w:rPr>
        <w:rFonts w:hint="default" w:ascii="Arial" w:hAnsi="Arial" w:eastAsia="Arial" w:cs="Arial"/>
        <w:w w:val="99"/>
        <w:sz w:val="24"/>
        <w:szCs w:val="24"/>
      </w:rPr>
    </w:lvl>
    <w:lvl w:ilvl="4">
      <w:start w:val="1"/>
      <w:numFmt w:val="bullet"/>
      <w:lvlText w:val="•"/>
      <w:lvlJc w:val="left"/>
      <w:pPr>
        <w:ind w:left="3640" w:hanging="360"/>
      </w:pPr>
      <w:rPr>
        <w:rFonts w:hint="default"/>
      </w:rPr>
    </w:lvl>
    <w:lvl w:ilvl="5">
      <w:start w:val="1"/>
      <w:numFmt w:val="bullet"/>
      <w:lvlText w:val="•"/>
      <w:lvlJc w:val="left"/>
      <w:pPr>
        <w:ind w:left="4580" w:hanging="360"/>
      </w:pPr>
      <w:rPr>
        <w:rFonts w:hint="default"/>
      </w:rPr>
    </w:lvl>
    <w:lvl w:ilvl="6">
      <w:start w:val="1"/>
      <w:numFmt w:val="bullet"/>
      <w:lvlText w:val="•"/>
      <w:lvlJc w:val="left"/>
      <w:pPr>
        <w:ind w:left="5520" w:hanging="360"/>
      </w:pPr>
      <w:rPr>
        <w:rFonts w:hint="default"/>
      </w:rPr>
    </w:lvl>
    <w:lvl w:ilvl="7">
      <w:start w:val="1"/>
      <w:numFmt w:val="bullet"/>
      <w:lvlText w:val="•"/>
      <w:lvlJc w:val="left"/>
      <w:pPr>
        <w:ind w:left="6460" w:hanging="360"/>
      </w:pPr>
      <w:rPr>
        <w:rFonts w:hint="default"/>
      </w:rPr>
    </w:lvl>
    <w:lvl w:ilvl="8">
      <w:start w:val="1"/>
      <w:numFmt w:val="bullet"/>
      <w:lvlText w:val="•"/>
      <w:lvlJc w:val="left"/>
      <w:pPr>
        <w:ind w:left="7400" w:hanging="360"/>
      </w:pPr>
      <w:rPr>
        <w:rFonts w:hint="default"/>
      </w:rPr>
    </w:lvl>
  </w:abstractNum>
  <w:abstractNum w:abstractNumId="6">
    <w:multiLevelType w:val="hybridMultilevel"/>
    <w:lvl w:ilvl="0">
      <w:start w:val="1"/>
      <w:numFmt w:val="decimal"/>
      <w:lvlText w:val="%1"/>
      <w:lvlJc w:val="left"/>
      <w:pPr>
        <w:ind w:left="829" w:hanging="720"/>
        <w:jc w:val="left"/>
      </w:pPr>
      <w:rPr>
        <w:rFonts w:hint="default"/>
      </w:rPr>
    </w:lvl>
    <w:lvl w:ilvl="1">
      <w:start w:val="1"/>
      <w:numFmt w:val="decimal"/>
      <w:lvlText w:val="%1.%2."/>
      <w:lvlJc w:val="left"/>
      <w:pPr>
        <w:ind w:left="829" w:hanging="720"/>
        <w:jc w:val="left"/>
      </w:pPr>
      <w:rPr>
        <w:rFonts w:hint="default" w:ascii="Arial" w:hAnsi="Arial" w:eastAsia="Arial" w:cs="Arial"/>
        <w:w w:val="99"/>
        <w:sz w:val="24"/>
        <w:szCs w:val="24"/>
      </w:rPr>
    </w:lvl>
    <w:lvl w:ilvl="2">
      <w:start w:val="1"/>
      <w:numFmt w:val="decimal"/>
      <w:lvlText w:val="%1.%2.%3."/>
      <w:lvlJc w:val="left"/>
      <w:pPr>
        <w:ind w:left="1527" w:hanging="711"/>
        <w:jc w:val="left"/>
      </w:pPr>
      <w:rPr>
        <w:rFonts w:hint="default" w:ascii="Arial" w:hAnsi="Arial" w:eastAsia="Arial" w:cs="Arial"/>
        <w:spacing w:val="-2"/>
        <w:w w:val="99"/>
        <w:sz w:val="24"/>
        <w:szCs w:val="24"/>
      </w:rPr>
    </w:lvl>
    <w:lvl w:ilvl="3">
      <w:start w:val="1"/>
      <w:numFmt w:val="bullet"/>
      <w:lvlText w:val="•"/>
      <w:lvlJc w:val="left"/>
      <w:pPr>
        <w:ind w:left="3120" w:hanging="711"/>
      </w:pPr>
      <w:rPr>
        <w:rFonts w:hint="default"/>
      </w:rPr>
    </w:lvl>
    <w:lvl w:ilvl="4">
      <w:start w:val="1"/>
      <w:numFmt w:val="bullet"/>
      <w:lvlText w:val="•"/>
      <w:lvlJc w:val="left"/>
      <w:pPr>
        <w:ind w:left="4000" w:hanging="711"/>
      </w:pPr>
      <w:rPr>
        <w:rFonts w:hint="default"/>
      </w:rPr>
    </w:lvl>
    <w:lvl w:ilvl="5">
      <w:start w:val="1"/>
      <w:numFmt w:val="bullet"/>
      <w:lvlText w:val="•"/>
      <w:lvlJc w:val="left"/>
      <w:pPr>
        <w:ind w:left="4880" w:hanging="711"/>
      </w:pPr>
      <w:rPr>
        <w:rFonts w:hint="default"/>
      </w:rPr>
    </w:lvl>
    <w:lvl w:ilvl="6">
      <w:start w:val="1"/>
      <w:numFmt w:val="bullet"/>
      <w:lvlText w:val="•"/>
      <w:lvlJc w:val="left"/>
      <w:pPr>
        <w:ind w:left="5760" w:hanging="711"/>
      </w:pPr>
      <w:rPr>
        <w:rFonts w:hint="default"/>
      </w:rPr>
    </w:lvl>
    <w:lvl w:ilvl="7">
      <w:start w:val="1"/>
      <w:numFmt w:val="bullet"/>
      <w:lvlText w:val="•"/>
      <w:lvlJc w:val="left"/>
      <w:pPr>
        <w:ind w:left="6640" w:hanging="711"/>
      </w:pPr>
      <w:rPr>
        <w:rFonts w:hint="default"/>
      </w:rPr>
    </w:lvl>
    <w:lvl w:ilvl="8">
      <w:start w:val="1"/>
      <w:numFmt w:val="bullet"/>
      <w:lvlText w:val="•"/>
      <w:lvlJc w:val="left"/>
      <w:pPr>
        <w:ind w:left="7520" w:hanging="711"/>
      </w:pPr>
      <w:rPr>
        <w:rFonts w:hint="default"/>
      </w:rPr>
    </w:lvl>
  </w:abstractNum>
  <w:abstractNum w:abstractNumId="5">
    <w:multiLevelType w:val="hybridMultilevel"/>
    <w:lvl w:ilvl="0">
      <w:start w:val="4"/>
      <w:numFmt w:val="decimal"/>
      <w:lvlText w:val="%1"/>
      <w:lvlJc w:val="left"/>
      <w:pPr>
        <w:ind w:left="1222" w:hanging="674"/>
        <w:jc w:val="left"/>
      </w:pPr>
      <w:rPr>
        <w:rFonts w:hint="default"/>
      </w:rPr>
    </w:lvl>
    <w:lvl w:ilvl="1">
      <w:start w:val="2"/>
      <w:numFmt w:val="decimal"/>
      <w:lvlText w:val="%1.%2"/>
      <w:lvlJc w:val="left"/>
      <w:pPr>
        <w:ind w:left="1222" w:hanging="674"/>
        <w:jc w:val="left"/>
      </w:pPr>
      <w:rPr>
        <w:rFonts w:hint="default"/>
      </w:rPr>
    </w:lvl>
    <w:lvl w:ilvl="2">
      <w:start w:val="2"/>
      <w:numFmt w:val="decimal"/>
      <w:lvlText w:val="%1.%2.%3."/>
      <w:lvlJc w:val="left"/>
      <w:pPr>
        <w:ind w:left="1222" w:hanging="674"/>
        <w:jc w:val="left"/>
      </w:pPr>
      <w:rPr>
        <w:rFonts w:hint="default" w:ascii="Arial" w:hAnsi="Arial" w:eastAsia="Arial" w:cs="Arial"/>
        <w:spacing w:val="-3"/>
        <w:w w:val="100"/>
        <w:sz w:val="22"/>
        <w:szCs w:val="22"/>
      </w:rPr>
    </w:lvl>
    <w:lvl w:ilvl="3">
      <w:start w:val="1"/>
      <w:numFmt w:val="bullet"/>
      <w:lvlText w:val="•"/>
      <w:lvlJc w:val="left"/>
      <w:pPr>
        <w:ind w:left="3638" w:hanging="674"/>
      </w:pPr>
      <w:rPr>
        <w:rFonts w:hint="default"/>
      </w:rPr>
    </w:lvl>
    <w:lvl w:ilvl="4">
      <w:start w:val="1"/>
      <w:numFmt w:val="bullet"/>
      <w:lvlText w:val="•"/>
      <w:lvlJc w:val="left"/>
      <w:pPr>
        <w:ind w:left="4444" w:hanging="674"/>
      </w:pPr>
      <w:rPr>
        <w:rFonts w:hint="default"/>
      </w:rPr>
    </w:lvl>
    <w:lvl w:ilvl="5">
      <w:start w:val="1"/>
      <w:numFmt w:val="bullet"/>
      <w:lvlText w:val="•"/>
      <w:lvlJc w:val="left"/>
      <w:pPr>
        <w:ind w:left="5250" w:hanging="674"/>
      </w:pPr>
      <w:rPr>
        <w:rFonts w:hint="default"/>
      </w:rPr>
    </w:lvl>
    <w:lvl w:ilvl="6">
      <w:start w:val="1"/>
      <w:numFmt w:val="bullet"/>
      <w:lvlText w:val="•"/>
      <w:lvlJc w:val="left"/>
      <w:pPr>
        <w:ind w:left="6056" w:hanging="674"/>
      </w:pPr>
      <w:rPr>
        <w:rFonts w:hint="default"/>
      </w:rPr>
    </w:lvl>
    <w:lvl w:ilvl="7">
      <w:start w:val="1"/>
      <w:numFmt w:val="bullet"/>
      <w:lvlText w:val="•"/>
      <w:lvlJc w:val="left"/>
      <w:pPr>
        <w:ind w:left="6862" w:hanging="674"/>
      </w:pPr>
      <w:rPr>
        <w:rFonts w:hint="default"/>
      </w:rPr>
    </w:lvl>
    <w:lvl w:ilvl="8">
      <w:start w:val="1"/>
      <w:numFmt w:val="bullet"/>
      <w:lvlText w:val="•"/>
      <w:lvlJc w:val="left"/>
      <w:pPr>
        <w:ind w:left="7668" w:hanging="674"/>
      </w:pPr>
      <w:rPr>
        <w:rFonts w:hint="default"/>
      </w:rPr>
    </w:lvl>
  </w:abstractNum>
  <w:abstractNum w:abstractNumId="4">
    <w:multiLevelType w:val="hybridMultilevel"/>
    <w:lvl w:ilvl="0">
      <w:start w:val="4"/>
      <w:numFmt w:val="decimal"/>
      <w:lvlText w:val="%1"/>
      <w:lvlJc w:val="left"/>
      <w:pPr>
        <w:ind w:left="759" w:hanging="430"/>
        <w:jc w:val="left"/>
      </w:pPr>
      <w:rPr>
        <w:rFonts w:hint="default"/>
      </w:rPr>
    </w:lvl>
    <w:lvl w:ilvl="1">
      <w:start w:val="1"/>
      <w:numFmt w:val="decimal"/>
      <w:lvlText w:val="%1.%2."/>
      <w:lvlJc w:val="left"/>
      <w:pPr>
        <w:ind w:left="759" w:hanging="430"/>
        <w:jc w:val="left"/>
      </w:pPr>
      <w:rPr>
        <w:rFonts w:hint="default" w:ascii="Arial" w:hAnsi="Arial" w:eastAsia="Arial" w:cs="Arial"/>
        <w:w w:val="100"/>
        <w:sz w:val="22"/>
        <w:szCs w:val="22"/>
      </w:rPr>
    </w:lvl>
    <w:lvl w:ilvl="2">
      <w:start w:val="1"/>
      <w:numFmt w:val="decimal"/>
      <w:lvlText w:val="%1.%2.%3."/>
      <w:lvlJc w:val="left"/>
      <w:pPr>
        <w:ind w:left="1162" w:hanging="614"/>
        <w:jc w:val="left"/>
      </w:pPr>
      <w:rPr>
        <w:rFonts w:hint="default" w:ascii="Arial" w:hAnsi="Arial" w:eastAsia="Arial" w:cs="Arial"/>
        <w:spacing w:val="-3"/>
        <w:w w:val="100"/>
        <w:sz w:val="22"/>
        <w:szCs w:val="22"/>
      </w:rPr>
    </w:lvl>
    <w:lvl w:ilvl="3">
      <w:start w:val="1"/>
      <w:numFmt w:val="bullet"/>
      <w:lvlText w:val="•"/>
      <w:lvlJc w:val="left"/>
      <w:pPr>
        <w:ind w:left="2964" w:hanging="614"/>
      </w:pPr>
      <w:rPr>
        <w:rFonts w:hint="default"/>
      </w:rPr>
    </w:lvl>
    <w:lvl w:ilvl="4">
      <w:start w:val="1"/>
      <w:numFmt w:val="bullet"/>
      <w:lvlText w:val="•"/>
      <w:lvlJc w:val="left"/>
      <w:pPr>
        <w:ind w:left="3866" w:hanging="614"/>
      </w:pPr>
      <w:rPr>
        <w:rFonts w:hint="default"/>
      </w:rPr>
    </w:lvl>
    <w:lvl w:ilvl="5">
      <w:start w:val="1"/>
      <w:numFmt w:val="bullet"/>
      <w:lvlText w:val="•"/>
      <w:lvlJc w:val="left"/>
      <w:pPr>
        <w:ind w:left="4768" w:hanging="614"/>
      </w:pPr>
      <w:rPr>
        <w:rFonts w:hint="default"/>
      </w:rPr>
    </w:lvl>
    <w:lvl w:ilvl="6">
      <w:start w:val="1"/>
      <w:numFmt w:val="bullet"/>
      <w:lvlText w:val="•"/>
      <w:lvlJc w:val="left"/>
      <w:pPr>
        <w:ind w:left="5671" w:hanging="614"/>
      </w:pPr>
      <w:rPr>
        <w:rFonts w:hint="default"/>
      </w:rPr>
    </w:lvl>
    <w:lvl w:ilvl="7">
      <w:start w:val="1"/>
      <w:numFmt w:val="bullet"/>
      <w:lvlText w:val="•"/>
      <w:lvlJc w:val="left"/>
      <w:pPr>
        <w:ind w:left="6573" w:hanging="614"/>
      </w:pPr>
      <w:rPr>
        <w:rFonts w:hint="default"/>
      </w:rPr>
    </w:lvl>
    <w:lvl w:ilvl="8">
      <w:start w:val="1"/>
      <w:numFmt w:val="bullet"/>
      <w:lvlText w:val="•"/>
      <w:lvlJc w:val="left"/>
      <w:pPr>
        <w:ind w:left="7475" w:hanging="614"/>
      </w:pPr>
      <w:rPr>
        <w:rFonts w:hint="default"/>
      </w:rPr>
    </w:lvl>
  </w:abstractNum>
  <w:abstractNum w:abstractNumId="3">
    <w:multiLevelType w:val="hybridMultilevel"/>
    <w:lvl w:ilvl="0">
      <w:start w:val="3"/>
      <w:numFmt w:val="decimal"/>
      <w:lvlText w:val="%1"/>
      <w:lvlJc w:val="left"/>
      <w:pPr>
        <w:ind w:left="759" w:hanging="430"/>
        <w:jc w:val="left"/>
      </w:pPr>
      <w:rPr>
        <w:rFonts w:hint="default"/>
      </w:rPr>
    </w:lvl>
    <w:lvl w:ilvl="1">
      <w:start w:val="2"/>
      <w:numFmt w:val="decimal"/>
      <w:lvlText w:val="%1.%2."/>
      <w:lvlJc w:val="left"/>
      <w:pPr>
        <w:ind w:left="759" w:hanging="430"/>
        <w:jc w:val="left"/>
      </w:pPr>
      <w:rPr>
        <w:rFonts w:hint="default" w:ascii="Arial" w:hAnsi="Arial" w:eastAsia="Arial" w:cs="Arial"/>
        <w:w w:val="100"/>
        <w:sz w:val="22"/>
        <w:szCs w:val="22"/>
      </w:rPr>
    </w:lvl>
    <w:lvl w:ilvl="2">
      <w:start w:val="1"/>
      <w:numFmt w:val="decimal"/>
      <w:lvlText w:val="%1.%2.%3."/>
      <w:lvlJc w:val="left"/>
      <w:pPr>
        <w:ind w:left="1162" w:hanging="614"/>
        <w:jc w:val="left"/>
      </w:pPr>
      <w:rPr>
        <w:rFonts w:hint="default" w:ascii="Arial" w:hAnsi="Arial" w:eastAsia="Arial" w:cs="Arial"/>
        <w:spacing w:val="-3"/>
        <w:w w:val="100"/>
        <w:sz w:val="22"/>
        <w:szCs w:val="22"/>
      </w:rPr>
    </w:lvl>
    <w:lvl w:ilvl="3">
      <w:start w:val="1"/>
      <w:numFmt w:val="bullet"/>
      <w:lvlText w:val="•"/>
      <w:lvlJc w:val="left"/>
      <w:pPr>
        <w:ind w:left="2964" w:hanging="614"/>
      </w:pPr>
      <w:rPr>
        <w:rFonts w:hint="default"/>
      </w:rPr>
    </w:lvl>
    <w:lvl w:ilvl="4">
      <w:start w:val="1"/>
      <w:numFmt w:val="bullet"/>
      <w:lvlText w:val="•"/>
      <w:lvlJc w:val="left"/>
      <w:pPr>
        <w:ind w:left="3866" w:hanging="614"/>
      </w:pPr>
      <w:rPr>
        <w:rFonts w:hint="default"/>
      </w:rPr>
    </w:lvl>
    <w:lvl w:ilvl="5">
      <w:start w:val="1"/>
      <w:numFmt w:val="bullet"/>
      <w:lvlText w:val="•"/>
      <w:lvlJc w:val="left"/>
      <w:pPr>
        <w:ind w:left="4768" w:hanging="614"/>
      </w:pPr>
      <w:rPr>
        <w:rFonts w:hint="default"/>
      </w:rPr>
    </w:lvl>
    <w:lvl w:ilvl="6">
      <w:start w:val="1"/>
      <w:numFmt w:val="bullet"/>
      <w:lvlText w:val="•"/>
      <w:lvlJc w:val="left"/>
      <w:pPr>
        <w:ind w:left="5671" w:hanging="614"/>
      </w:pPr>
      <w:rPr>
        <w:rFonts w:hint="default"/>
      </w:rPr>
    </w:lvl>
    <w:lvl w:ilvl="7">
      <w:start w:val="1"/>
      <w:numFmt w:val="bullet"/>
      <w:lvlText w:val="•"/>
      <w:lvlJc w:val="left"/>
      <w:pPr>
        <w:ind w:left="6573" w:hanging="614"/>
      </w:pPr>
      <w:rPr>
        <w:rFonts w:hint="default"/>
      </w:rPr>
    </w:lvl>
    <w:lvl w:ilvl="8">
      <w:start w:val="1"/>
      <w:numFmt w:val="bullet"/>
      <w:lvlText w:val="•"/>
      <w:lvlJc w:val="left"/>
      <w:pPr>
        <w:ind w:left="7475" w:hanging="614"/>
      </w:pPr>
      <w:rPr>
        <w:rFonts w:hint="default"/>
      </w:rPr>
    </w:lvl>
  </w:abstractNum>
  <w:abstractNum w:abstractNumId="2">
    <w:multiLevelType w:val="hybridMultilevel"/>
    <w:lvl w:ilvl="0">
      <w:start w:val="2"/>
      <w:numFmt w:val="decimal"/>
      <w:lvlText w:val="%1"/>
      <w:lvlJc w:val="left"/>
      <w:pPr>
        <w:ind w:left="759" w:hanging="430"/>
        <w:jc w:val="left"/>
      </w:pPr>
      <w:rPr>
        <w:rFonts w:hint="default"/>
      </w:rPr>
    </w:lvl>
    <w:lvl w:ilvl="1">
      <w:start w:val="2"/>
      <w:numFmt w:val="decimal"/>
      <w:lvlText w:val="%1.%2."/>
      <w:lvlJc w:val="left"/>
      <w:pPr>
        <w:ind w:left="759" w:hanging="430"/>
        <w:jc w:val="left"/>
      </w:pPr>
      <w:rPr>
        <w:rFonts w:hint="default" w:ascii="Arial" w:hAnsi="Arial" w:eastAsia="Arial" w:cs="Arial"/>
        <w:w w:val="100"/>
        <w:sz w:val="22"/>
        <w:szCs w:val="22"/>
      </w:rPr>
    </w:lvl>
    <w:lvl w:ilvl="2">
      <w:start w:val="1"/>
      <w:numFmt w:val="decimal"/>
      <w:lvlText w:val="%1.%2.%3."/>
      <w:lvlJc w:val="left"/>
      <w:pPr>
        <w:ind w:left="1162" w:hanging="614"/>
        <w:jc w:val="left"/>
      </w:pPr>
      <w:rPr>
        <w:rFonts w:hint="default" w:ascii="Arial" w:hAnsi="Arial" w:eastAsia="Arial" w:cs="Arial"/>
        <w:spacing w:val="-3"/>
        <w:w w:val="100"/>
        <w:sz w:val="22"/>
        <w:szCs w:val="22"/>
      </w:rPr>
    </w:lvl>
    <w:lvl w:ilvl="3">
      <w:start w:val="1"/>
      <w:numFmt w:val="bullet"/>
      <w:lvlText w:val="•"/>
      <w:lvlJc w:val="left"/>
      <w:pPr>
        <w:ind w:left="2964" w:hanging="614"/>
      </w:pPr>
      <w:rPr>
        <w:rFonts w:hint="default"/>
      </w:rPr>
    </w:lvl>
    <w:lvl w:ilvl="4">
      <w:start w:val="1"/>
      <w:numFmt w:val="bullet"/>
      <w:lvlText w:val="•"/>
      <w:lvlJc w:val="left"/>
      <w:pPr>
        <w:ind w:left="3866" w:hanging="614"/>
      </w:pPr>
      <w:rPr>
        <w:rFonts w:hint="default"/>
      </w:rPr>
    </w:lvl>
    <w:lvl w:ilvl="5">
      <w:start w:val="1"/>
      <w:numFmt w:val="bullet"/>
      <w:lvlText w:val="•"/>
      <w:lvlJc w:val="left"/>
      <w:pPr>
        <w:ind w:left="4768" w:hanging="614"/>
      </w:pPr>
      <w:rPr>
        <w:rFonts w:hint="default"/>
      </w:rPr>
    </w:lvl>
    <w:lvl w:ilvl="6">
      <w:start w:val="1"/>
      <w:numFmt w:val="bullet"/>
      <w:lvlText w:val="•"/>
      <w:lvlJc w:val="left"/>
      <w:pPr>
        <w:ind w:left="5671" w:hanging="614"/>
      </w:pPr>
      <w:rPr>
        <w:rFonts w:hint="default"/>
      </w:rPr>
    </w:lvl>
    <w:lvl w:ilvl="7">
      <w:start w:val="1"/>
      <w:numFmt w:val="bullet"/>
      <w:lvlText w:val="•"/>
      <w:lvlJc w:val="left"/>
      <w:pPr>
        <w:ind w:left="6573" w:hanging="614"/>
      </w:pPr>
      <w:rPr>
        <w:rFonts w:hint="default"/>
      </w:rPr>
    </w:lvl>
    <w:lvl w:ilvl="8">
      <w:start w:val="1"/>
      <w:numFmt w:val="bullet"/>
      <w:lvlText w:val="•"/>
      <w:lvlJc w:val="left"/>
      <w:pPr>
        <w:ind w:left="7475" w:hanging="614"/>
      </w:pPr>
      <w:rPr>
        <w:rFonts w:hint="default"/>
      </w:rPr>
    </w:lvl>
  </w:abstractNum>
  <w:abstractNum w:abstractNumId="1">
    <w:multiLevelType w:val="hybridMultilevel"/>
    <w:lvl w:ilvl="0">
      <w:start w:val="2"/>
      <w:numFmt w:val="decimal"/>
      <w:lvlText w:val="%1"/>
      <w:lvlJc w:val="left"/>
      <w:pPr>
        <w:ind w:left="699" w:hanging="370"/>
        <w:jc w:val="left"/>
      </w:pPr>
      <w:rPr>
        <w:rFonts w:hint="default"/>
      </w:rPr>
    </w:lvl>
    <w:lvl w:ilvl="1">
      <w:start w:val="1"/>
      <w:numFmt w:val="decimal"/>
      <w:lvlText w:val="%1.%2"/>
      <w:lvlJc w:val="left"/>
      <w:pPr>
        <w:ind w:left="699" w:hanging="370"/>
        <w:jc w:val="left"/>
      </w:pPr>
      <w:rPr>
        <w:rFonts w:hint="default" w:ascii="Arial" w:hAnsi="Arial" w:eastAsia="Arial" w:cs="Arial"/>
        <w:w w:val="100"/>
        <w:sz w:val="22"/>
        <w:szCs w:val="22"/>
      </w:rPr>
    </w:lvl>
    <w:lvl w:ilvl="2">
      <w:start w:val="1"/>
      <w:numFmt w:val="decimal"/>
      <w:lvlText w:val="%1.%2.%3"/>
      <w:lvlJc w:val="left"/>
      <w:pPr>
        <w:ind w:left="1100" w:hanging="552"/>
        <w:jc w:val="left"/>
      </w:pPr>
      <w:rPr>
        <w:rFonts w:hint="default" w:ascii="Arial" w:hAnsi="Arial" w:eastAsia="Arial" w:cs="Arial"/>
        <w:w w:val="100"/>
        <w:sz w:val="22"/>
        <w:szCs w:val="22"/>
      </w:rPr>
    </w:lvl>
    <w:lvl w:ilvl="3">
      <w:start w:val="1"/>
      <w:numFmt w:val="bullet"/>
      <w:lvlText w:val="•"/>
      <w:lvlJc w:val="left"/>
      <w:pPr>
        <w:ind w:left="2917" w:hanging="552"/>
      </w:pPr>
      <w:rPr>
        <w:rFonts w:hint="default"/>
      </w:rPr>
    </w:lvl>
    <w:lvl w:ilvl="4">
      <w:start w:val="1"/>
      <w:numFmt w:val="bullet"/>
      <w:lvlText w:val="•"/>
      <w:lvlJc w:val="left"/>
      <w:pPr>
        <w:ind w:left="3826" w:hanging="552"/>
      </w:pPr>
      <w:rPr>
        <w:rFonts w:hint="default"/>
      </w:rPr>
    </w:lvl>
    <w:lvl w:ilvl="5">
      <w:start w:val="1"/>
      <w:numFmt w:val="bullet"/>
      <w:lvlText w:val="•"/>
      <w:lvlJc w:val="left"/>
      <w:pPr>
        <w:ind w:left="4735" w:hanging="552"/>
      </w:pPr>
      <w:rPr>
        <w:rFonts w:hint="default"/>
      </w:rPr>
    </w:lvl>
    <w:lvl w:ilvl="6">
      <w:start w:val="1"/>
      <w:numFmt w:val="bullet"/>
      <w:lvlText w:val="•"/>
      <w:lvlJc w:val="left"/>
      <w:pPr>
        <w:ind w:left="5644" w:hanging="552"/>
      </w:pPr>
      <w:rPr>
        <w:rFonts w:hint="default"/>
      </w:rPr>
    </w:lvl>
    <w:lvl w:ilvl="7">
      <w:start w:val="1"/>
      <w:numFmt w:val="bullet"/>
      <w:lvlText w:val="•"/>
      <w:lvlJc w:val="left"/>
      <w:pPr>
        <w:ind w:left="6553" w:hanging="552"/>
      </w:pPr>
      <w:rPr>
        <w:rFonts w:hint="default"/>
      </w:rPr>
    </w:lvl>
    <w:lvl w:ilvl="8">
      <w:start w:val="1"/>
      <w:numFmt w:val="bullet"/>
      <w:lvlText w:val="•"/>
      <w:lvlJc w:val="left"/>
      <w:pPr>
        <w:ind w:left="7462" w:hanging="552"/>
      </w:pPr>
      <w:rPr>
        <w:rFonts w:hint="default"/>
      </w:rPr>
    </w:lvl>
  </w:abstractNum>
  <w:abstractNum w:abstractNumId="0">
    <w:multiLevelType w:val="hybridMultilevel"/>
    <w:lvl w:ilvl="0">
      <w:start w:val="1"/>
      <w:numFmt w:val="decimal"/>
      <w:lvlText w:val="%1"/>
      <w:lvlJc w:val="left"/>
      <w:pPr>
        <w:ind w:left="990" w:hanging="660"/>
        <w:jc w:val="left"/>
      </w:pPr>
      <w:rPr>
        <w:rFonts w:hint="default"/>
      </w:rPr>
    </w:lvl>
    <w:lvl w:ilvl="1">
      <w:start w:val="1"/>
      <w:numFmt w:val="decimal"/>
      <w:lvlText w:val="%1.%2"/>
      <w:lvlJc w:val="left"/>
      <w:pPr>
        <w:ind w:left="990" w:hanging="660"/>
        <w:jc w:val="left"/>
      </w:pPr>
      <w:rPr>
        <w:rFonts w:hint="default" w:ascii="Arial" w:hAnsi="Arial" w:eastAsia="Arial" w:cs="Arial"/>
        <w:w w:val="100"/>
        <w:sz w:val="22"/>
        <w:szCs w:val="22"/>
      </w:rPr>
    </w:lvl>
    <w:lvl w:ilvl="2">
      <w:start w:val="1"/>
      <w:numFmt w:val="decimal"/>
      <w:lvlText w:val="%1.%2.%3"/>
      <w:lvlJc w:val="left"/>
      <w:pPr>
        <w:ind w:left="1429" w:hanging="881"/>
        <w:jc w:val="left"/>
      </w:pPr>
      <w:rPr>
        <w:rFonts w:hint="default" w:ascii="Arial" w:hAnsi="Arial" w:eastAsia="Arial" w:cs="Arial"/>
        <w:w w:val="100"/>
        <w:sz w:val="22"/>
        <w:szCs w:val="22"/>
      </w:rPr>
    </w:lvl>
    <w:lvl w:ilvl="3">
      <w:start w:val="1"/>
      <w:numFmt w:val="bullet"/>
      <w:lvlText w:val="•"/>
      <w:lvlJc w:val="left"/>
      <w:pPr>
        <w:ind w:left="3166" w:hanging="881"/>
      </w:pPr>
      <w:rPr>
        <w:rFonts w:hint="default"/>
      </w:rPr>
    </w:lvl>
    <w:lvl w:ilvl="4">
      <w:start w:val="1"/>
      <w:numFmt w:val="bullet"/>
      <w:lvlText w:val="•"/>
      <w:lvlJc w:val="left"/>
      <w:pPr>
        <w:ind w:left="4040" w:hanging="881"/>
      </w:pPr>
      <w:rPr>
        <w:rFonts w:hint="default"/>
      </w:rPr>
    </w:lvl>
    <w:lvl w:ilvl="5">
      <w:start w:val="1"/>
      <w:numFmt w:val="bullet"/>
      <w:lvlText w:val="•"/>
      <w:lvlJc w:val="left"/>
      <w:pPr>
        <w:ind w:left="4913" w:hanging="881"/>
      </w:pPr>
      <w:rPr>
        <w:rFonts w:hint="default"/>
      </w:rPr>
    </w:lvl>
    <w:lvl w:ilvl="6">
      <w:start w:val="1"/>
      <w:numFmt w:val="bullet"/>
      <w:lvlText w:val="•"/>
      <w:lvlJc w:val="left"/>
      <w:pPr>
        <w:ind w:left="5786" w:hanging="881"/>
      </w:pPr>
      <w:rPr>
        <w:rFonts w:hint="default"/>
      </w:rPr>
    </w:lvl>
    <w:lvl w:ilvl="7">
      <w:start w:val="1"/>
      <w:numFmt w:val="bullet"/>
      <w:lvlText w:val="•"/>
      <w:lvlJc w:val="left"/>
      <w:pPr>
        <w:ind w:left="6660" w:hanging="881"/>
      </w:pPr>
      <w:rPr>
        <w:rFonts w:hint="default"/>
      </w:rPr>
    </w:lvl>
    <w:lvl w:ilvl="8">
      <w:start w:val="1"/>
      <w:numFmt w:val="bullet"/>
      <w:lvlText w:val="•"/>
      <w:lvlJc w:val="left"/>
      <w:pPr>
        <w:ind w:left="7533" w:hanging="881"/>
      </w:pPr>
      <w:rPr>
        <w:rFonts w:hint="default"/>
      </w:rPr>
    </w:lvl>
  </w:abstract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9"/>
    </w:pPr>
    <w:rPr>
      <w:rFonts w:ascii="Calibri" w:hAnsi="Calibri" w:eastAsia="Calibri" w:cs="Calibri"/>
      <w:sz w:val="22"/>
      <w:szCs w:val="22"/>
    </w:rPr>
  </w:style>
  <w:style w:styleId="TOC2" w:type="paragraph">
    <w:name w:val="TOC 2"/>
    <w:basedOn w:val="Normal"/>
    <w:uiPriority w:val="1"/>
    <w:qFormat/>
    <w:pPr>
      <w:spacing w:before="139"/>
      <w:ind w:left="759" w:hanging="429"/>
    </w:pPr>
    <w:rPr>
      <w:rFonts w:ascii="Arial" w:hAnsi="Arial" w:eastAsia="Arial" w:cs="Arial"/>
      <w:sz w:val="22"/>
      <w:szCs w:val="22"/>
    </w:rPr>
  </w:style>
  <w:style w:styleId="TOC3" w:type="paragraph">
    <w:name w:val="TOC 3"/>
    <w:basedOn w:val="Normal"/>
    <w:uiPriority w:val="1"/>
    <w:qFormat/>
    <w:pPr>
      <w:spacing w:before="139"/>
      <w:ind w:left="1162" w:hanging="881"/>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5"/>
      <w:outlineLvl w:val="1"/>
    </w:pPr>
    <w:rPr>
      <w:rFonts w:ascii="Arial" w:hAnsi="Arial" w:eastAsia="Arial" w:cs="Arial"/>
      <w:b/>
      <w:bCs/>
      <w:sz w:val="28"/>
      <w:szCs w:val="28"/>
    </w:rPr>
  </w:style>
  <w:style w:styleId="Heading2" w:type="paragraph">
    <w:name w:val="Heading 2"/>
    <w:basedOn w:val="Normal"/>
    <w:uiPriority w:val="1"/>
    <w:qFormat/>
    <w:pPr>
      <w:ind w:left="109"/>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9"/>
      <w:ind w:left="829" w:hanging="360"/>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footer" Target="footer2.xml"/><Relationship Id="rId39" Type="http://schemas.openxmlformats.org/officeDocument/2006/relationships/image" Target="media/image34.png"/><Relationship Id="rId40" Type="http://schemas.openxmlformats.org/officeDocument/2006/relationships/footer" Target="footer3.xml"/><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jpeg"/><Relationship Id="rId52" Type="http://schemas.openxmlformats.org/officeDocument/2006/relationships/image" Target="media/image46.png"/><Relationship Id="rId53" Type="http://schemas.openxmlformats.org/officeDocument/2006/relationships/image" Target="media/image47.jpeg"/><Relationship Id="rId54" Type="http://schemas.openxmlformats.org/officeDocument/2006/relationships/footer" Target="footer4.xml"/><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png"/><Relationship Id="rId60" Type="http://schemas.openxmlformats.org/officeDocument/2006/relationships/image" Target="media/image53.png"/><Relationship Id="rId61" Type="http://schemas.openxmlformats.org/officeDocument/2006/relationships/image" Target="media/image54.png"/><Relationship Id="rId62" Type="http://schemas.openxmlformats.org/officeDocument/2006/relationships/image" Target="media/image55.png"/><Relationship Id="rId63" Type="http://schemas.openxmlformats.org/officeDocument/2006/relationships/image" Target="media/image56.png"/><Relationship Id="rId64" Type="http://schemas.openxmlformats.org/officeDocument/2006/relationships/image" Target="media/image57.png"/><Relationship Id="rId65" Type="http://schemas.openxmlformats.org/officeDocument/2006/relationships/image" Target="media/image58.png"/><Relationship Id="rId66" Type="http://schemas.openxmlformats.org/officeDocument/2006/relationships/image" Target="media/image59.png"/><Relationship Id="rId67" Type="http://schemas.openxmlformats.org/officeDocument/2006/relationships/image" Target="media/image60.png"/><Relationship Id="rId68" Type="http://schemas.openxmlformats.org/officeDocument/2006/relationships/image" Target="media/image61.png"/><Relationship Id="rId69" Type="http://schemas.openxmlformats.org/officeDocument/2006/relationships/footer" Target="footer5.xml"/><Relationship Id="rId70" Type="http://schemas.openxmlformats.org/officeDocument/2006/relationships/image" Target="media/image62.jpeg"/><Relationship Id="rId71" Type="http://schemas.openxmlformats.org/officeDocument/2006/relationships/footer" Target="footer6.xml"/><Relationship Id="rId72" Type="http://schemas.openxmlformats.org/officeDocument/2006/relationships/footer" Target="footer7.xml"/><Relationship Id="rId73" Type="http://schemas.openxmlformats.org/officeDocument/2006/relationships/footer" Target="footer8.xml"/><Relationship Id="rId74" Type="http://schemas.openxmlformats.org/officeDocument/2006/relationships/image" Target="media/image63.png"/><Relationship Id="rId75" Type="http://schemas.openxmlformats.org/officeDocument/2006/relationships/image" Target="media/image64.jpeg"/><Relationship Id="rId76" Type="http://schemas.openxmlformats.org/officeDocument/2006/relationships/footer" Target="footer9.xml"/><Relationship Id="rId77" Type="http://schemas.openxmlformats.org/officeDocument/2006/relationships/footer" Target="footer10.xml"/><Relationship Id="rId78" Type="http://schemas.openxmlformats.org/officeDocument/2006/relationships/image" Target="media/image65.png"/><Relationship Id="rId79" Type="http://schemas.openxmlformats.org/officeDocument/2006/relationships/image" Target="media/image66.png"/><Relationship Id="rId80" Type="http://schemas.openxmlformats.org/officeDocument/2006/relationships/image" Target="media/image67.png"/><Relationship Id="rId81" Type="http://schemas.openxmlformats.org/officeDocument/2006/relationships/image" Target="media/image68.png"/><Relationship Id="rId82" Type="http://schemas.openxmlformats.org/officeDocument/2006/relationships/image" Target="media/image69.png"/><Relationship Id="rId83" Type="http://schemas.openxmlformats.org/officeDocument/2006/relationships/image" Target="media/image70.png"/><Relationship Id="rId84" Type="http://schemas.openxmlformats.org/officeDocument/2006/relationships/image" Target="media/image71.png"/><Relationship Id="rId85" Type="http://schemas.openxmlformats.org/officeDocument/2006/relationships/image" Target="media/image72.png"/><Relationship Id="rId86" Type="http://schemas.openxmlformats.org/officeDocument/2006/relationships/image" Target="media/image73.png"/><Relationship Id="rId87" Type="http://schemas.openxmlformats.org/officeDocument/2006/relationships/footer" Target="footer11.xml"/><Relationship Id="rId88" Type="http://schemas.openxmlformats.org/officeDocument/2006/relationships/footer" Target="footer12.xml"/><Relationship Id="rId89" Type="http://schemas.openxmlformats.org/officeDocument/2006/relationships/image" Target="media/image74.jpeg"/><Relationship Id="rId90" Type="http://schemas.openxmlformats.org/officeDocument/2006/relationships/image" Target="media/image75.png"/><Relationship Id="rId91" Type="http://schemas.openxmlformats.org/officeDocument/2006/relationships/image" Target="media/image76.png"/><Relationship Id="rId92" Type="http://schemas.openxmlformats.org/officeDocument/2006/relationships/footer" Target="footer13.xml"/><Relationship Id="rId93" Type="http://schemas.openxmlformats.org/officeDocument/2006/relationships/image" Target="media/image77.jpeg"/><Relationship Id="rId94" Type="http://schemas.openxmlformats.org/officeDocument/2006/relationships/footer" Target="footer14.xml"/><Relationship Id="rId95" Type="http://schemas.openxmlformats.org/officeDocument/2006/relationships/image" Target="media/image78.jpeg"/><Relationship Id="rId96" Type="http://schemas.openxmlformats.org/officeDocument/2006/relationships/image" Target="media/image79.jpeg"/><Relationship Id="rId9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10.xml.rels><?xml version="1.0" encoding="UTF-8" standalone="yes"?>
<Relationships xmlns="http://schemas.openxmlformats.org/package/2006/relationships"><Relationship Id="rId1" Type="http://schemas.openxmlformats.org/officeDocument/2006/relationships/image" Target="media/image3.png"/></Relationships>

</file>

<file path=word/_rels/footer11.xml.rels><?xml version="1.0" encoding="UTF-8" standalone="yes"?>
<Relationships xmlns="http://schemas.openxmlformats.org/package/2006/relationships"><Relationship Id="rId1" Type="http://schemas.openxmlformats.org/officeDocument/2006/relationships/image" Target="media/image3.png"/></Relationships>

</file>

<file path=word/_rels/footer12.xml.rels><?xml version="1.0" encoding="UTF-8" standalone="yes"?>
<Relationships xmlns="http://schemas.openxmlformats.org/package/2006/relationships"><Relationship Id="rId1" Type="http://schemas.openxmlformats.org/officeDocument/2006/relationships/image" Target="media/image3.png"/></Relationships>

</file>

<file path=word/_rels/footer13.xml.rels><?xml version="1.0" encoding="UTF-8" standalone="yes"?>
<Relationships xmlns="http://schemas.openxmlformats.org/package/2006/relationships"><Relationship Id="rId1" Type="http://schemas.openxmlformats.org/officeDocument/2006/relationships/image" Target="media/image3.png"/></Relationships>

</file>

<file path=word/_rels/footer14.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Coordinacion LIA</dc:creator>
  <dcterms:created xsi:type="dcterms:W3CDTF">2017-05-27T19:59:14Z</dcterms:created>
  <dcterms:modified xsi:type="dcterms:W3CDTF">2017-05-27T19:59:14Z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