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13FD" w:rsidRDefault="000B13FD" w:rsidP="000B13FD">
      <w:pPr>
        <w:jc w:val="center"/>
        <w:rPr>
          <w:rFonts w:ascii="Tahoma" w:hAnsi="Tahoma" w:cs="Tahoma"/>
          <w:b/>
          <w:sz w:val="28"/>
        </w:rPr>
      </w:pPr>
    </w:p>
    <w:p w:rsidR="00724120" w:rsidRPr="000B13FD" w:rsidRDefault="000B13FD" w:rsidP="000B13FD">
      <w:pPr>
        <w:jc w:val="center"/>
        <w:rPr>
          <w:rFonts w:ascii="Tahoma" w:hAnsi="Tahoma" w:cs="Tahoma"/>
          <w:b/>
          <w:sz w:val="28"/>
        </w:rPr>
      </w:pPr>
      <w:r w:rsidRPr="000B13FD">
        <w:rPr>
          <w:rFonts w:ascii="Tahoma" w:hAnsi="Tahoma" w:cs="Tahoma"/>
          <w:b/>
          <w:sz w:val="28"/>
        </w:rPr>
        <w:t>DIAPOSITIVAS</w:t>
      </w:r>
    </w:p>
    <w:p w:rsidR="000B13FD" w:rsidRPr="000B13FD" w:rsidRDefault="000B13FD" w:rsidP="000B13FD">
      <w:pPr>
        <w:jc w:val="both"/>
        <w:rPr>
          <w:rFonts w:ascii="Tahoma" w:hAnsi="Tahoma" w:cs="Tahoma"/>
          <w:b/>
          <w:sz w:val="28"/>
        </w:rPr>
      </w:pPr>
      <w:r w:rsidRPr="000B13FD">
        <w:rPr>
          <w:rFonts w:ascii="Tahoma" w:hAnsi="Tahoma" w:cs="Tahoma"/>
          <w:b/>
          <w:sz w:val="28"/>
        </w:rPr>
        <w:t>PROPÓSITO DE LA UNIDAD DE APRENDIZAJE</w:t>
      </w:r>
    </w:p>
    <w:p w:rsidR="000B13FD" w:rsidRPr="000B13FD" w:rsidRDefault="000B13FD" w:rsidP="000B13FD">
      <w:pPr>
        <w:jc w:val="both"/>
        <w:rPr>
          <w:rFonts w:ascii="Tahoma" w:hAnsi="Tahoma" w:cs="Tahoma"/>
          <w:sz w:val="28"/>
        </w:rPr>
      </w:pPr>
      <w:r w:rsidRPr="000B13FD">
        <w:rPr>
          <w:rFonts w:ascii="Tahoma" w:hAnsi="Tahoma" w:cs="Tahoma"/>
          <w:sz w:val="28"/>
        </w:rPr>
        <w:t>Identificará los diagnósticos y terapéuticas que se presentan en el paciente grave o en estado crítico que le permitan el conocimiento teórico y humanístico.</w:t>
      </w:r>
    </w:p>
    <w:p w:rsidR="000B13FD" w:rsidRDefault="000B13FD" w:rsidP="000B13FD">
      <w:pPr>
        <w:jc w:val="both"/>
        <w:rPr>
          <w:rFonts w:ascii="Tahoma" w:hAnsi="Tahoma" w:cs="Tahoma"/>
          <w:sz w:val="28"/>
        </w:rPr>
      </w:pPr>
      <w:r>
        <w:rPr>
          <w:rFonts w:ascii="Tahoma" w:hAnsi="Tahoma" w:cs="Tahoma"/>
          <w:sz w:val="28"/>
        </w:rPr>
        <w:t>Emplear el proceso de enfermería en la atención del paciente en estado crítico independientemente de su patología, que le permita al licenciado en enfermería en formación ofrecer una mayor calidad en los cuidados, intervenciones y procedimientos que requieran este tipo de pacientes en estado crítico; a fin de preservar la vida, prevenir complicaciones y asegurar una pronta recuperación mejorar condición humanamente posible.</w:t>
      </w:r>
    </w:p>
    <w:p w:rsidR="000B13FD" w:rsidRPr="000B13FD" w:rsidRDefault="000B13FD" w:rsidP="000B13FD">
      <w:pPr>
        <w:rPr>
          <w:rFonts w:ascii="Tahoma" w:hAnsi="Tahoma" w:cs="Tahoma"/>
          <w:b/>
          <w:sz w:val="28"/>
          <w:szCs w:val="28"/>
        </w:rPr>
      </w:pPr>
      <w:r w:rsidRPr="000B13FD">
        <w:rPr>
          <w:rFonts w:ascii="Tahoma" w:hAnsi="Tahoma" w:cs="Tahoma"/>
          <w:b/>
          <w:sz w:val="28"/>
          <w:szCs w:val="28"/>
        </w:rPr>
        <w:t>UNIDAD DE COMPETENCIA II</w:t>
      </w:r>
    </w:p>
    <w:p w:rsidR="000B13FD" w:rsidRPr="000B13FD" w:rsidRDefault="000B13FD" w:rsidP="000B13FD">
      <w:pPr>
        <w:jc w:val="both"/>
        <w:rPr>
          <w:rFonts w:ascii="Tahoma" w:hAnsi="Tahoma" w:cs="Tahoma"/>
          <w:sz w:val="28"/>
          <w:szCs w:val="28"/>
        </w:rPr>
      </w:pPr>
      <w:r w:rsidRPr="000B13FD">
        <w:rPr>
          <w:rFonts w:ascii="Tahoma" w:hAnsi="Tahoma" w:cs="Tahoma"/>
          <w:sz w:val="28"/>
          <w:szCs w:val="28"/>
        </w:rPr>
        <w:t xml:space="preserve">Cuidados de enfermería en trastornos </w:t>
      </w:r>
      <w:r w:rsidR="00991EC3">
        <w:rPr>
          <w:rFonts w:ascii="Tahoma" w:hAnsi="Tahoma" w:cs="Tahoma"/>
          <w:sz w:val="28"/>
          <w:szCs w:val="28"/>
        </w:rPr>
        <w:t>respiratorios</w:t>
      </w:r>
    </w:p>
    <w:p w:rsidR="000B13FD" w:rsidRPr="000B13FD" w:rsidRDefault="000B13FD" w:rsidP="000B13FD">
      <w:pPr>
        <w:jc w:val="both"/>
        <w:rPr>
          <w:rFonts w:ascii="Tahoma" w:hAnsi="Tahoma" w:cs="Tahoma"/>
          <w:b/>
          <w:sz w:val="28"/>
          <w:szCs w:val="28"/>
        </w:rPr>
      </w:pPr>
      <w:r w:rsidRPr="000B13FD">
        <w:rPr>
          <w:rFonts w:ascii="Tahoma" w:hAnsi="Tahoma" w:cs="Tahoma"/>
          <w:b/>
          <w:sz w:val="28"/>
          <w:szCs w:val="28"/>
        </w:rPr>
        <w:t>OBJETIVO</w:t>
      </w:r>
    </w:p>
    <w:p w:rsidR="000B13FD" w:rsidRPr="000B13FD" w:rsidRDefault="000B13FD" w:rsidP="000B13FD">
      <w:pPr>
        <w:jc w:val="both"/>
        <w:rPr>
          <w:rFonts w:ascii="Tahoma" w:hAnsi="Tahoma" w:cs="Tahoma"/>
          <w:sz w:val="28"/>
          <w:szCs w:val="28"/>
        </w:rPr>
      </w:pPr>
      <w:r w:rsidRPr="000B13FD">
        <w:rPr>
          <w:rFonts w:ascii="Tahoma" w:hAnsi="Tahoma" w:cs="Tahoma"/>
          <w:sz w:val="28"/>
          <w:szCs w:val="28"/>
        </w:rPr>
        <w:t xml:space="preserve">Analizará los </w:t>
      </w:r>
      <w:r w:rsidR="00991EC3">
        <w:rPr>
          <w:rFonts w:ascii="Tahoma" w:hAnsi="Tahoma" w:cs="Tahoma"/>
          <w:sz w:val="28"/>
          <w:szCs w:val="28"/>
        </w:rPr>
        <w:t>trastornos más frecuentes del aparato respiratorio que comprometen la vida del paciente en la unidad de cuidados intensivos, adquiriendo conocimiento en su concepto, diagnóstico, tratamiento médico, terapéutica respiratoria, oxigenoterapia e inhaloterapia que le permitan dar cuidado y atención integral de enfermería al paciente en estado crítico.</w:t>
      </w:r>
    </w:p>
    <w:p w:rsidR="000B13FD" w:rsidRPr="000B13FD" w:rsidRDefault="000B13FD" w:rsidP="000B13FD">
      <w:pPr>
        <w:rPr>
          <w:rFonts w:ascii="Tahoma" w:hAnsi="Tahoma" w:cs="Tahoma"/>
          <w:b/>
          <w:sz w:val="28"/>
          <w:szCs w:val="28"/>
        </w:rPr>
      </w:pPr>
      <w:r w:rsidRPr="000B13FD">
        <w:rPr>
          <w:rFonts w:ascii="Tahoma" w:hAnsi="Tahoma" w:cs="Tahoma"/>
          <w:b/>
          <w:sz w:val="28"/>
          <w:szCs w:val="28"/>
        </w:rPr>
        <w:t>DESARROLLO</w:t>
      </w:r>
    </w:p>
    <w:p w:rsidR="000B13FD" w:rsidRPr="000B13FD" w:rsidRDefault="000B13FD" w:rsidP="000B13FD">
      <w:pPr>
        <w:spacing w:line="360" w:lineRule="auto"/>
        <w:jc w:val="both"/>
        <w:rPr>
          <w:rFonts w:ascii="Tahoma" w:hAnsi="Tahoma" w:cs="Tahoma"/>
          <w:sz w:val="28"/>
          <w:szCs w:val="28"/>
        </w:rPr>
      </w:pPr>
      <w:r w:rsidRPr="000B13FD">
        <w:rPr>
          <w:rFonts w:ascii="Tahoma" w:hAnsi="Tahoma" w:cs="Tahoma"/>
          <w:sz w:val="28"/>
          <w:szCs w:val="28"/>
        </w:rPr>
        <w:t>Con la finalidad de dar cumplimiento al desarrollo de  la unidad de competencia, y cumplimiento de</w:t>
      </w:r>
      <w:r>
        <w:rPr>
          <w:rFonts w:ascii="Tahoma" w:hAnsi="Tahoma" w:cs="Tahoma"/>
          <w:sz w:val="28"/>
          <w:szCs w:val="28"/>
        </w:rPr>
        <w:t>l</w:t>
      </w:r>
      <w:r w:rsidRPr="000B13FD">
        <w:rPr>
          <w:rFonts w:ascii="Tahoma" w:hAnsi="Tahoma" w:cs="Tahoma"/>
          <w:sz w:val="28"/>
          <w:szCs w:val="28"/>
        </w:rPr>
        <w:t xml:space="preserve"> objetivo se realiza el siguiente guión.</w:t>
      </w:r>
    </w:p>
    <w:p w:rsidR="000B13FD" w:rsidRPr="000B13FD" w:rsidRDefault="000B13FD" w:rsidP="000B13FD">
      <w:pPr>
        <w:numPr>
          <w:ilvl w:val="0"/>
          <w:numId w:val="1"/>
        </w:numPr>
        <w:spacing w:line="360" w:lineRule="auto"/>
        <w:jc w:val="both"/>
        <w:rPr>
          <w:rFonts w:ascii="Tahoma" w:hAnsi="Tahoma" w:cs="Tahoma"/>
          <w:sz w:val="28"/>
          <w:szCs w:val="28"/>
        </w:rPr>
      </w:pPr>
      <w:r w:rsidRPr="000B13FD">
        <w:rPr>
          <w:rFonts w:ascii="Tahoma" w:hAnsi="Tahoma" w:cs="Tahoma"/>
          <w:sz w:val="28"/>
          <w:szCs w:val="28"/>
        </w:rPr>
        <w:t xml:space="preserve">Se da a conocer la Unidad de competencia </w:t>
      </w:r>
    </w:p>
    <w:p w:rsidR="000B13FD" w:rsidRPr="000B13FD" w:rsidRDefault="000B13FD" w:rsidP="000B13FD">
      <w:pPr>
        <w:numPr>
          <w:ilvl w:val="0"/>
          <w:numId w:val="1"/>
        </w:numPr>
        <w:spacing w:line="360" w:lineRule="auto"/>
        <w:jc w:val="both"/>
        <w:rPr>
          <w:rFonts w:ascii="Tahoma" w:hAnsi="Tahoma" w:cs="Tahoma"/>
          <w:sz w:val="28"/>
          <w:szCs w:val="28"/>
        </w:rPr>
      </w:pPr>
      <w:r w:rsidRPr="000B13FD">
        <w:rPr>
          <w:rFonts w:ascii="Tahoma" w:hAnsi="Tahoma" w:cs="Tahoma"/>
          <w:sz w:val="28"/>
          <w:szCs w:val="28"/>
        </w:rPr>
        <w:lastRenderedPageBreak/>
        <w:t>Se inicia con la exposición de clase usando las diapositivas.</w:t>
      </w:r>
    </w:p>
    <w:p w:rsidR="000B13FD" w:rsidRPr="000B13FD" w:rsidRDefault="000B13FD" w:rsidP="000B13FD">
      <w:pPr>
        <w:numPr>
          <w:ilvl w:val="0"/>
          <w:numId w:val="1"/>
        </w:numPr>
        <w:spacing w:line="360" w:lineRule="auto"/>
        <w:jc w:val="both"/>
        <w:rPr>
          <w:rFonts w:ascii="Tahoma" w:hAnsi="Tahoma" w:cs="Tahoma"/>
          <w:sz w:val="28"/>
          <w:szCs w:val="28"/>
        </w:rPr>
      </w:pPr>
      <w:r>
        <w:rPr>
          <w:rFonts w:ascii="Tahoma" w:hAnsi="Tahoma" w:cs="Tahoma"/>
          <w:sz w:val="28"/>
          <w:szCs w:val="28"/>
        </w:rPr>
        <w:t xml:space="preserve">Se da una introducción general al sistema </w:t>
      </w:r>
      <w:r w:rsidR="00991EC3">
        <w:rPr>
          <w:rFonts w:ascii="Tahoma" w:hAnsi="Tahoma" w:cs="Tahoma"/>
          <w:sz w:val="28"/>
          <w:szCs w:val="28"/>
        </w:rPr>
        <w:t>respiratorio</w:t>
      </w:r>
      <w:r>
        <w:rPr>
          <w:rFonts w:ascii="Tahoma" w:hAnsi="Tahoma" w:cs="Tahoma"/>
          <w:sz w:val="28"/>
          <w:szCs w:val="28"/>
        </w:rPr>
        <w:t xml:space="preserve">, enfatizando </w:t>
      </w:r>
      <w:r w:rsidR="00991EC3">
        <w:rPr>
          <w:rFonts w:ascii="Tahoma" w:hAnsi="Tahoma" w:cs="Tahoma"/>
          <w:sz w:val="28"/>
          <w:szCs w:val="28"/>
        </w:rPr>
        <w:t xml:space="preserve">en la función, </w:t>
      </w:r>
      <w:r w:rsidR="00D000B8">
        <w:rPr>
          <w:rFonts w:ascii="Tahoma" w:hAnsi="Tahoma" w:cs="Tahoma"/>
          <w:sz w:val="28"/>
          <w:szCs w:val="28"/>
        </w:rPr>
        <w:t>aparato respiratorio superior e inferior con sus características</w:t>
      </w:r>
      <w:r>
        <w:rPr>
          <w:rFonts w:ascii="Tahoma" w:hAnsi="Tahoma" w:cs="Tahoma"/>
          <w:sz w:val="28"/>
          <w:szCs w:val="28"/>
        </w:rPr>
        <w:t>,</w:t>
      </w:r>
      <w:r w:rsidR="00D000B8">
        <w:rPr>
          <w:rFonts w:ascii="Tahoma" w:hAnsi="Tahoma" w:cs="Tahoma"/>
          <w:sz w:val="28"/>
          <w:szCs w:val="28"/>
        </w:rPr>
        <w:t xml:space="preserve"> oxígeno, </w:t>
      </w:r>
      <w:r>
        <w:rPr>
          <w:rFonts w:ascii="Tahoma" w:hAnsi="Tahoma" w:cs="Tahoma"/>
          <w:sz w:val="28"/>
          <w:szCs w:val="28"/>
        </w:rPr>
        <w:t xml:space="preserve">para </w:t>
      </w:r>
      <w:r w:rsidR="00D000B8">
        <w:rPr>
          <w:rFonts w:ascii="Tahoma" w:hAnsi="Tahoma" w:cs="Tahoma"/>
          <w:sz w:val="28"/>
          <w:szCs w:val="28"/>
        </w:rPr>
        <w:t xml:space="preserve">la </w:t>
      </w:r>
      <w:r>
        <w:rPr>
          <w:rFonts w:ascii="Tahoma" w:hAnsi="Tahoma" w:cs="Tahoma"/>
          <w:sz w:val="28"/>
          <w:szCs w:val="28"/>
        </w:rPr>
        <w:t>comprensión de los temas abordados en ésta unidad de competencia.</w:t>
      </w:r>
    </w:p>
    <w:p w:rsidR="000B13FD" w:rsidRDefault="000B13FD" w:rsidP="000B13FD">
      <w:pPr>
        <w:numPr>
          <w:ilvl w:val="0"/>
          <w:numId w:val="1"/>
        </w:numPr>
        <w:spacing w:line="360" w:lineRule="auto"/>
        <w:jc w:val="both"/>
        <w:rPr>
          <w:rFonts w:ascii="Tahoma" w:hAnsi="Tahoma" w:cs="Tahoma"/>
          <w:sz w:val="28"/>
          <w:szCs w:val="28"/>
        </w:rPr>
      </w:pPr>
      <w:r w:rsidRPr="000B13FD">
        <w:rPr>
          <w:rFonts w:ascii="Tahoma" w:hAnsi="Tahoma" w:cs="Tahoma"/>
          <w:sz w:val="28"/>
          <w:szCs w:val="28"/>
        </w:rPr>
        <w:t xml:space="preserve">Se describe la </w:t>
      </w:r>
      <w:r w:rsidR="00D000B8">
        <w:rPr>
          <w:rFonts w:ascii="Tahoma" w:hAnsi="Tahoma" w:cs="Tahoma"/>
          <w:sz w:val="28"/>
          <w:szCs w:val="28"/>
        </w:rPr>
        <w:t>urgencia respiratoria (concepto y características).</w:t>
      </w:r>
    </w:p>
    <w:p w:rsidR="00D000B8" w:rsidRDefault="00D000B8" w:rsidP="000B13FD">
      <w:pPr>
        <w:numPr>
          <w:ilvl w:val="0"/>
          <w:numId w:val="1"/>
        </w:numPr>
        <w:spacing w:line="360" w:lineRule="auto"/>
        <w:jc w:val="both"/>
        <w:rPr>
          <w:rFonts w:ascii="Tahoma" w:hAnsi="Tahoma" w:cs="Tahoma"/>
          <w:sz w:val="28"/>
          <w:szCs w:val="28"/>
        </w:rPr>
      </w:pPr>
      <w:r>
        <w:rPr>
          <w:rFonts w:ascii="Tahoma" w:hAnsi="Tahoma" w:cs="Tahoma"/>
          <w:sz w:val="28"/>
          <w:szCs w:val="28"/>
        </w:rPr>
        <w:t>Se conceptualiza la disnea y clasificación.</w:t>
      </w:r>
    </w:p>
    <w:p w:rsidR="00D000B8" w:rsidRDefault="00D000B8" w:rsidP="000B13FD">
      <w:pPr>
        <w:numPr>
          <w:ilvl w:val="0"/>
          <w:numId w:val="1"/>
        </w:numPr>
        <w:spacing w:line="360" w:lineRule="auto"/>
        <w:jc w:val="both"/>
        <w:rPr>
          <w:rFonts w:ascii="Tahoma" w:hAnsi="Tahoma" w:cs="Tahoma"/>
          <w:sz w:val="28"/>
          <w:szCs w:val="28"/>
        </w:rPr>
      </w:pPr>
      <w:r>
        <w:rPr>
          <w:rFonts w:ascii="Tahoma" w:hAnsi="Tahoma" w:cs="Tahoma"/>
          <w:sz w:val="28"/>
          <w:szCs w:val="28"/>
        </w:rPr>
        <w:t>Se dan a conocer los datos de dificultad respiratoria e índice de Kirby.</w:t>
      </w:r>
    </w:p>
    <w:p w:rsidR="00D000B8" w:rsidRDefault="00D000B8" w:rsidP="000B13FD">
      <w:pPr>
        <w:numPr>
          <w:ilvl w:val="0"/>
          <w:numId w:val="1"/>
        </w:numPr>
        <w:spacing w:line="360" w:lineRule="auto"/>
        <w:jc w:val="both"/>
        <w:rPr>
          <w:rFonts w:ascii="Tahoma" w:hAnsi="Tahoma" w:cs="Tahoma"/>
          <w:sz w:val="28"/>
          <w:szCs w:val="28"/>
        </w:rPr>
      </w:pPr>
      <w:r>
        <w:rPr>
          <w:rFonts w:ascii="Tahoma" w:hAnsi="Tahoma" w:cs="Tahoma"/>
          <w:sz w:val="28"/>
          <w:szCs w:val="28"/>
        </w:rPr>
        <w:t>Se exponen las indicaciones para la intubación.</w:t>
      </w:r>
    </w:p>
    <w:p w:rsidR="00D000B8" w:rsidRDefault="00D000B8" w:rsidP="000B13FD">
      <w:pPr>
        <w:numPr>
          <w:ilvl w:val="0"/>
          <w:numId w:val="1"/>
        </w:numPr>
        <w:spacing w:line="360" w:lineRule="auto"/>
        <w:jc w:val="both"/>
        <w:rPr>
          <w:rFonts w:ascii="Tahoma" w:hAnsi="Tahoma" w:cs="Tahoma"/>
          <w:sz w:val="28"/>
          <w:szCs w:val="28"/>
        </w:rPr>
      </w:pPr>
      <w:r>
        <w:rPr>
          <w:rFonts w:ascii="Tahoma" w:hAnsi="Tahoma" w:cs="Tahoma"/>
          <w:sz w:val="28"/>
          <w:szCs w:val="28"/>
        </w:rPr>
        <w:t>Así como los principales signos de alarma en la insuficiencia respiratoria grave.</w:t>
      </w:r>
    </w:p>
    <w:p w:rsidR="00D000B8" w:rsidRDefault="00D000B8" w:rsidP="000B13FD">
      <w:pPr>
        <w:numPr>
          <w:ilvl w:val="0"/>
          <w:numId w:val="1"/>
        </w:numPr>
        <w:spacing w:line="360" w:lineRule="auto"/>
        <w:jc w:val="both"/>
        <w:rPr>
          <w:rFonts w:ascii="Tahoma" w:hAnsi="Tahoma" w:cs="Tahoma"/>
          <w:sz w:val="28"/>
          <w:szCs w:val="28"/>
        </w:rPr>
      </w:pPr>
      <w:r>
        <w:rPr>
          <w:rFonts w:ascii="Tahoma" w:hAnsi="Tahoma" w:cs="Tahoma"/>
          <w:sz w:val="28"/>
          <w:szCs w:val="28"/>
        </w:rPr>
        <w:t>Se hace referencia a los criterios de ingreso a la Unidad de cuidados intensivos (UCI).</w:t>
      </w:r>
    </w:p>
    <w:p w:rsidR="00D000B8" w:rsidRDefault="00D000B8" w:rsidP="000B13FD">
      <w:pPr>
        <w:numPr>
          <w:ilvl w:val="0"/>
          <w:numId w:val="1"/>
        </w:numPr>
        <w:spacing w:line="360" w:lineRule="auto"/>
        <w:jc w:val="both"/>
        <w:rPr>
          <w:rFonts w:ascii="Tahoma" w:hAnsi="Tahoma" w:cs="Tahoma"/>
          <w:sz w:val="28"/>
          <w:szCs w:val="28"/>
        </w:rPr>
      </w:pPr>
      <w:r>
        <w:rPr>
          <w:rFonts w:ascii="Tahoma" w:hAnsi="Tahoma" w:cs="Tahoma"/>
          <w:sz w:val="28"/>
          <w:szCs w:val="28"/>
        </w:rPr>
        <w:t>Se aborda el tema de síndrome de insuficiencia respiratoria progresiva aguda.</w:t>
      </w:r>
    </w:p>
    <w:p w:rsidR="00D000B8" w:rsidRDefault="00D000B8" w:rsidP="00D000B8">
      <w:pPr>
        <w:numPr>
          <w:ilvl w:val="1"/>
          <w:numId w:val="1"/>
        </w:numPr>
        <w:spacing w:line="360" w:lineRule="auto"/>
        <w:jc w:val="both"/>
        <w:rPr>
          <w:rFonts w:ascii="Tahoma" w:hAnsi="Tahoma" w:cs="Tahoma"/>
          <w:sz w:val="28"/>
          <w:szCs w:val="28"/>
        </w:rPr>
      </w:pPr>
      <w:r>
        <w:rPr>
          <w:rFonts w:ascii="Tahoma" w:hAnsi="Tahoma" w:cs="Tahoma"/>
          <w:sz w:val="28"/>
          <w:szCs w:val="28"/>
        </w:rPr>
        <w:t>Concepto</w:t>
      </w:r>
    </w:p>
    <w:p w:rsidR="00D000B8" w:rsidRDefault="00D000B8" w:rsidP="00D000B8">
      <w:pPr>
        <w:numPr>
          <w:ilvl w:val="1"/>
          <w:numId w:val="1"/>
        </w:numPr>
        <w:spacing w:line="360" w:lineRule="auto"/>
        <w:jc w:val="both"/>
        <w:rPr>
          <w:rFonts w:ascii="Tahoma" w:hAnsi="Tahoma" w:cs="Tahoma"/>
          <w:sz w:val="28"/>
          <w:szCs w:val="28"/>
        </w:rPr>
      </w:pPr>
      <w:r>
        <w:rPr>
          <w:rFonts w:ascii="Tahoma" w:hAnsi="Tahoma" w:cs="Tahoma"/>
          <w:sz w:val="28"/>
          <w:szCs w:val="28"/>
        </w:rPr>
        <w:t xml:space="preserve">Características </w:t>
      </w:r>
    </w:p>
    <w:p w:rsidR="00D000B8" w:rsidRDefault="00D000B8" w:rsidP="00D000B8">
      <w:pPr>
        <w:numPr>
          <w:ilvl w:val="1"/>
          <w:numId w:val="1"/>
        </w:numPr>
        <w:spacing w:line="360" w:lineRule="auto"/>
        <w:jc w:val="both"/>
        <w:rPr>
          <w:rFonts w:ascii="Tahoma" w:hAnsi="Tahoma" w:cs="Tahoma"/>
          <w:sz w:val="28"/>
          <w:szCs w:val="28"/>
        </w:rPr>
      </w:pPr>
      <w:r>
        <w:rPr>
          <w:rFonts w:ascii="Tahoma" w:hAnsi="Tahoma" w:cs="Tahoma"/>
          <w:sz w:val="28"/>
          <w:szCs w:val="28"/>
        </w:rPr>
        <w:t>Tasa de mortalidad</w:t>
      </w:r>
    </w:p>
    <w:p w:rsidR="00D000B8" w:rsidRDefault="00D000B8" w:rsidP="00D000B8">
      <w:pPr>
        <w:numPr>
          <w:ilvl w:val="1"/>
          <w:numId w:val="1"/>
        </w:numPr>
        <w:spacing w:line="360" w:lineRule="auto"/>
        <w:jc w:val="both"/>
        <w:rPr>
          <w:rFonts w:ascii="Tahoma" w:hAnsi="Tahoma" w:cs="Tahoma"/>
          <w:sz w:val="28"/>
          <w:szCs w:val="28"/>
        </w:rPr>
      </w:pPr>
      <w:r>
        <w:rPr>
          <w:rFonts w:ascii="Tahoma" w:hAnsi="Tahoma" w:cs="Tahoma"/>
          <w:sz w:val="28"/>
          <w:szCs w:val="28"/>
        </w:rPr>
        <w:t xml:space="preserve">Sistema de clasificación de acuerdo al daño pulmonar </w:t>
      </w:r>
    </w:p>
    <w:p w:rsidR="00D000B8" w:rsidRDefault="00D000B8" w:rsidP="00D000B8">
      <w:pPr>
        <w:numPr>
          <w:ilvl w:val="1"/>
          <w:numId w:val="1"/>
        </w:numPr>
        <w:spacing w:line="360" w:lineRule="auto"/>
        <w:jc w:val="both"/>
        <w:rPr>
          <w:rFonts w:ascii="Tahoma" w:hAnsi="Tahoma" w:cs="Tahoma"/>
          <w:sz w:val="28"/>
          <w:szCs w:val="28"/>
        </w:rPr>
      </w:pPr>
      <w:r>
        <w:rPr>
          <w:rFonts w:ascii="Tahoma" w:hAnsi="Tahoma" w:cs="Tahoma"/>
          <w:sz w:val="28"/>
          <w:szCs w:val="28"/>
        </w:rPr>
        <w:lastRenderedPageBreak/>
        <w:t>Fisiopatología</w:t>
      </w:r>
    </w:p>
    <w:p w:rsidR="00D000B8" w:rsidRDefault="00D000B8" w:rsidP="00D000B8">
      <w:pPr>
        <w:numPr>
          <w:ilvl w:val="1"/>
          <w:numId w:val="1"/>
        </w:numPr>
        <w:spacing w:line="360" w:lineRule="auto"/>
        <w:jc w:val="both"/>
        <w:rPr>
          <w:rFonts w:ascii="Tahoma" w:hAnsi="Tahoma" w:cs="Tahoma"/>
          <w:sz w:val="28"/>
          <w:szCs w:val="28"/>
        </w:rPr>
      </w:pPr>
      <w:r>
        <w:rPr>
          <w:rFonts w:ascii="Tahoma" w:hAnsi="Tahoma" w:cs="Tahoma"/>
          <w:sz w:val="28"/>
          <w:szCs w:val="28"/>
        </w:rPr>
        <w:t>Factores de riesgo</w:t>
      </w:r>
    </w:p>
    <w:p w:rsidR="00D000B8" w:rsidRDefault="00D000B8" w:rsidP="00D000B8">
      <w:pPr>
        <w:numPr>
          <w:ilvl w:val="1"/>
          <w:numId w:val="1"/>
        </w:numPr>
        <w:spacing w:line="360" w:lineRule="auto"/>
        <w:jc w:val="both"/>
        <w:rPr>
          <w:rFonts w:ascii="Tahoma" w:hAnsi="Tahoma" w:cs="Tahoma"/>
          <w:sz w:val="28"/>
          <w:szCs w:val="28"/>
        </w:rPr>
      </w:pPr>
      <w:r>
        <w:rPr>
          <w:rFonts w:ascii="Tahoma" w:hAnsi="Tahoma" w:cs="Tahoma"/>
          <w:sz w:val="28"/>
          <w:szCs w:val="28"/>
        </w:rPr>
        <w:t>Cuadro clínico</w:t>
      </w:r>
    </w:p>
    <w:p w:rsidR="00D000B8" w:rsidRDefault="00D000B8" w:rsidP="00D000B8">
      <w:pPr>
        <w:numPr>
          <w:ilvl w:val="1"/>
          <w:numId w:val="1"/>
        </w:numPr>
        <w:spacing w:line="360" w:lineRule="auto"/>
        <w:jc w:val="both"/>
        <w:rPr>
          <w:rFonts w:ascii="Tahoma" w:hAnsi="Tahoma" w:cs="Tahoma"/>
          <w:sz w:val="28"/>
          <w:szCs w:val="28"/>
        </w:rPr>
      </w:pPr>
      <w:r>
        <w:rPr>
          <w:rFonts w:ascii="Tahoma" w:hAnsi="Tahoma" w:cs="Tahoma"/>
          <w:sz w:val="28"/>
          <w:szCs w:val="28"/>
        </w:rPr>
        <w:t>Diagnóstico</w:t>
      </w:r>
    </w:p>
    <w:p w:rsidR="00D000B8" w:rsidRDefault="00D000B8" w:rsidP="00D000B8">
      <w:pPr>
        <w:numPr>
          <w:ilvl w:val="2"/>
          <w:numId w:val="1"/>
        </w:numPr>
        <w:spacing w:line="360" w:lineRule="auto"/>
        <w:jc w:val="both"/>
        <w:rPr>
          <w:rFonts w:ascii="Tahoma" w:hAnsi="Tahoma" w:cs="Tahoma"/>
          <w:sz w:val="28"/>
          <w:szCs w:val="28"/>
        </w:rPr>
      </w:pPr>
      <w:r>
        <w:rPr>
          <w:rFonts w:ascii="Tahoma" w:hAnsi="Tahoma" w:cs="Tahoma"/>
          <w:sz w:val="28"/>
          <w:szCs w:val="28"/>
        </w:rPr>
        <w:t xml:space="preserve">Gasometría arterial: </w:t>
      </w:r>
    </w:p>
    <w:p w:rsidR="00D000B8" w:rsidRDefault="00D000B8" w:rsidP="00D000B8">
      <w:pPr>
        <w:numPr>
          <w:ilvl w:val="3"/>
          <w:numId w:val="1"/>
        </w:numPr>
        <w:spacing w:line="360" w:lineRule="auto"/>
        <w:jc w:val="both"/>
        <w:rPr>
          <w:rFonts w:ascii="Tahoma" w:hAnsi="Tahoma" w:cs="Tahoma"/>
          <w:sz w:val="28"/>
          <w:szCs w:val="28"/>
        </w:rPr>
      </w:pPr>
      <w:r>
        <w:rPr>
          <w:rFonts w:ascii="Tahoma" w:hAnsi="Tahoma" w:cs="Tahoma"/>
          <w:sz w:val="28"/>
          <w:szCs w:val="28"/>
        </w:rPr>
        <w:t>Valores normales</w:t>
      </w:r>
    </w:p>
    <w:p w:rsidR="00D000B8" w:rsidRDefault="00D000B8" w:rsidP="00D000B8">
      <w:pPr>
        <w:numPr>
          <w:ilvl w:val="3"/>
          <w:numId w:val="1"/>
        </w:numPr>
        <w:spacing w:line="360" w:lineRule="auto"/>
        <w:jc w:val="both"/>
        <w:rPr>
          <w:rFonts w:ascii="Tahoma" w:hAnsi="Tahoma" w:cs="Tahoma"/>
          <w:sz w:val="28"/>
          <w:szCs w:val="28"/>
        </w:rPr>
      </w:pPr>
      <w:r>
        <w:rPr>
          <w:rFonts w:ascii="Tahoma" w:hAnsi="Tahoma" w:cs="Tahoma"/>
          <w:sz w:val="28"/>
          <w:szCs w:val="28"/>
        </w:rPr>
        <w:t xml:space="preserve">Interpretación </w:t>
      </w:r>
    </w:p>
    <w:p w:rsidR="00D000B8" w:rsidRPr="00D000B8" w:rsidRDefault="00D000B8" w:rsidP="00D000B8">
      <w:pPr>
        <w:numPr>
          <w:ilvl w:val="2"/>
          <w:numId w:val="1"/>
        </w:numPr>
        <w:spacing w:line="360" w:lineRule="auto"/>
        <w:jc w:val="both"/>
        <w:rPr>
          <w:rFonts w:ascii="Tahoma" w:hAnsi="Tahoma" w:cs="Tahoma"/>
          <w:sz w:val="28"/>
          <w:szCs w:val="28"/>
        </w:rPr>
      </w:pPr>
      <w:r>
        <w:rPr>
          <w:rFonts w:ascii="Tahoma" w:hAnsi="Tahoma" w:cs="Tahoma"/>
          <w:sz w:val="28"/>
          <w:szCs w:val="28"/>
        </w:rPr>
        <w:t>Radiografía de tórax</w:t>
      </w:r>
    </w:p>
    <w:p w:rsidR="000B13FD" w:rsidRPr="0012535D" w:rsidRDefault="00D000B8" w:rsidP="000B13FD">
      <w:pPr>
        <w:pStyle w:val="Prrafodelista"/>
        <w:numPr>
          <w:ilvl w:val="1"/>
          <w:numId w:val="1"/>
        </w:numPr>
        <w:spacing w:line="360" w:lineRule="auto"/>
        <w:jc w:val="both"/>
        <w:rPr>
          <w:rFonts w:ascii="Tahoma" w:hAnsi="Tahoma" w:cs="Tahoma"/>
          <w:sz w:val="28"/>
          <w:szCs w:val="28"/>
        </w:rPr>
      </w:pPr>
      <w:r>
        <w:rPr>
          <w:rFonts w:ascii="Tahoma" w:hAnsi="Tahoma" w:cs="Tahoma"/>
          <w:sz w:val="28"/>
          <w:szCs w:val="28"/>
        </w:rPr>
        <w:t>Diagnóstico diferencial</w:t>
      </w:r>
    </w:p>
    <w:p w:rsidR="0012535D" w:rsidRDefault="00D000B8" w:rsidP="000B13FD">
      <w:pPr>
        <w:pStyle w:val="Prrafodelista"/>
        <w:numPr>
          <w:ilvl w:val="1"/>
          <w:numId w:val="1"/>
        </w:numPr>
        <w:spacing w:line="360" w:lineRule="auto"/>
        <w:jc w:val="both"/>
        <w:rPr>
          <w:rFonts w:ascii="Tahoma" w:hAnsi="Tahoma" w:cs="Tahoma"/>
          <w:sz w:val="28"/>
          <w:szCs w:val="28"/>
        </w:rPr>
      </w:pPr>
      <w:r>
        <w:rPr>
          <w:rFonts w:ascii="Tahoma" w:hAnsi="Tahoma" w:cs="Tahoma"/>
          <w:sz w:val="28"/>
          <w:szCs w:val="28"/>
        </w:rPr>
        <w:t>Tratamiento médico</w:t>
      </w:r>
    </w:p>
    <w:p w:rsidR="00D000B8" w:rsidRDefault="00D000B8" w:rsidP="00D000B8">
      <w:pPr>
        <w:pStyle w:val="Prrafodelista"/>
        <w:numPr>
          <w:ilvl w:val="2"/>
          <w:numId w:val="1"/>
        </w:numPr>
        <w:spacing w:line="360" w:lineRule="auto"/>
        <w:jc w:val="both"/>
        <w:rPr>
          <w:rFonts w:ascii="Tahoma" w:hAnsi="Tahoma" w:cs="Tahoma"/>
          <w:sz w:val="28"/>
          <w:szCs w:val="28"/>
        </w:rPr>
      </w:pPr>
      <w:r>
        <w:rPr>
          <w:rFonts w:ascii="Tahoma" w:hAnsi="Tahoma" w:cs="Tahoma"/>
          <w:sz w:val="28"/>
          <w:szCs w:val="28"/>
        </w:rPr>
        <w:t>Oxigenación</w:t>
      </w:r>
    </w:p>
    <w:p w:rsidR="00D000B8" w:rsidRDefault="00D000B8" w:rsidP="00D000B8">
      <w:pPr>
        <w:pStyle w:val="Prrafodelista"/>
        <w:numPr>
          <w:ilvl w:val="2"/>
          <w:numId w:val="1"/>
        </w:numPr>
        <w:spacing w:line="360" w:lineRule="auto"/>
        <w:jc w:val="both"/>
        <w:rPr>
          <w:rFonts w:ascii="Tahoma" w:hAnsi="Tahoma" w:cs="Tahoma"/>
          <w:sz w:val="28"/>
          <w:szCs w:val="28"/>
        </w:rPr>
      </w:pPr>
      <w:r>
        <w:rPr>
          <w:rFonts w:ascii="Tahoma" w:hAnsi="Tahoma" w:cs="Tahoma"/>
          <w:sz w:val="28"/>
          <w:szCs w:val="28"/>
        </w:rPr>
        <w:t>Intubación mecánica</w:t>
      </w:r>
    </w:p>
    <w:p w:rsidR="00D000B8" w:rsidRPr="00D000B8" w:rsidRDefault="00D000B8" w:rsidP="00D000B8">
      <w:pPr>
        <w:pStyle w:val="Prrafodelista"/>
        <w:numPr>
          <w:ilvl w:val="2"/>
          <w:numId w:val="1"/>
        </w:numPr>
        <w:spacing w:line="360" w:lineRule="auto"/>
        <w:jc w:val="both"/>
        <w:rPr>
          <w:rFonts w:ascii="Tahoma" w:hAnsi="Tahoma" w:cs="Tahoma"/>
          <w:sz w:val="28"/>
          <w:szCs w:val="28"/>
        </w:rPr>
      </w:pPr>
      <w:r>
        <w:rPr>
          <w:rFonts w:ascii="Tahoma" w:hAnsi="Tahoma" w:cs="Tahoma"/>
          <w:sz w:val="28"/>
          <w:szCs w:val="28"/>
        </w:rPr>
        <w:t>Perfusión tisular</w:t>
      </w:r>
    </w:p>
    <w:p w:rsidR="00D000B8" w:rsidRDefault="00D000B8" w:rsidP="000B13FD">
      <w:pPr>
        <w:pStyle w:val="Prrafodelista"/>
        <w:numPr>
          <w:ilvl w:val="1"/>
          <w:numId w:val="1"/>
        </w:numPr>
        <w:spacing w:line="360" w:lineRule="auto"/>
        <w:jc w:val="both"/>
        <w:rPr>
          <w:rFonts w:ascii="Tahoma" w:hAnsi="Tahoma" w:cs="Tahoma"/>
          <w:sz w:val="28"/>
          <w:szCs w:val="28"/>
        </w:rPr>
      </w:pPr>
      <w:r>
        <w:rPr>
          <w:rFonts w:ascii="Tahoma" w:hAnsi="Tahoma" w:cs="Tahoma"/>
          <w:sz w:val="28"/>
          <w:szCs w:val="28"/>
        </w:rPr>
        <w:t>Mecanismo de daño tisular</w:t>
      </w:r>
    </w:p>
    <w:p w:rsidR="00D000B8" w:rsidRDefault="00D000B8" w:rsidP="000B13FD">
      <w:pPr>
        <w:pStyle w:val="Prrafodelista"/>
        <w:numPr>
          <w:ilvl w:val="1"/>
          <w:numId w:val="1"/>
        </w:numPr>
        <w:spacing w:line="360" w:lineRule="auto"/>
        <w:jc w:val="both"/>
        <w:rPr>
          <w:rFonts w:ascii="Tahoma" w:hAnsi="Tahoma" w:cs="Tahoma"/>
          <w:sz w:val="28"/>
          <w:szCs w:val="28"/>
        </w:rPr>
      </w:pPr>
      <w:r>
        <w:rPr>
          <w:rFonts w:ascii="Tahoma" w:hAnsi="Tahoma" w:cs="Tahoma"/>
          <w:sz w:val="28"/>
          <w:szCs w:val="28"/>
        </w:rPr>
        <w:t>Cuidados de enfermería</w:t>
      </w:r>
    </w:p>
    <w:p w:rsidR="00D000B8" w:rsidRDefault="00D000B8" w:rsidP="000B13FD">
      <w:pPr>
        <w:pStyle w:val="Prrafodelista"/>
        <w:numPr>
          <w:ilvl w:val="1"/>
          <w:numId w:val="1"/>
        </w:numPr>
        <w:spacing w:line="360" w:lineRule="auto"/>
        <w:jc w:val="both"/>
        <w:rPr>
          <w:rFonts w:ascii="Tahoma" w:hAnsi="Tahoma" w:cs="Tahoma"/>
          <w:sz w:val="28"/>
          <w:szCs w:val="28"/>
        </w:rPr>
      </w:pPr>
      <w:r>
        <w:rPr>
          <w:rFonts w:ascii="Tahoma" w:hAnsi="Tahoma" w:cs="Tahoma"/>
          <w:sz w:val="28"/>
          <w:szCs w:val="28"/>
        </w:rPr>
        <w:t>Complicaciones</w:t>
      </w:r>
    </w:p>
    <w:p w:rsidR="000B13FD" w:rsidRPr="000B13FD" w:rsidRDefault="000B13FD" w:rsidP="000B13FD">
      <w:pPr>
        <w:numPr>
          <w:ilvl w:val="0"/>
          <w:numId w:val="1"/>
        </w:numPr>
        <w:spacing w:line="360" w:lineRule="auto"/>
        <w:jc w:val="both"/>
        <w:rPr>
          <w:rFonts w:ascii="Tahoma" w:hAnsi="Tahoma" w:cs="Tahoma"/>
          <w:sz w:val="28"/>
          <w:szCs w:val="28"/>
        </w:rPr>
      </w:pPr>
      <w:r w:rsidRPr="000B13FD">
        <w:rPr>
          <w:rFonts w:ascii="Tahoma" w:hAnsi="Tahoma" w:cs="Tahoma"/>
          <w:sz w:val="28"/>
          <w:szCs w:val="28"/>
        </w:rPr>
        <w:t xml:space="preserve">Se realiza la evaluación, se </w:t>
      </w:r>
      <w:r w:rsidR="006E3E65">
        <w:rPr>
          <w:rFonts w:ascii="Tahoma" w:hAnsi="Tahoma" w:cs="Tahoma"/>
          <w:sz w:val="28"/>
          <w:szCs w:val="28"/>
        </w:rPr>
        <w:t>expone</w:t>
      </w:r>
      <w:r w:rsidR="002C52C3">
        <w:rPr>
          <w:rFonts w:ascii="Tahoma" w:hAnsi="Tahoma" w:cs="Tahoma"/>
          <w:sz w:val="28"/>
          <w:szCs w:val="28"/>
        </w:rPr>
        <w:t xml:space="preserve"> un caso clínico</w:t>
      </w:r>
      <w:r w:rsidR="006E3E65">
        <w:rPr>
          <w:rFonts w:ascii="Tahoma" w:hAnsi="Tahoma" w:cs="Tahoma"/>
          <w:sz w:val="28"/>
          <w:szCs w:val="28"/>
        </w:rPr>
        <w:t xml:space="preserve"> y </w:t>
      </w:r>
      <w:r w:rsidRPr="000B13FD">
        <w:rPr>
          <w:rFonts w:ascii="Tahoma" w:hAnsi="Tahoma" w:cs="Tahoma"/>
          <w:sz w:val="28"/>
          <w:szCs w:val="28"/>
        </w:rPr>
        <w:t xml:space="preserve">a través de lluvia de ideas </w:t>
      </w:r>
      <w:r w:rsidR="006E3E65">
        <w:rPr>
          <w:rFonts w:ascii="Tahoma" w:hAnsi="Tahoma" w:cs="Tahoma"/>
          <w:sz w:val="28"/>
          <w:szCs w:val="28"/>
        </w:rPr>
        <w:t>los alumnos participa</w:t>
      </w:r>
      <w:r w:rsidRPr="000B13FD">
        <w:rPr>
          <w:rFonts w:ascii="Tahoma" w:hAnsi="Tahoma" w:cs="Tahoma"/>
          <w:sz w:val="28"/>
          <w:szCs w:val="28"/>
        </w:rPr>
        <w:t xml:space="preserve">n </w:t>
      </w:r>
      <w:r w:rsidR="006E3E65">
        <w:rPr>
          <w:rFonts w:ascii="Tahoma" w:hAnsi="Tahoma" w:cs="Tahoma"/>
          <w:sz w:val="28"/>
          <w:szCs w:val="28"/>
        </w:rPr>
        <w:t>enfatizando en los cui</w:t>
      </w:r>
      <w:r w:rsidR="0053632B">
        <w:rPr>
          <w:rFonts w:ascii="Tahoma" w:hAnsi="Tahoma" w:cs="Tahoma"/>
          <w:sz w:val="28"/>
          <w:szCs w:val="28"/>
        </w:rPr>
        <w:t>d</w:t>
      </w:r>
      <w:r w:rsidR="006E3E65">
        <w:rPr>
          <w:rFonts w:ascii="Tahoma" w:hAnsi="Tahoma" w:cs="Tahoma"/>
          <w:sz w:val="28"/>
          <w:szCs w:val="28"/>
        </w:rPr>
        <w:t xml:space="preserve">ados de enfermería en paciente crítico </w:t>
      </w:r>
      <w:r w:rsidRPr="000B13FD">
        <w:rPr>
          <w:rFonts w:ascii="Tahoma" w:hAnsi="Tahoma" w:cs="Tahoma"/>
          <w:sz w:val="28"/>
          <w:szCs w:val="28"/>
        </w:rPr>
        <w:t xml:space="preserve">y posteriormente se pide elaborar </w:t>
      </w:r>
      <w:r w:rsidR="002C52C3">
        <w:rPr>
          <w:rFonts w:ascii="Tahoma" w:hAnsi="Tahoma" w:cs="Tahoma"/>
          <w:sz w:val="28"/>
          <w:szCs w:val="28"/>
        </w:rPr>
        <w:t>resumen de la patología vista en clase</w:t>
      </w:r>
      <w:r w:rsidRPr="000B13FD">
        <w:rPr>
          <w:rFonts w:ascii="Tahoma" w:hAnsi="Tahoma" w:cs="Tahoma"/>
          <w:sz w:val="28"/>
          <w:szCs w:val="28"/>
        </w:rPr>
        <w:t>.</w:t>
      </w:r>
    </w:p>
    <w:p w:rsidR="000B13FD" w:rsidRPr="000B13FD" w:rsidRDefault="000B13FD" w:rsidP="000B13FD">
      <w:pPr>
        <w:numPr>
          <w:ilvl w:val="0"/>
          <w:numId w:val="1"/>
        </w:numPr>
        <w:spacing w:line="360" w:lineRule="auto"/>
        <w:jc w:val="both"/>
        <w:rPr>
          <w:rFonts w:ascii="Tahoma" w:hAnsi="Tahoma" w:cs="Tahoma"/>
          <w:sz w:val="28"/>
          <w:szCs w:val="28"/>
        </w:rPr>
      </w:pPr>
      <w:r w:rsidRPr="000B13FD">
        <w:rPr>
          <w:rFonts w:ascii="Tahoma" w:hAnsi="Tahoma" w:cs="Tahoma"/>
          <w:sz w:val="28"/>
          <w:szCs w:val="28"/>
        </w:rPr>
        <w:lastRenderedPageBreak/>
        <w:t xml:space="preserve">Se concluye, a través de preguntas al azar a los alumnos, para identificar los conceptos generales  y </w:t>
      </w:r>
      <w:r w:rsidR="002C52C3">
        <w:rPr>
          <w:rFonts w:ascii="Tahoma" w:hAnsi="Tahoma" w:cs="Tahoma"/>
          <w:sz w:val="28"/>
          <w:szCs w:val="28"/>
        </w:rPr>
        <w:t xml:space="preserve">para continuar con los temas de </w:t>
      </w:r>
      <w:r w:rsidRPr="000B13FD">
        <w:rPr>
          <w:rFonts w:ascii="Tahoma" w:hAnsi="Tahoma" w:cs="Tahoma"/>
          <w:sz w:val="28"/>
          <w:szCs w:val="28"/>
        </w:rPr>
        <w:t>la unidad de competencia I</w:t>
      </w:r>
      <w:r w:rsidR="002C52C3">
        <w:rPr>
          <w:rFonts w:ascii="Tahoma" w:hAnsi="Tahoma" w:cs="Tahoma"/>
          <w:sz w:val="28"/>
          <w:szCs w:val="28"/>
        </w:rPr>
        <w:t>I</w:t>
      </w:r>
      <w:bookmarkStart w:id="0" w:name="_GoBack"/>
      <w:bookmarkEnd w:id="0"/>
      <w:r w:rsidR="006E3E65">
        <w:rPr>
          <w:rFonts w:ascii="Tahoma" w:hAnsi="Tahoma" w:cs="Tahoma"/>
          <w:sz w:val="28"/>
          <w:szCs w:val="28"/>
        </w:rPr>
        <w:t>I</w:t>
      </w:r>
      <w:r w:rsidRPr="000B13FD">
        <w:rPr>
          <w:rFonts w:ascii="Tahoma" w:hAnsi="Tahoma" w:cs="Tahoma"/>
          <w:sz w:val="28"/>
          <w:szCs w:val="28"/>
        </w:rPr>
        <w:t>.</w:t>
      </w:r>
    </w:p>
    <w:p w:rsidR="000B13FD" w:rsidRPr="00650184" w:rsidRDefault="000B13FD" w:rsidP="000B13FD">
      <w:pPr>
        <w:jc w:val="both"/>
        <w:rPr>
          <w:rFonts w:ascii="Cambria" w:hAnsi="Cambria" w:cs="Arial"/>
          <w:sz w:val="28"/>
          <w:szCs w:val="28"/>
        </w:rPr>
      </w:pPr>
    </w:p>
    <w:p w:rsidR="000B13FD" w:rsidRDefault="000B13FD" w:rsidP="000B13FD">
      <w:pPr>
        <w:jc w:val="both"/>
        <w:rPr>
          <w:rFonts w:ascii="Tahoma" w:hAnsi="Tahoma" w:cs="Tahoma"/>
          <w:sz w:val="28"/>
        </w:rPr>
      </w:pPr>
    </w:p>
    <w:p w:rsidR="000B13FD" w:rsidRPr="000B13FD" w:rsidRDefault="000B13FD" w:rsidP="000B13FD">
      <w:pPr>
        <w:jc w:val="both"/>
        <w:rPr>
          <w:rFonts w:ascii="Tahoma" w:hAnsi="Tahoma" w:cs="Tahoma"/>
          <w:sz w:val="28"/>
        </w:rPr>
      </w:pPr>
    </w:p>
    <w:sectPr w:rsidR="000B13FD" w:rsidRPr="000B13FD">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0BC5" w:rsidRDefault="00D00BC5" w:rsidP="000B13FD">
      <w:pPr>
        <w:spacing w:after="0" w:line="240" w:lineRule="auto"/>
      </w:pPr>
      <w:r>
        <w:separator/>
      </w:r>
    </w:p>
  </w:endnote>
  <w:endnote w:type="continuationSeparator" w:id="0">
    <w:p w:rsidR="00D00BC5" w:rsidRDefault="00D00BC5" w:rsidP="000B13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4200329"/>
      <w:docPartObj>
        <w:docPartGallery w:val="Page Numbers (Bottom of Page)"/>
        <w:docPartUnique/>
      </w:docPartObj>
    </w:sdtPr>
    <w:sdtEndPr/>
    <w:sdtContent>
      <w:p w:rsidR="0053632B" w:rsidRDefault="0053632B">
        <w:pPr>
          <w:pStyle w:val="Piedepgina"/>
          <w:jc w:val="right"/>
        </w:pPr>
        <w:r>
          <w:fldChar w:fldCharType="begin"/>
        </w:r>
        <w:r>
          <w:instrText>PAGE   \* MERGEFORMAT</w:instrText>
        </w:r>
        <w:r>
          <w:fldChar w:fldCharType="separate"/>
        </w:r>
        <w:r w:rsidR="002C52C3" w:rsidRPr="002C52C3">
          <w:rPr>
            <w:noProof/>
            <w:lang w:val="es-ES"/>
          </w:rPr>
          <w:t>4</w:t>
        </w:r>
        <w:r>
          <w:fldChar w:fldCharType="end"/>
        </w:r>
      </w:p>
    </w:sdtContent>
  </w:sdt>
  <w:p w:rsidR="0053632B" w:rsidRDefault="0053632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0BC5" w:rsidRDefault="00D00BC5" w:rsidP="000B13FD">
      <w:pPr>
        <w:spacing w:after="0" w:line="240" w:lineRule="auto"/>
      </w:pPr>
      <w:r>
        <w:separator/>
      </w:r>
    </w:p>
  </w:footnote>
  <w:footnote w:type="continuationSeparator" w:id="0">
    <w:p w:rsidR="00D00BC5" w:rsidRDefault="00D00BC5" w:rsidP="000B13F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13FD" w:rsidRDefault="000B13FD">
    <w:pPr>
      <w:pStyle w:val="Encabezado"/>
      <w:jc w:val="center"/>
      <w:rPr>
        <w:color w:val="365F91" w:themeColor="accent1" w:themeShade="BF"/>
      </w:rPr>
    </w:pPr>
    <w:r>
      <w:rPr>
        <w:noProof/>
        <w:color w:val="4F81BD" w:themeColor="accent1"/>
        <w:lang w:eastAsia="es-MX"/>
      </w:rPr>
      <mc:AlternateContent>
        <mc:Choice Requires="wpg">
          <w:drawing>
            <wp:anchor distT="0" distB="0" distL="114300" distR="114300" simplePos="0" relativeHeight="251659264" behindDoc="0" locked="0" layoutInCell="1" allowOverlap="1" wp14:editId="4D35DDF7">
              <wp:simplePos x="0" y="0"/>
              <wp:positionH relativeFrom="page">
                <wp:align>left</wp:align>
              </wp:positionH>
              <wp:positionV relativeFrom="page">
                <wp:align>top</wp:align>
              </wp:positionV>
              <wp:extent cx="4041530" cy="1003564"/>
              <wp:effectExtent l="0" t="57150" r="35170" b="25136"/>
              <wp:wrapNone/>
              <wp:docPr id="63" name="Grupo 63"/>
              <wp:cNvGraphicFramePr/>
              <a:graphic xmlns:a="http://schemas.openxmlformats.org/drawingml/2006/main">
                <a:graphicData uri="http://schemas.microsoft.com/office/word/2010/wordprocessingGroup">
                  <wpg:wgp>
                    <wpg:cNvGrpSpPr/>
                    <wpg:grpSpPr>
                      <a:xfrm>
                        <a:off x="0" y="0"/>
                        <a:ext cx="4041530" cy="1003564"/>
                        <a:chOff x="0" y="-40192"/>
                        <a:chExt cx="4041530" cy="1003564"/>
                      </a:xfrm>
                    </wpg:grpSpPr>
                    <wps:wsp>
                      <wps:cNvPr id="57" name="Straight Connector 57"/>
                      <wps:cNvCnPr/>
                      <wps:spPr>
                        <a:xfrm flipV="1">
                          <a:off x="459084" y="-40192"/>
                          <a:ext cx="3582446" cy="969053"/>
                        </a:xfrm>
                        <a:prstGeom prst="line">
                          <a:avLst/>
                        </a:prstGeom>
                        <a:gradFill flip="none" rotWithShape="1">
                          <a:gsLst>
                            <a:gs pos="0">
                              <a:schemeClr val="accent1">
                                <a:lumMod val="60000"/>
                                <a:lumOff val="40000"/>
                                <a:tint val="66000"/>
                                <a:satMod val="160000"/>
                              </a:schemeClr>
                            </a:gs>
                            <a:gs pos="50000">
                              <a:schemeClr val="accent1">
                                <a:lumMod val="60000"/>
                                <a:lumOff val="40000"/>
                                <a:tint val="44500"/>
                                <a:satMod val="160000"/>
                              </a:schemeClr>
                            </a:gs>
                            <a:gs pos="100000">
                              <a:schemeClr val="accent1">
                                <a:lumMod val="60000"/>
                                <a:lumOff val="40000"/>
                                <a:tint val="23500"/>
                                <a:satMod val="160000"/>
                              </a:schemeClr>
                            </a:gs>
                          </a:gsLst>
                          <a:path path="circle">
                            <a:fillToRect l="50000" t="50000" r="50000" b="50000"/>
                          </a:path>
                          <a:tileRect/>
                        </a:gradFill>
                        <a:ln>
                          <a:solidFill>
                            <a:schemeClr val="accent1">
                              <a:lumMod val="60000"/>
                              <a:lumOff val="40000"/>
                            </a:schemeClr>
                          </a:solidFill>
                        </a:ln>
                        <a:scene3d>
                          <a:camera prst="orthographicFront"/>
                          <a:lightRig rig="threePt" dir="t"/>
                        </a:scene3d>
                        <a:sp3d/>
                      </wps:spPr>
                      <wps:style>
                        <a:lnRef idx="1">
                          <a:schemeClr val="accent1"/>
                        </a:lnRef>
                        <a:fillRef idx="0">
                          <a:schemeClr val="accent1"/>
                        </a:fillRef>
                        <a:effectRef idx="0">
                          <a:schemeClr val="accent1"/>
                        </a:effectRef>
                        <a:fontRef idx="minor">
                          <a:schemeClr val="tx1"/>
                        </a:fontRef>
                      </wps:style>
                      <wps:bodyPr/>
                    </wps:wsp>
                    <wps:wsp>
                      <wps:cNvPr id="62" name="Oval 62"/>
                      <wps:cNvSpPr/>
                      <wps:spPr>
                        <a:xfrm>
                          <a:off x="0" y="50242"/>
                          <a:ext cx="1014730" cy="913130"/>
                        </a:xfrm>
                        <a:prstGeom prst="ellipse">
                          <a:avLst/>
                        </a:prstGeom>
                        <a:gradFill flip="none" rotWithShape="1">
                          <a:gsLst>
                            <a:gs pos="0">
                              <a:schemeClr val="accent1">
                                <a:lumMod val="60000"/>
                                <a:lumOff val="40000"/>
                                <a:tint val="66000"/>
                                <a:satMod val="160000"/>
                              </a:schemeClr>
                            </a:gs>
                            <a:gs pos="50000">
                              <a:schemeClr val="accent1">
                                <a:lumMod val="60000"/>
                                <a:lumOff val="40000"/>
                                <a:tint val="44500"/>
                                <a:satMod val="160000"/>
                              </a:schemeClr>
                            </a:gs>
                            <a:gs pos="100000">
                              <a:schemeClr val="accent1">
                                <a:lumMod val="60000"/>
                                <a:lumOff val="40000"/>
                                <a:tint val="23500"/>
                                <a:satMod val="160000"/>
                              </a:schemeClr>
                            </a:gs>
                          </a:gsLst>
                          <a:path path="circle">
                            <a:fillToRect l="50000" t="50000" r="50000" b="50000"/>
                          </a:path>
                          <a:tileRect/>
                        </a:gradFill>
                        <a:ln>
                          <a:noFill/>
                        </a:ln>
                        <a:scene3d>
                          <a:camera prst="perspectiveContrastingRightFacing"/>
                          <a:lightRig rig="twoPt" dir="t"/>
                        </a:scene3d>
                        <a:sp3d>
                          <a:bevelT w="101600" prst="riblet"/>
                        </a:sp3d>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50000</wp14:pctWidth>
              </wp14:sizeRelH>
              <wp14:sizeRelV relativeFrom="topMargin">
                <wp14:pctHeight>100000</wp14:pctHeight>
              </wp14:sizeRelV>
            </wp:anchor>
          </w:drawing>
        </mc:Choice>
        <mc:Fallback>
          <w:pict>
            <v:group id="Grupo 63" o:spid="_x0000_s1026" style="position:absolute;margin-left:0;margin-top:0;width:318.25pt;height:79pt;z-index:251659264;mso-width-percent:500;mso-height-percent:1000;mso-position-horizontal:left;mso-position-horizontal-relative:page;mso-position-vertical:top;mso-position-vertical-relative:page;mso-width-percent:500;mso-height-percent:1000;mso-width-relative:margin;mso-height-relative:top-margin-area" coordorigin=",-401" coordsize="40415,100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">
              <v:line id="Straight Connector 57" o:spid="_x0000_s1027" style="position:absolute;flip:y;visibility:visible;mso-wrap-style:square" from="4590,-401" to="40415,92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6R8UAAADbAAAADwAAAGRycy9kb3ducmV2LnhtbESP3WrCQBSE74W+w3IK3ohuYmmV1FWK&#10;qGiLBX8e4JA9+SHZsyG7avr2bkHwcpiZb5jZojO1uFLrSssK4lEEgji1uuRcwfm0Hk5BOI+ssbZM&#10;Cv7IwWL+0pthou2ND3Q9+lwECLsEFRTeN4mULi3IoBvZhjh4mW0N+iDbXOoWbwFuajmOog9psOSw&#10;UGBDy4LS6ngxCqr9IMvqt328+8WfLN5Q9b0dr5Tqv3ZfnyA8df4ZfrS3WsH7BP6/hB8g53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e6R8UAAADbAAAADwAAAAAAAAAA&#10;AAAAAAChAgAAZHJzL2Rvd25yZXYueG1sUEsFBgAAAAAEAAQA+QAAAJMDAAAAAA==&#10;" filled="t" fillcolor="#95b3d7 [1940]" strokecolor="#95b3d7 [1940]">
                <v:fill color2="#95b3d7 [1940]" rotate="t" focusposition=".5,.5" focussize="" colors="0 #b7d0f1;.5 #d2e0f5;1 #e8effa" focus="100%" type="gradientRadial"/>
              </v:line>
              <v:oval id="Oval 62" o:spid="_x0000_s1028" style="position:absolute;top:502;width:10147;height:913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vGc8MA&#10;AADbAAAADwAAAGRycy9kb3ducmV2LnhtbESPQYvCMBSE7wv+h/AEb2uqQlerUUSQ6kFhVfD6bJ5t&#10;sXkpTdT6742wsMdhZr5hZovWVOJBjSstKxj0IxDEmdUl5wpOx/X3GITzyBory6TgRQ4W887XDBNt&#10;n/xLj4PPRYCwS1BB4X2dSOmyggy6vq2Jg3e1jUEfZJNL3eAzwE0lh1EUS4Mlh4UCa1oVlN0Od6Ng&#10;v0v3+iLPkzRuV8vBzzjdbEcjpXrddjkF4an1/+G/9kYriIfw+RJ+gJ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GvGc8MAAADbAAAADwAAAAAAAAAAAAAAAACYAgAAZHJzL2Rv&#10;d25yZXYueG1sUEsFBgAAAAAEAAQA9QAAAIgDAAAAAA==&#10;" fillcolor="#95b3d7 [1940]" stroked="f" strokeweight="2pt">
                <v:fill color2="#95b3d7 [1940]" rotate="t" focusposition=".5,.5" focussize="" colors="0 #b7d0f1;.5 #d2e0f5;1 #e8effa" focus="100%" type="gradientRadial"/>
              </v:oval>
              <w10:wrap anchorx="page" anchory="page"/>
            </v:group>
          </w:pict>
        </mc:Fallback>
      </mc:AlternateContent>
    </w:r>
    <w:sdt>
      <w:sdtPr>
        <w:rPr>
          <w:color w:val="365F91" w:themeColor="accent1" w:themeShade="BF"/>
        </w:rPr>
        <w:alias w:val="Título"/>
        <w:id w:val="79116639"/>
        <w:placeholder>
          <w:docPart w:val="1F3BBBCAE62B46188E3D0305E88B004E"/>
        </w:placeholder>
        <w:dataBinding w:prefixMappings="xmlns:ns0='http://schemas.openxmlformats.org/package/2006/metadata/core-properties' xmlns:ns1='http://purl.org/dc/elements/1.1/'" w:xpath="/ns0:coreProperties[1]/ns1:title[1]" w:storeItemID="{6C3C8BC8-F283-45AE-878A-BAB7291924A1}"/>
        <w:text/>
      </w:sdtPr>
      <w:sdtEndPr/>
      <w:sdtContent>
        <w:r>
          <w:rPr>
            <w:color w:val="365F91" w:themeColor="accent1" w:themeShade="BF"/>
          </w:rPr>
          <w:t>GUIÓN EXPLICATIVO DE LA UNIDAD DE APRENDIZAJE ENFERMERÍA EN CUIDADOS INTENSIVOS</w:t>
        </w:r>
      </w:sdtContent>
    </w:sdt>
  </w:p>
  <w:p w:rsidR="000B13FD" w:rsidRDefault="000B13FD">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F60F69"/>
    <w:multiLevelType w:val="multilevel"/>
    <w:tmpl w:val="704A5A02"/>
    <w:lvl w:ilvl="0">
      <w:start w:val="1"/>
      <w:numFmt w:val="decimal"/>
      <w:lvlText w:val="%1."/>
      <w:lvlJc w:val="left"/>
      <w:pPr>
        <w:ind w:left="36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880" w:hanging="1440"/>
      </w:pPr>
      <w:rPr>
        <w:rFonts w:hint="default"/>
      </w:rPr>
    </w:lvl>
    <w:lvl w:ilvl="5">
      <w:start w:val="1"/>
      <w:numFmt w:val="decimal"/>
      <w:isLgl/>
      <w:lvlText w:val="%1.%2.%3.%4.%5.%6"/>
      <w:lvlJc w:val="left"/>
      <w:pPr>
        <w:ind w:left="3600" w:hanging="1800"/>
      </w:pPr>
      <w:rPr>
        <w:rFonts w:hint="default"/>
      </w:rPr>
    </w:lvl>
    <w:lvl w:ilvl="6">
      <w:start w:val="1"/>
      <w:numFmt w:val="decimal"/>
      <w:isLgl/>
      <w:lvlText w:val="%1.%2.%3.%4.%5.%6.%7"/>
      <w:lvlJc w:val="left"/>
      <w:pPr>
        <w:ind w:left="4320" w:hanging="2160"/>
      </w:pPr>
      <w:rPr>
        <w:rFonts w:hint="default"/>
      </w:rPr>
    </w:lvl>
    <w:lvl w:ilvl="7">
      <w:start w:val="1"/>
      <w:numFmt w:val="decimal"/>
      <w:isLgl/>
      <w:lvlText w:val="%1.%2.%3.%4.%5.%6.%7.%8"/>
      <w:lvlJc w:val="left"/>
      <w:pPr>
        <w:ind w:left="5040" w:hanging="2520"/>
      </w:pPr>
      <w:rPr>
        <w:rFonts w:hint="default"/>
      </w:rPr>
    </w:lvl>
    <w:lvl w:ilvl="8">
      <w:start w:val="1"/>
      <w:numFmt w:val="decimal"/>
      <w:isLgl/>
      <w:lvlText w:val="%1.%2.%3.%4.%5.%6.%7.%8.%9"/>
      <w:lvlJc w:val="left"/>
      <w:pPr>
        <w:ind w:left="5400" w:hanging="252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13FD"/>
    <w:rsid w:val="000B13FD"/>
    <w:rsid w:val="0012535D"/>
    <w:rsid w:val="002C52C3"/>
    <w:rsid w:val="00331AFF"/>
    <w:rsid w:val="003D42B2"/>
    <w:rsid w:val="0053632B"/>
    <w:rsid w:val="006E3E65"/>
    <w:rsid w:val="00724120"/>
    <w:rsid w:val="00991EC3"/>
    <w:rsid w:val="00D000B8"/>
    <w:rsid w:val="00D00BC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B13F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B13FD"/>
  </w:style>
  <w:style w:type="paragraph" w:styleId="Piedepgina">
    <w:name w:val="footer"/>
    <w:basedOn w:val="Normal"/>
    <w:link w:val="PiedepginaCar"/>
    <w:uiPriority w:val="99"/>
    <w:unhideWhenUsed/>
    <w:rsid w:val="000B13F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B13FD"/>
  </w:style>
  <w:style w:type="paragraph" w:styleId="Textodeglobo">
    <w:name w:val="Balloon Text"/>
    <w:basedOn w:val="Normal"/>
    <w:link w:val="TextodegloboCar"/>
    <w:uiPriority w:val="99"/>
    <w:semiHidden/>
    <w:unhideWhenUsed/>
    <w:rsid w:val="000B13F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B13FD"/>
    <w:rPr>
      <w:rFonts w:ascii="Tahoma" w:hAnsi="Tahoma" w:cs="Tahoma"/>
      <w:sz w:val="16"/>
      <w:szCs w:val="16"/>
    </w:rPr>
  </w:style>
  <w:style w:type="paragraph" w:styleId="Prrafodelista">
    <w:name w:val="List Paragraph"/>
    <w:basedOn w:val="Normal"/>
    <w:uiPriority w:val="34"/>
    <w:qFormat/>
    <w:rsid w:val="000B13F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B13F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B13FD"/>
  </w:style>
  <w:style w:type="paragraph" w:styleId="Piedepgina">
    <w:name w:val="footer"/>
    <w:basedOn w:val="Normal"/>
    <w:link w:val="PiedepginaCar"/>
    <w:uiPriority w:val="99"/>
    <w:unhideWhenUsed/>
    <w:rsid w:val="000B13F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B13FD"/>
  </w:style>
  <w:style w:type="paragraph" w:styleId="Textodeglobo">
    <w:name w:val="Balloon Text"/>
    <w:basedOn w:val="Normal"/>
    <w:link w:val="TextodegloboCar"/>
    <w:uiPriority w:val="99"/>
    <w:semiHidden/>
    <w:unhideWhenUsed/>
    <w:rsid w:val="000B13F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B13FD"/>
    <w:rPr>
      <w:rFonts w:ascii="Tahoma" w:hAnsi="Tahoma" w:cs="Tahoma"/>
      <w:sz w:val="16"/>
      <w:szCs w:val="16"/>
    </w:rPr>
  </w:style>
  <w:style w:type="paragraph" w:styleId="Prrafodelista">
    <w:name w:val="List Paragraph"/>
    <w:basedOn w:val="Normal"/>
    <w:uiPriority w:val="34"/>
    <w:qFormat/>
    <w:rsid w:val="000B13F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1F3BBBCAE62B46188E3D0305E88B004E"/>
        <w:category>
          <w:name w:val="General"/>
          <w:gallery w:val="placeholder"/>
        </w:category>
        <w:types>
          <w:type w:val="bbPlcHdr"/>
        </w:types>
        <w:behaviors>
          <w:behavior w:val="content"/>
        </w:behaviors>
        <w:guid w:val="{010332F9-0C77-4AF4-9FBA-25B5BCA56E5B}"/>
      </w:docPartPr>
      <w:docPartBody>
        <w:p w:rsidR="00A97D44" w:rsidRDefault="00A45ED6" w:rsidP="00A45ED6">
          <w:pPr>
            <w:pStyle w:val="1F3BBBCAE62B46188E3D0305E88B004E"/>
          </w:pPr>
          <w:r>
            <w:rPr>
              <w:color w:val="4F81BD" w:themeColor="accent1"/>
              <w:lang w:val="es-ES"/>
            </w:rPr>
            <w:t>[Escriba el 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5ED6"/>
    <w:rsid w:val="001C5111"/>
    <w:rsid w:val="00674E79"/>
    <w:rsid w:val="00A45ED6"/>
    <w:rsid w:val="00A97D44"/>
    <w:rsid w:val="00E34A1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1F3BBBCAE62B46188E3D0305E88B004E">
    <w:name w:val="1F3BBBCAE62B46188E3D0305E88B004E"/>
    <w:rsid w:val="00A45ED6"/>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1F3BBBCAE62B46188E3D0305E88B004E">
    <w:name w:val="1F3BBBCAE62B46188E3D0305E88B004E"/>
    <w:rsid w:val="00A45E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439</Words>
  <Characters>2415</Characters>
  <Application>Microsoft Office Word</Application>
  <DocSecurity>0</DocSecurity>
  <Lines>20</Lines>
  <Paragraphs>5</Paragraphs>
  <ScaleCrop>false</ScaleCrop>
  <HeadingPairs>
    <vt:vector size="2" baseType="variant">
      <vt:variant>
        <vt:lpstr>Título</vt:lpstr>
      </vt:variant>
      <vt:variant>
        <vt:i4>1</vt:i4>
      </vt:variant>
    </vt:vector>
  </HeadingPairs>
  <TitlesOfParts>
    <vt:vector size="1" baseType="lpstr">
      <vt:lpstr>GUIÓN EXPLICATIVO DE LA UNIDAD DE APRENDIZAJE ENFERMERÍA EN CUIDADOS INTENSIVOS</vt:lpstr>
    </vt:vector>
  </TitlesOfParts>
  <Company/>
  <LinksUpToDate>false</LinksUpToDate>
  <CharactersWithSpaces>2849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GUIÓN EXPLICATIVO DE LA UNIDAD DE APRENDIZAJE ENFERMERÍA EN CUIDADOS INTENSIVOS</dc:title>
  <dc:creator>USUARIO</dc:creator>
  <cp:lastModifiedBy>USUARIO</cp:lastModifiedBy>
  <cp:revision>2</cp:revision>
  <dcterms:created xsi:type="dcterms:W3CDTF">2015-09-30T16:09:00Z</dcterms:created>
  <dcterms:modified xsi:type="dcterms:W3CDTF">2015-09-30T16:09:00Z</dcterms:modified>
</cp:coreProperties>
</file>