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rFonts w:ascii="Times New Roman"/>
          <w:sz w:val="15"/>
        </w:rPr>
      </w:pPr>
    </w:p>
    <w:p>
      <w:pPr>
        <w:spacing w:line="276" w:lineRule="auto" w:before="59"/>
        <w:ind w:left="3579" w:right="1979" w:hanging="615"/>
        <w:jc w:val="left"/>
        <w:rPr>
          <w:sz w:val="32"/>
        </w:rPr>
      </w:pPr>
      <w:r>
        <w:rPr/>
        <w:pict>
          <v:group style="position:absolute;margin-left:80.75pt;margin-top:-9.539163pt;width:362.1pt;height:628.450pt;mso-position-horizontal-relative:page;mso-position-vertical-relative:paragraph;z-index:-342880" coordorigin="1615,-191" coordsize="7242,12569">
            <v:shape style="position:absolute;left:1655;top:735;width:7162;height:11603" coordorigin="1655,735" coordsize="7162,11603" path="m1673,735l1670,12336m8817,12338l1655,12338e" filled="false" stroked="true" strokeweight="4pt" strokecolor="#001f5f">
              <v:path arrowok="t"/>
            </v:shape>
            <v:line style="position:absolute" from="1867,1029" to="1867,12156" stroked="true" strokeweight="2.25pt" strokecolor="#006fc0"/>
            <v:line style="position:absolute" from="1849,12158" to="8689,12158" stroked="true" strokeweight="3pt" strokecolor="#006fc0"/>
            <v:shape style="position:absolute;left:2936;top:-191;width:1133;height:1133" type="#_x0000_t75" stroked="false">
              <v:imagedata r:id="rId5" o:title=""/>
            </v:shape>
            <w10:wrap type="none"/>
          </v:group>
        </w:pict>
      </w:r>
      <w:r>
        <w:rPr/>
        <w:pict>
          <v:group style="position:absolute;margin-left:101.050003pt;margin-top:60.807838pt;width:440.65pt;height:538.6pt;mso-position-horizontal-relative:page;mso-position-vertical-relative:paragraph;z-index:-342856" coordorigin="2021,1216" coordsize="8813,10772">
            <v:shape style="position:absolute;left:2031;top:1226;width:6469;height:10752" coordorigin="2031,1226" coordsize="6469,10752" path="m2049,1226l2046,11976m2031,11977l8500,11978e" filled="false" stroked="true" strokeweight="1pt" strokecolor="#006fc0">
              <v:path arrowok="t"/>
            </v:shape>
            <v:shape style="position:absolute;left:3619;top:1324;width:7200;height:180" coordorigin="3619,1324" coordsize="7200,180" path="m3619,1324l10819,1325m3799,1504l10639,1504e" filled="false" stroked="true" strokeweight="1.5pt" strokecolor="#006fc0">
              <v:path arrowok="t"/>
            </v:shape>
            <w10:wrap type="none"/>
          </v:group>
        </w:pict>
      </w:r>
      <w:r>
        <w:rPr/>
        <w:drawing>
          <wp:anchor distT="0" distB="0" distL="0" distR="0" allowOverlap="1" layoutInCell="1" locked="0" behindDoc="0" simplePos="0" relativeHeight="1096">
            <wp:simplePos x="0" y="0"/>
            <wp:positionH relativeFrom="page">
              <wp:posOffset>6317615</wp:posOffset>
            </wp:positionH>
            <wp:positionV relativeFrom="paragraph">
              <wp:posOffset>-121820</wp:posOffset>
            </wp:positionV>
            <wp:extent cx="788035" cy="721359"/>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88035" cy="721359"/>
                    </a:xfrm>
                    <a:prstGeom prst="rect">
                      <a:avLst/>
                    </a:prstGeom>
                  </pic:spPr>
                </pic:pic>
              </a:graphicData>
            </a:graphic>
          </wp:anchor>
        </w:drawing>
      </w:r>
      <w:r>
        <w:rPr>
          <w:sz w:val="32"/>
        </w:rPr>
        <w:t>UNIVERSIDAD AUTÓNOMA DEL ESTADO DE MÉXICO.</w:t>
      </w:r>
    </w:p>
    <w:p>
      <w:pPr>
        <w:pStyle w:val="BodyText"/>
        <w:rPr>
          <w:sz w:val="16"/>
        </w:rPr>
      </w:pPr>
      <w:r>
        <w:rPr/>
        <w:pict>
          <v:line style="position:absolute;mso-position-horizontal-relative:page;mso-position-vertical-relative:paragraph;z-index:0;mso-wrap-distance-left:0;mso-wrap-distance-right:0" from="180.949997pt,11.938098pt" to="540.949997pt,11.988098pt" stroked="true" strokeweight="1.5pt" strokecolor="#006fc0">
            <w10:wrap type="topAndBottom"/>
          </v:line>
        </w:pict>
      </w:r>
    </w:p>
    <w:p>
      <w:pPr>
        <w:pStyle w:val="BodyText"/>
        <w:rPr>
          <w:sz w:val="32"/>
        </w:rPr>
      </w:pPr>
    </w:p>
    <w:p>
      <w:pPr>
        <w:spacing w:before="239"/>
        <w:ind w:left="3579" w:right="1979" w:firstLine="0"/>
        <w:jc w:val="left"/>
        <w:rPr>
          <w:sz w:val="30"/>
        </w:rPr>
      </w:pPr>
      <w:r>
        <w:rPr>
          <w:sz w:val="30"/>
        </w:rPr>
        <w:t>FACULTAD DE GEOGRAFÍA</w:t>
      </w:r>
    </w:p>
    <w:p>
      <w:pPr>
        <w:pStyle w:val="BodyText"/>
        <w:spacing w:before="2"/>
        <w:rPr>
          <w:sz w:val="28"/>
        </w:rPr>
      </w:pPr>
    </w:p>
    <w:p>
      <w:pPr>
        <w:spacing w:line="360" w:lineRule="auto" w:before="65"/>
        <w:ind w:left="1725" w:right="696" w:firstLine="2"/>
        <w:jc w:val="center"/>
        <w:rPr>
          <w:sz w:val="28"/>
        </w:rPr>
      </w:pPr>
      <w:r>
        <w:rPr>
          <w:sz w:val="28"/>
        </w:rPr>
        <w:t>Modelo espacial para la evaluación del riesgo de incendios forestales en el Suelo de Conservación del Distrito Federal.</w:t>
      </w:r>
    </w:p>
    <w:p>
      <w:pPr>
        <w:pStyle w:val="BodyText"/>
        <w:rPr>
          <w:sz w:val="28"/>
        </w:rPr>
      </w:pPr>
    </w:p>
    <w:p>
      <w:pPr>
        <w:spacing w:before="167"/>
        <w:ind w:left="2674" w:right="1644" w:firstLine="0"/>
        <w:jc w:val="center"/>
        <w:rPr>
          <w:sz w:val="28"/>
        </w:rPr>
      </w:pPr>
      <w:r>
        <w:rPr>
          <w:sz w:val="28"/>
        </w:rPr>
        <w:t>TRABAJO TERMINAL DE GRADO</w:t>
      </w:r>
    </w:p>
    <w:p>
      <w:pPr>
        <w:spacing w:before="160"/>
        <w:ind w:left="2674" w:right="1643" w:firstLine="0"/>
        <w:jc w:val="center"/>
        <w:rPr>
          <w:sz w:val="28"/>
        </w:rPr>
      </w:pPr>
      <w:r>
        <w:rPr>
          <w:sz w:val="28"/>
        </w:rPr>
        <w:t>Modalidad Tesis</w:t>
      </w:r>
    </w:p>
    <w:p>
      <w:pPr>
        <w:pStyle w:val="BodyText"/>
        <w:rPr>
          <w:sz w:val="28"/>
        </w:rPr>
      </w:pPr>
    </w:p>
    <w:p>
      <w:pPr>
        <w:pStyle w:val="BodyText"/>
        <w:rPr>
          <w:sz w:val="28"/>
        </w:rPr>
      </w:pPr>
    </w:p>
    <w:p>
      <w:pPr>
        <w:spacing w:before="1"/>
        <w:ind w:left="2672" w:right="1646" w:firstLine="0"/>
        <w:jc w:val="center"/>
        <w:rPr>
          <w:sz w:val="26"/>
        </w:rPr>
      </w:pPr>
      <w:r>
        <w:rPr>
          <w:sz w:val="26"/>
        </w:rPr>
        <w:t>Que para obtener el grado de</w:t>
      </w:r>
    </w:p>
    <w:p>
      <w:pPr>
        <w:spacing w:before="148"/>
        <w:ind w:left="2674" w:right="1646" w:firstLine="0"/>
        <w:jc w:val="center"/>
        <w:rPr>
          <w:sz w:val="28"/>
        </w:rPr>
      </w:pPr>
      <w:r>
        <w:rPr>
          <w:sz w:val="26"/>
        </w:rPr>
        <w:t>Maestra en Análisis Espacial y Geoinformática</w:t>
      </w:r>
      <w:r>
        <w:rPr>
          <w:sz w:val="28"/>
        </w:rPr>
        <w:t>.</w:t>
      </w:r>
    </w:p>
    <w:p>
      <w:pPr>
        <w:pStyle w:val="BodyText"/>
        <w:rPr>
          <w:sz w:val="28"/>
        </w:rPr>
      </w:pPr>
    </w:p>
    <w:p>
      <w:pPr>
        <w:pStyle w:val="BodyText"/>
        <w:spacing w:before="222"/>
        <w:ind w:left="2674" w:right="1645"/>
        <w:jc w:val="center"/>
      </w:pPr>
      <w:r>
        <w:rPr/>
        <w:t>PRESENTA:</w:t>
      </w:r>
    </w:p>
    <w:p>
      <w:pPr>
        <w:pStyle w:val="BodyText"/>
        <w:spacing w:before="137"/>
        <w:ind w:left="2673" w:right="1646"/>
        <w:jc w:val="center"/>
      </w:pPr>
      <w:r>
        <w:rPr/>
        <w:t>María Evelia González Millán.</w:t>
      </w:r>
    </w:p>
    <w:p>
      <w:pPr>
        <w:pStyle w:val="BodyText"/>
      </w:pPr>
    </w:p>
    <w:p>
      <w:pPr>
        <w:pStyle w:val="BodyText"/>
      </w:pPr>
    </w:p>
    <w:p>
      <w:pPr>
        <w:pStyle w:val="BodyText"/>
        <w:ind w:left="2674" w:right="1641"/>
        <w:jc w:val="center"/>
      </w:pPr>
      <w:r>
        <w:rPr/>
        <w:t>Tutor Académico:</w:t>
      </w:r>
    </w:p>
    <w:p>
      <w:pPr>
        <w:pStyle w:val="BodyText"/>
        <w:spacing w:before="139"/>
        <w:ind w:left="2674" w:right="1646"/>
        <w:jc w:val="center"/>
      </w:pPr>
      <w:r>
        <w:rPr/>
        <w:t>Dra. en C. Xanat Antonio Némiga.</w:t>
      </w:r>
    </w:p>
    <w:p>
      <w:pPr>
        <w:pStyle w:val="BodyText"/>
      </w:pPr>
    </w:p>
    <w:p>
      <w:pPr>
        <w:pStyle w:val="BodyText"/>
      </w:pPr>
    </w:p>
    <w:p>
      <w:pPr>
        <w:pStyle w:val="BodyText"/>
        <w:ind w:left="2674" w:right="1641"/>
        <w:jc w:val="center"/>
      </w:pPr>
      <w:r>
        <w:rPr/>
        <w:t>Tutores Adjuntos:</w:t>
      </w:r>
    </w:p>
    <w:p>
      <w:pPr>
        <w:pStyle w:val="BodyText"/>
        <w:spacing w:before="137"/>
        <w:ind w:left="2673" w:right="1646"/>
        <w:jc w:val="center"/>
      </w:pPr>
      <w:r>
        <w:rPr/>
        <w:t>Dra. en C. Norma Angélica Dávila Hernández.</w:t>
      </w:r>
    </w:p>
    <w:p>
      <w:pPr>
        <w:pStyle w:val="BodyText"/>
        <w:spacing w:before="137"/>
        <w:ind w:left="2671" w:right="1646"/>
        <w:jc w:val="center"/>
      </w:pPr>
      <w:r>
        <w:rPr/>
        <w:t>Dr. en G. José Emilio Baró Suárez.</w:t>
      </w:r>
    </w:p>
    <w:p>
      <w:pPr>
        <w:pStyle w:val="BodyText"/>
        <w:rPr>
          <w:sz w:val="20"/>
        </w:rPr>
      </w:pPr>
    </w:p>
    <w:p>
      <w:pPr>
        <w:pStyle w:val="BodyText"/>
        <w:rPr>
          <w:sz w:val="20"/>
        </w:rPr>
      </w:pPr>
    </w:p>
    <w:p>
      <w:pPr>
        <w:pStyle w:val="BodyText"/>
        <w:spacing w:before="8"/>
      </w:pPr>
    </w:p>
    <w:p>
      <w:pPr>
        <w:pStyle w:val="BodyText"/>
        <w:tabs>
          <w:tab w:pos="7432" w:val="left" w:leader="none"/>
        </w:tabs>
        <w:spacing w:before="69"/>
        <w:ind w:left="866"/>
      </w:pPr>
      <w:r>
        <w:rPr/>
        <w:t>Toluca, Estado</w:t>
      </w:r>
      <w:r>
        <w:rPr>
          <w:spacing w:val="-6"/>
        </w:rPr>
        <w:t> </w:t>
      </w:r>
      <w:r>
        <w:rPr/>
        <w:t>de</w:t>
      </w:r>
      <w:r>
        <w:rPr>
          <w:spacing w:val="-2"/>
        </w:rPr>
        <w:t> </w:t>
      </w:r>
      <w:r>
        <w:rPr/>
        <w:t>México,</w:t>
        <w:tab/>
        <w:t>Agosto,</w:t>
      </w:r>
      <w:r>
        <w:rPr>
          <w:spacing w:val="-4"/>
        </w:rPr>
        <w:t> </w:t>
      </w:r>
      <w:r>
        <w:rPr/>
        <w:t>2015.</w:t>
      </w:r>
    </w:p>
    <w:p>
      <w:pPr>
        <w:spacing w:after="0"/>
        <w:sectPr>
          <w:type w:val="continuous"/>
          <w:pgSz w:w="12240" w:h="15840"/>
          <w:pgMar w:top="1280" w:bottom="280" w:left="1500" w:right="940"/>
        </w:sectPr>
      </w:pPr>
    </w:p>
    <w:p>
      <w:pPr>
        <w:pStyle w:val="BodyText"/>
        <w:ind w:left="101"/>
        <w:rPr>
          <w:sz w:val="20"/>
        </w:rPr>
      </w:pPr>
      <w:r>
        <w:rPr>
          <w:sz w:val="20"/>
        </w:rPr>
        <w:drawing>
          <wp:inline distT="0" distB="0" distL="0" distR="0">
            <wp:extent cx="5526707" cy="7884318"/>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8" cstate="print"/>
                    <a:stretch>
                      <a:fillRect/>
                    </a:stretch>
                  </pic:blipFill>
                  <pic:spPr>
                    <a:xfrm>
                      <a:off x="0" y="0"/>
                      <a:ext cx="5526707" cy="7884318"/>
                    </a:xfrm>
                    <a:prstGeom prst="rect">
                      <a:avLst/>
                    </a:prstGeom>
                  </pic:spPr>
                </pic:pic>
              </a:graphicData>
            </a:graphic>
          </wp:inline>
        </w:drawing>
      </w:r>
      <w:r>
        <w:rPr>
          <w:sz w:val="20"/>
        </w:rPr>
      </w:r>
    </w:p>
    <w:p>
      <w:pPr>
        <w:spacing w:after="0"/>
        <w:rPr>
          <w:sz w:val="20"/>
        </w:rPr>
        <w:sectPr>
          <w:footerReference w:type="default" r:id="rId7"/>
          <w:pgSz w:w="12240" w:h="15840"/>
          <w:pgMar w:footer="943" w:header="0" w:top="1420" w:bottom="1140" w:left="1600" w:right="1580"/>
          <w:pgNumType w:start="2"/>
        </w:sectPr>
      </w:pPr>
    </w:p>
    <w:p>
      <w:pPr>
        <w:pStyle w:val="BodyText"/>
        <w:rPr>
          <w:rFonts w:ascii="Times New Roman"/>
          <w:sz w:val="20"/>
        </w:rPr>
      </w:pPr>
    </w:p>
    <w:p>
      <w:pPr>
        <w:pStyle w:val="BodyText"/>
        <w:spacing w:before="8" w:after="1"/>
        <w:rPr>
          <w:rFonts w:ascii="Times New Roman"/>
          <w:sz w:val="17"/>
        </w:rPr>
      </w:pPr>
    </w:p>
    <w:p>
      <w:pPr>
        <w:pStyle w:val="BodyText"/>
        <w:ind w:left="101"/>
        <w:rPr>
          <w:rFonts w:ascii="Times New Roman"/>
          <w:sz w:val="20"/>
        </w:rPr>
      </w:pPr>
      <w:r>
        <w:rPr>
          <w:rFonts w:ascii="Times New Roman"/>
          <w:sz w:val="20"/>
        </w:rPr>
        <w:drawing>
          <wp:inline distT="0" distB="0" distL="0" distR="0">
            <wp:extent cx="5535913" cy="7700009"/>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9" cstate="print"/>
                    <a:stretch>
                      <a:fillRect/>
                    </a:stretch>
                  </pic:blipFill>
                  <pic:spPr>
                    <a:xfrm>
                      <a:off x="0" y="0"/>
                      <a:ext cx="5535913" cy="77000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3" w:top="1500" w:bottom="1140" w:left="1600" w:right="1580"/>
        </w:sectPr>
      </w:pPr>
    </w:p>
    <w:p>
      <w:pPr>
        <w:pStyle w:val="Heading1"/>
        <w:spacing w:before="54"/>
        <w:ind w:left="3313" w:right="3333" w:firstLine="0"/>
        <w:jc w:val="center"/>
      </w:pPr>
      <w:r>
        <w:rPr/>
        <w:t>AGRADECIMIENTOS</w:t>
      </w:r>
    </w:p>
    <w:p>
      <w:pPr>
        <w:pStyle w:val="BodyText"/>
        <w:rPr>
          <w:b/>
        </w:rPr>
      </w:pPr>
    </w:p>
    <w:p>
      <w:pPr>
        <w:pStyle w:val="BodyText"/>
        <w:rPr>
          <w:b/>
        </w:rPr>
      </w:pPr>
    </w:p>
    <w:p>
      <w:pPr>
        <w:pStyle w:val="BodyText"/>
        <w:spacing w:line="360" w:lineRule="auto" w:before="209"/>
        <w:ind w:left="102" w:right="119"/>
        <w:jc w:val="both"/>
      </w:pPr>
      <w:r>
        <w:rPr/>
        <w:t>A Dios por darme la vida, el entendimiento, la capacidad para seguir superándome y todo lo que poseo.</w:t>
      </w:r>
    </w:p>
    <w:p>
      <w:pPr>
        <w:pStyle w:val="BodyText"/>
      </w:pPr>
    </w:p>
    <w:p>
      <w:pPr>
        <w:pStyle w:val="BodyText"/>
        <w:spacing w:line="360" w:lineRule="auto" w:before="142"/>
        <w:ind w:left="102" w:right="115"/>
        <w:jc w:val="both"/>
      </w:pPr>
      <w:r>
        <w:rPr/>
        <w:t>A la Facultad de Geografía de la Universidad Autónoma del Estado de México, por darme la oportunidad de estudiar la maestría.</w:t>
      </w:r>
    </w:p>
    <w:p>
      <w:pPr>
        <w:pStyle w:val="BodyText"/>
      </w:pPr>
    </w:p>
    <w:p>
      <w:pPr>
        <w:pStyle w:val="BodyText"/>
        <w:spacing w:line="360" w:lineRule="auto" w:before="140"/>
        <w:ind w:left="102" w:right="120"/>
        <w:jc w:val="both"/>
      </w:pPr>
      <w:r>
        <w:rPr/>
        <w:t>Al Consejo Nacional de Ciencia y Tecnología (CONACYT), por el apoyo brindado para la realización de mis estudios de maestría.</w:t>
      </w:r>
    </w:p>
    <w:p>
      <w:pPr>
        <w:pStyle w:val="BodyText"/>
      </w:pPr>
    </w:p>
    <w:p>
      <w:pPr>
        <w:pStyle w:val="BodyText"/>
        <w:spacing w:line="360" w:lineRule="auto" w:before="142"/>
        <w:ind w:left="102" w:right="121"/>
        <w:jc w:val="both"/>
      </w:pPr>
      <w:r>
        <w:rPr/>
        <w:t>Al M.V.Z. Juan González Romero, Director General de la Comisión de Recursos Naturales de la Secretaría del Medio Ambiente del Distrito Federal y al Ing. Ángel Joaquín Lara Calderón, Jefe de Unidad Departamental de Incendios forestales,  por la información estadística de incendios forestales que me proporcionaron ya que fue el principal insumo para realizar este</w:t>
      </w:r>
      <w:r>
        <w:rPr>
          <w:spacing w:val="-20"/>
        </w:rPr>
        <w:t> </w:t>
      </w:r>
      <w:r>
        <w:rPr/>
        <w:t>trabajo.</w:t>
      </w:r>
    </w:p>
    <w:p>
      <w:pPr>
        <w:pStyle w:val="BodyText"/>
      </w:pPr>
    </w:p>
    <w:p>
      <w:pPr>
        <w:pStyle w:val="BodyText"/>
        <w:spacing w:line="360" w:lineRule="auto" w:before="142"/>
        <w:ind w:left="102" w:right="119"/>
        <w:jc w:val="both"/>
      </w:pPr>
      <w:r>
        <w:rPr/>
        <w:t>Al Ing. Raúl Rodríguez Franco, Gerente de inventario Forestal y Geomática de la CONAFOR, por la información del Inventario Nacional Forestal y de Suelos que  me proporcionó, ya que fue un insumo importante para realizar este</w:t>
      </w:r>
      <w:r>
        <w:rPr>
          <w:spacing w:val="-28"/>
        </w:rPr>
        <w:t> </w:t>
      </w:r>
      <w:r>
        <w:rPr/>
        <w:t>trabajo.</w:t>
      </w:r>
    </w:p>
    <w:p>
      <w:pPr>
        <w:pStyle w:val="BodyText"/>
      </w:pPr>
    </w:p>
    <w:p>
      <w:pPr>
        <w:pStyle w:val="BodyText"/>
        <w:spacing w:line="360" w:lineRule="auto" w:before="142"/>
        <w:ind w:left="102" w:right="127"/>
        <w:jc w:val="both"/>
      </w:pPr>
      <w:r>
        <w:rPr/>
        <w:t>Al Dr. Miguel Ángel Copete Carreño, por las asesorías que amablemente me dio durante el desarrollo de este trabajo de investigación.</w:t>
      </w:r>
    </w:p>
    <w:p>
      <w:pPr>
        <w:pStyle w:val="BodyText"/>
      </w:pPr>
    </w:p>
    <w:p>
      <w:pPr>
        <w:pStyle w:val="BodyText"/>
        <w:spacing w:line="360" w:lineRule="auto" w:before="142"/>
        <w:ind w:left="102" w:right="122"/>
        <w:jc w:val="both"/>
      </w:pPr>
      <w:r>
        <w:rPr/>
        <w:t>A la Dra. Xanat Antonio Némiga, a la Dra. Norma Angélica Dávila Hernández y al Dr. José Emilio Baró Suárez, por el tiempo que me brindaron y sus amables observaciones para la realización de este trabajo.</w:t>
      </w:r>
    </w:p>
    <w:p>
      <w:pPr>
        <w:pStyle w:val="BodyText"/>
      </w:pPr>
    </w:p>
    <w:p>
      <w:pPr>
        <w:pStyle w:val="BodyText"/>
        <w:spacing w:line="360" w:lineRule="auto" w:before="142"/>
        <w:ind w:left="102" w:right="125"/>
        <w:jc w:val="both"/>
      </w:pPr>
      <w:r>
        <w:rPr/>
        <w:t>A la Dra. Patricia Flores Olvera, por sus valiosas sugerencias para la realización  de este</w:t>
      </w:r>
      <w:r>
        <w:rPr>
          <w:spacing w:val="-5"/>
        </w:rPr>
        <w:t> </w:t>
      </w:r>
      <w:r>
        <w:rPr/>
        <w:t>trabajo.</w:t>
      </w:r>
    </w:p>
    <w:p>
      <w:pPr>
        <w:spacing w:after="0" w:line="360" w:lineRule="auto"/>
        <w:jc w:val="both"/>
        <w:sectPr>
          <w:pgSz w:w="12240" w:h="15840"/>
          <w:pgMar w:header="0" w:footer="943" w:top="1360" w:bottom="1140" w:left="1600" w:right="1580"/>
        </w:sectPr>
      </w:pPr>
    </w:p>
    <w:p>
      <w:pPr>
        <w:pStyle w:val="BodyText"/>
        <w:spacing w:line="360" w:lineRule="auto" w:before="54"/>
        <w:ind w:left="102" w:right="125"/>
        <w:jc w:val="both"/>
      </w:pPr>
      <w:r>
        <w:rPr/>
        <w:t>Al Geol. Luis Velázquez Ramírez, por su tiempo, sus consejos y sus valiosas sugerencias para la realización de este trabajo.</w:t>
      </w:r>
    </w:p>
    <w:p>
      <w:pPr>
        <w:pStyle w:val="BodyText"/>
      </w:pPr>
    </w:p>
    <w:p>
      <w:pPr>
        <w:pStyle w:val="BodyText"/>
        <w:spacing w:line="360" w:lineRule="auto" w:before="142"/>
        <w:ind w:left="102" w:right="115"/>
        <w:jc w:val="both"/>
      </w:pPr>
      <w:r>
        <w:rPr/>
        <w:t>A mi mamá, a mis hermanos Armando, Chayito y Eli, a mi prima Kari, a mis  amigas Iralda y Lucía Salmón, quienes me motivaron a lo largo de estos dos años de la</w:t>
      </w:r>
      <w:r>
        <w:rPr>
          <w:spacing w:val="-7"/>
        </w:rPr>
        <w:t> </w:t>
      </w:r>
      <w:r>
        <w:rPr/>
        <w:t>maestría.</w:t>
      </w:r>
    </w:p>
    <w:p>
      <w:pPr>
        <w:spacing w:after="0" w:line="360" w:lineRule="auto"/>
        <w:jc w:val="both"/>
        <w:sectPr>
          <w:pgSz w:w="12240" w:h="15840"/>
          <w:pgMar w:header="0" w:footer="94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spacing w:before="65"/>
        <w:ind w:left="1811" w:right="1950" w:firstLine="0"/>
        <w:jc w:val="center"/>
        <w:rPr>
          <w:b/>
          <w:sz w:val="28"/>
        </w:rPr>
      </w:pPr>
      <w:r>
        <w:rPr>
          <w:b/>
          <w:sz w:val="28"/>
        </w:rPr>
        <w:t>DEDICATORIAS</w:t>
      </w:r>
    </w:p>
    <w:p>
      <w:pPr>
        <w:pStyle w:val="BodyText"/>
        <w:rPr>
          <w:b/>
          <w:sz w:val="28"/>
        </w:rPr>
      </w:pPr>
    </w:p>
    <w:p>
      <w:pPr>
        <w:pStyle w:val="BodyText"/>
        <w:rPr>
          <w:b/>
          <w:sz w:val="28"/>
        </w:rPr>
      </w:pPr>
    </w:p>
    <w:p>
      <w:pPr>
        <w:pStyle w:val="BodyText"/>
        <w:rPr>
          <w:b/>
          <w:sz w:val="28"/>
        </w:rPr>
      </w:pPr>
    </w:p>
    <w:p>
      <w:pPr>
        <w:pStyle w:val="BodyText"/>
        <w:spacing w:before="7"/>
        <w:rPr>
          <w:b/>
          <w:sz w:val="27"/>
        </w:rPr>
      </w:pPr>
    </w:p>
    <w:p>
      <w:pPr>
        <w:spacing w:before="1"/>
        <w:ind w:left="1811" w:right="1945" w:firstLine="0"/>
        <w:jc w:val="center"/>
        <w:rPr>
          <w:sz w:val="28"/>
        </w:rPr>
      </w:pPr>
      <w:r>
        <w:rPr>
          <w:sz w:val="28"/>
        </w:rPr>
        <w:t>A Dios.</w:t>
      </w:r>
    </w:p>
    <w:p>
      <w:pPr>
        <w:pStyle w:val="BodyText"/>
        <w:rPr>
          <w:sz w:val="28"/>
        </w:rPr>
      </w:pPr>
    </w:p>
    <w:p>
      <w:pPr>
        <w:pStyle w:val="BodyText"/>
        <w:rPr>
          <w:sz w:val="28"/>
        </w:rPr>
      </w:pPr>
    </w:p>
    <w:p>
      <w:pPr>
        <w:pStyle w:val="BodyText"/>
        <w:spacing w:before="5"/>
        <w:rPr>
          <w:sz w:val="37"/>
        </w:rPr>
      </w:pPr>
    </w:p>
    <w:p>
      <w:pPr>
        <w:spacing w:before="0"/>
        <w:ind w:left="1811" w:right="1944" w:firstLine="0"/>
        <w:jc w:val="center"/>
        <w:rPr>
          <w:sz w:val="28"/>
        </w:rPr>
      </w:pPr>
      <w:r>
        <w:rPr>
          <w:sz w:val="28"/>
        </w:rPr>
        <w:t>A mi mamá</w:t>
      </w:r>
    </w:p>
    <w:p>
      <w:pPr>
        <w:spacing w:line="360" w:lineRule="auto" w:before="163"/>
        <w:ind w:left="1811" w:right="1952" w:firstLine="0"/>
        <w:jc w:val="center"/>
        <w:rPr>
          <w:sz w:val="28"/>
        </w:rPr>
      </w:pPr>
      <w:r>
        <w:rPr>
          <w:sz w:val="28"/>
        </w:rPr>
        <w:t>y a mis hermanos Armando, Chayito y Eli mis grandes tesoros.</w:t>
      </w:r>
    </w:p>
    <w:p>
      <w:pPr>
        <w:spacing w:after="0" w:line="360" w:lineRule="auto"/>
        <w:jc w:val="center"/>
        <w:rPr>
          <w:sz w:val="28"/>
        </w:rPr>
        <w:sectPr>
          <w:pgSz w:w="12240" w:h="15840"/>
          <w:pgMar w:header="0" w:footer="943" w:top="1500" w:bottom="1200" w:left="1720" w:right="1580"/>
        </w:sectPr>
      </w:pPr>
    </w:p>
    <w:p>
      <w:pPr>
        <w:pStyle w:val="Heading1"/>
        <w:spacing w:before="54"/>
        <w:ind w:firstLine="0"/>
      </w:pPr>
      <w:r>
        <w:rPr/>
        <w:t>ÍNDICE GENERAL</w:t>
      </w:r>
    </w:p>
    <w:p>
      <w:pPr>
        <w:spacing w:after="0"/>
        <w:sectPr>
          <w:pgSz w:w="12240" w:h="15840"/>
          <w:pgMar w:header="0" w:footer="943" w:top="1360" w:bottom="1452" w:left="1600" w:right="1580"/>
        </w:sectPr>
      </w:pPr>
    </w:p>
    <w:sdt>
      <w:sdtPr>
        <w:docPartObj>
          <w:docPartGallery w:val="Table of Contents"/>
          <w:docPartUnique/>
        </w:docPartObj>
      </w:sdtPr>
      <w:sdtEndPr/>
      <w:sdtContent>
        <w:p>
          <w:pPr>
            <w:pStyle w:val="TOC1"/>
            <w:tabs>
              <w:tab w:pos="8930" w:val="right" w:leader="dot"/>
            </w:tabs>
            <w:spacing w:before="551"/>
            <w:ind w:left="102" w:firstLine="0"/>
            <w:rPr>
              <w:rFonts w:ascii="Calibri" w:hAnsi="Calibri"/>
            </w:rPr>
          </w:pPr>
          <w:hyperlink w:history="true" w:anchor="_bookmark0">
            <w:r>
              <w:rPr/>
              <w:t>ÍNDICE</w:t>
            </w:r>
            <w:r>
              <w:rPr>
                <w:spacing w:val="-1"/>
              </w:rPr>
              <w:t> </w:t>
            </w:r>
            <w:r>
              <w:rPr/>
              <w:t>DE</w:t>
            </w:r>
            <w:r>
              <w:rPr>
                <w:spacing w:val="-1"/>
              </w:rPr>
              <w:t> </w:t>
            </w:r>
            <w:r>
              <w:rPr/>
              <w:t>FIGURAS</w:t>
            </w:r>
            <w:r>
              <w:rPr>
                <w:rFonts w:ascii="Calibri" w:hAnsi="Calibri"/>
              </w:rPr>
              <w:tab/>
              <w:t>ix</w:t>
            </w:r>
          </w:hyperlink>
        </w:p>
        <w:p>
          <w:pPr>
            <w:pStyle w:val="TOC1"/>
            <w:tabs>
              <w:tab w:pos="8931" w:val="right" w:leader="dot"/>
            </w:tabs>
            <w:ind w:left="102" w:firstLine="0"/>
            <w:rPr>
              <w:rFonts w:ascii="Calibri" w:hAnsi="Calibri"/>
            </w:rPr>
          </w:pPr>
          <w:hyperlink w:history="true" w:anchor="_bookmark1">
            <w:r>
              <w:rPr/>
              <w:t>ÍNDICE</w:t>
            </w:r>
            <w:r>
              <w:rPr>
                <w:spacing w:val="-1"/>
              </w:rPr>
              <w:t> </w:t>
            </w:r>
            <w:r>
              <w:rPr/>
              <w:t>DE</w:t>
            </w:r>
            <w:r>
              <w:rPr>
                <w:spacing w:val="-1"/>
              </w:rPr>
              <w:t> </w:t>
            </w:r>
            <w:r>
              <w:rPr/>
              <w:t>CUADROS</w:t>
            </w:r>
            <w:r>
              <w:rPr>
                <w:rFonts w:ascii="Calibri" w:hAnsi="Calibri"/>
              </w:rPr>
              <w:tab/>
              <w:t>xi</w:t>
            </w:r>
          </w:hyperlink>
        </w:p>
        <w:p>
          <w:pPr>
            <w:pStyle w:val="TOC1"/>
            <w:tabs>
              <w:tab w:pos="8930" w:val="right" w:leader="dot"/>
            </w:tabs>
            <w:ind w:left="102" w:firstLine="0"/>
            <w:rPr>
              <w:rFonts w:ascii="Calibri"/>
            </w:rPr>
          </w:pPr>
          <w:hyperlink w:history="true" w:anchor="_bookmark2">
            <w:r>
              <w:rPr/>
              <w:t>RESUMEN</w:t>
            </w:r>
            <w:r>
              <w:rPr>
                <w:rFonts w:ascii="Calibri"/>
              </w:rPr>
              <w:tab/>
              <w:t>xii</w:t>
            </w:r>
          </w:hyperlink>
        </w:p>
        <w:p>
          <w:pPr>
            <w:pStyle w:val="TOC1"/>
            <w:tabs>
              <w:tab w:pos="8931" w:val="right" w:leader="dot"/>
            </w:tabs>
            <w:spacing w:before="142"/>
            <w:ind w:left="102" w:firstLine="0"/>
            <w:rPr>
              <w:rFonts w:ascii="Calibri"/>
            </w:rPr>
          </w:pPr>
          <w:hyperlink w:history="true" w:anchor="_bookmark3">
            <w:r>
              <w:rPr/>
              <w:t>ABSTRACT</w:t>
            </w:r>
            <w:r>
              <w:rPr>
                <w:rFonts w:ascii="Calibri"/>
              </w:rPr>
              <w:tab/>
              <w:t>xiii</w:t>
            </w:r>
          </w:hyperlink>
        </w:p>
        <w:p>
          <w:pPr>
            <w:pStyle w:val="TOC1"/>
            <w:numPr>
              <w:ilvl w:val="0"/>
              <w:numId w:val="1"/>
            </w:numPr>
            <w:tabs>
              <w:tab w:pos="541" w:val="left" w:leader="none"/>
              <w:tab w:pos="542" w:val="left" w:leader="none"/>
              <w:tab w:pos="8932" w:val="right" w:leader="dot"/>
            </w:tabs>
            <w:spacing w:line="240" w:lineRule="auto" w:before="139" w:after="0"/>
            <w:ind w:left="541" w:right="0" w:hanging="439"/>
            <w:jc w:val="left"/>
            <w:rPr>
              <w:rFonts w:ascii="Calibri" w:hAnsi="Calibri"/>
            </w:rPr>
          </w:pPr>
          <w:hyperlink w:history="true" w:anchor="_bookmark4">
            <w:r>
              <w:rPr/>
              <w:t>INTRODUCCIÓN</w:t>
            </w:r>
            <w:r>
              <w:rPr>
                <w:rFonts w:ascii="Calibri" w:hAnsi="Calibri"/>
              </w:rPr>
              <w:tab/>
              <w:t>1</w:t>
            </w:r>
          </w:hyperlink>
        </w:p>
        <w:p>
          <w:pPr>
            <w:pStyle w:val="TOC1"/>
            <w:numPr>
              <w:ilvl w:val="0"/>
              <w:numId w:val="1"/>
            </w:numPr>
            <w:tabs>
              <w:tab w:pos="541" w:val="left" w:leader="none"/>
              <w:tab w:pos="542" w:val="left" w:leader="none"/>
              <w:tab w:pos="8932" w:val="right" w:leader="dot"/>
            </w:tabs>
            <w:spacing w:line="240" w:lineRule="auto" w:before="139" w:after="0"/>
            <w:ind w:left="541" w:right="0" w:hanging="439"/>
            <w:jc w:val="left"/>
            <w:rPr>
              <w:rFonts w:ascii="Calibri"/>
            </w:rPr>
          </w:pPr>
          <w:hyperlink w:history="true" w:anchor="_bookmark5">
            <w:r>
              <w:rPr/>
              <w:t>PLANTEAMIENTO</w:t>
            </w:r>
            <w:r>
              <w:rPr>
                <w:spacing w:val="1"/>
              </w:rPr>
              <w:t> </w:t>
            </w:r>
            <w:r>
              <w:rPr/>
              <w:t>DEL</w:t>
            </w:r>
            <w:r>
              <w:rPr>
                <w:spacing w:val="-3"/>
              </w:rPr>
              <w:t> </w:t>
            </w:r>
            <w:r>
              <w:rPr/>
              <w:t>PROBLEMA</w:t>
            </w:r>
            <w:r>
              <w:rPr>
                <w:rFonts w:ascii="Calibri"/>
              </w:rPr>
              <w:tab/>
              <w:t>4</w:t>
            </w:r>
          </w:hyperlink>
        </w:p>
        <w:p>
          <w:pPr>
            <w:pStyle w:val="TOC1"/>
            <w:numPr>
              <w:ilvl w:val="0"/>
              <w:numId w:val="1"/>
            </w:numPr>
            <w:tabs>
              <w:tab w:pos="761" w:val="left" w:leader="none"/>
              <w:tab w:pos="762" w:val="left" w:leader="none"/>
              <w:tab w:pos="8932" w:val="right" w:leader="dot"/>
            </w:tabs>
            <w:spacing w:line="240" w:lineRule="auto" w:before="142" w:after="0"/>
            <w:ind w:left="762" w:right="0" w:hanging="660"/>
            <w:jc w:val="left"/>
            <w:rPr>
              <w:rFonts w:ascii="Calibri" w:hAnsi="Calibri"/>
            </w:rPr>
          </w:pPr>
          <w:hyperlink w:history="true" w:anchor="_bookmark6">
            <w:r>
              <w:rPr/>
              <w:t>JUSTIFICACIÓN</w:t>
            </w:r>
            <w:r>
              <w:rPr>
                <w:rFonts w:ascii="Calibri" w:hAnsi="Calibri"/>
              </w:rPr>
              <w:tab/>
              <w:t>5</w:t>
            </w:r>
          </w:hyperlink>
        </w:p>
        <w:p>
          <w:pPr>
            <w:pStyle w:val="TOC1"/>
            <w:numPr>
              <w:ilvl w:val="0"/>
              <w:numId w:val="1"/>
            </w:numPr>
            <w:tabs>
              <w:tab w:pos="761" w:val="left" w:leader="none"/>
              <w:tab w:pos="762" w:val="left" w:leader="none"/>
              <w:tab w:pos="8932" w:val="right" w:leader="dot"/>
            </w:tabs>
            <w:spacing w:line="240" w:lineRule="auto" w:before="140" w:after="0"/>
            <w:ind w:left="762" w:right="0" w:hanging="660"/>
            <w:jc w:val="left"/>
            <w:rPr>
              <w:rFonts w:ascii="Calibri"/>
            </w:rPr>
          </w:pPr>
          <w:hyperlink w:history="true" w:anchor="_bookmark7">
            <w:r>
              <w:rPr/>
              <w:t>OBJETIVOS</w:t>
            </w:r>
            <w:r>
              <w:rPr>
                <w:rFonts w:ascii="Calibri"/>
              </w:rPr>
              <w:tab/>
              <w:t>6</w:t>
            </w:r>
          </w:hyperlink>
        </w:p>
        <w:p>
          <w:pPr>
            <w:pStyle w:val="TOC1"/>
            <w:numPr>
              <w:ilvl w:val="0"/>
              <w:numId w:val="1"/>
            </w:numPr>
            <w:tabs>
              <w:tab w:pos="541" w:val="left" w:leader="none"/>
              <w:tab w:pos="542" w:val="left" w:leader="none"/>
              <w:tab w:pos="8932" w:val="right" w:leader="dot"/>
            </w:tabs>
            <w:spacing w:line="240" w:lineRule="auto" w:before="139" w:after="0"/>
            <w:ind w:left="541" w:right="0" w:hanging="439"/>
            <w:jc w:val="left"/>
            <w:rPr>
              <w:rFonts w:ascii="Calibri" w:hAnsi="Calibri"/>
            </w:rPr>
          </w:pPr>
          <w:hyperlink w:history="true" w:anchor="_bookmark8">
            <w:r>
              <w:rPr/>
              <w:t>HIPÓTESIS</w:t>
            </w:r>
            <w:r>
              <w:rPr>
                <w:rFonts w:ascii="Calibri" w:hAnsi="Calibri"/>
              </w:rPr>
              <w:tab/>
              <w:t>6</w:t>
            </w:r>
          </w:hyperlink>
        </w:p>
        <w:p>
          <w:pPr>
            <w:pStyle w:val="TOC1"/>
            <w:numPr>
              <w:ilvl w:val="1"/>
              <w:numId w:val="1"/>
            </w:numPr>
            <w:tabs>
              <w:tab w:pos="541" w:val="left" w:leader="none"/>
              <w:tab w:pos="542" w:val="left" w:leader="none"/>
              <w:tab w:pos="8932" w:val="right" w:leader="dot"/>
            </w:tabs>
            <w:spacing w:line="240" w:lineRule="auto" w:before="142" w:after="0"/>
            <w:ind w:left="541" w:right="0" w:hanging="439"/>
            <w:jc w:val="left"/>
            <w:rPr>
              <w:rFonts w:ascii="Calibri" w:hAnsi="Calibri"/>
            </w:rPr>
          </w:pPr>
          <w:hyperlink w:history="true" w:anchor="_bookmark9">
            <w:r>
              <w:rPr/>
              <w:t>MARCO</w:t>
            </w:r>
            <w:r>
              <w:rPr>
                <w:spacing w:val="1"/>
              </w:rPr>
              <w:t> </w:t>
            </w:r>
            <w:r>
              <w:rPr/>
              <w:t>TEÓRICO</w:t>
            </w:r>
            <w:r>
              <w:rPr>
                <w:rFonts w:ascii="Calibri" w:hAnsi="Calibri"/>
              </w:rPr>
              <w:tab/>
              <w:t>8</w:t>
            </w:r>
          </w:hyperlink>
        </w:p>
        <w:p>
          <w:pPr>
            <w:pStyle w:val="TOC2"/>
            <w:numPr>
              <w:ilvl w:val="2"/>
              <w:numId w:val="1"/>
            </w:numPr>
            <w:tabs>
              <w:tab w:pos="691" w:val="left" w:leader="none"/>
              <w:tab w:pos="8932" w:val="right" w:leader="dot"/>
            </w:tabs>
            <w:spacing w:line="240" w:lineRule="auto" w:before="139" w:after="0"/>
            <w:ind w:left="690" w:right="0" w:hanging="368"/>
            <w:jc w:val="left"/>
            <w:rPr>
              <w:rFonts w:ascii="Calibri" w:hAnsi="Calibri"/>
            </w:rPr>
          </w:pPr>
          <w:hyperlink w:history="true" w:anchor="_bookmark10">
            <w:r>
              <w:rPr/>
              <w:t>Índices</w:t>
            </w:r>
            <w:r>
              <w:rPr>
                <w:rFonts w:ascii="Calibri" w:hAnsi="Calibri"/>
              </w:rPr>
              <w:tab/>
              <w:t>8</w:t>
            </w:r>
          </w:hyperlink>
        </w:p>
        <w:p>
          <w:pPr>
            <w:pStyle w:val="TOC2"/>
            <w:numPr>
              <w:ilvl w:val="2"/>
              <w:numId w:val="1"/>
            </w:numPr>
            <w:tabs>
              <w:tab w:pos="753" w:val="left" w:leader="none"/>
              <w:tab w:pos="8933" w:val="right" w:leader="dot"/>
            </w:tabs>
            <w:spacing w:line="240" w:lineRule="auto" w:before="142" w:after="0"/>
            <w:ind w:left="752" w:right="0" w:hanging="430"/>
            <w:jc w:val="left"/>
            <w:rPr>
              <w:rFonts w:ascii="Calibri"/>
            </w:rPr>
          </w:pPr>
          <w:hyperlink w:history="true" w:anchor="_bookmark11">
            <w:r>
              <w:rPr/>
              <w:t>Incendios</w:t>
            </w:r>
            <w:r>
              <w:rPr>
                <w:spacing w:val="-4"/>
              </w:rPr>
              <w:t> </w:t>
            </w:r>
            <w:r>
              <w:rPr/>
              <w:t>forestales</w:t>
            </w:r>
            <w:r>
              <w:rPr>
                <w:rFonts w:ascii="Calibri"/>
              </w:rPr>
              <w:tab/>
              <w:t>12</w:t>
            </w:r>
          </w:hyperlink>
        </w:p>
        <w:p>
          <w:pPr>
            <w:pStyle w:val="TOC2"/>
            <w:numPr>
              <w:ilvl w:val="2"/>
              <w:numId w:val="1"/>
            </w:numPr>
            <w:tabs>
              <w:tab w:pos="693" w:val="left" w:leader="none"/>
              <w:tab w:pos="8933" w:val="right" w:leader="dot"/>
            </w:tabs>
            <w:spacing w:line="240" w:lineRule="auto" w:before="139" w:after="0"/>
            <w:ind w:left="692" w:right="0" w:hanging="370"/>
            <w:jc w:val="left"/>
            <w:rPr>
              <w:rFonts w:ascii="Calibri"/>
            </w:rPr>
          </w:pPr>
          <w:hyperlink w:history="true" w:anchor="_bookmark12">
            <w:r>
              <w:rPr/>
              <w:t>Agentes causales de</w:t>
            </w:r>
            <w:r>
              <w:rPr>
                <w:spacing w:val="-3"/>
              </w:rPr>
              <w:t> </w:t>
            </w:r>
            <w:r>
              <w:rPr/>
              <w:t>los</w:t>
            </w:r>
            <w:r>
              <w:rPr>
                <w:spacing w:val="-1"/>
              </w:rPr>
              <w:t> </w:t>
            </w:r>
            <w:r>
              <w:rPr/>
              <w:t>incendios</w:t>
            </w:r>
            <w:r>
              <w:rPr>
                <w:rFonts w:ascii="Calibri"/>
              </w:rPr>
              <w:tab/>
              <w:t>13</w:t>
            </w:r>
          </w:hyperlink>
        </w:p>
        <w:p>
          <w:pPr>
            <w:pStyle w:val="TOC2"/>
            <w:numPr>
              <w:ilvl w:val="2"/>
              <w:numId w:val="1"/>
            </w:numPr>
            <w:tabs>
              <w:tab w:pos="693" w:val="left" w:leader="none"/>
              <w:tab w:pos="8933" w:val="right" w:leader="dot"/>
            </w:tabs>
            <w:spacing w:line="240" w:lineRule="auto" w:before="139" w:after="0"/>
            <w:ind w:left="692" w:right="0" w:hanging="370"/>
            <w:jc w:val="left"/>
            <w:rPr>
              <w:rFonts w:ascii="Calibri"/>
            </w:rPr>
          </w:pPr>
          <w:hyperlink w:history="true" w:anchor="_bookmark13">
            <w:r>
              <w:rPr/>
              <w:t>Modelo</w:t>
            </w:r>
            <w:r>
              <w:rPr>
                <w:rFonts w:ascii="Calibri"/>
              </w:rPr>
              <w:tab/>
              <w:t>14</w:t>
            </w:r>
          </w:hyperlink>
        </w:p>
        <w:p>
          <w:pPr>
            <w:pStyle w:val="TOC2"/>
            <w:numPr>
              <w:ilvl w:val="2"/>
              <w:numId w:val="1"/>
            </w:numPr>
            <w:tabs>
              <w:tab w:pos="693" w:val="left" w:leader="none"/>
              <w:tab w:pos="8933" w:val="right" w:leader="dot"/>
            </w:tabs>
            <w:spacing w:line="240" w:lineRule="auto" w:before="142" w:after="0"/>
            <w:ind w:left="692" w:right="0" w:hanging="370"/>
            <w:jc w:val="left"/>
            <w:rPr>
              <w:rFonts w:ascii="Calibri" w:hAnsi="Calibri"/>
            </w:rPr>
          </w:pPr>
          <w:hyperlink w:history="true" w:anchor="_bookmark14">
            <w:r>
              <w:rPr/>
              <w:t>Variables</w:t>
            </w:r>
            <w:r>
              <w:rPr>
                <w:spacing w:val="-3"/>
              </w:rPr>
              <w:t> </w:t>
            </w:r>
            <w:r>
              <w:rPr/>
              <w:t>meteorológicas</w:t>
            </w:r>
            <w:r>
              <w:rPr>
                <w:rFonts w:ascii="Calibri" w:hAnsi="Calibri"/>
              </w:rPr>
              <w:tab/>
              <w:t>15</w:t>
            </w:r>
          </w:hyperlink>
        </w:p>
        <w:p>
          <w:pPr>
            <w:pStyle w:val="TOC2"/>
            <w:numPr>
              <w:ilvl w:val="2"/>
              <w:numId w:val="1"/>
            </w:numPr>
            <w:tabs>
              <w:tab w:pos="693" w:val="left" w:leader="none"/>
              <w:tab w:pos="8933" w:val="right" w:leader="dot"/>
            </w:tabs>
            <w:spacing w:line="240" w:lineRule="auto" w:before="140" w:after="0"/>
            <w:ind w:left="692" w:right="0" w:hanging="370"/>
            <w:jc w:val="left"/>
            <w:rPr>
              <w:rFonts w:ascii="Calibri" w:hAnsi="Calibri"/>
            </w:rPr>
          </w:pPr>
          <w:hyperlink w:history="true" w:anchor="_bookmark15">
            <w:r>
              <w:rPr/>
              <w:t>Análisis espacial</w:t>
            </w:r>
            <w:r>
              <w:rPr>
                <w:rFonts w:ascii="Calibri" w:hAnsi="Calibri"/>
              </w:rPr>
              <w:tab/>
              <w:t>15</w:t>
            </w:r>
          </w:hyperlink>
        </w:p>
        <w:p>
          <w:pPr>
            <w:pStyle w:val="TOC2"/>
            <w:numPr>
              <w:ilvl w:val="2"/>
              <w:numId w:val="1"/>
            </w:numPr>
            <w:tabs>
              <w:tab w:pos="693" w:val="left" w:leader="none"/>
              <w:tab w:pos="8933" w:val="right" w:leader="dot"/>
            </w:tabs>
            <w:spacing w:line="240" w:lineRule="auto" w:before="139" w:after="0"/>
            <w:ind w:left="692" w:right="0" w:hanging="370"/>
            <w:jc w:val="left"/>
            <w:rPr>
              <w:rFonts w:ascii="Calibri"/>
            </w:rPr>
          </w:pPr>
          <w:hyperlink w:history="true" w:anchor="_bookmark16">
            <w:r>
              <w:rPr/>
              <w:t>Peligro</w:t>
            </w:r>
            <w:r>
              <w:rPr>
                <w:rFonts w:ascii="Calibri"/>
              </w:rPr>
              <w:tab/>
              <w:t>16</w:t>
            </w:r>
          </w:hyperlink>
        </w:p>
        <w:p>
          <w:pPr>
            <w:pStyle w:val="TOC2"/>
            <w:numPr>
              <w:ilvl w:val="2"/>
              <w:numId w:val="1"/>
            </w:numPr>
            <w:tabs>
              <w:tab w:pos="693" w:val="left" w:leader="none"/>
              <w:tab w:pos="8933" w:val="right" w:leader="dot"/>
            </w:tabs>
            <w:spacing w:line="240" w:lineRule="auto" w:before="142" w:after="0"/>
            <w:ind w:left="692" w:right="0" w:hanging="370"/>
            <w:jc w:val="left"/>
            <w:rPr>
              <w:rFonts w:ascii="Calibri"/>
            </w:rPr>
          </w:pPr>
          <w:hyperlink w:history="true" w:anchor="_bookmark17">
            <w:r>
              <w:rPr/>
              <w:t>Vulnerabilidad</w:t>
            </w:r>
            <w:r>
              <w:rPr>
                <w:rFonts w:ascii="Calibri"/>
              </w:rPr>
              <w:tab/>
              <w:t>18</w:t>
            </w:r>
          </w:hyperlink>
        </w:p>
        <w:p>
          <w:pPr>
            <w:pStyle w:val="TOC3"/>
            <w:tabs>
              <w:tab w:pos="8933" w:val="right" w:leader="dot"/>
            </w:tabs>
            <w:ind w:left="541" w:firstLine="0"/>
            <w:rPr>
              <w:rFonts w:ascii="Calibri"/>
            </w:rPr>
          </w:pPr>
          <w:hyperlink w:history="true" w:anchor="_bookmark18">
            <w:r>
              <w:rPr/>
              <w:t>1.8.1 Elementos de</w:t>
            </w:r>
            <w:r>
              <w:rPr>
                <w:spacing w:val="-4"/>
              </w:rPr>
              <w:t> </w:t>
            </w:r>
            <w:r>
              <w:rPr/>
              <w:t>la</w:t>
            </w:r>
            <w:r>
              <w:rPr>
                <w:spacing w:val="-1"/>
              </w:rPr>
              <w:t> </w:t>
            </w:r>
            <w:r>
              <w:rPr/>
              <w:t>vulnerabilidad</w:t>
            </w:r>
            <w:r>
              <w:rPr>
                <w:rFonts w:ascii="Calibri"/>
              </w:rPr>
              <w:tab/>
              <w:t>18</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hAnsi="Calibri"/>
            </w:rPr>
          </w:pPr>
          <w:hyperlink w:history="true" w:anchor="_bookmark19">
            <w:r>
              <w:rPr/>
              <w:t>Exposición</w:t>
            </w:r>
            <w:r>
              <w:rPr>
                <w:rFonts w:ascii="Calibri" w:hAnsi="Calibri"/>
              </w:rPr>
              <w:tab/>
              <w:t>19</w:t>
            </w:r>
          </w:hyperlink>
        </w:p>
        <w:p>
          <w:pPr>
            <w:pStyle w:val="TOC2"/>
            <w:numPr>
              <w:ilvl w:val="1"/>
              <w:numId w:val="2"/>
            </w:numPr>
            <w:tabs>
              <w:tab w:pos="815" w:val="left" w:leader="none"/>
              <w:tab w:pos="8933" w:val="right" w:leader="dot"/>
            </w:tabs>
            <w:spacing w:line="240" w:lineRule="auto" w:before="142" w:after="0"/>
            <w:ind w:left="814" w:right="0" w:hanging="492"/>
            <w:jc w:val="left"/>
            <w:rPr>
              <w:rFonts w:ascii="Calibri"/>
            </w:rPr>
          </w:pPr>
          <w:hyperlink w:history="true" w:anchor="_bookmark20">
            <w:r>
              <w:rPr/>
              <w:t>Amenaza</w:t>
            </w:r>
            <w:r>
              <w:rPr>
                <w:rFonts w:ascii="Calibri"/>
              </w:rPr>
              <w:tab/>
              <w:t>20</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rPr>
          </w:pPr>
          <w:hyperlink w:history="true" w:anchor="_bookmark21">
            <w:r>
              <w:rPr/>
              <w:t>El</w:t>
            </w:r>
            <w:r>
              <w:rPr>
                <w:spacing w:val="-3"/>
              </w:rPr>
              <w:t> </w:t>
            </w:r>
            <w:r>
              <w:rPr/>
              <w:t>riesgo</w:t>
            </w:r>
            <w:r>
              <w:rPr>
                <w:rFonts w:ascii="Calibri"/>
              </w:rPr>
              <w:tab/>
              <w:t>20</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hAnsi="Calibri"/>
            </w:rPr>
          </w:pPr>
          <w:hyperlink w:history="true" w:anchor="_bookmark22">
            <w:r>
              <w:rPr/>
              <w:t>Análisis del</w:t>
            </w:r>
            <w:r>
              <w:rPr>
                <w:spacing w:val="-1"/>
              </w:rPr>
              <w:t> </w:t>
            </w:r>
            <w:r>
              <w:rPr/>
              <w:t>riesgo</w:t>
            </w:r>
            <w:r>
              <w:rPr>
                <w:rFonts w:ascii="Calibri" w:hAnsi="Calibri"/>
              </w:rPr>
              <w:tab/>
              <w:t>21</w:t>
            </w:r>
          </w:hyperlink>
        </w:p>
        <w:p>
          <w:pPr>
            <w:pStyle w:val="TOC2"/>
            <w:numPr>
              <w:ilvl w:val="1"/>
              <w:numId w:val="2"/>
            </w:numPr>
            <w:tabs>
              <w:tab w:pos="815" w:val="left" w:leader="none"/>
              <w:tab w:pos="8933" w:val="right" w:leader="dot"/>
            </w:tabs>
            <w:spacing w:line="240" w:lineRule="auto" w:before="142" w:after="0"/>
            <w:ind w:left="814" w:right="0" w:hanging="492"/>
            <w:jc w:val="left"/>
            <w:rPr>
              <w:rFonts w:ascii="Calibri"/>
            </w:rPr>
          </w:pPr>
          <w:hyperlink w:history="true" w:anchor="_bookmark23">
            <w:r>
              <w:rPr/>
              <w:t>El</w:t>
            </w:r>
            <w:r>
              <w:rPr>
                <w:spacing w:val="-3"/>
              </w:rPr>
              <w:t> </w:t>
            </w:r>
            <w:r>
              <w:rPr/>
              <w:t>fuego</w:t>
            </w:r>
            <w:r>
              <w:rPr>
                <w:rFonts w:ascii="Calibri"/>
              </w:rPr>
              <w:tab/>
              <w:t>21</w:t>
            </w:r>
          </w:hyperlink>
        </w:p>
        <w:p>
          <w:pPr>
            <w:pStyle w:val="TOC2"/>
            <w:numPr>
              <w:ilvl w:val="1"/>
              <w:numId w:val="2"/>
            </w:numPr>
            <w:tabs>
              <w:tab w:pos="813" w:val="left" w:leader="none"/>
              <w:tab w:pos="8933" w:val="right" w:leader="dot"/>
            </w:tabs>
            <w:spacing w:line="240" w:lineRule="auto" w:before="139" w:after="0"/>
            <w:ind w:left="812" w:right="0" w:hanging="490"/>
            <w:jc w:val="left"/>
            <w:rPr>
              <w:rFonts w:ascii="Calibri"/>
            </w:rPr>
          </w:pPr>
          <w:hyperlink w:history="true" w:anchor="_bookmark24">
            <w:r>
              <w:rPr/>
              <w:t>Tipos de</w:t>
            </w:r>
            <w:r>
              <w:rPr>
                <w:spacing w:val="-2"/>
              </w:rPr>
              <w:t> </w:t>
            </w:r>
            <w:r>
              <w:rPr/>
              <w:t>incendios</w:t>
            </w:r>
            <w:r>
              <w:rPr>
                <w:spacing w:val="-2"/>
              </w:rPr>
              <w:t> </w:t>
            </w:r>
            <w:r>
              <w:rPr/>
              <w:t>forestales</w:t>
            </w:r>
            <w:r>
              <w:rPr>
                <w:rFonts w:ascii="Calibri"/>
              </w:rPr>
              <w:tab/>
              <w:t>22</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rPr>
          </w:pPr>
          <w:hyperlink w:history="true" w:anchor="_bookmark25">
            <w:r>
              <w:rPr/>
              <w:t>Combustibles</w:t>
            </w:r>
            <w:r>
              <w:rPr>
                <w:spacing w:val="-3"/>
              </w:rPr>
              <w:t> </w:t>
            </w:r>
            <w:r>
              <w:rPr/>
              <w:t>forestales</w:t>
            </w:r>
            <w:r>
              <w:rPr>
                <w:rFonts w:ascii="Calibri"/>
              </w:rPr>
              <w:tab/>
              <w:t>23</w:t>
            </w:r>
          </w:hyperlink>
        </w:p>
        <w:p>
          <w:pPr>
            <w:pStyle w:val="TOC2"/>
            <w:numPr>
              <w:ilvl w:val="1"/>
              <w:numId w:val="2"/>
            </w:numPr>
            <w:tabs>
              <w:tab w:pos="813" w:val="left" w:leader="none"/>
              <w:tab w:pos="8933" w:val="right" w:leader="dot"/>
            </w:tabs>
            <w:spacing w:line="240" w:lineRule="auto" w:before="142" w:after="0"/>
            <w:ind w:left="812" w:right="0" w:hanging="490"/>
            <w:jc w:val="left"/>
            <w:rPr>
              <w:rFonts w:ascii="Calibri"/>
            </w:rPr>
          </w:pPr>
          <w:hyperlink w:history="true" w:anchor="_bookmark26">
            <w:r>
              <w:rPr/>
              <w:t>Quemas controladas</w:t>
            </w:r>
            <w:r>
              <w:rPr>
                <w:rFonts w:ascii="Calibri"/>
              </w:rPr>
              <w:tab/>
              <w:t>24</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hAnsi="Calibri"/>
            </w:rPr>
          </w:pPr>
          <w:hyperlink w:history="true" w:anchor="_bookmark27">
            <w:r>
              <w:rPr/>
              <w:t>Análisis de Imágenes</w:t>
            </w:r>
            <w:r>
              <w:rPr>
                <w:spacing w:val="-2"/>
              </w:rPr>
              <w:t> </w:t>
            </w:r>
            <w:r>
              <w:rPr/>
              <w:t>de</w:t>
            </w:r>
            <w:r>
              <w:rPr>
                <w:spacing w:val="-1"/>
              </w:rPr>
              <w:t> </w:t>
            </w:r>
            <w:r>
              <w:rPr/>
              <w:t>Satélite</w:t>
            </w:r>
            <w:r>
              <w:rPr>
                <w:rFonts w:ascii="Calibri" w:hAnsi="Calibri"/>
              </w:rPr>
              <w:tab/>
              <w:t>25</w:t>
            </w:r>
          </w:hyperlink>
        </w:p>
        <w:p>
          <w:pPr>
            <w:pStyle w:val="TOC2"/>
            <w:numPr>
              <w:ilvl w:val="1"/>
              <w:numId w:val="2"/>
            </w:numPr>
            <w:tabs>
              <w:tab w:pos="815" w:val="left" w:leader="none"/>
              <w:tab w:pos="8933" w:val="right" w:leader="dot"/>
            </w:tabs>
            <w:spacing w:line="240" w:lineRule="auto" w:before="139" w:after="0"/>
            <w:ind w:left="814" w:right="0" w:hanging="492"/>
            <w:jc w:val="left"/>
            <w:rPr>
              <w:rFonts w:ascii="Calibri" w:hAnsi="Calibri"/>
            </w:rPr>
          </w:pPr>
          <w:hyperlink w:history="true" w:anchor="_bookmark28">
            <w:r>
              <w:rPr/>
              <w:t>Cociente normalizado de área</w:t>
            </w:r>
            <w:r>
              <w:rPr>
                <w:spacing w:val="-5"/>
              </w:rPr>
              <w:t> </w:t>
            </w:r>
            <w:r>
              <w:rPr/>
              <w:t>quemada</w:t>
            </w:r>
            <w:r>
              <w:rPr>
                <w:spacing w:val="-3"/>
              </w:rPr>
              <w:t> </w:t>
            </w:r>
            <w:r>
              <w:rPr/>
              <w:t>(NBR)</w:t>
            </w:r>
            <w:r>
              <w:rPr>
                <w:rFonts w:ascii="Calibri" w:hAnsi="Calibri"/>
              </w:rPr>
              <w:tab/>
              <w:t>25</w:t>
            </w:r>
          </w:hyperlink>
        </w:p>
        <w:p>
          <w:pPr>
            <w:pStyle w:val="TOC2"/>
            <w:numPr>
              <w:ilvl w:val="1"/>
              <w:numId w:val="2"/>
            </w:numPr>
            <w:tabs>
              <w:tab w:pos="815" w:val="left" w:leader="none"/>
              <w:tab w:pos="8933" w:val="right" w:leader="dot"/>
            </w:tabs>
            <w:spacing w:line="240" w:lineRule="auto" w:before="142" w:after="0"/>
            <w:ind w:left="814" w:right="0" w:hanging="492"/>
            <w:jc w:val="left"/>
            <w:rPr>
              <w:rFonts w:ascii="Calibri" w:hAnsi="Calibri"/>
            </w:rPr>
          </w:pPr>
          <w:hyperlink w:history="true" w:anchor="_bookmark29">
            <w:r>
              <w:rPr/>
              <w:t>Análisis multivariable.</w:t>
            </w:r>
            <w:r>
              <w:rPr>
                <w:rFonts w:ascii="Calibri" w:hAnsi="Calibri"/>
              </w:rPr>
              <w:tab/>
              <w:t>26</w:t>
            </w:r>
          </w:hyperlink>
        </w:p>
        <w:p>
          <w:pPr>
            <w:pStyle w:val="TOC1"/>
            <w:numPr>
              <w:ilvl w:val="1"/>
              <w:numId w:val="1"/>
            </w:numPr>
            <w:tabs>
              <w:tab w:pos="541" w:val="left" w:leader="none"/>
              <w:tab w:pos="542" w:val="left" w:leader="none"/>
              <w:tab w:pos="8933" w:val="right" w:leader="dot"/>
            </w:tabs>
            <w:spacing w:line="240" w:lineRule="auto" w:before="53" w:after="0"/>
            <w:ind w:left="541" w:right="0" w:hanging="439"/>
            <w:jc w:val="left"/>
            <w:rPr>
              <w:rFonts w:ascii="Calibri"/>
            </w:rPr>
          </w:pPr>
          <w:hyperlink w:history="true" w:anchor="_bookmark30">
            <w:r>
              <w:rPr/>
              <w:t>ANTECEDENTES</w:t>
            </w:r>
            <w:r>
              <w:rPr>
                <w:rFonts w:ascii="Calibri"/>
              </w:rPr>
              <w:tab/>
              <w:t>27</w:t>
            </w:r>
          </w:hyperlink>
        </w:p>
        <w:p>
          <w:pPr>
            <w:pStyle w:val="TOC2"/>
            <w:numPr>
              <w:ilvl w:val="2"/>
              <w:numId w:val="1"/>
            </w:numPr>
            <w:tabs>
              <w:tab w:pos="693" w:val="left" w:leader="none"/>
              <w:tab w:pos="8933" w:val="right" w:leader="dot"/>
            </w:tabs>
            <w:spacing w:line="240" w:lineRule="auto" w:before="142" w:after="0"/>
            <w:ind w:left="692" w:right="0" w:hanging="370"/>
            <w:jc w:val="left"/>
            <w:rPr>
              <w:rFonts w:ascii="Calibri"/>
            </w:rPr>
          </w:pPr>
          <w:hyperlink w:history="true" w:anchor="_bookmark31">
            <w:r>
              <w:rPr/>
              <w:t>A</w:t>
            </w:r>
            <w:r>
              <w:rPr>
                <w:spacing w:val="-1"/>
              </w:rPr>
              <w:t> </w:t>
            </w:r>
            <w:r>
              <w:rPr/>
              <w:t>nivel</w:t>
            </w:r>
            <w:r>
              <w:rPr>
                <w:spacing w:val="-2"/>
              </w:rPr>
              <w:t> </w:t>
            </w:r>
            <w:r>
              <w:rPr/>
              <w:t>internacional</w:t>
            </w:r>
            <w:r>
              <w:rPr>
                <w:rFonts w:ascii="Calibri"/>
              </w:rPr>
              <w:tab/>
              <w:t>27</w:t>
            </w:r>
          </w:hyperlink>
        </w:p>
        <w:p>
          <w:pPr>
            <w:pStyle w:val="TOC2"/>
            <w:numPr>
              <w:ilvl w:val="2"/>
              <w:numId w:val="1"/>
            </w:numPr>
            <w:tabs>
              <w:tab w:pos="693" w:val="left" w:leader="none"/>
              <w:tab w:pos="8933" w:val="right" w:leader="dot"/>
            </w:tabs>
            <w:spacing w:line="240" w:lineRule="auto" w:before="139" w:after="0"/>
            <w:ind w:left="692" w:right="0" w:hanging="370"/>
            <w:jc w:val="left"/>
            <w:rPr>
              <w:rFonts w:ascii="Calibri"/>
            </w:rPr>
          </w:pPr>
          <w:hyperlink w:history="true" w:anchor="_bookmark32">
            <w:r>
              <w:rPr/>
              <w:t>A</w:t>
            </w:r>
            <w:r>
              <w:rPr>
                <w:spacing w:val="-1"/>
              </w:rPr>
              <w:t> </w:t>
            </w:r>
            <w:r>
              <w:rPr/>
              <w:t>nivel</w:t>
            </w:r>
            <w:r>
              <w:rPr>
                <w:spacing w:val="-2"/>
              </w:rPr>
              <w:t> </w:t>
            </w:r>
            <w:r>
              <w:rPr/>
              <w:t>nacional</w:t>
            </w:r>
            <w:r>
              <w:rPr>
                <w:rFonts w:ascii="Calibri"/>
              </w:rPr>
              <w:tab/>
              <w:t>28</w:t>
            </w:r>
          </w:hyperlink>
        </w:p>
        <w:p>
          <w:pPr>
            <w:pStyle w:val="TOC2"/>
            <w:numPr>
              <w:ilvl w:val="2"/>
              <w:numId w:val="1"/>
            </w:numPr>
            <w:tabs>
              <w:tab w:pos="693" w:val="left" w:leader="none"/>
              <w:tab w:pos="8933" w:val="right" w:leader="dot"/>
            </w:tabs>
            <w:spacing w:line="240" w:lineRule="auto" w:before="139" w:after="0"/>
            <w:ind w:left="692" w:right="0" w:hanging="370"/>
            <w:jc w:val="left"/>
            <w:rPr>
              <w:rFonts w:ascii="Calibri"/>
            </w:rPr>
          </w:pPr>
          <w:hyperlink w:history="true" w:anchor="_bookmark33">
            <w:r>
              <w:rPr/>
              <w:t>A</w:t>
            </w:r>
            <w:r>
              <w:rPr>
                <w:spacing w:val="-1"/>
              </w:rPr>
              <w:t> </w:t>
            </w:r>
            <w:r>
              <w:rPr/>
              <w:t>nivel</w:t>
            </w:r>
            <w:r>
              <w:rPr>
                <w:spacing w:val="-2"/>
              </w:rPr>
              <w:t> </w:t>
            </w:r>
            <w:r>
              <w:rPr/>
              <w:t>delegacional</w:t>
            </w:r>
            <w:r>
              <w:rPr>
                <w:rFonts w:ascii="Calibri"/>
              </w:rPr>
              <w:tab/>
              <w:t>32</w:t>
            </w:r>
          </w:hyperlink>
        </w:p>
        <w:p>
          <w:pPr>
            <w:pStyle w:val="TOC1"/>
            <w:numPr>
              <w:ilvl w:val="1"/>
              <w:numId w:val="1"/>
            </w:numPr>
            <w:tabs>
              <w:tab w:pos="541" w:val="left" w:leader="none"/>
              <w:tab w:pos="542" w:val="left" w:leader="none"/>
              <w:tab w:pos="8933" w:val="right" w:leader="dot"/>
            </w:tabs>
            <w:spacing w:line="240" w:lineRule="auto" w:before="142" w:after="0"/>
            <w:ind w:left="541" w:right="0" w:hanging="439"/>
            <w:jc w:val="left"/>
            <w:rPr>
              <w:rFonts w:ascii="Calibri"/>
            </w:rPr>
          </w:pPr>
          <w:hyperlink w:history="true" w:anchor="_bookmark34">
            <w:r>
              <w:rPr/>
              <w:t>MARCO</w:t>
            </w:r>
            <w:r>
              <w:rPr>
                <w:spacing w:val="1"/>
              </w:rPr>
              <w:t> </w:t>
            </w:r>
            <w:r>
              <w:rPr/>
              <w:t>LEGAL</w:t>
            </w:r>
            <w:r>
              <w:rPr>
                <w:rFonts w:ascii="Calibri"/>
              </w:rPr>
              <w:tab/>
              <w:t>33</w:t>
            </w:r>
          </w:hyperlink>
        </w:p>
        <w:p>
          <w:pPr>
            <w:pStyle w:val="TOC2"/>
            <w:numPr>
              <w:ilvl w:val="2"/>
              <w:numId w:val="1"/>
            </w:numPr>
            <w:tabs>
              <w:tab w:pos="982" w:val="left" w:leader="none"/>
              <w:tab w:pos="983" w:val="left" w:leader="none"/>
              <w:tab w:pos="8933" w:val="right" w:leader="dot"/>
            </w:tabs>
            <w:spacing w:line="240" w:lineRule="auto" w:before="139" w:after="0"/>
            <w:ind w:left="322" w:right="0" w:firstLine="0"/>
            <w:jc w:val="left"/>
            <w:rPr>
              <w:rFonts w:ascii="Calibri"/>
            </w:rPr>
          </w:pPr>
          <w:hyperlink w:history="true" w:anchor="_bookmark35">
            <w:r>
              <w:rPr/>
              <w:t>Programa Nacional</w:t>
            </w:r>
            <w:r>
              <w:rPr>
                <w:spacing w:val="-4"/>
              </w:rPr>
              <w:t> </w:t>
            </w:r>
            <w:r>
              <w:rPr/>
              <w:t>Forestal</w:t>
            </w:r>
            <w:r>
              <w:rPr>
                <w:spacing w:val="-2"/>
              </w:rPr>
              <w:t> </w:t>
            </w:r>
            <w:r>
              <w:rPr/>
              <w:t>2014-2018</w:t>
            </w:r>
            <w:r>
              <w:rPr>
                <w:rFonts w:ascii="Calibri"/>
              </w:rPr>
              <w:tab/>
              <w:t>33</w:t>
            </w:r>
          </w:hyperlink>
        </w:p>
        <w:p>
          <w:pPr>
            <w:pStyle w:val="TOC2"/>
            <w:numPr>
              <w:ilvl w:val="2"/>
              <w:numId w:val="1"/>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36">
            <w:r>
              <w:rPr/>
              <w:t>Programa Nacional de Prevención de Incendios</w:t>
            </w:r>
            <w:r>
              <w:rPr>
                <w:spacing w:val="-8"/>
              </w:rPr>
              <w:t> </w:t>
            </w:r>
            <w:r>
              <w:rPr/>
              <w:t>Forestales</w:t>
            </w:r>
            <w:r>
              <w:rPr>
                <w:spacing w:val="-3"/>
              </w:rPr>
              <w:t> </w:t>
            </w:r>
            <w:r>
              <w:rPr/>
              <w:t>2014</w:t>
            </w:r>
            <w:r>
              <w:rPr>
                <w:rFonts w:ascii="Calibri" w:hAnsi="Calibri"/>
              </w:rPr>
              <w:tab/>
              <w:t>34</w:t>
            </w:r>
          </w:hyperlink>
        </w:p>
        <w:p>
          <w:pPr>
            <w:pStyle w:val="TOC2"/>
            <w:numPr>
              <w:ilvl w:val="2"/>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37">
            <w:r>
              <w:rPr/>
              <w:t>Programa estratégico forestal del Distrito Federal</w:t>
            </w:r>
            <w:r>
              <w:rPr>
                <w:spacing w:val="-10"/>
              </w:rPr>
              <w:t> </w:t>
            </w:r>
            <w:r>
              <w:rPr/>
              <w:t>(PEF-DF) 2006-2025</w:t>
            </w:r>
            <w:r>
              <w:rPr>
                <w:rFonts w:ascii="Calibri" w:hAnsi="Calibri"/>
              </w:rPr>
              <w:tab/>
              <w:t>35</w:t>
            </w:r>
          </w:hyperlink>
        </w:p>
        <w:p>
          <w:pPr>
            <w:pStyle w:val="TOC2"/>
            <w:numPr>
              <w:ilvl w:val="2"/>
              <w:numId w:val="1"/>
            </w:numPr>
            <w:tabs>
              <w:tab w:pos="982" w:val="left" w:leader="none"/>
              <w:tab w:pos="983" w:val="left" w:leader="none"/>
              <w:tab w:pos="8933" w:val="right" w:leader="dot"/>
            </w:tabs>
            <w:spacing w:line="276" w:lineRule="auto" w:before="140" w:after="0"/>
            <w:ind w:left="322" w:right="124" w:firstLine="0"/>
            <w:jc w:val="left"/>
            <w:rPr>
              <w:rFonts w:ascii="Calibri" w:hAnsi="Calibri"/>
            </w:rPr>
          </w:pPr>
          <w:hyperlink w:history="true" w:anchor="_bookmark38">
            <w:r>
              <w:rPr/>
              <w:t>Programa de Prevención y Combate de Incendios Forestales para el Distrito</w:t>
            </w:r>
          </w:hyperlink>
          <w:r>
            <w:rPr/>
            <w:t> </w:t>
          </w:r>
          <w:hyperlink w:history="true" w:anchor="_bookmark38">
            <w:r>
              <w:rPr/>
              <w:t>Federal,</w:t>
            </w:r>
            <w:r>
              <w:rPr>
                <w:spacing w:val="2"/>
              </w:rPr>
              <w:t> </w:t>
            </w:r>
            <w:r>
              <w:rPr/>
              <w:t>2014</w:t>
            </w:r>
            <w:r>
              <w:rPr>
                <w:rFonts w:ascii="Calibri" w:hAnsi="Calibri"/>
              </w:rPr>
              <w:tab/>
              <w:t>36</w:t>
            </w:r>
          </w:hyperlink>
        </w:p>
        <w:p>
          <w:pPr>
            <w:pStyle w:val="TOC2"/>
            <w:numPr>
              <w:ilvl w:val="2"/>
              <w:numId w:val="1"/>
            </w:numPr>
            <w:tabs>
              <w:tab w:pos="982" w:val="left" w:leader="none"/>
              <w:tab w:pos="983" w:val="left" w:leader="none"/>
              <w:tab w:pos="8933" w:val="right" w:leader="dot"/>
            </w:tabs>
            <w:spacing w:line="240" w:lineRule="auto" w:before="101" w:after="0"/>
            <w:ind w:left="982" w:right="0" w:hanging="660"/>
            <w:jc w:val="left"/>
            <w:rPr>
              <w:rFonts w:ascii="Calibri"/>
            </w:rPr>
          </w:pPr>
          <w:hyperlink w:history="true" w:anchor="_bookmark39">
            <w:r>
              <w:rPr/>
              <w:t>Plan Nacional de</w:t>
            </w:r>
            <w:r>
              <w:rPr>
                <w:spacing w:val="-2"/>
              </w:rPr>
              <w:t> </w:t>
            </w:r>
            <w:r>
              <w:rPr/>
              <w:t>Desarrollo</w:t>
            </w:r>
            <w:r>
              <w:rPr>
                <w:spacing w:val="-1"/>
              </w:rPr>
              <w:t> </w:t>
            </w:r>
            <w:r>
              <w:rPr/>
              <w:t>2013-2018.</w:t>
            </w:r>
            <w:r>
              <w:rPr>
                <w:rFonts w:ascii="Calibri"/>
              </w:rPr>
              <w:tab/>
              <w:t>36</w:t>
            </w:r>
          </w:hyperlink>
        </w:p>
        <w:p>
          <w:pPr>
            <w:pStyle w:val="TOC2"/>
            <w:numPr>
              <w:ilvl w:val="2"/>
              <w:numId w:val="1"/>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40">
            <w:r>
              <w:rPr/>
              <w:t>Ley General de Desarrollo</w:t>
            </w:r>
            <w:r>
              <w:rPr>
                <w:spacing w:val="-5"/>
              </w:rPr>
              <w:t> </w:t>
            </w:r>
            <w:r>
              <w:rPr/>
              <w:t>Forestal</w:t>
            </w:r>
            <w:r>
              <w:rPr>
                <w:spacing w:val="-2"/>
              </w:rPr>
              <w:t> </w:t>
            </w:r>
            <w:r>
              <w:rPr/>
              <w:t>Sustentable</w:t>
            </w:r>
            <w:r>
              <w:rPr>
                <w:rFonts w:ascii="Calibri"/>
              </w:rPr>
              <w:tab/>
              <w:t>37</w:t>
            </w:r>
          </w:hyperlink>
        </w:p>
        <w:p>
          <w:pPr>
            <w:pStyle w:val="TOC3"/>
            <w:numPr>
              <w:ilvl w:val="3"/>
              <w:numId w:val="1"/>
            </w:numPr>
            <w:tabs>
              <w:tab w:pos="982" w:val="left" w:leader="none"/>
              <w:tab w:pos="983" w:val="left" w:leader="none"/>
              <w:tab w:pos="8933" w:val="right" w:leader="dot"/>
            </w:tabs>
            <w:spacing w:line="240" w:lineRule="auto" w:before="139" w:after="0"/>
            <w:ind w:left="102" w:right="0" w:firstLine="439"/>
            <w:jc w:val="left"/>
          </w:pPr>
          <w:hyperlink w:history="true" w:anchor="_bookmark41">
            <w:r>
              <w:rPr/>
              <w:t>Reglamento de impacto ambiental</w:t>
            </w:r>
            <w:r>
              <w:rPr>
                <w:spacing w:val="-6"/>
              </w:rPr>
              <w:t> </w:t>
            </w:r>
            <w:r>
              <w:rPr/>
              <w:t>y</w:t>
            </w:r>
            <w:r>
              <w:rPr>
                <w:spacing w:val="-3"/>
              </w:rPr>
              <w:t> </w:t>
            </w:r>
            <w:r>
              <w:rPr/>
              <w:t>riesgo</w:t>
            </w:r>
            <w:r>
              <w:rPr>
                <w:rFonts w:ascii="Calibri"/>
              </w:rPr>
              <w:tab/>
              <w:t>38</w:t>
            </w:r>
          </w:hyperlink>
        </w:p>
        <w:p>
          <w:pPr>
            <w:pStyle w:val="TOC3"/>
            <w:numPr>
              <w:ilvl w:val="3"/>
              <w:numId w:val="1"/>
            </w:numPr>
            <w:tabs>
              <w:tab w:pos="982" w:val="left" w:leader="none"/>
              <w:tab w:pos="983" w:val="left" w:leader="none"/>
              <w:tab w:pos="8933" w:val="right" w:leader="dot"/>
            </w:tabs>
            <w:spacing w:line="240" w:lineRule="auto" w:before="142" w:after="0"/>
            <w:ind w:left="982" w:right="0" w:hanging="441"/>
            <w:jc w:val="left"/>
          </w:pPr>
          <w:hyperlink w:history="true" w:anchor="_bookmark42">
            <w:r>
              <w:rPr/>
              <w:t>Norma Oficial</w:t>
            </w:r>
            <w:r>
              <w:rPr>
                <w:spacing w:val="-4"/>
              </w:rPr>
              <w:t> </w:t>
            </w:r>
            <w:r>
              <w:rPr/>
              <w:t>Mexicana</w:t>
            </w:r>
            <w:r>
              <w:rPr>
                <w:spacing w:val="2"/>
              </w:rPr>
              <w:t> </w:t>
            </w:r>
            <w:r>
              <w:rPr/>
              <w:t>NOM-015-SEMARNAP-SAGAR-1997</w:t>
            </w:r>
            <w:r>
              <w:rPr>
                <w:rFonts w:ascii="Calibri"/>
              </w:rPr>
              <w:tab/>
              <w:t>38</w:t>
            </w:r>
          </w:hyperlink>
        </w:p>
        <w:p>
          <w:pPr>
            <w:pStyle w:val="TOC1"/>
            <w:numPr>
              <w:ilvl w:val="1"/>
              <w:numId w:val="1"/>
            </w:numPr>
            <w:tabs>
              <w:tab w:pos="541" w:val="left" w:leader="none"/>
              <w:tab w:pos="542" w:val="left" w:leader="none"/>
              <w:tab w:pos="8933" w:val="right" w:leader="dot"/>
            </w:tabs>
            <w:spacing w:line="240" w:lineRule="auto" w:before="139" w:after="0"/>
            <w:ind w:left="541" w:right="0" w:hanging="439"/>
            <w:jc w:val="left"/>
            <w:rPr>
              <w:rFonts w:ascii="Calibri" w:hAnsi="Calibri"/>
            </w:rPr>
          </w:pPr>
          <w:hyperlink w:history="true" w:anchor="_bookmark43">
            <w:r>
              <w:rPr/>
              <w:t>DESCRIPCIÓN DEL ÁREA</w:t>
            </w:r>
            <w:r>
              <w:rPr>
                <w:spacing w:val="-1"/>
              </w:rPr>
              <w:t> </w:t>
            </w:r>
            <w:r>
              <w:rPr/>
              <w:t>DE</w:t>
            </w:r>
            <w:r>
              <w:rPr>
                <w:spacing w:val="-1"/>
              </w:rPr>
              <w:t> </w:t>
            </w:r>
            <w:r>
              <w:rPr/>
              <w:t>ESTUDIO</w:t>
            </w:r>
            <w:r>
              <w:rPr>
                <w:rFonts w:ascii="Calibri" w:hAnsi="Calibri"/>
              </w:rPr>
              <w:tab/>
              <w:t>39</w:t>
            </w:r>
          </w:hyperlink>
        </w:p>
        <w:p>
          <w:pPr>
            <w:pStyle w:val="TOC1"/>
            <w:numPr>
              <w:ilvl w:val="1"/>
              <w:numId w:val="1"/>
            </w:numPr>
            <w:tabs>
              <w:tab w:pos="541" w:val="left" w:leader="none"/>
              <w:tab w:pos="542" w:val="left" w:leader="none"/>
              <w:tab w:pos="8933" w:val="right" w:leader="dot"/>
            </w:tabs>
            <w:spacing w:line="240" w:lineRule="auto" w:before="142" w:after="0"/>
            <w:ind w:left="541" w:right="0" w:hanging="439"/>
            <w:jc w:val="left"/>
            <w:rPr>
              <w:rFonts w:ascii="Calibri" w:hAnsi="Calibri"/>
            </w:rPr>
          </w:pPr>
          <w:hyperlink w:history="true" w:anchor="_bookmark44">
            <w:r>
              <w:rPr/>
              <w:t>MARCO</w:t>
            </w:r>
            <w:r>
              <w:rPr>
                <w:spacing w:val="1"/>
              </w:rPr>
              <w:t> </w:t>
            </w:r>
            <w:r>
              <w:rPr/>
              <w:t>METODOLÓGICO</w:t>
            </w:r>
            <w:r>
              <w:rPr>
                <w:rFonts w:ascii="Calibri" w:hAnsi="Calibri"/>
              </w:rPr>
              <w:tab/>
              <w:t>43</w:t>
            </w:r>
          </w:hyperlink>
        </w:p>
        <w:p>
          <w:pPr>
            <w:pStyle w:val="TOC2"/>
            <w:numPr>
              <w:ilvl w:val="2"/>
              <w:numId w:val="1"/>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45">
            <w:r>
              <w:rPr/>
              <w:t>Variables</w:t>
            </w:r>
            <w:r>
              <w:rPr>
                <w:spacing w:val="-1"/>
              </w:rPr>
              <w:t> </w:t>
            </w:r>
            <w:r>
              <w:rPr/>
              <w:t>de</w:t>
            </w:r>
            <w:r>
              <w:rPr>
                <w:spacing w:val="-1"/>
              </w:rPr>
              <w:t> </w:t>
            </w:r>
            <w:r>
              <w:rPr/>
              <w:t>estudio</w:t>
            </w:r>
            <w:r>
              <w:rPr>
                <w:rFonts w:ascii="Calibri"/>
              </w:rPr>
              <w:tab/>
              <w:t>43</w:t>
            </w:r>
          </w:hyperlink>
        </w:p>
        <w:p>
          <w:pPr>
            <w:pStyle w:val="TOC2"/>
            <w:numPr>
              <w:ilvl w:val="2"/>
              <w:numId w:val="1"/>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46">
            <w:r>
              <w:rPr/>
              <w:t>Materiales</w:t>
            </w:r>
            <w:r>
              <w:rPr>
                <w:rFonts w:ascii="Calibri"/>
              </w:rPr>
              <w:tab/>
              <w:t>44</w:t>
            </w:r>
          </w:hyperlink>
        </w:p>
        <w:p>
          <w:pPr>
            <w:pStyle w:val="TOC2"/>
            <w:numPr>
              <w:ilvl w:val="2"/>
              <w:numId w:val="1"/>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47">
            <w:r>
              <w:rPr/>
              <w:t>Metodología</w:t>
            </w:r>
            <w:r>
              <w:rPr>
                <w:rFonts w:ascii="Calibri" w:hAnsi="Calibri"/>
              </w:rPr>
              <w:tab/>
              <w:t>45</w:t>
            </w:r>
          </w:hyperlink>
        </w:p>
        <w:p>
          <w:pPr>
            <w:pStyle w:val="TOC3"/>
            <w:numPr>
              <w:ilvl w:val="2"/>
              <w:numId w:val="3"/>
            </w:numPr>
            <w:tabs>
              <w:tab w:pos="1421" w:val="left" w:leader="none"/>
              <w:tab w:pos="1422" w:val="left" w:leader="none"/>
              <w:tab w:pos="8933" w:val="right" w:leader="dot"/>
            </w:tabs>
            <w:spacing w:line="240" w:lineRule="auto" w:before="139" w:after="0"/>
            <w:ind w:left="1422" w:right="0" w:hanging="881"/>
            <w:jc w:val="left"/>
            <w:rPr>
              <w:rFonts w:ascii="Calibri" w:hAnsi="Calibri"/>
            </w:rPr>
          </w:pPr>
          <w:hyperlink w:history="true" w:anchor="_bookmark48">
            <w:r>
              <w:rPr/>
              <w:t>Cálculo de las variables del mapa</w:t>
            </w:r>
            <w:r>
              <w:rPr>
                <w:spacing w:val="-1"/>
              </w:rPr>
              <w:t> </w:t>
            </w:r>
            <w:r>
              <w:rPr/>
              <w:t>de</w:t>
            </w:r>
            <w:r>
              <w:rPr>
                <w:spacing w:val="-3"/>
              </w:rPr>
              <w:t> </w:t>
            </w:r>
            <w:r>
              <w:rPr/>
              <w:t>riesgo</w:t>
            </w:r>
            <w:r>
              <w:rPr>
                <w:rFonts w:ascii="Calibri" w:hAnsi="Calibri"/>
              </w:rPr>
              <w:tab/>
              <w:t>45</w:t>
            </w:r>
          </w:hyperlink>
        </w:p>
        <w:p>
          <w:pPr>
            <w:pStyle w:val="TOC3"/>
            <w:numPr>
              <w:ilvl w:val="2"/>
              <w:numId w:val="3"/>
            </w:numPr>
            <w:tabs>
              <w:tab w:pos="1421" w:val="left" w:leader="none"/>
              <w:tab w:pos="1422" w:val="left" w:leader="none"/>
              <w:tab w:pos="8933" w:val="right" w:leader="dot"/>
            </w:tabs>
            <w:spacing w:line="240" w:lineRule="auto" w:before="139" w:after="0"/>
            <w:ind w:left="1422" w:right="0" w:hanging="881"/>
            <w:jc w:val="left"/>
            <w:rPr>
              <w:rFonts w:ascii="Calibri" w:hAnsi="Calibri"/>
            </w:rPr>
          </w:pPr>
          <w:hyperlink w:history="true" w:anchor="_bookmark49">
            <w:r>
              <w:rPr/>
              <w:t>Procesamiento de imágenes</w:t>
            </w:r>
            <w:r>
              <w:rPr>
                <w:spacing w:val="-2"/>
              </w:rPr>
              <w:t> </w:t>
            </w:r>
            <w:r>
              <w:rPr/>
              <w:t>de</w:t>
            </w:r>
            <w:r>
              <w:rPr>
                <w:spacing w:val="-1"/>
              </w:rPr>
              <w:t> </w:t>
            </w:r>
            <w:r>
              <w:rPr/>
              <w:t>satélite</w:t>
            </w:r>
            <w:r>
              <w:rPr>
                <w:rFonts w:ascii="Calibri" w:hAnsi="Calibri"/>
              </w:rPr>
              <w:tab/>
              <w:t>59</w:t>
            </w:r>
          </w:hyperlink>
        </w:p>
        <w:p>
          <w:pPr>
            <w:pStyle w:val="TOC3"/>
            <w:numPr>
              <w:ilvl w:val="2"/>
              <w:numId w:val="3"/>
            </w:numPr>
            <w:tabs>
              <w:tab w:pos="1421" w:val="left" w:leader="none"/>
              <w:tab w:pos="1422" w:val="left" w:leader="none"/>
              <w:tab w:pos="8933" w:val="right" w:leader="dot"/>
            </w:tabs>
            <w:spacing w:line="240" w:lineRule="auto" w:before="142" w:after="0"/>
            <w:ind w:left="1422" w:right="0" w:hanging="881"/>
            <w:jc w:val="left"/>
            <w:rPr>
              <w:rFonts w:ascii="Calibri" w:hAnsi="Calibri"/>
            </w:rPr>
          </w:pPr>
          <w:hyperlink w:history="true" w:anchor="_bookmark50">
            <w:r>
              <w:rPr/>
              <w:t>Autocorrelación espacial</w:t>
            </w:r>
            <w:r>
              <w:rPr>
                <w:rFonts w:ascii="Calibri" w:hAnsi="Calibri"/>
              </w:rPr>
              <w:tab/>
              <w:t>60</w:t>
            </w:r>
          </w:hyperlink>
        </w:p>
        <w:p>
          <w:pPr>
            <w:pStyle w:val="TOC1"/>
            <w:numPr>
              <w:ilvl w:val="1"/>
              <w:numId w:val="1"/>
            </w:numPr>
            <w:tabs>
              <w:tab w:pos="541" w:val="left" w:leader="none"/>
              <w:tab w:pos="542" w:val="left" w:leader="none"/>
              <w:tab w:pos="8933" w:val="right" w:leader="dot"/>
            </w:tabs>
            <w:spacing w:line="240" w:lineRule="auto" w:before="139" w:after="0"/>
            <w:ind w:left="541" w:right="0" w:hanging="439"/>
            <w:jc w:val="left"/>
            <w:rPr>
              <w:rFonts w:ascii="Calibri" w:hAnsi="Calibri"/>
            </w:rPr>
          </w:pPr>
          <w:hyperlink w:history="true" w:anchor="_bookmark51">
            <w:r>
              <w:rPr/>
              <w:t>ANÁLISIS DE RESULTADOS</w:t>
            </w:r>
            <w:r>
              <w:rPr>
                <w:spacing w:val="-1"/>
              </w:rPr>
              <w:t> </w:t>
            </w:r>
            <w:r>
              <w:rPr/>
              <w:t>Y</w:t>
            </w:r>
            <w:r>
              <w:rPr>
                <w:spacing w:val="-1"/>
              </w:rPr>
              <w:t> </w:t>
            </w:r>
            <w:r>
              <w:rPr/>
              <w:t>DISCUSIÓN</w:t>
            </w:r>
            <w:r>
              <w:rPr>
                <w:rFonts w:ascii="Calibri" w:hAnsi="Calibri"/>
              </w:rPr>
              <w:tab/>
              <w:t>61</w:t>
            </w:r>
          </w:hyperlink>
        </w:p>
        <w:p>
          <w:pPr>
            <w:pStyle w:val="TOC2"/>
            <w:numPr>
              <w:ilvl w:val="2"/>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52">
            <w:r>
              <w:rPr/>
              <w:t>Análisis de las variables del mapa de</w:t>
            </w:r>
            <w:r>
              <w:rPr>
                <w:spacing w:val="-3"/>
              </w:rPr>
              <w:t> </w:t>
            </w:r>
            <w:r>
              <w:rPr/>
              <w:t>riesgo</w:t>
            </w:r>
            <w:r>
              <w:rPr>
                <w:rFonts w:ascii="Calibri" w:hAnsi="Calibri"/>
              </w:rPr>
              <w:tab/>
              <w:t>61</w:t>
            </w:r>
          </w:hyperlink>
        </w:p>
        <w:p>
          <w:pPr>
            <w:pStyle w:val="TOC2"/>
            <w:numPr>
              <w:ilvl w:val="2"/>
              <w:numId w:val="1"/>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53">
            <w:r>
              <w:rPr/>
              <w:t>Comparación de áreas quemadas con el mapa de riesgo</w:t>
            </w:r>
            <w:r>
              <w:rPr>
                <w:spacing w:val="-11"/>
              </w:rPr>
              <w:t> </w:t>
            </w:r>
            <w:r>
              <w:rPr/>
              <w:t>a</w:t>
            </w:r>
            <w:r>
              <w:rPr>
                <w:spacing w:val="-2"/>
              </w:rPr>
              <w:t> </w:t>
            </w:r>
            <w:r>
              <w:rPr/>
              <w:t>incendios</w:t>
            </w:r>
            <w:r>
              <w:rPr>
                <w:rFonts w:ascii="Calibri" w:hAnsi="Calibri"/>
              </w:rPr>
              <w:tab/>
              <w:t>91</w:t>
            </w:r>
          </w:hyperlink>
        </w:p>
        <w:p>
          <w:pPr>
            <w:pStyle w:val="TOC2"/>
            <w:numPr>
              <w:ilvl w:val="2"/>
              <w:numId w:val="1"/>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54">
            <w:r>
              <w:rPr/>
              <w:t>Autocorrelación espacial</w:t>
            </w:r>
            <w:r>
              <w:rPr>
                <w:rFonts w:ascii="Calibri" w:hAnsi="Calibri"/>
              </w:rPr>
              <w:tab/>
              <w:t>98</w:t>
            </w:r>
          </w:hyperlink>
        </w:p>
        <w:p>
          <w:pPr>
            <w:pStyle w:val="TOC1"/>
            <w:numPr>
              <w:ilvl w:val="1"/>
              <w:numId w:val="1"/>
            </w:numPr>
            <w:tabs>
              <w:tab w:pos="541" w:val="left" w:leader="none"/>
              <w:tab w:pos="542" w:val="left" w:leader="none"/>
              <w:tab w:pos="8932" w:val="right" w:leader="dot"/>
            </w:tabs>
            <w:spacing w:line="240" w:lineRule="auto" w:before="139" w:after="0"/>
            <w:ind w:left="541" w:right="0" w:hanging="439"/>
            <w:jc w:val="left"/>
            <w:rPr>
              <w:rFonts w:ascii="Calibri" w:hAnsi="Calibri"/>
            </w:rPr>
          </w:pPr>
          <w:hyperlink w:history="true" w:anchor="_bookmark55">
            <w:r>
              <w:rPr/>
              <w:t>Plan de medidas o acciones enfocadas a la prevención de</w:t>
            </w:r>
            <w:r>
              <w:rPr>
                <w:spacing w:val="-14"/>
              </w:rPr>
              <w:t> </w:t>
            </w:r>
            <w:r>
              <w:rPr/>
              <w:t>incendios</w:t>
            </w:r>
            <w:r>
              <w:rPr>
                <w:spacing w:val="-3"/>
              </w:rPr>
              <w:t> </w:t>
            </w:r>
            <w:r>
              <w:rPr/>
              <w:t>forestales.</w:t>
            </w:r>
            <w:r>
              <w:rPr>
                <w:rFonts w:ascii="Calibri" w:hAnsi="Calibri"/>
              </w:rPr>
              <w:tab/>
              <w:t>104</w:t>
            </w:r>
          </w:hyperlink>
        </w:p>
        <w:p>
          <w:pPr>
            <w:pStyle w:val="TOC2"/>
            <w:numPr>
              <w:ilvl w:val="2"/>
              <w:numId w:val="1"/>
            </w:numPr>
            <w:tabs>
              <w:tab w:pos="982" w:val="left" w:leader="none"/>
              <w:tab w:pos="983" w:val="left" w:leader="none"/>
              <w:tab w:pos="8932" w:val="right" w:leader="dot"/>
            </w:tabs>
            <w:spacing w:line="240" w:lineRule="auto" w:before="142" w:after="0"/>
            <w:ind w:left="982" w:right="0" w:hanging="660"/>
            <w:jc w:val="left"/>
            <w:rPr>
              <w:rFonts w:ascii="Calibri"/>
            </w:rPr>
          </w:pPr>
          <w:hyperlink w:history="true" w:anchor="_bookmark56">
            <w:r>
              <w:rPr/>
              <w:t>Propuesta de programa de monitoreo</w:t>
            </w:r>
            <w:r>
              <w:rPr>
                <w:spacing w:val="-6"/>
              </w:rPr>
              <w:t> </w:t>
            </w:r>
            <w:r>
              <w:rPr/>
              <w:t>y</w:t>
            </w:r>
            <w:r>
              <w:rPr>
                <w:spacing w:val="-3"/>
              </w:rPr>
              <w:t> </w:t>
            </w:r>
            <w:r>
              <w:rPr/>
              <w:t>seguimiento</w:t>
            </w:r>
            <w:r>
              <w:rPr>
                <w:rFonts w:ascii="Calibri"/>
              </w:rPr>
              <w:tab/>
              <w:t>105</w:t>
            </w:r>
          </w:hyperlink>
        </w:p>
        <w:p>
          <w:pPr>
            <w:pStyle w:val="TOC1"/>
            <w:numPr>
              <w:ilvl w:val="1"/>
              <w:numId w:val="1"/>
            </w:numPr>
            <w:tabs>
              <w:tab w:pos="541" w:val="left" w:leader="none"/>
              <w:tab w:pos="542" w:val="left" w:leader="none"/>
              <w:tab w:pos="8932" w:val="right" w:leader="dot"/>
            </w:tabs>
            <w:spacing w:line="240" w:lineRule="auto" w:before="139" w:after="0"/>
            <w:ind w:left="541" w:right="0" w:hanging="439"/>
            <w:jc w:val="left"/>
            <w:rPr>
              <w:rFonts w:ascii="Calibri"/>
            </w:rPr>
          </w:pPr>
          <w:hyperlink w:history="true" w:anchor="_bookmark57">
            <w:r>
              <w:rPr/>
              <w:t>CONCLUSIONES</w:t>
            </w:r>
            <w:r>
              <w:rPr>
                <w:rFonts w:ascii="Calibri"/>
              </w:rPr>
              <w:tab/>
              <w:t>107</w:t>
            </w:r>
          </w:hyperlink>
        </w:p>
        <w:p>
          <w:pPr>
            <w:pStyle w:val="TOC1"/>
            <w:numPr>
              <w:ilvl w:val="1"/>
              <w:numId w:val="1"/>
            </w:numPr>
            <w:tabs>
              <w:tab w:pos="541" w:val="left" w:leader="none"/>
              <w:tab w:pos="542" w:val="left" w:leader="none"/>
              <w:tab w:pos="8930" w:val="right" w:leader="dot"/>
            </w:tabs>
            <w:spacing w:line="240" w:lineRule="auto" w:before="139" w:after="0"/>
            <w:ind w:left="541" w:right="0" w:hanging="439"/>
            <w:jc w:val="left"/>
            <w:rPr>
              <w:rFonts w:ascii="Calibri"/>
            </w:rPr>
          </w:pPr>
          <w:hyperlink w:history="true" w:anchor="_bookmark58">
            <w:r>
              <w:rPr/>
              <w:t>RECOMENDACIONES</w:t>
            </w:r>
            <w:r>
              <w:rPr>
                <w:rFonts w:ascii="Calibri"/>
              </w:rPr>
              <w:tab/>
              <w:t>108</w:t>
            </w:r>
          </w:hyperlink>
        </w:p>
        <w:p>
          <w:pPr>
            <w:pStyle w:val="TOC1"/>
            <w:tabs>
              <w:tab w:pos="8932" w:val="right" w:leader="dot"/>
            </w:tabs>
            <w:spacing w:before="142"/>
            <w:ind w:left="102" w:firstLine="0"/>
            <w:rPr>
              <w:rFonts w:ascii="Calibri"/>
            </w:rPr>
          </w:pPr>
          <w:hyperlink w:history="true" w:anchor="_bookmark59">
            <w:r>
              <w:rPr/>
              <w:t>BIBLIOGRAFIA</w:t>
            </w:r>
            <w:r>
              <w:rPr>
                <w:spacing w:val="-3"/>
              </w:rPr>
              <w:t> </w:t>
            </w:r>
            <w:r>
              <w:rPr/>
              <w:t>CITADA</w:t>
            </w:r>
            <w:r>
              <w:rPr>
                <w:rFonts w:ascii="Calibri"/>
              </w:rPr>
              <w:tab/>
              <w:t>109</w:t>
            </w:r>
          </w:hyperlink>
        </w:p>
        <w:p>
          <w:pPr>
            <w:pStyle w:val="TOC1"/>
            <w:tabs>
              <w:tab w:pos="8932" w:val="right" w:leader="dot"/>
            </w:tabs>
            <w:ind w:left="102" w:firstLine="0"/>
            <w:rPr>
              <w:rFonts w:ascii="Calibri"/>
            </w:rPr>
          </w:pPr>
          <w:hyperlink w:history="true" w:anchor="_bookmark60">
            <w:r>
              <w:rPr/>
              <w:t>ANEXOS</w:t>
            </w:r>
            <w:r>
              <w:rPr>
                <w:rFonts w:ascii="Calibri"/>
              </w:rPr>
              <w:tab/>
              <w:t>119</w:t>
            </w:r>
          </w:hyperlink>
        </w:p>
      </w:sdtContent>
    </w:sdt>
    <w:p>
      <w:pPr>
        <w:spacing w:after="0"/>
        <w:rPr>
          <w:rFonts w:ascii="Calibri"/>
        </w:rPr>
        <w:sectPr>
          <w:type w:val="continuous"/>
          <w:pgSz w:w="12240" w:h="15840"/>
          <w:pgMar w:top="1360" w:bottom="1452" w:left="1600" w:right="1580"/>
        </w:sectPr>
      </w:pPr>
    </w:p>
    <w:p>
      <w:pPr>
        <w:pStyle w:val="Heading1"/>
        <w:spacing w:before="701"/>
        <w:ind w:left="302" w:firstLine="0"/>
      </w:pPr>
      <w:bookmarkStart w:name="_bookmark0" w:id="1"/>
      <w:bookmarkEnd w:id="1"/>
      <w:r>
        <w:rPr>
          <w:b w:val="0"/>
        </w:rPr>
      </w:r>
      <w:r>
        <w:rPr/>
        <w:t>ÍNDICE DE FIGURAS</w:t>
      </w:r>
    </w:p>
    <w:p>
      <w:pPr>
        <w:pStyle w:val="BodyText"/>
        <w:rPr>
          <w:b/>
          <w:sz w:val="20"/>
        </w:rPr>
      </w:pPr>
    </w:p>
    <w:p>
      <w:pPr>
        <w:pStyle w:val="BodyText"/>
        <w:rPr>
          <w:b/>
          <w:sz w:val="20"/>
        </w:rPr>
      </w:pPr>
    </w:p>
    <w:p>
      <w:pPr>
        <w:pStyle w:val="BodyText"/>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2"/>
        <w:gridCol w:w="6852"/>
        <w:gridCol w:w="577"/>
      </w:tblGrid>
      <w:tr>
        <w:trPr>
          <w:trHeight w:val="347" w:hRule="exact"/>
        </w:trPr>
        <w:tc>
          <w:tcPr>
            <w:tcW w:w="1432" w:type="dxa"/>
          </w:tcPr>
          <w:p>
            <w:pPr>
              <w:pStyle w:val="TableParagraph"/>
              <w:spacing w:line="245" w:lineRule="exact" w:before="0"/>
              <w:ind w:left="200"/>
              <w:rPr>
                <w:sz w:val="24"/>
              </w:rPr>
            </w:pPr>
            <w:r>
              <w:rPr>
                <w:sz w:val="24"/>
              </w:rPr>
              <w:t>Figura 1.</w:t>
            </w:r>
          </w:p>
        </w:tc>
        <w:tc>
          <w:tcPr>
            <w:tcW w:w="6852" w:type="dxa"/>
          </w:tcPr>
          <w:p>
            <w:pPr>
              <w:pStyle w:val="TableParagraph"/>
              <w:spacing w:line="245" w:lineRule="exact" w:before="0"/>
              <w:ind w:left="130" w:right="90"/>
              <w:jc w:val="center"/>
              <w:rPr>
                <w:sz w:val="24"/>
              </w:rPr>
            </w:pPr>
            <w:r>
              <w:rPr>
                <w:sz w:val="24"/>
              </w:rPr>
              <w:t>Ubicación del área de estudio…………………………………….</w:t>
            </w:r>
          </w:p>
        </w:tc>
        <w:tc>
          <w:tcPr>
            <w:tcW w:w="577" w:type="dxa"/>
          </w:tcPr>
          <w:p>
            <w:pPr>
              <w:pStyle w:val="TableParagraph"/>
              <w:spacing w:line="245" w:lineRule="exact" w:before="0"/>
              <w:ind w:left="108"/>
              <w:rPr>
                <w:sz w:val="24"/>
              </w:rPr>
            </w:pPr>
            <w:r>
              <w:rPr>
                <w:sz w:val="24"/>
              </w:rPr>
              <w:t>40</w:t>
            </w:r>
          </w:p>
        </w:tc>
      </w:tr>
      <w:tr>
        <w:trPr>
          <w:trHeight w:val="454" w:hRule="exact"/>
        </w:trPr>
        <w:tc>
          <w:tcPr>
            <w:tcW w:w="1432" w:type="dxa"/>
          </w:tcPr>
          <w:p>
            <w:pPr>
              <w:pStyle w:val="TableParagraph"/>
              <w:spacing w:before="76"/>
              <w:ind w:left="200"/>
              <w:rPr>
                <w:sz w:val="24"/>
              </w:rPr>
            </w:pPr>
            <w:r>
              <w:rPr>
                <w:sz w:val="24"/>
              </w:rPr>
              <w:t>Figura 2.</w:t>
            </w:r>
          </w:p>
        </w:tc>
        <w:tc>
          <w:tcPr>
            <w:tcW w:w="6852" w:type="dxa"/>
          </w:tcPr>
          <w:p>
            <w:pPr>
              <w:pStyle w:val="TableParagraph"/>
              <w:spacing w:before="76"/>
              <w:ind w:left="91" w:right="91"/>
              <w:jc w:val="center"/>
              <w:rPr>
                <w:sz w:val="24"/>
              </w:rPr>
            </w:pPr>
            <w:r>
              <w:rPr>
                <w:sz w:val="24"/>
              </w:rPr>
              <w:t>Diagrama de flujo de la metodología......………………………..</w:t>
            </w:r>
          </w:p>
        </w:tc>
        <w:tc>
          <w:tcPr>
            <w:tcW w:w="577" w:type="dxa"/>
          </w:tcPr>
          <w:p>
            <w:pPr>
              <w:pStyle w:val="TableParagraph"/>
              <w:spacing w:before="76"/>
              <w:ind w:left="108"/>
              <w:rPr>
                <w:sz w:val="24"/>
              </w:rPr>
            </w:pPr>
            <w:r>
              <w:rPr>
                <w:sz w:val="24"/>
              </w:rPr>
              <w:t>46</w:t>
            </w:r>
          </w:p>
        </w:tc>
      </w:tr>
      <w:tr>
        <w:trPr>
          <w:trHeight w:val="454" w:hRule="exact"/>
        </w:trPr>
        <w:tc>
          <w:tcPr>
            <w:tcW w:w="1432" w:type="dxa"/>
          </w:tcPr>
          <w:p>
            <w:pPr>
              <w:pStyle w:val="TableParagraph"/>
              <w:spacing w:before="76"/>
              <w:ind w:left="200"/>
              <w:rPr>
                <w:sz w:val="24"/>
              </w:rPr>
            </w:pPr>
            <w:r>
              <w:rPr>
                <w:sz w:val="24"/>
              </w:rPr>
              <w:t>Figura 3.</w:t>
            </w:r>
          </w:p>
        </w:tc>
        <w:tc>
          <w:tcPr>
            <w:tcW w:w="6852" w:type="dxa"/>
          </w:tcPr>
          <w:p>
            <w:pPr>
              <w:pStyle w:val="TableParagraph"/>
              <w:spacing w:before="76"/>
              <w:ind w:left="78" w:right="91"/>
              <w:jc w:val="center"/>
              <w:rPr>
                <w:sz w:val="24"/>
              </w:rPr>
            </w:pPr>
            <w:r>
              <w:rPr>
                <w:sz w:val="24"/>
              </w:rPr>
              <w:t>Puntos de muestreo……………………………………………….</w:t>
            </w:r>
          </w:p>
        </w:tc>
        <w:tc>
          <w:tcPr>
            <w:tcW w:w="577" w:type="dxa"/>
          </w:tcPr>
          <w:p>
            <w:pPr>
              <w:pStyle w:val="TableParagraph"/>
              <w:spacing w:before="76"/>
              <w:ind w:left="108"/>
              <w:rPr>
                <w:sz w:val="24"/>
              </w:rPr>
            </w:pPr>
            <w:r>
              <w:rPr>
                <w:sz w:val="24"/>
              </w:rPr>
              <w:t>52</w:t>
            </w:r>
          </w:p>
        </w:tc>
      </w:tr>
      <w:tr>
        <w:trPr>
          <w:trHeight w:val="455" w:hRule="exact"/>
        </w:trPr>
        <w:tc>
          <w:tcPr>
            <w:tcW w:w="1432" w:type="dxa"/>
          </w:tcPr>
          <w:p>
            <w:pPr>
              <w:pStyle w:val="TableParagraph"/>
              <w:spacing w:before="76"/>
              <w:ind w:left="200"/>
              <w:rPr>
                <w:sz w:val="24"/>
              </w:rPr>
            </w:pPr>
            <w:r>
              <w:rPr>
                <w:sz w:val="24"/>
              </w:rPr>
              <w:t>Figura 4.</w:t>
            </w:r>
          </w:p>
        </w:tc>
        <w:tc>
          <w:tcPr>
            <w:tcW w:w="6852" w:type="dxa"/>
          </w:tcPr>
          <w:p>
            <w:pPr>
              <w:pStyle w:val="TableParagraph"/>
              <w:spacing w:before="76"/>
              <w:ind w:left="79" w:right="91"/>
              <w:jc w:val="center"/>
              <w:rPr>
                <w:sz w:val="24"/>
              </w:rPr>
            </w:pPr>
            <w:r>
              <w:rPr>
                <w:sz w:val="24"/>
              </w:rPr>
              <w:t>Estaciones de normales climatológicas…………………………</w:t>
            </w:r>
          </w:p>
        </w:tc>
        <w:tc>
          <w:tcPr>
            <w:tcW w:w="577" w:type="dxa"/>
          </w:tcPr>
          <w:p>
            <w:pPr>
              <w:pStyle w:val="TableParagraph"/>
              <w:spacing w:before="76"/>
              <w:ind w:left="108"/>
              <w:rPr>
                <w:sz w:val="24"/>
              </w:rPr>
            </w:pPr>
            <w:r>
              <w:rPr>
                <w:sz w:val="24"/>
              </w:rPr>
              <w:t>55</w:t>
            </w:r>
          </w:p>
        </w:tc>
      </w:tr>
      <w:tr>
        <w:trPr>
          <w:trHeight w:val="455" w:hRule="exact"/>
        </w:trPr>
        <w:tc>
          <w:tcPr>
            <w:tcW w:w="1432" w:type="dxa"/>
          </w:tcPr>
          <w:p>
            <w:pPr>
              <w:pStyle w:val="TableParagraph"/>
              <w:spacing w:before="77"/>
              <w:ind w:left="200"/>
              <w:rPr>
                <w:sz w:val="24"/>
              </w:rPr>
            </w:pPr>
            <w:r>
              <w:rPr>
                <w:sz w:val="24"/>
              </w:rPr>
              <w:t>Figura 5.</w:t>
            </w:r>
          </w:p>
        </w:tc>
        <w:tc>
          <w:tcPr>
            <w:tcW w:w="6852" w:type="dxa"/>
          </w:tcPr>
          <w:p>
            <w:pPr>
              <w:pStyle w:val="TableParagraph"/>
              <w:spacing w:before="77"/>
              <w:ind w:left="115" w:right="91"/>
              <w:jc w:val="center"/>
              <w:rPr>
                <w:sz w:val="24"/>
              </w:rPr>
            </w:pPr>
            <w:r>
              <w:rPr>
                <w:sz w:val="24"/>
              </w:rPr>
              <w:t>Frecuencia de incendios…………………………………………..</w:t>
            </w:r>
          </w:p>
        </w:tc>
        <w:tc>
          <w:tcPr>
            <w:tcW w:w="577" w:type="dxa"/>
          </w:tcPr>
          <w:p>
            <w:pPr>
              <w:pStyle w:val="TableParagraph"/>
              <w:spacing w:before="77"/>
              <w:ind w:left="108"/>
              <w:rPr>
                <w:sz w:val="24"/>
              </w:rPr>
            </w:pPr>
            <w:r>
              <w:rPr>
                <w:sz w:val="24"/>
              </w:rPr>
              <w:t>62</w:t>
            </w:r>
          </w:p>
        </w:tc>
      </w:tr>
      <w:tr>
        <w:trPr>
          <w:trHeight w:val="454" w:hRule="exact"/>
        </w:trPr>
        <w:tc>
          <w:tcPr>
            <w:tcW w:w="1432" w:type="dxa"/>
          </w:tcPr>
          <w:p>
            <w:pPr>
              <w:pStyle w:val="TableParagraph"/>
              <w:spacing w:before="76"/>
              <w:ind w:left="200"/>
              <w:rPr>
                <w:sz w:val="24"/>
              </w:rPr>
            </w:pPr>
            <w:r>
              <w:rPr>
                <w:sz w:val="24"/>
              </w:rPr>
              <w:t>Figura 6.</w:t>
            </w:r>
          </w:p>
        </w:tc>
        <w:tc>
          <w:tcPr>
            <w:tcW w:w="6852" w:type="dxa"/>
          </w:tcPr>
          <w:p>
            <w:pPr>
              <w:pStyle w:val="TableParagraph"/>
              <w:spacing w:before="76"/>
              <w:ind w:left="91" w:right="91"/>
              <w:jc w:val="center"/>
              <w:rPr>
                <w:sz w:val="24"/>
              </w:rPr>
            </w:pPr>
            <w:r>
              <w:rPr>
                <w:sz w:val="24"/>
              </w:rPr>
              <w:t>Gravedad de incendios……………………………………………</w:t>
            </w:r>
          </w:p>
        </w:tc>
        <w:tc>
          <w:tcPr>
            <w:tcW w:w="577" w:type="dxa"/>
          </w:tcPr>
          <w:p>
            <w:pPr>
              <w:pStyle w:val="TableParagraph"/>
              <w:spacing w:before="76"/>
              <w:ind w:left="108"/>
              <w:rPr>
                <w:sz w:val="24"/>
              </w:rPr>
            </w:pPr>
            <w:r>
              <w:rPr>
                <w:sz w:val="24"/>
              </w:rPr>
              <w:t>64</w:t>
            </w:r>
          </w:p>
        </w:tc>
      </w:tr>
      <w:tr>
        <w:trPr>
          <w:trHeight w:val="454" w:hRule="exact"/>
        </w:trPr>
        <w:tc>
          <w:tcPr>
            <w:tcW w:w="1432" w:type="dxa"/>
          </w:tcPr>
          <w:p>
            <w:pPr>
              <w:pStyle w:val="TableParagraph"/>
              <w:spacing w:before="76"/>
              <w:ind w:left="200"/>
              <w:rPr>
                <w:sz w:val="24"/>
              </w:rPr>
            </w:pPr>
            <w:r>
              <w:rPr>
                <w:sz w:val="24"/>
              </w:rPr>
              <w:t>Figura 7.</w:t>
            </w:r>
          </w:p>
        </w:tc>
        <w:tc>
          <w:tcPr>
            <w:tcW w:w="6852" w:type="dxa"/>
          </w:tcPr>
          <w:p>
            <w:pPr>
              <w:pStyle w:val="TableParagraph"/>
              <w:spacing w:before="76"/>
              <w:ind w:left="129" w:right="91"/>
              <w:jc w:val="center"/>
              <w:rPr>
                <w:sz w:val="24"/>
              </w:rPr>
            </w:pPr>
            <w:r>
              <w:rPr>
                <w:sz w:val="24"/>
              </w:rPr>
              <w:t>Causalidad de incendios…………………………………………..</w:t>
            </w:r>
          </w:p>
        </w:tc>
        <w:tc>
          <w:tcPr>
            <w:tcW w:w="577" w:type="dxa"/>
          </w:tcPr>
          <w:p>
            <w:pPr>
              <w:pStyle w:val="TableParagraph"/>
              <w:spacing w:before="76"/>
              <w:ind w:left="108"/>
              <w:rPr>
                <w:sz w:val="24"/>
              </w:rPr>
            </w:pPr>
            <w:r>
              <w:rPr>
                <w:sz w:val="24"/>
              </w:rPr>
              <w:t>66</w:t>
            </w:r>
          </w:p>
        </w:tc>
      </w:tr>
      <w:tr>
        <w:trPr>
          <w:trHeight w:val="454" w:hRule="exact"/>
        </w:trPr>
        <w:tc>
          <w:tcPr>
            <w:tcW w:w="1432" w:type="dxa"/>
          </w:tcPr>
          <w:p>
            <w:pPr>
              <w:pStyle w:val="TableParagraph"/>
              <w:spacing w:before="76"/>
              <w:ind w:left="200"/>
              <w:rPr>
                <w:sz w:val="24"/>
              </w:rPr>
            </w:pPr>
            <w:r>
              <w:rPr>
                <w:sz w:val="24"/>
              </w:rPr>
              <w:t>Figura 8.</w:t>
            </w:r>
          </w:p>
        </w:tc>
        <w:tc>
          <w:tcPr>
            <w:tcW w:w="6852" w:type="dxa"/>
          </w:tcPr>
          <w:p>
            <w:pPr>
              <w:pStyle w:val="TableParagraph"/>
              <w:spacing w:before="76"/>
              <w:ind w:left="127" w:right="91"/>
              <w:jc w:val="center"/>
              <w:rPr>
                <w:sz w:val="24"/>
              </w:rPr>
            </w:pPr>
            <w:r>
              <w:rPr>
                <w:sz w:val="24"/>
              </w:rPr>
              <w:t>Riesgo estadístico………………………………………………….</w:t>
            </w:r>
          </w:p>
        </w:tc>
        <w:tc>
          <w:tcPr>
            <w:tcW w:w="577" w:type="dxa"/>
          </w:tcPr>
          <w:p>
            <w:pPr>
              <w:pStyle w:val="TableParagraph"/>
              <w:spacing w:before="76"/>
              <w:ind w:left="108"/>
              <w:rPr>
                <w:sz w:val="24"/>
              </w:rPr>
            </w:pPr>
            <w:r>
              <w:rPr>
                <w:sz w:val="24"/>
              </w:rPr>
              <w:t>68</w:t>
            </w:r>
          </w:p>
        </w:tc>
      </w:tr>
      <w:tr>
        <w:trPr>
          <w:trHeight w:val="454" w:hRule="exact"/>
        </w:trPr>
        <w:tc>
          <w:tcPr>
            <w:tcW w:w="1432" w:type="dxa"/>
          </w:tcPr>
          <w:p>
            <w:pPr>
              <w:pStyle w:val="TableParagraph"/>
              <w:spacing w:before="76"/>
              <w:ind w:left="200"/>
              <w:rPr>
                <w:sz w:val="24"/>
              </w:rPr>
            </w:pPr>
            <w:r>
              <w:rPr>
                <w:sz w:val="24"/>
              </w:rPr>
              <w:t>Figura 9.</w:t>
            </w:r>
          </w:p>
        </w:tc>
        <w:tc>
          <w:tcPr>
            <w:tcW w:w="6852" w:type="dxa"/>
          </w:tcPr>
          <w:p>
            <w:pPr>
              <w:pStyle w:val="TableParagraph"/>
              <w:spacing w:before="76"/>
              <w:ind w:left="116" w:right="91"/>
              <w:jc w:val="center"/>
              <w:rPr>
                <w:sz w:val="24"/>
              </w:rPr>
            </w:pPr>
            <w:r>
              <w:rPr>
                <w:sz w:val="24"/>
              </w:rPr>
              <w:t>Peligrosidad de los combustibles………………………………...</w:t>
            </w:r>
          </w:p>
        </w:tc>
        <w:tc>
          <w:tcPr>
            <w:tcW w:w="577" w:type="dxa"/>
          </w:tcPr>
          <w:p>
            <w:pPr>
              <w:pStyle w:val="TableParagraph"/>
              <w:spacing w:before="76"/>
              <w:ind w:left="108"/>
              <w:rPr>
                <w:sz w:val="24"/>
              </w:rPr>
            </w:pPr>
            <w:r>
              <w:rPr>
                <w:sz w:val="24"/>
              </w:rPr>
              <w:t>70</w:t>
            </w:r>
          </w:p>
        </w:tc>
      </w:tr>
      <w:tr>
        <w:trPr>
          <w:trHeight w:val="455" w:hRule="exact"/>
        </w:trPr>
        <w:tc>
          <w:tcPr>
            <w:tcW w:w="1432" w:type="dxa"/>
          </w:tcPr>
          <w:p>
            <w:pPr>
              <w:pStyle w:val="TableParagraph"/>
              <w:spacing w:before="76"/>
              <w:ind w:left="200"/>
              <w:rPr>
                <w:sz w:val="24"/>
              </w:rPr>
            </w:pPr>
            <w:r>
              <w:rPr>
                <w:sz w:val="24"/>
              </w:rPr>
              <w:t>Figura 10.</w:t>
            </w:r>
          </w:p>
        </w:tc>
        <w:tc>
          <w:tcPr>
            <w:tcW w:w="6852" w:type="dxa"/>
          </w:tcPr>
          <w:p>
            <w:pPr>
              <w:pStyle w:val="TableParagraph"/>
              <w:spacing w:before="76"/>
              <w:ind w:left="130" w:right="89"/>
              <w:jc w:val="center"/>
              <w:rPr>
                <w:sz w:val="24"/>
              </w:rPr>
            </w:pPr>
            <w:r>
              <w:rPr>
                <w:sz w:val="24"/>
              </w:rPr>
              <w:t>Peligrosidad de la pendiente……………………………………...</w:t>
            </w:r>
          </w:p>
        </w:tc>
        <w:tc>
          <w:tcPr>
            <w:tcW w:w="577" w:type="dxa"/>
          </w:tcPr>
          <w:p>
            <w:pPr>
              <w:pStyle w:val="TableParagraph"/>
              <w:spacing w:before="76"/>
              <w:ind w:left="108"/>
              <w:rPr>
                <w:sz w:val="24"/>
              </w:rPr>
            </w:pPr>
            <w:r>
              <w:rPr>
                <w:sz w:val="24"/>
              </w:rPr>
              <w:t>72</w:t>
            </w:r>
          </w:p>
        </w:tc>
      </w:tr>
      <w:tr>
        <w:trPr>
          <w:trHeight w:val="455" w:hRule="exact"/>
        </w:trPr>
        <w:tc>
          <w:tcPr>
            <w:tcW w:w="1432" w:type="dxa"/>
          </w:tcPr>
          <w:p>
            <w:pPr>
              <w:pStyle w:val="TableParagraph"/>
              <w:spacing w:before="77"/>
              <w:ind w:left="200"/>
              <w:rPr>
                <w:sz w:val="24"/>
              </w:rPr>
            </w:pPr>
            <w:r>
              <w:rPr>
                <w:sz w:val="24"/>
              </w:rPr>
              <w:t>Figura 11.</w:t>
            </w:r>
          </w:p>
        </w:tc>
        <w:tc>
          <w:tcPr>
            <w:tcW w:w="6852" w:type="dxa"/>
          </w:tcPr>
          <w:p>
            <w:pPr>
              <w:pStyle w:val="TableParagraph"/>
              <w:spacing w:before="77"/>
              <w:ind w:left="78" w:right="91"/>
              <w:jc w:val="center"/>
              <w:rPr>
                <w:sz w:val="24"/>
              </w:rPr>
            </w:pPr>
            <w:r>
              <w:rPr>
                <w:sz w:val="24"/>
              </w:rPr>
              <w:t>Climograma estación Cuajimalpa………………………………..</w:t>
            </w:r>
          </w:p>
        </w:tc>
        <w:tc>
          <w:tcPr>
            <w:tcW w:w="577" w:type="dxa"/>
          </w:tcPr>
          <w:p>
            <w:pPr>
              <w:pStyle w:val="TableParagraph"/>
              <w:spacing w:before="77"/>
              <w:ind w:left="108"/>
              <w:rPr>
                <w:sz w:val="24"/>
              </w:rPr>
            </w:pPr>
            <w:r>
              <w:rPr>
                <w:sz w:val="24"/>
              </w:rPr>
              <w:t>74</w:t>
            </w:r>
          </w:p>
        </w:tc>
      </w:tr>
      <w:tr>
        <w:trPr>
          <w:trHeight w:val="454" w:hRule="exact"/>
        </w:trPr>
        <w:tc>
          <w:tcPr>
            <w:tcW w:w="1432" w:type="dxa"/>
          </w:tcPr>
          <w:p>
            <w:pPr>
              <w:pStyle w:val="TableParagraph"/>
              <w:spacing w:before="76"/>
              <w:ind w:left="200"/>
              <w:rPr>
                <w:sz w:val="24"/>
              </w:rPr>
            </w:pPr>
            <w:r>
              <w:rPr>
                <w:sz w:val="24"/>
              </w:rPr>
              <w:t>Figura 12.</w:t>
            </w:r>
          </w:p>
        </w:tc>
        <w:tc>
          <w:tcPr>
            <w:tcW w:w="6852" w:type="dxa"/>
          </w:tcPr>
          <w:p>
            <w:pPr>
              <w:pStyle w:val="TableParagraph"/>
              <w:spacing w:before="76"/>
              <w:ind w:left="66" w:right="91"/>
              <w:jc w:val="center"/>
              <w:rPr>
                <w:sz w:val="24"/>
              </w:rPr>
            </w:pPr>
            <w:r>
              <w:rPr>
                <w:sz w:val="24"/>
              </w:rPr>
              <w:t>Climograma estación Desierto de los Leones………………….</w:t>
            </w:r>
          </w:p>
        </w:tc>
        <w:tc>
          <w:tcPr>
            <w:tcW w:w="577" w:type="dxa"/>
          </w:tcPr>
          <w:p>
            <w:pPr>
              <w:pStyle w:val="TableParagraph"/>
              <w:spacing w:before="76"/>
              <w:ind w:left="108"/>
              <w:rPr>
                <w:sz w:val="24"/>
              </w:rPr>
            </w:pPr>
            <w:r>
              <w:rPr>
                <w:sz w:val="24"/>
              </w:rPr>
              <w:t>75</w:t>
            </w:r>
          </w:p>
        </w:tc>
      </w:tr>
      <w:tr>
        <w:trPr>
          <w:trHeight w:val="454" w:hRule="exact"/>
        </w:trPr>
        <w:tc>
          <w:tcPr>
            <w:tcW w:w="1432" w:type="dxa"/>
          </w:tcPr>
          <w:p>
            <w:pPr>
              <w:pStyle w:val="TableParagraph"/>
              <w:spacing w:before="76"/>
              <w:ind w:left="200"/>
              <w:rPr>
                <w:sz w:val="24"/>
              </w:rPr>
            </w:pPr>
            <w:r>
              <w:rPr>
                <w:sz w:val="24"/>
              </w:rPr>
              <w:t>Figura 13.</w:t>
            </w:r>
          </w:p>
        </w:tc>
        <w:tc>
          <w:tcPr>
            <w:tcW w:w="6852" w:type="dxa"/>
          </w:tcPr>
          <w:p>
            <w:pPr>
              <w:pStyle w:val="TableParagraph"/>
              <w:spacing w:before="76"/>
              <w:ind w:left="101" w:right="91"/>
              <w:jc w:val="center"/>
              <w:rPr>
                <w:sz w:val="24"/>
              </w:rPr>
            </w:pPr>
            <w:r>
              <w:rPr>
                <w:sz w:val="24"/>
              </w:rPr>
              <w:t>Climograma estación Tepoztlán………………………………….</w:t>
            </w:r>
          </w:p>
        </w:tc>
        <w:tc>
          <w:tcPr>
            <w:tcW w:w="577" w:type="dxa"/>
          </w:tcPr>
          <w:p>
            <w:pPr>
              <w:pStyle w:val="TableParagraph"/>
              <w:spacing w:before="76"/>
              <w:ind w:left="108"/>
              <w:rPr>
                <w:sz w:val="24"/>
              </w:rPr>
            </w:pPr>
            <w:r>
              <w:rPr>
                <w:sz w:val="24"/>
              </w:rPr>
              <w:t>76</w:t>
            </w:r>
          </w:p>
        </w:tc>
      </w:tr>
      <w:tr>
        <w:trPr>
          <w:trHeight w:val="454" w:hRule="exact"/>
        </w:trPr>
        <w:tc>
          <w:tcPr>
            <w:tcW w:w="1432" w:type="dxa"/>
          </w:tcPr>
          <w:p>
            <w:pPr>
              <w:pStyle w:val="TableParagraph"/>
              <w:spacing w:before="76"/>
              <w:ind w:left="200"/>
              <w:rPr>
                <w:sz w:val="24"/>
              </w:rPr>
            </w:pPr>
            <w:r>
              <w:rPr>
                <w:sz w:val="24"/>
              </w:rPr>
              <w:t>Figura 14.</w:t>
            </w:r>
          </w:p>
        </w:tc>
        <w:tc>
          <w:tcPr>
            <w:tcW w:w="6852" w:type="dxa"/>
          </w:tcPr>
          <w:p>
            <w:pPr>
              <w:pStyle w:val="TableParagraph"/>
              <w:spacing w:before="76"/>
              <w:ind w:left="79" w:right="91"/>
              <w:jc w:val="center"/>
              <w:rPr>
                <w:sz w:val="24"/>
              </w:rPr>
            </w:pPr>
            <w:r>
              <w:rPr>
                <w:sz w:val="24"/>
              </w:rPr>
              <w:t>Climograma estación Ajusco……………………………………..</w:t>
            </w:r>
          </w:p>
        </w:tc>
        <w:tc>
          <w:tcPr>
            <w:tcW w:w="577" w:type="dxa"/>
          </w:tcPr>
          <w:p>
            <w:pPr>
              <w:pStyle w:val="TableParagraph"/>
              <w:spacing w:before="76"/>
              <w:ind w:left="108"/>
              <w:rPr>
                <w:sz w:val="24"/>
              </w:rPr>
            </w:pPr>
            <w:r>
              <w:rPr>
                <w:sz w:val="24"/>
              </w:rPr>
              <w:t>77</w:t>
            </w:r>
          </w:p>
        </w:tc>
      </w:tr>
      <w:tr>
        <w:trPr>
          <w:trHeight w:val="454" w:hRule="exact"/>
        </w:trPr>
        <w:tc>
          <w:tcPr>
            <w:tcW w:w="1432" w:type="dxa"/>
          </w:tcPr>
          <w:p>
            <w:pPr>
              <w:pStyle w:val="TableParagraph"/>
              <w:spacing w:before="76"/>
              <w:ind w:left="200"/>
              <w:rPr>
                <w:sz w:val="24"/>
              </w:rPr>
            </w:pPr>
            <w:r>
              <w:rPr>
                <w:sz w:val="24"/>
              </w:rPr>
              <w:t>Figura 15.</w:t>
            </w:r>
          </w:p>
        </w:tc>
        <w:tc>
          <w:tcPr>
            <w:tcW w:w="6852" w:type="dxa"/>
          </w:tcPr>
          <w:p>
            <w:pPr>
              <w:pStyle w:val="TableParagraph"/>
              <w:spacing w:before="76"/>
              <w:ind w:left="90" w:right="91"/>
              <w:jc w:val="center"/>
              <w:rPr>
                <w:sz w:val="24"/>
              </w:rPr>
            </w:pPr>
            <w:r>
              <w:rPr>
                <w:sz w:val="24"/>
              </w:rPr>
              <w:t>Adversidad del Clima. …………………………………………….</w:t>
            </w:r>
          </w:p>
        </w:tc>
        <w:tc>
          <w:tcPr>
            <w:tcW w:w="577" w:type="dxa"/>
          </w:tcPr>
          <w:p>
            <w:pPr>
              <w:pStyle w:val="TableParagraph"/>
              <w:spacing w:before="76"/>
              <w:ind w:left="108"/>
              <w:rPr>
                <w:sz w:val="24"/>
              </w:rPr>
            </w:pPr>
            <w:r>
              <w:rPr>
                <w:sz w:val="24"/>
              </w:rPr>
              <w:t>79</w:t>
            </w:r>
          </w:p>
        </w:tc>
      </w:tr>
      <w:tr>
        <w:trPr>
          <w:trHeight w:val="455" w:hRule="exact"/>
        </w:trPr>
        <w:tc>
          <w:tcPr>
            <w:tcW w:w="1432" w:type="dxa"/>
          </w:tcPr>
          <w:p>
            <w:pPr>
              <w:pStyle w:val="TableParagraph"/>
              <w:spacing w:before="76"/>
              <w:ind w:left="200"/>
              <w:rPr>
                <w:sz w:val="24"/>
              </w:rPr>
            </w:pPr>
            <w:r>
              <w:rPr>
                <w:sz w:val="24"/>
              </w:rPr>
              <w:t>Figura 16.</w:t>
            </w:r>
          </w:p>
        </w:tc>
        <w:tc>
          <w:tcPr>
            <w:tcW w:w="6852" w:type="dxa"/>
          </w:tcPr>
          <w:p>
            <w:pPr>
              <w:pStyle w:val="TableParagraph"/>
              <w:spacing w:before="76"/>
              <w:ind w:left="80" w:right="91"/>
              <w:jc w:val="center"/>
              <w:rPr>
                <w:sz w:val="24"/>
              </w:rPr>
            </w:pPr>
            <w:r>
              <w:rPr>
                <w:sz w:val="24"/>
              </w:rPr>
              <w:t>Peligrosidad del medio. …………………………………………..</w:t>
            </w:r>
          </w:p>
        </w:tc>
        <w:tc>
          <w:tcPr>
            <w:tcW w:w="577" w:type="dxa"/>
          </w:tcPr>
          <w:p>
            <w:pPr>
              <w:pStyle w:val="TableParagraph"/>
              <w:spacing w:before="76"/>
              <w:ind w:left="108"/>
              <w:rPr>
                <w:sz w:val="24"/>
              </w:rPr>
            </w:pPr>
            <w:r>
              <w:rPr>
                <w:sz w:val="24"/>
              </w:rPr>
              <w:t>82</w:t>
            </w:r>
          </w:p>
        </w:tc>
      </w:tr>
      <w:tr>
        <w:trPr>
          <w:trHeight w:val="455" w:hRule="exact"/>
        </w:trPr>
        <w:tc>
          <w:tcPr>
            <w:tcW w:w="1432" w:type="dxa"/>
          </w:tcPr>
          <w:p>
            <w:pPr>
              <w:pStyle w:val="TableParagraph"/>
              <w:spacing w:before="77"/>
              <w:ind w:left="200"/>
              <w:rPr>
                <w:sz w:val="24"/>
              </w:rPr>
            </w:pPr>
            <w:r>
              <w:rPr>
                <w:sz w:val="24"/>
              </w:rPr>
              <w:t>Figura 17.</w:t>
            </w:r>
          </w:p>
        </w:tc>
        <w:tc>
          <w:tcPr>
            <w:tcW w:w="6852" w:type="dxa"/>
          </w:tcPr>
          <w:p>
            <w:pPr>
              <w:pStyle w:val="TableParagraph"/>
              <w:spacing w:before="77"/>
              <w:ind w:left="103" w:right="91"/>
              <w:jc w:val="center"/>
              <w:rPr>
                <w:sz w:val="24"/>
              </w:rPr>
            </w:pPr>
            <w:r>
              <w:rPr>
                <w:sz w:val="24"/>
              </w:rPr>
              <w:t>Riesgo a incendios forestales…………………………………….</w:t>
            </w:r>
          </w:p>
        </w:tc>
        <w:tc>
          <w:tcPr>
            <w:tcW w:w="577" w:type="dxa"/>
          </w:tcPr>
          <w:p>
            <w:pPr>
              <w:pStyle w:val="TableParagraph"/>
              <w:spacing w:before="77"/>
              <w:ind w:left="108"/>
              <w:rPr>
                <w:sz w:val="24"/>
              </w:rPr>
            </w:pPr>
            <w:r>
              <w:rPr>
                <w:sz w:val="24"/>
              </w:rPr>
              <w:t>85</w:t>
            </w:r>
          </w:p>
        </w:tc>
      </w:tr>
      <w:tr>
        <w:trPr>
          <w:trHeight w:val="454" w:hRule="exact"/>
        </w:trPr>
        <w:tc>
          <w:tcPr>
            <w:tcW w:w="1432" w:type="dxa"/>
          </w:tcPr>
          <w:p>
            <w:pPr>
              <w:pStyle w:val="TableParagraph"/>
              <w:spacing w:before="76"/>
              <w:ind w:left="200"/>
              <w:rPr>
                <w:sz w:val="24"/>
              </w:rPr>
            </w:pPr>
            <w:r>
              <w:rPr>
                <w:sz w:val="24"/>
              </w:rPr>
              <w:t>Figura 18.</w:t>
            </w:r>
          </w:p>
        </w:tc>
        <w:tc>
          <w:tcPr>
            <w:tcW w:w="6852" w:type="dxa"/>
          </w:tcPr>
          <w:p>
            <w:pPr>
              <w:pStyle w:val="TableParagraph"/>
              <w:spacing w:before="76"/>
              <w:ind w:left="106" w:right="91"/>
              <w:jc w:val="center"/>
              <w:rPr>
                <w:sz w:val="24"/>
              </w:rPr>
            </w:pPr>
            <w:r>
              <w:rPr>
                <w:sz w:val="24"/>
              </w:rPr>
              <w:t>Gráfico del índice de frecuencia por cuadrante………………...</w:t>
            </w:r>
          </w:p>
        </w:tc>
        <w:tc>
          <w:tcPr>
            <w:tcW w:w="577" w:type="dxa"/>
          </w:tcPr>
          <w:p>
            <w:pPr>
              <w:pStyle w:val="TableParagraph"/>
              <w:spacing w:before="76"/>
              <w:ind w:left="108"/>
              <w:rPr>
                <w:sz w:val="24"/>
              </w:rPr>
            </w:pPr>
            <w:r>
              <w:rPr>
                <w:sz w:val="24"/>
              </w:rPr>
              <w:t>86</w:t>
            </w:r>
          </w:p>
        </w:tc>
      </w:tr>
      <w:tr>
        <w:trPr>
          <w:trHeight w:val="454" w:hRule="exact"/>
        </w:trPr>
        <w:tc>
          <w:tcPr>
            <w:tcW w:w="1432" w:type="dxa"/>
          </w:tcPr>
          <w:p>
            <w:pPr>
              <w:pStyle w:val="TableParagraph"/>
              <w:spacing w:before="76"/>
              <w:ind w:left="200"/>
              <w:rPr>
                <w:sz w:val="24"/>
              </w:rPr>
            </w:pPr>
            <w:r>
              <w:rPr>
                <w:sz w:val="24"/>
              </w:rPr>
              <w:t>Figura 19.</w:t>
            </w:r>
          </w:p>
        </w:tc>
        <w:tc>
          <w:tcPr>
            <w:tcW w:w="6852" w:type="dxa"/>
          </w:tcPr>
          <w:p>
            <w:pPr>
              <w:pStyle w:val="TableParagraph"/>
              <w:spacing w:before="76"/>
              <w:ind w:left="104" w:right="91"/>
              <w:jc w:val="center"/>
              <w:rPr>
                <w:sz w:val="24"/>
              </w:rPr>
            </w:pPr>
            <w:r>
              <w:rPr>
                <w:sz w:val="24"/>
              </w:rPr>
              <w:t>Gráfico del índice de gravedad por cuadrante………………….</w:t>
            </w:r>
          </w:p>
        </w:tc>
        <w:tc>
          <w:tcPr>
            <w:tcW w:w="577" w:type="dxa"/>
          </w:tcPr>
          <w:p>
            <w:pPr>
              <w:pStyle w:val="TableParagraph"/>
              <w:spacing w:before="76"/>
              <w:ind w:left="108"/>
              <w:rPr>
                <w:sz w:val="24"/>
              </w:rPr>
            </w:pPr>
            <w:r>
              <w:rPr>
                <w:sz w:val="24"/>
              </w:rPr>
              <w:t>87</w:t>
            </w:r>
          </w:p>
        </w:tc>
      </w:tr>
      <w:tr>
        <w:trPr>
          <w:trHeight w:val="454" w:hRule="exact"/>
        </w:trPr>
        <w:tc>
          <w:tcPr>
            <w:tcW w:w="1432" w:type="dxa"/>
          </w:tcPr>
          <w:p>
            <w:pPr>
              <w:pStyle w:val="TableParagraph"/>
              <w:spacing w:before="76"/>
              <w:ind w:left="200"/>
              <w:rPr>
                <w:sz w:val="24"/>
              </w:rPr>
            </w:pPr>
            <w:r>
              <w:rPr>
                <w:sz w:val="24"/>
              </w:rPr>
              <w:t>Figura 20.</w:t>
            </w:r>
          </w:p>
        </w:tc>
        <w:tc>
          <w:tcPr>
            <w:tcW w:w="6852" w:type="dxa"/>
          </w:tcPr>
          <w:p>
            <w:pPr>
              <w:pStyle w:val="TableParagraph"/>
              <w:spacing w:before="76"/>
              <w:ind w:left="80" w:right="91"/>
              <w:jc w:val="center"/>
              <w:rPr>
                <w:sz w:val="24"/>
              </w:rPr>
            </w:pPr>
            <w:r>
              <w:rPr>
                <w:sz w:val="24"/>
              </w:rPr>
              <w:t>Gráfico del índice de causalidad por cuadrante………………..</w:t>
            </w:r>
          </w:p>
        </w:tc>
        <w:tc>
          <w:tcPr>
            <w:tcW w:w="577" w:type="dxa"/>
          </w:tcPr>
          <w:p>
            <w:pPr>
              <w:pStyle w:val="TableParagraph"/>
              <w:spacing w:before="76"/>
              <w:ind w:left="108"/>
              <w:rPr>
                <w:sz w:val="24"/>
              </w:rPr>
            </w:pPr>
            <w:r>
              <w:rPr>
                <w:sz w:val="24"/>
              </w:rPr>
              <w:t>87</w:t>
            </w:r>
          </w:p>
        </w:tc>
      </w:tr>
      <w:tr>
        <w:trPr>
          <w:trHeight w:val="454" w:hRule="exact"/>
        </w:trPr>
        <w:tc>
          <w:tcPr>
            <w:tcW w:w="1432" w:type="dxa"/>
          </w:tcPr>
          <w:p>
            <w:pPr>
              <w:pStyle w:val="TableParagraph"/>
              <w:spacing w:before="76"/>
              <w:ind w:left="200"/>
              <w:rPr>
                <w:sz w:val="24"/>
              </w:rPr>
            </w:pPr>
            <w:r>
              <w:rPr>
                <w:sz w:val="24"/>
              </w:rPr>
              <w:t>Figura 21.</w:t>
            </w:r>
          </w:p>
        </w:tc>
        <w:tc>
          <w:tcPr>
            <w:tcW w:w="6852" w:type="dxa"/>
          </w:tcPr>
          <w:p>
            <w:pPr>
              <w:pStyle w:val="TableParagraph"/>
              <w:spacing w:before="76"/>
              <w:ind w:left="116" w:right="91"/>
              <w:jc w:val="center"/>
              <w:rPr>
                <w:sz w:val="24"/>
              </w:rPr>
            </w:pPr>
            <w:r>
              <w:rPr>
                <w:sz w:val="24"/>
              </w:rPr>
              <w:t>Gráfico de riesgo estadístico por cuadrante…………………….</w:t>
            </w:r>
          </w:p>
        </w:tc>
        <w:tc>
          <w:tcPr>
            <w:tcW w:w="577" w:type="dxa"/>
          </w:tcPr>
          <w:p>
            <w:pPr>
              <w:pStyle w:val="TableParagraph"/>
              <w:spacing w:before="76"/>
              <w:ind w:left="108"/>
              <w:rPr>
                <w:sz w:val="24"/>
              </w:rPr>
            </w:pPr>
            <w:r>
              <w:rPr>
                <w:sz w:val="24"/>
              </w:rPr>
              <w:t>88</w:t>
            </w:r>
          </w:p>
        </w:tc>
      </w:tr>
      <w:tr>
        <w:trPr>
          <w:trHeight w:val="455" w:hRule="exact"/>
        </w:trPr>
        <w:tc>
          <w:tcPr>
            <w:tcW w:w="1432" w:type="dxa"/>
          </w:tcPr>
          <w:p>
            <w:pPr>
              <w:pStyle w:val="TableParagraph"/>
              <w:spacing w:before="76"/>
              <w:ind w:left="200"/>
              <w:rPr>
                <w:sz w:val="24"/>
              </w:rPr>
            </w:pPr>
            <w:r>
              <w:rPr>
                <w:sz w:val="24"/>
              </w:rPr>
              <w:t>Figura 22.</w:t>
            </w:r>
          </w:p>
        </w:tc>
        <w:tc>
          <w:tcPr>
            <w:tcW w:w="6852" w:type="dxa"/>
          </w:tcPr>
          <w:p>
            <w:pPr>
              <w:pStyle w:val="TableParagraph"/>
              <w:spacing w:before="76"/>
              <w:ind w:left="106" w:right="91"/>
              <w:jc w:val="center"/>
              <w:rPr>
                <w:sz w:val="24"/>
              </w:rPr>
            </w:pPr>
            <w:r>
              <w:rPr>
                <w:sz w:val="24"/>
              </w:rPr>
              <w:t>Gráfico de peligrosidad de los combustibles por cuadrante…..</w:t>
            </w:r>
          </w:p>
        </w:tc>
        <w:tc>
          <w:tcPr>
            <w:tcW w:w="577" w:type="dxa"/>
          </w:tcPr>
          <w:p>
            <w:pPr>
              <w:pStyle w:val="TableParagraph"/>
              <w:spacing w:before="76"/>
              <w:ind w:left="108"/>
              <w:rPr>
                <w:sz w:val="24"/>
              </w:rPr>
            </w:pPr>
            <w:r>
              <w:rPr>
                <w:sz w:val="24"/>
              </w:rPr>
              <w:t>88</w:t>
            </w:r>
          </w:p>
        </w:tc>
      </w:tr>
      <w:tr>
        <w:trPr>
          <w:trHeight w:val="455" w:hRule="exact"/>
        </w:trPr>
        <w:tc>
          <w:tcPr>
            <w:tcW w:w="1432" w:type="dxa"/>
          </w:tcPr>
          <w:p>
            <w:pPr>
              <w:pStyle w:val="TableParagraph"/>
              <w:spacing w:before="77"/>
              <w:ind w:left="200"/>
              <w:rPr>
                <w:sz w:val="24"/>
              </w:rPr>
            </w:pPr>
            <w:r>
              <w:rPr>
                <w:sz w:val="24"/>
              </w:rPr>
              <w:t>Figura 23.</w:t>
            </w:r>
          </w:p>
        </w:tc>
        <w:tc>
          <w:tcPr>
            <w:tcW w:w="6852" w:type="dxa"/>
          </w:tcPr>
          <w:p>
            <w:pPr>
              <w:pStyle w:val="TableParagraph"/>
              <w:spacing w:before="77"/>
              <w:ind w:left="121" w:right="91"/>
              <w:jc w:val="center"/>
              <w:rPr>
                <w:sz w:val="24"/>
              </w:rPr>
            </w:pPr>
            <w:r>
              <w:rPr>
                <w:sz w:val="24"/>
              </w:rPr>
              <w:t>Gráfico de peligrosidad de la pendiente por cuadrante………..</w:t>
            </w:r>
          </w:p>
        </w:tc>
        <w:tc>
          <w:tcPr>
            <w:tcW w:w="577" w:type="dxa"/>
          </w:tcPr>
          <w:p>
            <w:pPr>
              <w:pStyle w:val="TableParagraph"/>
              <w:spacing w:before="77"/>
              <w:ind w:left="108"/>
              <w:rPr>
                <w:sz w:val="24"/>
              </w:rPr>
            </w:pPr>
            <w:r>
              <w:rPr>
                <w:sz w:val="24"/>
              </w:rPr>
              <w:t>89</w:t>
            </w:r>
          </w:p>
        </w:tc>
      </w:tr>
      <w:tr>
        <w:trPr>
          <w:trHeight w:val="454" w:hRule="exact"/>
        </w:trPr>
        <w:tc>
          <w:tcPr>
            <w:tcW w:w="1432" w:type="dxa"/>
          </w:tcPr>
          <w:p>
            <w:pPr>
              <w:pStyle w:val="TableParagraph"/>
              <w:spacing w:before="76"/>
              <w:ind w:left="200"/>
              <w:rPr>
                <w:sz w:val="24"/>
              </w:rPr>
            </w:pPr>
            <w:r>
              <w:rPr>
                <w:sz w:val="24"/>
              </w:rPr>
              <w:t>Figura 24.</w:t>
            </w:r>
          </w:p>
        </w:tc>
        <w:tc>
          <w:tcPr>
            <w:tcW w:w="6852" w:type="dxa"/>
          </w:tcPr>
          <w:p>
            <w:pPr>
              <w:pStyle w:val="TableParagraph"/>
              <w:spacing w:before="76"/>
              <w:ind w:left="130" w:right="89"/>
              <w:jc w:val="center"/>
              <w:rPr>
                <w:sz w:val="24"/>
              </w:rPr>
            </w:pPr>
            <w:r>
              <w:rPr>
                <w:sz w:val="24"/>
              </w:rPr>
              <w:t>Gráfico de peligrosidad climática por cuadrante………………..</w:t>
            </w:r>
          </w:p>
        </w:tc>
        <w:tc>
          <w:tcPr>
            <w:tcW w:w="577" w:type="dxa"/>
          </w:tcPr>
          <w:p>
            <w:pPr>
              <w:pStyle w:val="TableParagraph"/>
              <w:spacing w:before="76"/>
              <w:ind w:left="108"/>
              <w:rPr>
                <w:sz w:val="24"/>
              </w:rPr>
            </w:pPr>
            <w:r>
              <w:rPr>
                <w:sz w:val="24"/>
              </w:rPr>
              <w:t>89</w:t>
            </w:r>
          </w:p>
        </w:tc>
      </w:tr>
      <w:tr>
        <w:trPr>
          <w:trHeight w:val="347" w:hRule="exact"/>
        </w:trPr>
        <w:tc>
          <w:tcPr>
            <w:tcW w:w="1432" w:type="dxa"/>
          </w:tcPr>
          <w:p>
            <w:pPr>
              <w:pStyle w:val="TableParagraph"/>
              <w:spacing w:before="76"/>
              <w:ind w:left="200"/>
              <w:rPr>
                <w:sz w:val="24"/>
              </w:rPr>
            </w:pPr>
            <w:r>
              <w:rPr>
                <w:sz w:val="24"/>
              </w:rPr>
              <w:t>Figura 25.</w:t>
            </w:r>
          </w:p>
        </w:tc>
        <w:tc>
          <w:tcPr>
            <w:tcW w:w="6852" w:type="dxa"/>
          </w:tcPr>
          <w:p>
            <w:pPr>
              <w:pStyle w:val="TableParagraph"/>
              <w:spacing w:before="76"/>
              <w:ind w:left="107" w:right="91"/>
              <w:jc w:val="center"/>
              <w:rPr>
                <w:sz w:val="24"/>
              </w:rPr>
            </w:pPr>
            <w:r>
              <w:rPr>
                <w:sz w:val="24"/>
              </w:rPr>
              <w:t>Gráfico de peligrosidad del medio por cuadrante………………</w:t>
            </w:r>
          </w:p>
        </w:tc>
        <w:tc>
          <w:tcPr>
            <w:tcW w:w="577" w:type="dxa"/>
          </w:tcPr>
          <w:p>
            <w:pPr>
              <w:pStyle w:val="TableParagraph"/>
              <w:spacing w:before="76"/>
              <w:ind w:left="108"/>
              <w:rPr>
                <w:sz w:val="24"/>
              </w:rPr>
            </w:pPr>
            <w:r>
              <w:rPr>
                <w:sz w:val="24"/>
              </w:rPr>
              <w:t>90</w:t>
            </w:r>
          </w:p>
        </w:tc>
      </w:tr>
    </w:tbl>
    <w:p>
      <w:pPr>
        <w:spacing w:after="0"/>
        <w:rPr>
          <w:sz w:val="24"/>
        </w:rPr>
        <w:sectPr>
          <w:footerReference w:type="default" r:id="rId10"/>
          <w:pgSz w:w="12240" w:h="15840"/>
          <w:pgMar w:footer="943" w:header="0" w:top="1500" w:bottom="1140" w:left="1400" w:right="1600"/>
          <w:pgNumType w:start="9"/>
        </w:sectPr>
      </w:pPr>
    </w:p>
    <w:p>
      <w:pPr>
        <w:pStyle w:val="BodyText"/>
        <w:spacing w:before="10"/>
        <w:rPr>
          <w:rFonts w:ascii="Times New Roman"/>
          <w:sz w:val="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2"/>
        <w:gridCol w:w="6854"/>
        <w:gridCol w:w="710"/>
      </w:tblGrid>
      <w:tr>
        <w:trPr>
          <w:trHeight w:val="347" w:hRule="exact"/>
        </w:trPr>
        <w:tc>
          <w:tcPr>
            <w:tcW w:w="1432" w:type="dxa"/>
          </w:tcPr>
          <w:p>
            <w:pPr>
              <w:pStyle w:val="TableParagraph"/>
              <w:spacing w:line="245" w:lineRule="exact" w:before="0"/>
              <w:ind w:left="180" w:right="131"/>
              <w:jc w:val="center"/>
              <w:rPr>
                <w:sz w:val="24"/>
              </w:rPr>
            </w:pPr>
            <w:r>
              <w:rPr>
                <w:sz w:val="24"/>
              </w:rPr>
              <w:t>Figura 26.</w:t>
            </w:r>
          </w:p>
        </w:tc>
        <w:tc>
          <w:tcPr>
            <w:tcW w:w="6854" w:type="dxa"/>
          </w:tcPr>
          <w:p>
            <w:pPr>
              <w:pStyle w:val="TableParagraph"/>
              <w:spacing w:line="245" w:lineRule="exact" w:before="0"/>
              <w:ind w:left="150" w:right="94"/>
              <w:rPr>
                <w:sz w:val="24"/>
              </w:rPr>
            </w:pPr>
            <w:r>
              <w:rPr>
                <w:sz w:val="24"/>
              </w:rPr>
              <w:t>Gráfico de riesgo a incendios forestales por cuadrante……….</w:t>
            </w:r>
          </w:p>
        </w:tc>
        <w:tc>
          <w:tcPr>
            <w:tcW w:w="710" w:type="dxa"/>
          </w:tcPr>
          <w:p>
            <w:pPr>
              <w:pStyle w:val="TableParagraph"/>
              <w:spacing w:line="245" w:lineRule="exact" w:before="0"/>
              <w:ind w:left="106"/>
              <w:rPr>
                <w:sz w:val="24"/>
              </w:rPr>
            </w:pPr>
            <w:r>
              <w:rPr>
                <w:sz w:val="24"/>
              </w:rPr>
              <w:t>90</w:t>
            </w:r>
          </w:p>
        </w:tc>
      </w:tr>
      <w:tr>
        <w:trPr>
          <w:trHeight w:val="409" w:hRule="exact"/>
        </w:trPr>
        <w:tc>
          <w:tcPr>
            <w:tcW w:w="1432" w:type="dxa"/>
          </w:tcPr>
          <w:p>
            <w:pPr>
              <w:pStyle w:val="TableParagraph"/>
              <w:spacing w:before="76"/>
              <w:ind w:left="180" w:right="131"/>
              <w:jc w:val="center"/>
              <w:rPr>
                <w:sz w:val="24"/>
              </w:rPr>
            </w:pPr>
            <w:r>
              <w:rPr>
                <w:sz w:val="24"/>
              </w:rPr>
              <w:t>Figura 27.</w:t>
            </w:r>
          </w:p>
        </w:tc>
        <w:tc>
          <w:tcPr>
            <w:tcW w:w="6854" w:type="dxa"/>
          </w:tcPr>
          <w:p>
            <w:pPr>
              <w:pStyle w:val="TableParagraph"/>
              <w:spacing w:before="76"/>
              <w:ind w:left="150" w:right="94"/>
              <w:rPr>
                <w:sz w:val="24"/>
              </w:rPr>
            </w:pPr>
            <w:r>
              <w:rPr>
                <w:sz w:val="24"/>
              </w:rPr>
              <w:t>Riesgo de incendios y zonas quemadas del año 2011………..</w:t>
            </w:r>
          </w:p>
        </w:tc>
        <w:tc>
          <w:tcPr>
            <w:tcW w:w="710" w:type="dxa"/>
          </w:tcPr>
          <w:p>
            <w:pPr>
              <w:pStyle w:val="TableParagraph"/>
              <w:spacing w:before="76"/>
              <w:ind w:left="106"/>
              <w:rPr>
                <w:sz w:val="24"/>
              </w:rPr>
            </w:pPr>
            <w:r>
              <w:rPr>
                <w:sz w:val="24"/>
              </w:rPr>
              <w:t>91</w:t>
            </w:r>
          </w:p>
        </w:tc>
      </w:tr>
      <w:tr>
        <w:trPr>
          <w:trHeight w:val="641" w:hRule="exact"/>
        </w:trPr>
        <w:tc>
          <w:tcPr>
            <w:tcW w:w="1432" w:type="dxa"/>
          </w:tcPr>
          <w:p>
            <w:pPr>
              <w:pStyle w:val="TableParagraph"/>
              <w:spacing w:before="168"/>
              <w:ind w:left="180" w:right="131"/>
              <w:jc w:val="center"/>
              <w:rPr>
                <w:sz w:val="24"/>
              </w:rPr>
            </w:pPr>
            <w:r>
              <w:rPr>
                <w:sz w:val="24"/>
              </w:rPr>
              <w:t>Figura 28.</w:t>
            </w:r>
          </w:p>
        </w:tc>
        <w:tc>
          <w:tcPr>
            <w:tcW w:w="6854" w:type="dxa"/>
          </w:tcPr>
          <w:p>
            <w:pPr>
              <w:pStyle w:val="TableParagraph"/>
              <w:spacing w:before="31"/>
              <w:ind w:left="150" w:right="94"/>
              <w:rPr>
                <w:sz w:val="24"/>
              </w:rPr>
            </w:pPr>
            <w:r>
              <w:rPr>
                <w:sz w:val="24"/>
              </w:rPr>
              <w:t>Gráfico de cuadrantes quemados y no quemados por categoría de riesgo del año 2011………………………………...</w:t>
            </w:r>
          </w:p>
        </w:tc>
        <w:tc>
          <w:tcPr>
            <w:tcW w:w="710" w:type="dxa"/>
          </w:tcPr>
          <w:p>
            <w:pPr>
              <w:pStyle w:val="TableParagraph"/>
              <w:spacing w:before="168"/>
              <w:ind w:left="106"/>
              <w:rPr>
                <w:sz w:val="24"/>
              </w:rPr>
            </w:pPr>
            <w:r>
              <w:rPr>
                <w:sz w:val="24"/>
              </w:rPr>
              <w:t>93</w:t>
            </w:r>
          </w:p>
        </w:tc>
      </w:tr>
      <w:tr>
        <w:trPr>
          <w:trHeight w:val="409" w:hRule="exact"/>
        </w:trPr>
        <w:tc>
          <w:tcPr>
            <w:tcW w:w="1432" w:type="dxa"/>
          </w:tcPr>
          <w:p>
            <w:pPr>
              <w:pStyle w:val="TableParagraph"/>
              <w:spacing w:before="31"/>
              <w:ind w:left="180" w:right="131"/>
              <w:jc w:val="center"/>
              <w:rPr>
                <w:sz w:val="24"/>
              </w:rPr>
            </w:pPr>
            <w:r>
              <w:rPr>
                <w:sz w:val="24"/>
              </w:rPr>
              <w:t>Figura 29.</w:t>
            </w:r>
          </w:p>
        </w:tc>
        <w:tc>
          <w:tcPr>
            <w:tcW w:w="6854" w:type="dxa"/>
          </w:tcPr>
          <w:p>
            <w:pPr>
              <w:pStyle w:val="TableParagraph"/>
              <w:spacing w:before="31"/>
              <w:ind w:left="150" w:right="94"/>
              <w:rPr>
                <w:sz w:val="24"/>
              </w:rPr>
            </w:pPr>
            <w:r>
              <w:rPr>
                <w:sz w:val="24"/>
              </w:rPr>
              <w:t>Superficie quemada por categoría de riesgo del año 2011.</w:t>
            </w:r>
          </w:p>
        </w:tc>
        <w:tc>
          <w:tcPr>
            <w:tcW w:w="710" w:type="dxa"/>
          </w:tcPr>
          <w:p>
            <w:pPr>
              <w:pStyle w:val="TableParagraph"/>
              <w:spacing w:before="31"/>
              <w:ind w:left="106"/>
              <w:rPr>
                <w:sz w:val="24"/>
              </w:rPr>
            </w:pPr>
            <w:r>
              <w:rPr>
                <w:sz w:val="24"/>
              </w:rPr>
              <w:t>94</w:t>
            </w:r>
          </w:p>
        </w:tc>
      </w:tr>
      <w:tr>
        <w:trPr>
          <w:trHeight w:val="409" w:hRule="exact"/>
        </w:trPr>
        <w:tc>
          <w:tcPr>
            <w:tcW w:w="1432" w:type="dxa"/>
          </w:tcPr>
          <w:p>
            <w:pPr>
              <w:pStyle w:val="TableParagraph"/>
              <w:spacing w:before="76"/>
              <w:ind w:left="180" w:right="131"/>
              <w:jc w:val="center"/>
              <w:rPr>
                <w:sz w:val="24"/>
              </w:rPr>
            </w:pPr>
            <w:r>
              <w:rPr>
                <w:sz w:val="24"/>
              </w:rPr>
              <w:t>Figura 30.</w:t>
            </w:r>
          </w:p>
        </w:tc>
        <w:tc>
          <w:tcPr>
            <w:tcW w:w="6854" w:type="dxa"/>
          </w:tcPr>
          <w:p>
            <w:pPr>
              <w:pStyle w:val="TableParagraph"/>
              <w:spacing w:before="76"/>
              <w:ind w:left="150" w:right="94"/>
              <w:rPr>
                <w:sz w:val="24"/>
              </w:rPr>
            </w:pPr>
            <w:r>
              <w:rPr>
                <w:sz w:val="24"/>
              </w:rPr>
              <w:t>Riesgo de incendios y zonas quemadas del año 2014………..</w:t>
            </w:r>
          </w:p>
        </w:tc>
        <w:tc>
          <w:tcPr>
            <w:tcW w:w="710" w:type="dxa"/>
          </w:tcPr>
          <w:p>
            <w:pPr>
              <w:pStyle w:val="TableParagraph"/>
              <w:spacing w:before="76"/>
              <w:ind w:left="106"/>
              <w:rPr>
                <w:sz w:val="24"/>
              </w:rPr>
            </w:pPr>
            <w:r>
              <w:rPr>
                <w:sz w:val="24"/>
              </w:rPr>
              <w:t>95</w:t>
            </w:r>
          </w:p>
        </w:tc>
      </w:tr>
      <w:tr>
        <w:trPr>
          <w:trHeight w:val="641" w:hRule="exact"/>
        </w:trPr>
        <w:tc>
          <w:tcPr>
            <w:tcW w:w="1432" w:type="dxa"/>
          </w:tcPr>
          <w:p>
            <w:pPr>
              <w:pStyle w:val="TableParagraph"/>
              <w:spacing w:before="171"/>
              <w:ind w:left="180" w:right="131"/>
              <w:jc w:val="center"/>
              <w:rPr>
                <w:sz w:val="24"/>
              </w:rPr>
            </w:pPr>
            <w:r>
              <w:rPr>
                <w:sz w:val="24"/>
              </w:rPr>
              <w:t>Figura 31.</w:t>
            </w:r>
          </w:p>
        </w:tc>
        <w:tc>
          <w:tcPr>
            <w:tcW w:w="6854" w:type="dxa"/>
          </w:tcPr>
          <w:p>
            <w:pPr>
              <w:pStyle w:val="TableParagraph"/>
              <w:spacing w:before="31"/>
              <w:ind w:left="150" w:right="94"/>
              <w:rPr>
                <w:sz w:val="24"/>
              </w:rPr>
            </w:pPr>
            <w:r>
              <w:rPr>
                <w:sz w:val="24"/>
              </w:rPr>
              <w:t>Gráfico de cuadrantes quemados y no quemados por categoría de riesgo del año 2014………………………………...</w:t>
            </w:r>
          </w:p>
        </w:tc>
        <w:tc>
          <w:tcPr>
            <w:tcW w:w="710" w:type="dxa"/>
          </w:tcPr>
          <w:p>
            <w:pPr>
              <w:pStyle w:val="TableParagraph"/>
              <w:spacing w:before="171"/>
              <w:ind w:left="106"/>
              <w:rPr>
                <w:sz w:val="24"/>
              </w:rPr>
            </w:pPr>
            <w:r>
              <w:rPr>
                <w:sz w:val="24"/>
              </w:rPr>
              <w:t>97</w:t>
            </w:r>
          </w:p>
        </w:tc>
      </w:tr>
      <w:tr>
        <w:trPr>
          <w:trHeight w:val="365" w:hRule="exact"/>
        </w:trPr>
        <w:tc>
          <w:tcPr>
            <w:tcW w:w="1432" w:type="dxa"/>
          </w:tcPr>
          <w:p>
            <w:pPr>
              <w:pStyle w:val="TableParagraph"/>
              <w:spacing w:before="31"/>
              <w:ind w:left="180" w:right="131"/>
              <w:jc w:val="center"/>
              <w:rPr>
                <w:sz w:val="24"/>
              </w:rPr>
            </w:pPr>
            <w:r>
              <w:rPr>
                <w:sz w:val="24"/>
              </w:rPr>
              <w:t>Figura 32.</w:t>
            </w:r>
          </w:p>
        </w:tc>
        <w:tc>
          <w:tcPr>
            <w:tcW w:w="6854" w:type="dxa"/>
          </w:tcPr>
          <w:p>
            <w:pPr>
              <w:pStyle w:val="TableParagraph"/>
              <w:spacing w:before="31"/>
              <w:ind w:left="150" w:right="94"/>
              <w:rPr>
                <w:sz w:val="24"/>
              </w:rPr>
            </w:pPr>
            <w:r>
              <w:rPr>
                <w:sz w:val="24"/>
              </w:rPr>
              <w:t>Superficie quemada por categoría de riesgo del año 2014…...</w:t>
            </w:r>
          </w:p>
        </w:tc>
        <w:tc>
          <w:tcPr>
            <w:tcW w:w="710" w:type="dxa"/>
          </w:tcPr>
          <w:p>
            <w:pPr>
              <w:pStyle w:val="TableParagraph"/>
              <w:spacing w:before="31"/>
              <w:ind w:left="106"/>
              <w:rPr>
                <w:sz w:val="24"/>
              </w:rPr>
            </w:pPr>
            <w:r>
              <w:rPr>
                <w:sz w:val="24"/>
              </w:rPr>
              <w:t>98</w:t>
            </w:r>
          </w:p>
        </w:tc>
      </w:tr>
      <w:tr>
        <w:trPr>
          <w:trHeight w:val="597" w:hRule="exact"/>
        </w:trPr>
        <w:tc>
          <w:tcPr>
            <w:tcW w:w="1432" w:type="dxa"/>
          </w:tcPr>
          <w:p>
            <w:pPr>
              <w:pStyle w:val="TableParagraph"/>
              <w:spacing w:before="171"/>
              <w:ind w:left="180" w:right="131"/>
              <w:jc w:val="center"/>
              <w:rPr>
                <w:sz w:val="24"/>
              </w:rPr>
            </w:pPr>
            <w:r>
              <w:rPr>
                <w:sz w:val="24"/>
              </w:rPr>
              <w:t>Figura 33.</w:t>
            </w:r>
          </w:p>
        </w:tc>
        <w:tc>
          <w:tcPr>
            <w:tcW w:w="6854" w:type="dxa"/>
          </w:tcPr>
          <w:p>
            <w:pPr>
              <w:pStyle w:val="TableParagraph"/>
              <w:spacing w:before="32"/>
              <w:ind w:left="150" w:right="110"/>
              <w:rPr>
                <w:sz w:val="24"/>
              </w:rPr>
            </w:pPr>
            <w:r>
              <w:rPr>
                <w:sz w:val="24"/>
              </w:rPr>
              <w:t>Autocorrelación espacial entre áreas quemadas del año 2011 y 2014. ……………………………………………………………...</w:t>
            </w:r>
          </w:p>
        </w:tc>
        <w:tc>
          <w:tcPr>
            <w:tcW w:w="710" w:type="dxa"/>
          </w:tcPr>
          <w:p>
            <w:pPr>
              <w:pStyle w:val="TableParagraph"/>
              <w:spacing w:before="171"/>
              <w:ind w:left="106"/>
              <w:rPr>
                <w:sz w:val="24"/>
              </w:rPr>
            </w:pPr>
            <w:r>
              <w:rPr>
                <w:sz w:val="24"/>
              </w:rPr>
              <w:t>99</w:t>
            </w:r>
          </w:p>
        </w:tc>
      </w:tr>
      <w:tr>
        <w:trPr>
          <w:trHeight w:val="552" w:hRule="exact"/>
        </w:trPr>
        <w:tc>
          <w:tcPr>
            <w:tcW w:w="1432" w:type="dxa"/>
          </w:tcPr>
          <w:p>
            <w:pPr>
              <w:pStyle w:val="TableParagraph"/>
              <w:spacing w:before="126"/>
              <w:ind w:left="180" w:right="131"/>
              <w:jc w:val="center"/>
              <w:rPr>
                <w:sz w:val="24"/>
              </w:rPr>
            </w:pPr>
            <w:r>
              <w:rPr>
                <w:sz w:val="24"/>
              </w:rPr>
              <w:t>Figura 34.</w:t>
            </w:r>
          </w:p>
        </w:tc>
        <w:tc>
          <w:tcPr>
            <w:tcW w:w="6854" w:type="dxa"/>
          </w:tcPr>
          <w:p>
            <w:pPr>
              <w:pStyle w:val="TableParagraph"/>
              <w:spacing w:before="0"/>
              <w:ind w:left="150" w:right="123"/>
              <w:rPr>
                <w:sz w:val="24"/>
              </w:rPr>
            </w:pPr>
            <w:r>
              <w:rPr>
                <w:sz w:val="24"/>
              </w:rPr>
              <w:t>Autocorrelación espacial de zonas incendiadas en el año 2011. ………………………………………………………………..</w:t>
            </w:r>
          </w:p>
        </w:tc>
        <w:tc>
          <w:tcPr>
            <w:tcW w:w="710" w:type="dxa"/>
          </w:tcPr>
          <w:p>
            <w:pPr>
              <w:pStyle w:val="TableParagraph"/>
              <w:spacing w:before="126"/>
              <w:ind w:left="106"/>
              <w:rPr>
                <w:sz w:val="24"/>
              </w:rPr>
            </w:pPr>
            <w:r>
              <w:rPr>
                <w:sz w:val="24"/>
              </w:rPr>
              <w:t>99</w:t>
            </w:r>
          </w:p>
        </w:tc>
      </w:tr>
      <w:tr>
        <w:trPr>
          <w:trHeight w:val="552" w:hRule="exact"/>
        </w:trPr>
        <w:tc>
          <w:tcPr>
            <w:tcW w:w="1432" w:type="dxa"/>
          </w:tcPr>
          <w:p>
            <w:pPr>
              <w:pStyle w:val="TableParagraph"/>
              <w:spacing w:before="126"/>
              <w:ind w:left="180" w:right="131"/>
              <w:jc w:val="center"/>
              <w:rPr>
                <w:sz w:val="24"/>
              </w:rPr>
            </w:pPr>
            <w:r>
              <w:rPr>
                <w:sz w:val="24"/>
              </w:rPr>
              <w:t>Figura 35.</w:t>
            </w:r>
          </w:p>
        </w:tc>
        <w:tc>
          <w:tcPr>
            <w:tcW w:w="6854" w:type="dxa"/>
          </w:tcPr>
          <w:p>
            <w:pPr>
              <w:pStyle w:val="TableParagraph"/>
              <w:spacing w:before="0"/>
              <w:ind w:left="150" w:right="123"/>
              <w:rPr>
                <w:sz w:val="24"/>
              </w:rPr>
            </w:pPr>
            <w:r>
              <w:rPr>
                <w:sz w:val="24"/>
              </w:rPr>
              <w:t>Autocorrelación espacial de zonas incendiadas en el año 2014. ………………………………………………………………..</w:t>
            </w:r>
          </w:p>
        </w:tc>
        <w:tc>
          <w:tcPr>
            <w:tcW w:w="710" w:type="dxa"/>
          </w:tcPr>
          <w:p>
            <w:pPr>
              <w:pStyle w:val="TableParagraph"/>
              <w:spacing w:before="126"/>
              <w:ind w:left="106"/>
              <w:rPr>
                <w:sz w:val="24"/>
              </w:rPr>
            </w:pPr>
            <w:r>
              <w:rPr>
                <w:sz w:val="24"/>
              </w:rPr>
              <w:t>100</w:t>
            </w:r>
          </w:p>
        </w:tc>
      </w:tr>
      <w:tr>
        <w:trPr>
          <w:trHeight w:val="552" w:hRule="exact"/>
        </w:trPr>
        <w:tc>
          <w:tcPr>
            <w:tcW w:w="1432" w:type="dxa"/>
          </w:tcPr>
          <w:p>
            <w:pPr>
              <w:pStyle w:val="TableParagraph"/>
              <w:spacing w:before="126"/>
              <w:ind w:left="180" w:right="131"/>
              <w:jc w:val="center"/>
              <w:rPr>
                <w:sz w:val="24"/>
              </w:rPr>
            </w:pPr>
            <w:r>
              <w:rPr>
                <w:sz w:val="24"/>
              </w:rPr>
              <w:t>Figura 36.</w:t>
            </w:r>
          </w:p>
        </w:tc>
        <w:tc>
          <w:tcPr>
            <w:tcW w:w="6854" w:type="dxa"/>
          </w:tcPr>
          <w:p>
            <w:pPr>
              <w:pStyle w:val="TableParagraph"/>
              <w:spacing w:before="0"/>
              <w:ind w:left="150" w:right="127"/>
              <w:rPr>
                <w:sz w:val="24"/>
              </w:rPr>
            </w:pPr>
            <w:r>
              <w:rPr>
                <w:sz w:val="24"/>
              </w:rPr>
              <w:t>Autocorrelación espacial del índice de frecuencia de incendios forestales.</w:t>
            </w:r>
            <w:r>
              <w:rPr>
                <w:spacing w:val="-6"/>
                <w:sz w:val="24"/>
              </w:rPr>
              <w:t> </w:t>
            </w:r>
            <w:r>
              <w:rPr>
                <w:sz w:val="24"/>
              </w:rPr>
              <w:t>………………………………………………</w:t>
            </w:r>
          </w:p>
        </w:tc>
        <w:tc>
          <w:tcPr>
            <w:tcW w:w="710" w:type="dxa"/>
          </w:tcPr>
          <w:p>
            <w:pPr>
              <w:pStyle w:val="TableParagraph"/>
              <w:spacing w:before="126"/>
              <w:ind w:left="106"/>
              <w:rPr>
                <w:sz w:val="24"/>
              </w:rPr>
            </w:pPr>
            <w:r>
              <w:rPr>
                <w:sz w:val="24"/>
              </w:rPr>
              <w:t>100</w:t>
            </w:r>
          </w:p>
        </w:tc>
      </w:tr>
      <w:tr>
        <w:trPr>
          <w:trHeight w:val="552" w:hRule="exact"/>
        </w:trPr>
        <w:tc>
          <w:tcPr>
            <w:tcW w:w="1432" w:type="dxa"/>
          </w:tcPr>
          <w:p>
            <w:pPr>
              <w:pStyle w:val="TableParagraph"/>
              <w:spacing w:before="126"/>
              <w:ind w:left="180" w:right="131"/>
              <w:jc w:val="center"/>
              <w:rPr>
                <w:sz w:val="24"/>
              </w:rPr>
            </w:pPr>
            <w:r>
              <w:rPr>
                <w:sz w:val="24"/>
              </w:rPr>
              <w:t>Figura 37.</w:t>
            </w:r>
          </w:p>
        </w:tc>
        <w:tc>
          <w:tcPr>
            <w:tcW w:w="6854" w:type="dxa"/>
          </w:tcPr>
          <w:p>
            <w:pPr>
              <w:pStyle w:val="TableParagraph"/>
              <w:spacing w:before="0"/>
              <w:ind w:left="150" w:right="94"/>
              <w:rPr>
                <w:sz w:val="24"/>
              </w:rPr>
            </w:pPr>
            <w:r>
              <w:rPr>
                <w:sz w:val="24"/>
              </w:rPr>
              <w:t>Autocorrelación espacial entre las áreas quemadas del año 2011 y el mapa de riesgo a incendios forestales……………….</w:t>
            </w:r>
          </w:p>
        </w:tc>
        <w:tc>
          <w:tcPr>
            <w:tcW w:w="710" w:type="dxa"/>
          </w:tcPr>
          <w:p>
            <w:pPr>
              <w:pStyle w:val="TableParagraph"/>
              <w:spacing w:before="126"/>
              <w:ind w:left="106"/>
              <w:rPr>
                <w:sz w:val="24"/>
              </w:rPr>
            </w:pPr>
            <w:r>
              <w:rPr>
                <w:sz w:val="24"/>
              </w:rPr>
              <w:t>101</w:t>
            </w:r>
          </w:p>
        </w:tc>
      </w:tr>
      <w:tr>
        <w:trPr>
          <w:trHeight w:val="552" w:hRule="exact"/>
        </w:trPr>
        <w:tc>
          <w:tcPr>
            <w:tcW w:w="1432" w:type="dxa"/>
          </w:tcPr>
          <w:p>
            <w:pPr>
              <w:pStyle w:val="TableParagraph"/>
              <w:spacing w:before="126"/>
              <w:ind w:left="180" w:right="131"/>
              <w:jc w:val="center"/>
              <w:rPr>
                <w:sz w:val="24"/>
              </w:rPr>
            </w:pPr>
            <w:r>
              <w:rPr>
                <w:sz w:val="24"/>
              </w:rPr>
              <w:t>Figura 38.</w:t>
            </w:r>
          </w:p>
        </w:tc>
        <w:tc>
          <w:tcPr>
            <w:tcW w:w="6854" w:type="dxa"/>
          </w:tcPr>
          <w:p>
            <w:pPr>
              <w:pStyle w:val="TableParagraph"/>
              <w:spacing w:before="0"/>
              <w:ind w:left="150" w:right="94"/>
              <w:rPr>
                <w:sz w:val="24"/>
              </w:rPr>
            </w:pPr>
            <w:r>
              <w:rPr>
                <w:sz w:val="24"/>
              </w:rPr>
              <w:t>Autocorrelación espacial entre las áreas quemadas del año 2014 y el mapa de riesgo a incendios forestales……………….</w:t>
            </w:r>
          </w:p>
        </w:tc>
        <w:tc>
          <w:tcPr>
            <w:tcW w:w="710" w:type="dxa"/>
          </w:tcPr>
          <w:p>
            <w:pPr>
              <w:pStyle w:val="TableParagraph"/>
              <w:spacing w:before="126"/>
              <w:ind w:left="106"/>
              <w:rPr>
                <w:sz w:val="24"/>
              </w:rPr>
            </w:pPr>
            <w:r>
              <w:rPr>
                <w:sz w:val="24"/>
              </w:rPr>
              <w:t>102</w:t>
            </w:r>
          </w:p>
        </w:tc>
      </w:tr>
      <w:tr>
        <w:trPr>
          <w:trHeight w:val="552" w:hRule="exact"/>
        </w:trPr>
        <w:tc>
          <w:tcPr>
            <w:tcW w:w="1432" w:type="dxa"/>
          </w:tcPr>
          <w:p>
            <w:pPr>
              <w:pStyle w:val="TableParagraph"/>
              <w:spacing w:before="126"/>
              <w:ind w:left="180" w:right="131"/>
              <w:jc w:val="center"/>
              <w:rPr>
                <w:sz w:val="24"/>
              </w:rPr>
            </w:pPr>
            <w:r>
              <w:rPr>
                <w:sz w:val="24"/>
              </w:rPr>
              <w:t>Figura 39.</w:t>
            </w:r>
          </w:p>
        </w:tc>
        <w:tc>
          <w:tcPr>
            <w:tcW w:w="6854" w:type="dxa"/>
          </w:tcPr>
          <w:p>
            <w:pPr>
              <w:pStyle w:val="TableParagraph"/>
              <w:spacing w:before="0"/>
              <w:ind w:left="150" w:right="134"/>
              <w:rPr>
                <w:sz w:val="24"/>
              </w:rPr>
            </w:pPr>
            <w:r>
              <w:rPr>
                <w:sz w:val="24"/>
              </w:rPr>
              <w:t>Autocorrelación espacial entre el índice de frecuencia y el índice de gravedad de incendios forestales…………………….</w:t>
            </w:r>
          </w:p>
        </w:tc>
        <w:tc>
          <w:tcPr>
            <w:tcW w:w="710" w:type="dxa"/>
          </w:tcPr>
          <w:p>
            <w:pPr>
              <w:pStyle w:val="TableParagraph"/>
              <w:spacing w:before="126"/>
              <w:ind w:left="106"/>
              <w:rPr>
                <w:sz w:val="24"/>
              </w:rPr>
            </w:pPr>
            <w:r>
              <w:rPr>
                <w:sz w:val="24"/>
              </w:rPr>
              <w:t>102</w:t>
            </w:r>
          </w:p>
        </w:tc>
      </w:tr>
      <w:tr>
        <w:trPr>
          <w:trHeight w:val="596" w:hRule="exact"/>
        </w:trPr>
        <w:tc>
          <w:tcPr>
            <w:tcW w:w="1432" w:type="dxa"/>
          </w:tcPr>
          <w:p>
            <w:pPr>
              <w:pStyle w:val="TableParagraph"/>
              <w:spacing w:before="126"/>
              <w:ind w:left="180" w:right="131"/>
              <w:jc w:val="center"/>
              <w:rPr>
                <w:sz w:val="24"/>
              </w:rPr>
            </w:pPr>
            <w:r>
              <w:rPr>
                <w:sz w:val="24"/>
              </w:rPr>
              <w:t>Figura 40.</w:t>
            </w:r>
          </w:p>
        </w:tc>
        <w:tc>
          <w:tcPr>
            <w:tcW w:w="6854" w:type="dxa"/>
          </w:tcPr>
          <w:p>
            <w:pPr>
              <w:pStyle w:val="TableParagraph"/>
              <w:spacing w:before="0"/>
              <w:ind w:left="150" w:right="122"/>
              <w:rPr>
                <w:sz w:val="24"/>
              </w:rPr>
            </w:pPr>
            <w:r>
              <w:rPr>
                <w:sz w:val="24"/>
              </w:rPr>
              <w:t>Autocorrelación espacial entre el índice de frecuencia y el riesgo de incendios forestales. …………………………………..</w:t>
            </w:r>
          </w:p>
        </w:tc>
        <w:tc>
          <w:tcPr>
            <w:tcW w:w="710" w:type="dxa"/>
          </w:tcPr>
          <w:p>
            <w:pPr>
              <w:pStyle w:val="TableParagraph"/>
              <w:spacing w:before="126"/>
              <w:ind w:left="106"/>
              <w:rPr>
                <w:sz w:val="24"/>
              </w:rPr>
            </w:pPr>
            <w:r>
              <w:rPr>
                <w:sz w:val="24"/>
              </w:rPr>
              <w:t>103</w:t>
            </w:r>
          </w:p>
        </w:tc>
      </w:tr>
      <w:tr>
        <w:trPr>
          <w:trHeight w:val="302" w:hRule="exact"/>
        </w:trPr>
        <w:tc>
          <w:tcPr>
            <w:tcW w:w="1432" w:type="dxa"/>
          </w:tcPr>
          <w:p>
            <w:pPr>
              <w:pStyle w:val="TableParagraph"/>
              <w:spacing w:before="31"/>
              <w:ind w:left="180" w:right="131"/>
              <w:jc w:val="center"/>
              <w:rPr>
                <w:sz w:val="24"/>
              </w:rPr>
            </w:pPr>
            <w:r>
              <w:rPr>
                <w:sz w:val="24"/>
              </w:rPr>
              <w:t>Figura 41.</w:t>
            </w:r>
          </w:p>
        </w:tc>
        <w:tc>
          <w:tcPr>
            <w:tcW w:w="6854" w:type="dxa"/>
          </w:tcPr>
          <w:p>
            <w:pPr>
              <w:pStyle w:val="TableParagraph"/>
              <w:spacing w:before="31"/>
              <w:ind w:left="150"/>
              <w:rPr>
                <w:sz w:val="24"/>
              </w:rPr>
            </w:pPr>
            <w:r>
              <w:rPr>
                <w:sz w:val="24"/>
              </w:rPr>
              <w:t>Riesgo a incendios forestales con el programa GEODA………</w:t>
            </w:r>
          </w:p>
        </w:tc>
        <w:tc>
          <w:tcPr>
            <w:tcW w:w="710" w:type="dxa"/>
          </w:tcPr>
          <w:p>
            <w:pPr>
              <w:pStyle w:val="TableParagraph"/>
              <w:spacing w:before="31"/>
              <w:ind w:left="106"/>
              <w:rPr>
                <w:sz w:val="24"/>
              </w:rPr>
            </w:pPr>
            <w:r>
              <w:rPr>
                <w:sz w:val="24"/>
              </w:rPr>
              <w:t>103</w:t>
            </w:r>
          </w:p>
        </w:tc>
      </w:tr>
    </w:tbl>
    <w:p>
      <w:pPr>
        <w:spacing w:after="0"/>
        <w:rPr>
          <w:sz w:val="24"/>
        </w:rPr>
        <w:sectPr>
          <w:pgSz w:w="12240" w:h="15840"/>
          <w:pgMar w:header="0" w:footer="943" w:top="1500" w:bottom="1140" w:left="1400" w:right="1580"/>
        </w:sectPr>
      </w:pPr>
    </w:p>
    <w:p>
      <w:pPr>
        <w:pStyle w:val="Heading1"/>
        <w:spacing w:before="54"/>
        <w:ind w:left="302" w:firstLine="0"/>
      </w:pPr>
      <w:bookmarkStart w:name="_bookmark1" w:id="2"/>
      <w:bookmarkEnd w:id="2"/>
      <w:r>
        <w:rPr>
          <w:b w:val="0"/>
        </w:rPr>
      </w:r>
      <w:r>
        <w:rPr/>
        <w:t>ÍNDICE DE CUADROS</w:t>
      </w:r>
    </w:p>
    <w:p>
      <w:pPr>
        <w:pStyle w:val="BodyText"/>
        <w:rPr>
          <w:b/>
          <w:sz w:val="20"/>
        </w:rPr>
      </w:pPr>
    </w:p>
    <w:p>
      <w:pPr>
        <w:pStyle w:val="BodyText"/>
        <w:rPr>
          <w:b/>
          <w:sz w:val="20"/>
        </w:rPr>
      </w:pPr>
    </w:p>
    <w:p>
      <w:pPr>
        <w:pStyle w:val="BodyText"/>
        <w:spacing w:before="2"/>
        <w:rPr>
          <w:b/>
          <w:sz w:val="1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8"/>
        <w:gridCol w:w="6442"/>
        <w:gridCol w:w="711"/>
      </w:tblGrid>
      <w:tr>
        <w:trPr>
          <w:trHeight w:val="347" w:hRule="exact"/>
        </w:trPr>
        <w:tc>
          <w:tcPr>
            <w:tcW w:w="1558" w:type="dxa"/>
          </w:tcPr>
          <w:p>
            <w:pPr>
              <w:pStyle w:val="TableParagraph"/>
              <w:spacing w:line="245" w:lineRule="exact" w:before="0"/>
              <w:ind w:left="200"/>
              <w:rPr>
                <w:sz w:val="24"/>
              </w:rPr>
            </w:pPr>
            <w:r>
              <w:rPr>
                <w:sz w:val="24"/>
              </w:rPr>
              <w:t>Cuadro 1.</w:t>
            </w:r>
          </w:p>
        </w:tc>
        <w:tc>
          <w:tcPr>
            <w:tcW w:w="6442" w:type="dxa"/>
          </w:tcPr>
          <w:p>
            <w:pPr>
              <w:pStyle w:val="TableParagraph"/>
              <w:spacing w:line="245" w:lineRule="exact" w:before="0"/>
              <w:ind w:left="107" w:right="89"/>
              <w:jc w:val="center"/>
              <w:rPr>
                <w:sz w:val="24"/>
              </w:rPr>
            </w:pPr>
            <w:r>
              <w:rPr>
                <w:sz w:val="24"/>
              </w:rPr>
              <w:t>Índices de incendios forestales. …………………………….</w:t>
            </w:r>
          </w:p>
        </w:tc>
        <w:tc>
          <w:tcPr>
            <w:tcW w:w="711" w:type="dxa"/>
          </w:tcPr>
          <w:p>
            <w:pPr>
              <w:pStyle w:val="TableParagraph"/>
              <w:spacing w:line="245" w:lineRule="exact" w:before="0"/>
              <w:ind w:left="107"/>
              <w:rPr>
                <w:sz w:val="24"/>
              </w:rPr>
            </w:pPr>
            <w:r>
              <w:rPr>
                <w:w w:val="99"/>
                <w:sz w:val="24"/>
              </w:rPr>
              <w:t>9</w:t>
            </w:r>
          </w:p>
        </w:tc>
      </w:tr>
      <w:tr>
        <w:trPr>
          <w:trHeight w:val="409" w:hRule="exact"/>
        </w:trPr>
        <w:tc>
          <w:tcPr>
            <w:tcW w:w="1558" w:type="dxa"/>
          </w:tcPr>
          <w:p>
            <w:pPr>
              <w:pStyle w:val="TableParagraph"/>
              <w:spacing w:before="76"/>
              <w:ind w:left="200"/>
              <w:rPr>
                <w:sz w:val="24"/>
              </w:rPr>
            </w:pPr>
            <w:r>
              <w:rPr>
                <w:sz w:val="24"/>
              </w:rPr>
              <w:t>Cuadro 2.</w:t>
            </w:r>
          </w:p>
        </w:tc>
        <w:tc>
          <w:tcPr>
            <w:tcW w:w="6442" w:type="dxa"/>
          </w:tcPr>
          <w:p>
            <w:pPr>
              <w:pStyle w:val="TableParagraph"/>
              <w:spacing w:before="76"/>
              <w:ind w:left="148" w:right="87"/>
              <w:jc w:val="center"/>
              <w:rPr>
                <w:sz w:val="24"/>
              </w:rPr>
            </w:pPr>
            <w:r>
              <w:rPr>
                <w:sz w:val="24"/>
              </w:rPr>
              <w:t>Variables utilizadas para esta investigación………………..</w:t>
            </w:r>
          </w:p>
        </w:tc>
        <w:tc>
          <w:tcPr>
            <w:tcW w:w="711" w:type="dxa"/>
          </w:tcPr>
          <w:p>
            <w:pPr>
              <w:pStyle w:val="TableParagraph"/>
              <w:spacing w:before="76"/>
              <w:ind w:left="107"/>
              <w:rPr>
                <w:sz w:val="24"/>
              </w:rPr>
            </w:pPr>
            <w:r>
              <w:rPr>
                <w:sz w:val="24"/>
              </w:rPr>
              <w:t>43</w:t>
            </w:r>
          </w:p>
        </w:tc>
      </w:tr>
      <w:tr>
        <w:trPr>
          <w:trHeight w:val="641" w:hRule="exact"/>
        </w:trPr>
        <w:tc>
          <w:tcPr>
            <w:tcW w:w="1558" w:type="dxa"/>
          </w:tcPr>
          <w:p>
            <w:pPr>
              <w:pStyle w:val="TableParagraph"/>
              <w:spacing w:before="168"/>
              <w:ind w:left="200"/>
              <w:rPr>
                <w:sz w:val="24"/>
              </w:rPr>
            </w:pPr>
            <w:r>
              <w:rPr>
                <w:sz w:val="24"/>
              </w:rPr>
              <w:t>Cuadro 3.</w:t>
            </w:r>
          </w:p>
        </w:tc>
        <w:tc>
          <w:tcPr>
            <w:tcW w:w="6442" w:type="dxa"/>
          </w:tcPr>
          <w:p>
            <w:pPr>
              <w:pStyle w:val="TableParagraph"/>
              <w:spacing w:before="31"/>
              <w:ind w:left="168" w:right="92"/>
              <w:rPr>
                <w:sz w:val="24"/>
              </w:rPr>
            </w:pPr>
            <w:r>
              <w:rPr>
                <w:sz w:val="24"/>
              </w:rPr>
              <w:t>Insumos  y materiales cartográficos para el desarrollo de la investigación. ……………………………………………….</w:t>
            </w:r>
          </w:p>
        </w:tc>
        <w:tc>
          <w:tcPr>
            <w:tcW w:w="711" w:type="dxa"/>
          </w:tcPr>
          <w:p>
            <w:pPr>
              <w:pStyle w:val="TableParagraph"/>
              <w:spacing w:before="168"/>
              <w:ind w:left="107"/>
              <w:rPr>
                <w:sz w:val="24"/>
              </w:rPr>
            </w:pPr>
            <w:r>
              <w:rPr>
                <w:sz w:val="24"/>
              </w:rPr>
              <w:t>44</w:t>
            </w:r>
          </w:p>
        </w:tc>
      </w:tr>
      <w:tr>
        <w:trPr>
          <w:trHeight w:val="409" w:hRule="exact"/>
        </w:trPr>
        <w:tc>
          <w:tcPr>
            <w:tcW w:w="1558" w:type="dxa"/>
          </w:tcPr>
          <w:p>
            <w:pPr>
              <w:pStyle w:val="TableParagraph"/>
              <w:spacing w:before="31"/>
              <w:ind w:left="200"/>
              <w:rPr>
                <w:sz w:val="24"/>
              </w:rPr>
            </w:pPr>
            <w:r>
              <w:rPr>
                <w:sz w:val="24"/>
              </w:rPr>
              <w:t>Cuadro 4.</w:t>
            </w:r>
          </w:p>
        </w:tc>
        <w:tc>
          <w:tcPr>
            <w:tcW w:w="6442" w:type="dxa"/>
          </w:tcPr>
          <w:p>
            <w:pPr>
              <w:pStyle w:val="TableParagraph"/>
              <w:spacing w:before="31"/>
              <w:ind w:left="93" w:right="89"/>
              <w:jc w:val="center"/>
              <w:rPr>
                <w:sz w:val="24"/>
              </w:rPr>
            </w:pPr>
            <w:r>
              <w:rPr>
                <w:sz w:val="24"/>
              </w:rPr>
              <w:t>Clasificación del índice de frecuencia………………………</w:t>
            </w:r>
          </w:p>
        </w:tc>
        <w:tc>
          <w:tcPr>
            <w:tcW w:w="711" w:type="dxa"/>
          </w:tcPr>
          <w:p>
            <w:pPr>
              <w:pStyle w:val="TableParagraph"/>
              <w:spacing w:before="31"/>
              <w:ind w:left="107"/>
              <w:rPr>
                <w:sz w:val="24"/>
              </w:rPr>
            </w:pPr>
            <w:r>
              <w:rPr>
                <w:sz w:val="24"/>
              </w:rPr>
              <w:t>48</w:t>
            </w:r>
          </w:p>
        </w:tc>
      </w:tr>
      <w:tr>
        <w:trPr>
          <w:trHeight w:val="409" w:hRule="exact"/>
        </w:trPr>
        <w:tc>
          <w:tcPr>
            <w:tcW w:w="1558" w:type="dxa"/>
          </w:tcPr>
          <w:p>
            <w:pPr>
              <w:pStyle w:val="TableParagraph"/>
              <w:spacing w:before="76"/>
              <w:ind w:left="200"/>
              <w:rPr>
                <w:sz w:val="24"/>
              </w:rPr>
            </w:pPr>
            <w:r>
              <w:rPr>
                <w:sz w:val="24"/>
              </w:rPr>
              <w:t>Cuadro 5.</w:t>
            </w:r>
          </w:p>
        </w:tc>
        <w:tc>
          <w:tcPr>
            <w:tcW w:w="6442" w:type="dxa"/>
          </w:tcPr>
          <w:p>
            <w:pPr>
              <w:pStyle w:val="TableParagraph"/>
              <w:spacing w:before="76"/>
              <w:ind w:left="121" w:right="89"/>
              <w:jc w:val="center"/>
              <w:rPr>
                <w:sz w:val="24"/>
              </w:rPr>
            </w:pPr>
            <w:r>
              <w:rPr>
                <w:sz w:val="24"/>
              </w:rPr>
              <w:t>Clasificación del índice de gravedad………………………..</w:t>
            </w:r>
          </w:p>
        </w:tc>
        <w:tc>
          <w:tcPr>
            <w:tcW w:w="711" w:type="dxa"/>
          </w:tcPr>
          <w:p>
            <w:pPr>
              <w:pStyle w:val="TableParagraph"/>
              <w:spacing w:before="76"/>
              <w:ind w:left="107"/>
              <w:rPr>
                <w:sz w:val="24"/>
              </w:rPr>
            </w:pPr>
            <w:r>
              <w:rPr>
                <w:sz w:val="24"/>
              </w:rPr>
              <w:t>48</w:t>
            </w:r>
          </w:p>
        </w:tc>
      </w:tr>
      <w:tr>
        <w:trPr>
          <w:trHeight w:val="641" w:hRule="exact"/>
        </w:trPr>
        <w:tc>
          <w:tcPr>
            <w:tcW w:w="1558" w:type="dxa"/>
          </w:tcPr>
          <w:p>
            <w:pPr>
              <w:pStyle w:val="TableParagraph"/>
              <w:spacing w:before="171"/>
              <w:ind w:left="200"/>
              <w:rPr>
                <w:sz w:val="24"/>
              </w:rPr>
            </w:pPr>
            <w:r>
              <w:rPr>
                <w:sz w:val="24"/>
              </w:rPr>
              <w:t>Cuadro 6.</w:t>
            </w:r>
          </w:p>
        </w:tc>
        <w:tc>
          <w:tcPr>
            <w:tcW w:w="6442" w:type="dxa"/>
          </w:tcPr>
          <w:p>
            <w:pPr>
              <w:pStyle w:val="TableParagraph"/>
              <w:spacing w:before="31"/>
              <w:ind w:left="168" w:right="120"/>
              <w:rPr>
                <w:sz w:val="24"/>
              </w:rPr>
            </w:pPr>
            <w:r>
              <w:rPr>
                <w:sz w:val="24"/>
              </w:rPr>
              <w:t>Coeficiente “C” por centro regional para cada grupo de causas. ………………………………………………………...</w:t>
            </w:r>
          </w:p>
        </w:tc>
        <w:tc>
          <w:tcPr>
            <w:tcW w:w="711" w:type="dxa"/>
          </w:tcPr>
          <w:p>
            <w:pPr>
              <w:pStyle w:val="TableParagraph"/>
              <w:spacing w:before="171"/>
              <w:ind w:left="107"/>
              <w:rPr>
                <w:sz w:val="24"/>
              </w:rPr>
            </w:pPr>
            <w:r>
              <w:rPr>
                <w:sz w:val="24"/>
              </w:rPr>
              <w:t>49</w:t>
            </w:r>
          </w:p>
        </w:tc>
      </w:tr>
      <w:tr>
        <w:trPr>
          <w:trHeight w:val="410" w:hRule="exact"/>
        </w:trPr>
        <w:tc>
          <w:tcPr>
            <w:tcW w:w="1558" w:type="dxa"/>
          </w:tcPr>
          <w:p>
            <w:pPr>
              <w:pStyle w:val="TableParagraph"/>
              <w:spacing w:before="31"/>
              <w:ind w:left="200"/>
              <w:rPr>
                <w:sz w:val="24"/>
              </w:rPr>
            </w:pPr>
            <w:r>
              <w:rPr>
                <w:sz w:val="24"/>
              </w:rPr>
              <w:t>Cuadro 7.</w:t>
            </w:r>
          </w:p>
        </w:tc>
        <w:tc>
          <w:tcPr>
            <w:tcW w:w="6442" w:type="dxa"/>
          </w:tcPr>
          <w:p>
            <w:pPr>
              <w:pStyle w:val="TableParagraph"/>
              <w:spacing w:before="31"/>
              <w:ind w:left="134" w:right="89"/>
              <w:jc w:val="center"/>
              <w:rPr>
                <w:sz w:val="24"/>
              </w:rPr>
            </w:pPr>
            <w:r>
              <w:rPr>
                <w:sz w:val="24"/>
              </w:rPr>
              <w:t>Clasificación del índice de causalidad………………………</w:t>
            </w:r>
          </w:p>
        </w:tc>
        <w:tc>
          <w:tcPr>
            <w:tcW w:w="711" w:type="dxa"/>
          </w:tcPr>
          <w:p>
            <w:pPr>
              <w:pStyle w:val="TableParagraph"/>
              <w:spacing w:before="31"/>
              <w:ind w:left="107"/>
              <w:rPr>
                <w:sz w:val="24"/>
              </w:rPr>
            </w:pPr>
            <w:r>
              <w:rPr>
                <w:sz w:val="24"/>
              </w:rPr>
              <w:t>50</w:t>
            </w:r>
          </w:p>
        </w:tc>
      </w:tr>
      <w:tr>
        <w:trPr>
          <w:trHeight w:val="455" w:hRule="exact"/>
        </w:trPr>
        <w:tc>
          <w:tcPr>
            <w:tcW w:w="1558" w:type="dxa"/>
          </w:tcPr>
          <w:p>
            <w:pPr>
              <w:pStyle w:val="TableParagraph"/>
              <w:spacing w:before="77"/>
              <w:ind w:left="200"/>
              <w:rPr>
                <w:sz w:val="24"/>
              </w:rPr>
            </w:pPr>
            <w:r>
              <w:rPr>
                <w:sz w:val="24"/>
              </w:rPr>
              <w:t>Cuadro 8.</w:t>
            </w:r>
          </w:p>
        </w:tc>
        <w:tc>
          <w:tcPr>
            <w:tcW w:w="6442" w:type="dxa"/>
          </w:tcPr>
          <w:p>
            <w:pPr>
              <w:pStyle w:val="TableParagraph"/>
              <w:spacing w:before="77"/>
              <w:ind w:left="134" w:right="89"/>
              <w:jc w:val="center"/>
              <w:rPr>
                <w:sz w:val="24"/>
              </w:rPr>
            </w:pPr>
            <w:r>
              <w:rPr>
                <w:sz w:val="24"/>
              </w:rPr>
              <w:t>Clasificación del índice de riesgo estadístico………………</w:t>
            </w:r>
          </w:p>
        </w:tc>
        <w:tc>
          <w:tcPr>
            <w:tcW w:w="711" w:type="dxa"/>
          </w:tcPr>
          <w:p>
            <w:pPr>
              <w:pStyle w:val="TableParagraph"/>
              <w:spacing w:before="77"/>
              <w:ind w:left="107"/>
              <w:rPr>
                <w:sz w:val="24"/>
              </w:rPr>
            </w:pPr>
            <w:r>
              <w:rPr>
                <w:sz w:val="24"/>
              </w:rPr>
              <w:t>50</w:t>
            </w:r>
          </w:p>
        </w:tc>
      </w:tr>
      <w:tr>
        <w:trPr>
          <w:trHeight w:val="454" w:hRule="exact"/>
        </w:trPr>
        <w:tc>
          <w:tcPr>
            <w:tcW w:w="1558" w:type="dxa"/>
          </w:tcPr>
          <w:p>
            <w:pPr>
              <w:pStyle w:val="TableParagraph"/>
              <w:spacing w:before="76"/>
              <w:ind w:left="200"/>
              <w:rPr>
                <w:sz w:val="24"/>
              </w:rPr>
            </w:pPr>
            <w:r>
              <w:rPr>
                <w:sz w:val="24"/>
              </w:rPr>
              <w:t>Cuadro 9.</w:t>
            </w:r>
          </w:p>
        </w:tc>
        <w:tc>
          <w:tcPr>
            <w:tcW w:w="6442" w:type="dxa"/>
          </w:tcPr>
          <w:p>
            <w:pPr>
              <w:pStyle w:val="TableParagraph"/>
              <w:spacing w:before="76"/>
              <w:ind w:left="147" w:right="89"/>
              <w:jc w:val="center"/>
              <w:rPr>
                <w:sz w:val="24"/>
              </w:rPr>
            </w:pPr>
            <w:r>
              <w:rPr>
                <w:sz w:val="24"/>
              </w:rPr>
              <w:t>Clasificación del rango de pendiente………………………..</w:t>
            </w:r>
          </w:p>
        </w:tc>
        <w:tc>
          <w:tcPr>
            <w:tcW w:w="711" w:type="dxa"/>
          </w:tcPr>
          <w:p>
            <w:pPr>
              <w:pStyle w:val="TableParagraph"/>
              <w:spacing w:before="76"/>
              <w:ind w:left="107"/>
              <w:rPr>
                <w:sz w:val="24"/>
              </w:rPr>
            </w:pPr>
            <w:r>
              <w:rPr>
                <w:sz w:val="24"/>
              </w:rPr>
              <w:t>53</w:t>
            </w:r>
          </w:p>
        </w:tc>
      </w:tr>
      <w:tr>
        <w:trPr>
          <w:trHeight w:val="454" w:hRule="exact"/>
        </w:trPr>
        <w:tc>
          <w:tcPr>
            <w:tcW w:w="1558" w:type="dxa"/>
          </w:tcPr>
          <w:p>
            <w:pPr>
              <w:pStyle w:val="TableParagraph"/>
              <w:spacing w:before="76"/>
              <w:ind w:left="200"/>
              <w:rPr>
                <w:sz w:val="24"/>
              </w:rPr>
            </w:pPr>
            <w:r>
              <w:rPr>
                <w:sz w:val="24"/>
              </w:rPr>
              <w:t>Cuadro 10.</w:t>
            </w:r>
          </w:p>
        </w:tc>
        <w:tc>
          <w:tcPr>
            <w:tcW w:w="6442" w:type="dxa"/>
          </w:tcPr>
          <w:p>
            <w:pPr>
              <w:pStyle w:val="TableParagraph"/>
              <w:spacing w:before="76"/>
              <w:ind w:left="107" w:right="89"/>
              <w:jc w:val="center"/>
              <w:rPr>
                <w:sz w:val="24"/>
              </w:rPr>
            </w:pPr>
            <w:r>
              <w:rPr>
                <w:sz w:val="24"/>
              </w:rPr>
              <w:t>Estaciones de normales climatológicas…………………….</w:t>
            </w:r>
          </w:p>
        </w:tc>
        <w:tc>
          <w:tcPr>
            <w:tcW w:w="711" w:type="dxa"/>
          </w:tcPr>
          <w:p>
            <w:pPr>
              <w:pStyle w:val="TableParagraph"/>
              <w:spacing w:before="76"/>
              <w:ind w:left="107"/>
              <w:rPr>
                <w:sz w:val="24"/>
              </w:rPr>
            </w:pPr>
            <w:r>
              <w:rPr>
                <w:sz w:val="24"/>
              </w:rPr>
              <w:t>56</w:t>
            </w:r>
          </w:p>
        </w:tc>
      </w:tr>
      <w:tr>
        <w:trPr>
          <w:trHeight w:val="454" w:hRule="exact"/>
        </w:trPr>
        <w:tc>
          <w:tcPr>
            <w:tcW w:w="1558" w:type="dxa"/>
          </w:tcPr>
          <w:p>
            <w:pPr>
              <w:pStyle w:val="TableParagraph"/>
              <w:spacing w:before="76"/>
              <w:ind w:left="200"/>
              <w:rPr>
                <w:sz w:val="24"/>
              </w:rPr>
            </w:pPr>
            <w:r>
              <w:rPr>
                <w:sz w:val="24"/>
              </w:rPr>
              <w:t>Cuadro 11.</w:t>
            </w:r>
          </w:p>
        </w:tc>
        <w:tc>
          <w:tcPr>
            <w:tcW w:w="6442" w:type="dxa"/>
          </w:tcPr>
          <w:p>
            <w:pPr>
              <w:pStyle w:val="TableParagraph"/>
              <w:spacing w:before="76"/>
              <w:ind w:left="85" w:right="89"/>
              <w:jc w:val="center"/>
              <w:rPr>
                <w:sz w:val="24"/>
              </w:rPr>
            </w:pPr>
            <w:r>
              <w:rPr>
                <w:sz w:val="24"/>
              </w:rPr>
              <w:t>Clasificación del índice de peligrosidad del medio………..</w:t>
            </w:r>
          </w:p>
        </w:tc>
        <w:tc>
          <w:tcPr>
            <w:tcW w:w="711" w:type="dxa"/>
          </w:tcPr>
          <w:p>
            <w:pPr>
              <w:pStyle w:val="TableParagraph"/>
              <w:spacing w:before="76"/>
              <w:ind w:left="107"/>
              <w:rPr>
                <w:sz w:val="24"/>
              </w:rPr>
            </w:pPr>
            <w:r>
              <w:rPr>
                <w:sz w:val="24"/>
              </w:rPr>
              <w:t>58</w:t>
            </w:r>
          </w:p>
        </w:tc>
      </w:tr>
      <w:tr>
        <w:trPr>
          <w:trHeight w:val="454" w:hRule="exact"/>
        </w:trPr>
        <w:tc>
          <w:tcPr>
            <w:tcW w:w="1558" w:type="dxa"/>
          </w:tcPr>
          <w:p>
            <w:pPr>
              <w:pStyle w:val="TableParagraph"/>
              <w:spacing w:before="76"/>
              <w:ind w:left="200"/>
              <w:rPr>
                <w:sz w:val="24"/>
              </w:rPr>
            </w:pPr>
            <w:r>
              <w:rPr>
                <w:sz w:val="24"/>
              </w:rPr>
              <w:t>Cuadro 12.</w:t>
            </w:r>
          </w:p>
        </w:tc>
        <w:tc>
          <w:tcPr>
            <w:tcW w:w="6442" w:type="dxa"/>
          </w:tcPr>
          <w:p>
            <w:pPr>
              <w:pStyle w:val="TableParagraph"/>
              <w:spacing w:before="76"/>
              <w:ind w:left="139" w:right="89"/>
              <w:jc w:val="center"/>
              <w:rPr>
                <w:sz w:val="24"/>
              </w:rPr>
            </w:pPr>
            <w:r>
              <w:rPr>
                <w:sz w:val="24"/>
              </w:rPr>
              <w:t>Clasificación del índice de riesgo de incendios forestales..</w:t>
            </w:r>
          </w:p>
        </w:tc>
        <w:tc>
          <w:tcPr>
            <w:tcW w:w="711" w:type="dxa"/>
          </w:tcPr>
          <w:p>
            <w:pPr>
              <w:pStyle w:val="TableParagraph"/>
              <w:spacing w:before="76"/>
              <w:ind w:left="107"/>
              <w:rPr>
                <w:sz w:val="24"/>
              </w:rPr>
            </w:pPr>
            <w:r>
              <w:rPr>
                <w:sz w:val="24"/>
              </w:rPr>
              <w:t>59</w:t>
            </w:r>
          </w:p>
        </w:tc>
      </w:tr>
      <w:tr>
        <w:trPr>
          <w:trHeight w:val="455" w:hRule="exact"/>
        </w:trPr>
        <w:tc>
          <w:tcPr>
            <w:tcW w:w="1558" w:type="dxa"/>
          </w:tcPr>
          <w:p>
            <w:pPr>
              <w:pStyle w:val="TableParagraph"/>
              <w:spacing w:before="76"/>
              <w:ind w:left="200"/>
              <w:rPr>
                <w:sz w:val="24"/>
              </w:rPr>
            </w:pPr>
            <w:r>
              <w:rPr>
                <w:sz w:val="24"/>
              </w:rPr>
              <w:t>Cuadro 13.</w:t>
            </w:r>
          </w:p>
        </w:tc>
        <w:tc>
          <w:tcPr>
            <w:tcW w:w="6442" w:type="dxa"/>
          </w:tcPr>
          <w:p>
            <w:pPr>
              <w:pStyle w:val="TableParagraph"/>
              <w:spacing w:before="76"/>
              <w:ind w:left="125" w:right="89"/>
              <w:jc w:val="center"/>
              <w:rPr>
                <w:sz w:val="24"/>
              </w:rPr>
            </w:pPr>
            <w:r>
              <w:rPr>
                <w:sz w:val="24"/>
              </w:rPr>
              <w:t>Cuadrantes con riesgo estadístico alto, grave y extremo...</w:t>
            </w:r>
          </w:p>
        </w:tc>
        <w:tc>
          <w:tcPr>
            <w:tcW w:w="711" w:type="dxa"/>
          </w:tcPr>
          <w:p>
            <w:pPr>
              <w:pStyle w:val="TableParagraph"/>
              <w:spacing w:before="76"/>
              <w:ind w:left="107"/>
              <w:rPr>
                <w:sz w:val="24"/>
              </w:rPr>
            </w:pPr>
            <w:r>
              <w:rPr>
                <w:sz w:val="24"/>
              </w:rPr>
              <w:t>67</w:t>
            </w:r>
          </w:p>
        </w:tc>
      </w:tr>
      <w:tr>
        <w:trPr>
          <w:trHeight w:val="411" w:hRule="exact"/>
        </w:trPr>
        <w:tc>
          <w:tcPr>
            <w:tcW w:w="1558" w:type="dxa"/>
          </w:tcPr>
          <w:p>
            <w:pPr>
              <w:pStyle w:val="TableParagraph"/>
              <w:spacing w:before="77"/>
              <w:ind w:left="200"/>
              <w:rPr>
                <w:sz w:val="24"/>
              </w:rPr>
            </w:pPr>
            <w:r>
              <w:rPr>
                <w:sz w:val="24"/>
              </w:rPr>
              <w:t>Cuadro 14.</w:t>
            </w:r>
          </w:p>
        </w:tc>
        <w:tc>
          <w:tcPr>
            <w:tcW w:w="6442" w:type="dxa"/>
          </w:tcPr>
          <w:p>
            <w:pPr>
              <w:pStyle w:val="TableParagraph"/>
              <w:spacing w:before="77"/>
              <w:ind w:left="92" w:right="89"/>
              <w:jc w:val="center"/>
              <w:rPr>
                <w:sz w:val="24"/>
              </w:rPr>
            </w:pPr>
            <w:r>
              <w:rPr>
                <w:sz w:val="24"/>
              </w:rPr>
              <w:t>Adversidad climática………………………………………….</w:t>
            </w:r>
          </w:p>
        </w:tc>
        <w:tc>
          <w:tcPr>
            <w:tcW w:w="711" w:type="dxa"/>
          </w:tcPr>
          <w:p>
            <w:pPr>
              <w:pStyle w:val="TableParagraph"/>
              <w:spacing w:before="77"/>
              <w:ind w:left="107"/>
              <w:rPr>
                <w:sz w:val="24"/>
              </w:rPr>
            </w:pPr>
            <w:r>
              <w:rPr>
                <w:sz w:val="24"/>
              </w:rPr>
              <w:t>78</w:t>
            </w:r>
          </w:p>
        </w:tc>
      </w:tr>
      <w:tr>
        <w:trPr>
          <w:trHeight w:val="596" w:hRule="exact"/>
        </w:trPr>
        <w:tc>
          <w:tcPr>
            <w:tcW w:w="1558" w:type="dxa"/>
          </w:tcPr>
          <w:p>
            <w:pPr>
              <w:pStyle w:val="TableParagraph"/>
              <w:spacing w:before="168"/>
              <w:ind w:left="200"/>
              <w:rPr>
                <w:sz w:val="24"/>
              </w:rPr>
            </w:pPr>
            <w:r>
              <w:rPr>
                <w:sz w:val="24"/>
              </w:rPr>
              <w:t>Cuadro 15.</w:t>
            </w:r>
          </w:p>
        </w:tc>
        <w:tc>
          <w:tcPr>
            <w:tcW w:w="6442" w:type="dxa"/>
          </w:tcPr>
          <w:p>
            <w:pPr>
              <w:pStyle w:val="TableParagraph"/>
              <w:spacing w:before="31"/>
              <w:ind w:left="168" w:right="92"/>
              <w:rPr>
                <w:sz w:val="24"/>
              </w:rPr>
            </w:pPr>
            <w:r>
              <w:rPr>
                <w:sz w:val="24"/>
              </w:rPr>
              <w:t>Cuadrantes con peligrosidad del medio alto, grave y extremo.</w:t>
            </w:r>
          </w:p>
        </w:tc>
        <w:tc>
          <w:tcPr>
            <w:tcW w:w="711" w:type="dxa"/>
          </w:tcPr>
          <w:p>
            <w:pPr>
              <w:pStyle w:val="TableParagraph"/>
              <w:spacing w:before="168"/>
              <w:ind w:left="107"/>
              <w:rPr>
                <w:sz w:val="24"/>
              </w:rPr>
            </w:pPr>
            <w:r>
              <w:rPr>
                <w:sz w:val="24"/>
              </w:rPr>
              <w:t>80</w:t>
            </w:r>
          </w:p>
        </w:tc>
      </w:tr>
      <w:tr>
        <w:trPr>
          <w:trHeight w:val="596" w:hRule="exact"/>
        </w:trPr>
        <w:tc>
          <w:tcPr>
            <w:tcW w:w="1558" w:type="dxa"/>
          </w:tcPr>
          <w:p>
            <w:pPr>
              <w:pStyle w:val="TableParagraph"/>
              <w:spacing w:before="124"/>
              <w:ind w:left="200"/>
              <w:rPr>
                <w:sz w:val="24"/>
              </w:rPr>
            </w:pPr>
            <w:r>
              <w:rPr>
                <w:sz w:val="24"/>
              </w:rPr>
              <w:t>Cuadro 16.</w:t>
            </w:r>
          </w:p>
        </w:tc>
        <w:tc>
          <w:tcPr>
            <w:tcW w:w="6442" w:type="dxa"/>
          </w:tcPr>
          <w:p>
            <w:pPr>
              <w:pStyle w:val="TableParagraph"/>
              <w:spacing w:before="0"/>
              <w:ind w:left="168" w:right="149"/>
              <w:rPr>
                <w:sz w:val="24"/>
              </w:rPr>
            </w:pPr>
            <w:r>
              <w:rPr>
                <w:sz w:val="24"/>
              </w:rPr>
              <w:t>Cuadrantes de riesgo de incendios forestales alto, grave y extremo.</w:t>
            </w:r>
            <w:r>
              <w:rPr>
                <w:spacing w:val="-4"/>
                <w:sz w:val="24"/>
              </w:rPr>
              <w:t> </w:t>
            </w:r>
            <w:r>
              <w:rPr>
                <w:sz w:val="24"/>
              </w:rPr>
              <w:t>……………………………………………………..</w:t>
            </w:r>
          </w:p>
        </w:tc>
        <w:tc>
          <w:tcPr>
            <w:tcW w:w="711" w:type="dxa"/>
          </w:tcPr>
          <w:p>
            <w:pPr>
              <w:pStyle w:val="TableParagraph"/>
              <w:spacing w:before="124"/>
              <w:ind w:left="107"/>
              <w:rPr>
                <w:sz w:val="24"/>
              </w:rPr>
            </w:pPr>
            <w:r>
              <w:rPr>
                <w:sz w:val="24"/>
              </w:rPr>
              <w:t>84</w:t>
            </w:r>
          </w:p>
        </w:tc>
      </w:tr>
      <w:tr>
        <w:trPr>
          <w:trHeight w:val="365" w:hRule="exact"/>
        </w:trPr>
        <w:tc>
          <w:tcPr>
            <w:tcW w:w="1558" w:type="dxa"/>
          </w:tcPr>
          <w:p>
            <w:pPr>
              <w:pStyle w:val="TableParagraph"/>
              <w:spacing w:before="31"/>
              <w:ind w:left="200"/>
              <w:rPr>
                <w:sz w:val="24"/>
              </w:rPr>
            </w:pPr>
            <w:r>
              <w:rPr>
                <w:sz w:val="24"/>
              </w:rPr>
              <w:t>Cuadro 17.</w:t>
            </w:r>
          </w:p>
        </w:tc>
        <w:tc>
          <w:tcPr>
            <w:tcW w:w="6442" w:type="dxa"/>
          </w:tcPr>
          <w:p>
            <w:pPr>
              <w:pStyle w:val="TableParagraph"/>
              <w:spacing w:before="31"/>
              <w:ind w:left="109" w:right="89"/>
              <w:jc w:val="center"/>
              <w:rPr>
                <w:sz w:val="24"/>
              </w:rPr>
            </w:pPr>
            <w:r>
              <w:rPr>
                <w:sz w:val="24"/>
              </w:rPr>
              <w:t>Número de cuadrantes en cada categoría por variable…..</w:t>
            </w:r>
          </w:p>
        </w:tc>
        <w:tc>
          <w:tcPr>
            <w:tcW w:w="711" w:type="dxa"/>
          </w:tcPr>
          <w:p>
            <w:pPr>
              <w:pStyle w:val="TableParagraph"/>
              <w:spacing w:before="31"/>
              <w:ind w:left="107"/>
              <w:rPr>
                <w:sz w:val="24"/>
              </w:rPr>
            </w:pPr>
            <w:r>
              <w:rPr>
                <w:sz w:val="24"/>
              </w:rPr>
              <w:t>86</w:t>
            </w:r>
          </w:p>
        </w:tc>
      </w:tr>
      <w:tr>
        <w:trPr>
          <w:trHeight w:val="596" w:hRule="exact"/>
        </w:trPr>
        <w:tc>
          <w:tcPr>
            <w:tcW w:w="1558" w:type="dxa"/>
          </w:tcPr>
          <w:p>
            <w:pPr>
              <w:pStyle w:val="TableParagraph"/>
              <w:spacing w:before="168"/>
              <w:ind w:left="200"/>
              <w:rPr>
                <w:sz w:val="24"/>
              </w:rPr>
            </w:pPr>
            <w:r>
              <w:rPr>
                <w:sz w:val="24"/>
              </w:rPr>
              <w:t>Cuadro 18.</w:t>
            </w:r>
          </w:p>
        </w:tc>
        <w:tc>
          <w:tcPr>
            <w:tcW w:w="6442" w:type="dxa"/>
          </w:tcPr>
          <w:p>
            <w:pPr>
              <w:pStyle w:val="TableParagraph"/>
              <w:spacing w:before="31"/>
              <w:ind w:left="168" w:right="105"/>
              <w:rPr>
                <w:sz w:val="24"/>
              </w:rPr>
            </w:pPr>
            <w:r>
              <w:rPr>
                <w:sz w:val="24"/>
              </w:rPr>
              <w:t>Cuadrantes quemados y no quemados por categoría de riesgo del año 2011. ………………………………………….</w:t>
            </w:r>
          </w:p>
        </w:tc>
        <w:tc>
          <w:tcPr>
            <w:tcW w:w="711" w:type="dxa"/>
          </w:tcPr>
          <w:p>
            <w:pPr>
              <w:pStyle w:val="TableParagraph"/>
              <w:spacing w:before="168"/>
              <w:ind w:left="107"/>
              <w:rPr>
                <w:sz w:val="24"/>
              </w:rPr>
            </w:pPr>
            <w:r>
              <w:rPr>
                <w:sz w:val="24"/>
              </w:rPr>
              <w:t>92</w:t>
            </w:r>
          </w:p>
        </w:tc>
      </w:tr>
      <w:tr>
        <w:trPr>
          <w:trHeight w:val="552" w:hRule="exact"/>
        </w:trPr>
        <w:tc>
          <w:tcPr>
            <w:tcW w:w="1558" w:type="dxa"/>
          </w:tcPr>
          <w:p>
            <w:pPr>
              <w:pStyle w:val="TableParagraph"/>
              <w:spacing w:before="124"/>
              <w:ind w:left="200"/>
              <w:rPr>
                <w:sz w:val="24"/>
              </w:rPr>
            </w:pPr>
            <w:r>
              <w:rPr>
                <w:sz w:val="24"/>
              </w:rPr>
              <w:t>Cuadro 19.</w:t>
            </w:r>
          </w:p>
        </w:tc>
        <w:tc>
          <w:tcPr>
            <w:tcW w:w="6442" w:type="dxa"/>
          </w:tcPr>
          <w:p>
            <w:pPr>
              <w:pStyle w:val="TableParagraph"/>
              <w:spacing w:before="0"/>
              <w:ind w:left="168" w:right="122"/>
              <w:rPr>
                <w:sz w:val="24"/>
              </w:rPr>
            </w:pPr>
            <w:r>
              <w:rPr>
                <w:sz w:val="24"/>
              </w:rPr>
              <w:t>Superficie quemada por categoría de riesgo del año 2011.</w:t>
            </w:r>
            <w:r>
              <w:rPr>
                <w:spacing w:val="-4"/>
                <w:sz w:val="24"/>
              </w:rPr>
              <w:t> </w:t>
            </w:r>
            <w:r>
              <w:rPr>
                <w:sz w:val="24"/>
              </w:rPr>
              <w:t>…………………………………………………………...</w:t>
            </w:r>
          </w:p>
        </w:tc>
        <w:tc>
          <w:tcPr>
            <w:tcW w:w="711" w:type="dxa"/>
          </w:tcPr>
          <w:p>
            <w:pPr>
              <w:pStyle w:val="TableParagraph"/>
              <w:spacing w:before="124"/>
              <w:ind w:left="107"/>
              <w:rPr>
                <w:sz w:val="24"/>
              </w:rPr>
            </w:pPr>
            <w:r>
              <w:rPr>
                <w:sz w:val="24"/>
              </w:rPr>
              <w:t>93</w:t>
            </w:r>
          </w:p>
        </w:tc>
      </w:tr>
      <w:tr>
        <w:trPr>
          <w:trHeight w:val="552" w:hRule="exact"/>
        </w:trPr>
        <w:tc>
          <w:tcPr>
            <w:tcW w:w="1558" w:type="dxa"/>
          </w:tcPr>
          <w:p>
            <w:pPr>
              <w:pStyle w:val="TableParagraph"/>
              <w:spacing w:before="124"/>
              <w:ind w:left="200"/>
              <w:rPr>
                <w:sz w:val="24"/>
              </w:rPr>
            </w:pPr>
            <w:r>
              <w:rPr>
                <w:sz w:val="24"/>
              </w:rPr>
              <w:t>Cuadro 20.</w:t>
            </w:r>
          </w:p>
        </w:tc>
        <w:tc>
          <w:tcPr>
            <w:tcW w:w="6442" w:type="dxa"/>
          </w:tcPr>
          <w:p>
            <w:pPr>
              <w:pStyle w:val="TableParagraph"/>
              <w:spacing w:before="0"/>
              <w:ind w:left="168" w:right="105"/>
              <w:rPr>
                <w:sz w:val="24"/>
              </w:rPr>
            </w:pPr>
            <w:r>
              <w:rPr>
                <w:sz w:val="24"/>
              </w:rPr>
              <w:t>Cuadrantes quemados y no quemados por categoría de riesgo del año 2014. ………………………………………….</w:t>
            </w:r>
          </w:p>
        </w:tc>
        <w:tc>
          <w:tcPr>
            <w:tcW w:w="711" w:type="dxa"/>
          </w:tcPr>
          <w:p>
            <w:pPr>
              <w:pStyle w:val="TableParagraph"/>
              <w:spacing w:before="124"/>
              <w:ind w:left="107"/>
              <w:rPr>
                <w:sz w:val="24"/>
              </w:rPr>
            </w:pPr>
            <w:r>
              <w:rPr>
                <w:sz w:val="24"/>
              </w:rPr>
              <w:t>96</w:t>
            </w:r>
          </w:p>
        </w:tc>
      </w:tr>
      <w:tr>
        <w:trPr>
          <w:trHeight w:val="596" w:hRule="exact"/>
        </w:trPr>
        <w:tc>
          <w:tcPr>
            <w:tcW w:w="1558" w:type="dxa"/>
          </w:tcPr>
          <w:p>
            <w:pPr>
              <w:pStyle w:val="TableParagraph"/>
              <w:spacing w:before="124"/>
              <w:ind w:left="200"/>
              <w:rPr>
                <w:sz w:val="24"/>
              </w:rPr>
            </w:pPr>
            <w:r>
              <w:rPr>
                <w:sz w:val="24"/>
              </w:rPr>
              <w:t>Cuadro 21.</w:t>
            </w:r>
          </w:p>
        </w:tc>
        <w:tc>
          <w:tcPr>
            <w:tcW w:w="6442" w:type="dxa"/>
          </w:tcPr>
          <w:p>
            <w:pPr>
              <w:pStyle w:val="TableParagraph"/>
              <w:spacing w:before="0"/>
              <w:ind w:left="168" w:right="122"/>
              <w:rPr>
                <w:sz w:val="24"/>
              </w:rPr>
            </w:pPr>
            <w:r>
              <w:rPr>
                <w:sz w:val="24"/>
              </w:rPr>
              <w:t>Superficie quemada por categoría de riesgo del año 2014.</w:t>
            </w:r>
            <w:r>
              <w:rPr>
                <w:spacing w:val="-4"/>
                <w:sz w:val="24"/>
              </w:rPr>
              <w:t> </w:t>
            </w:r>
            <w:r>
              <w:rPr>
                <w:sz w:val="24"/>
              </w:rPr>
              <w:t>…………………………………………………………...</w:t>
            </w:r>
          </w:p>
        </w:tc>
        <w:tc>
          <w:tcPr>
            <w:tcW w:w="711" w:type="dxa"/>
          </w:tcPr>
          <w:p>
            <w:pPr>
              <w:pStyle w:val="TableParagraph"/>
              <w:spacing w:before="124"/>
              <w:ind w:left="107"/>
              <w:rPr>
                <w:sz w:val="24"/>
              </w:rPr>
            </w:pPr>
            <w:r>
              <w:rPr>
                <w:sz w:val="24"/>
              </w:rPr>
              <w:t>97</w:t>
            </w:r>
          </w:p>
        </w:tc>
      </w:tr>
      <w:tr>
        <w:trPr>
          <w:trHeight w:val="409" w:hRule="exact"/>
        </w:trPr>
        <w:tc>
          <w:tcPr>
            <w:tcW w:w="1558" w:type="dxa"/>
          </w:tcPr>
          <w:p>
            <w:pPr>
              <w:pStyle w:val="TableParagraph"/>
              <w:spacing w:before="31"/>
              <w:ind w:left="200"/>
              <w:rPr>
                <w:sz w:val="24"/>
              </w:rPr>
            </w:pPr>
            <w:r>
              <w:rPr>
                <w:sz w:val="24"/>
              </w:rPr>
              <w:t>Cuadro 22.</w:t>
            </w:r>
          </w:p>
        </w:tc>
        <w:tc>
          <w:tcPr>
            <w:tcW w:w="6442" w:type="dxa"/>
          </w:tcPr>
          <w:p>
            <w:pPr>
              <w:pStyle w:val="TableParagraph"/>
              <w:spacing w:before="31"/>
              <w:ind w:left="132" w:right="89"/>
              <w:jc w:val="center"/>
              <w:rPr>
                <w:sz w:val="24"/>
              </w:rPr>
            </w:pPr>
            <w:r>
              <w:rPr>
                <w:sz w:val="24"/>
              </w:rPr>
              <w:t>Prevención cultural. …………………………………………..</w:t>
            </w:r>
          </w:p>
        </w:tc>
        <w:tc>
          <w:tcPr>
            <w:tcW w:w="711" w:type="dxa"/>
          </w:tcPr>
          <w:p>
            <w:pPr>
              <w:pStyle w:val="TableParagraph"/>
              <w:spacing w:before="31"/>
              <w:ind w:left="107"/>
              <w:rPr>
                <w:sz w:val="24"/>
              </w:rPr>
            </w:pPr>
            <w:r>
              <w:rPr>
                <w:sz w:val="24"/>
              </w:rPr>
              <w:t>104</w:t>
            </w:r>
          </w:p>
        </w:tc>
      </w:tr>
      <w:tr>
        <w:trPr>
          <w:trHeight w:val="454" w:hRule="exact"/>
        </w:trPr>
        <w:tc>
          <w:tcPr>
            <w:tcW w:w="1558" w:type="dxa"/>
          </w:tcPr>
          <w:p>
            <w:pPr>
              <w:pStyle w:val="TableParagraph"/>
              <w:spacing w:before="76"/>
              <w:ind w:left="200"/>
              <w:rPr>
                <w:sz w:val="24"/>
              </w:rPr>
            </w:pPr>
            <w:r>
              <w:rPr>
                <w:sz w:val="24"/>
              </w:rPr>
              <w:t>Cuadro 23.</w:t>
            </w:r>
          </w:p>
        </w:tc>
        <w:tc>
          <w:tcPr>
            <w:tcW w:w="6442" w:type="dxa"/>
          </w:tcPr>
          <w:p>
            <w:pPr>
              <w:pStyle w:val="TableParagraph"/>
              <w:spacing w:before="76"/>
              <w:ind w:left="133" w:right="89"/>
              <w:jc w:val="center"/>
              <w:rPr>
                <w:sz w:val="24"/>
              </w:rPr>
            </w:pPr>
            <w:r>
              <w:rPr>
                <w:sz w:val="24"/>
              </w:rPr>
              <w:t>Prevención física y legal. …………………………………….</w:t>
            </w:r>
          </w:p>
        </w:tc>
        <w:tc>
          <w:tcPr>
            <w:tcW w:w="711" w:type="dxa"/>
          </w:tcPr>
          <w:p>
            <w:pPr>
              <w:pStyle w:val="TableParagraph"/>
              <w:spacing w:before="76"/>
              <w:ind w:left="107"/>
              <w:rPr>
                <w:sz w:val="24"/>
              </w:rPr>
            </w:pPr>
            <w:r>
              <w:rPr>
                <w:sz w:val="24"/>
              </w:rPr>
              <w:t>104</w:t>
            </w:r>
          </w:p>
        </w:tc>
      </w:tr>
      <w:tr>
        <w:trPr>
          <w:trHeight w:val="347" w:hRule="exact"/>
        </w:trPr>
        <w:tc>
          <w:tcPr>
            <w:tcW w:w="1558" w:type="dxa"/>
          </w:tcPr>
          <w:p>
            <w:pPr>
              <w:pStyle w:val="TableParagraph"/>
              <w:spacing w:before="76"/>
              <w:ind w:left="200"/>
              <w:rPr>
                <w:sz w:val="24"/>
              </w:rPr>
            </w:pPr>
            <w:r>
              <w:rPr>
                <w:sz w:val="24"/>
              </w:rPr>
              <w:t>Cuadro 24.</w:t>
            </w:r>
          </w:p>
        </w:tc>
        <w:tc>
          <w:tcPr>
            <w:tcW w:w="6442" w:type="dxa"/>
          </w:tcPr>
          <w:p>
            <w:pPr>
              <w:pStyle w:val="TableParagraph"/>
              <w:spacing w:before="76"/>
              <w:ind w:left="133" w:right="89"/>
              <w:jc w:val="center"/>
              <w:rPr>
                <w:sz w:val="24"/>
              </w:rPr>
            </w:pPr>
            <w:r>
              <w:rPr>
                <w:sz w:val="24"/>
              </w:rPr>
              <w:t>Indicadores a monitorear. ……………………………………</w:t>
            </w:r>
          </w:p>
        </w:tc>
        <w:tc>
          <w:tcPr>
            <w:tcW w:w="711" w:type="dxa"/>
          </w:tcPr>
          <w:p>
            <w:pPr>
              <w:pStyle w:val="TableParagraph"/>
              <w:spacing w:before="76"/>
              <w:ind w:left="107"/>
              <w:rPr>
                <w:sz w:val="24"/>
              </w:rPr>
            </w:pPr>
            <w:r>
              <w:rPr>
                <w:sz w:val="24"/>
              </w:rPr>
              <w:t>106</w:t>
            </w:r>
          </w:p>
        </w:tc>
      </w:tr>
    </w:tbl>
    <w:p>
      <w:pPr>
        <w:spacing w:after="0"/>
        <w:rPr>
          <w:sz w:val="24"/>
        </w:rPr>
        <w:sectPr>
          <w:pgSz w:w="12240" w:h="15840"/>
          <w:pgMar w:header="0" w:footer="943" w:top="1360" w:bottom="1140" w:left="1400" w:right="1580"/>
        </w:sectPr>
      </w:pPr>
    </w:p>
    <w:p>
      <w:pPr>
        <w:pStyle w:val="Heading1"/>
        <w:spacing w:before="54"/>
        <w:ind w:firstLine="0"/>
        <w:jc w:val="both"/>
      </w:pPr>
      <w:bookmarkStart w:name="_bookmark2" w:id="3"/>
      <w:bookmarkEnd w:id="3"/>
      <w:r>
        <w:rPr>
          <w:b w:val="0"/>
        </w:rPr>
      </w:r>
      <w:r>
        <w:rPr/>
        <w:t>RESUMEN</w:t>
      </w:r>
    </w:p>
    <w:p>
      <w:pPr>
        <w:pStyle w:val="BodyText"/>
        <w:spacing w:line="360" w:lineRule="auto" w:before="43"/>
        <w:ind w:left="102" w:right="115"/>
        <w:jc w:val="both"/>
      </w:pPr>
      <w:r>
        <w:rPr/>
        <w:t>El presente trabajo se desarrolló en el área del Suelo de Conservación del Distrito Federal (SCDF), donde los incendios forestales son uno de los factores de disturbio más importantes en esta zona e influyen en la estructura, funcionamiento y dinámica de los ecosistemas (GDF, 2006). El objetivo general fue analizar la dinámica espacial y temporal de los incendios forestales en el SCDF, durante el periodo 1998-2012, para generar el mapa de riesgo a incendios forestales. El riesgo se calculó con la metodología de Copete </w:t>
      </w:r>
      <w:r>
        <w:rPr>
          <w:i/>
        </w:rPr>
        <w:t>et al. </w:t>
      </w:r>
      <w:r>
        <w:rPr/>
        <w:t>(2007) la cual integra el riesgo estadístico (obtenido a partir del índice de frecuencia, gravedad y causalidad) y la peligrosidad del medio (que a su vez es producto de la peligrosidad de combustibles, peligrosidad de la fisiografía y adversidad del clima). Estas variables fueron procesadas y analizadas en un entorno de SIG, con la finalidad de ubicar los sitios que requieren mayor atención en la prevención y combate de incendios. El mapa de incendios se validó con las imágenes de satélite Landsat 7 año 2011 y Landsat 8 año 2014, contrastando las áreas quemadas con las categorías de riesgo de dicho mapa. Se obtuvieron nueve mapas que se muestran en rangos de categorías que van de muy baja a extrema. El mayor riesgo estadístico es localizado en las delegaciones Milpa Alta, Tlalpan, Magdalena Contreras, Tláhuac y Gustavo A. Madero. La mayor peligrosidad del medio se encuentra distribuida en las delegaciones Milpa Alta, Tlalpan, Magdalena contreras, Álvaro Obregón y Cuajimalpa de Morelos. El mayor riesgo a incendios forestales es localizado en las delegaciones Milpa Alta, Tlalpan, Magdalena Contreras, Tláhuac y Gustavo A. Madero. Los climogramas combinados con los registros históricos de incendios forestales, muestran que a mayor precipitación y mayor humedad almacenada, menor es el número de incendios forestales. Se encontró que los factores territoriales (precipitación, temperatura, combustibles forestales y fisiográficos) inciden en el número de incendios, la magnitud y afectación. El mapa de riesgo a incendios forestales generado es acertado porque se encontró una correlación positiva entre las áreas quemadas de las imágenes de satélite y las zonas de riesgo del mapa</w:t>
      </w:r>
      <w:r>
        <w:rPr>
          <w:spacing w:val="-12"/>
        </w:rPr>
        <w:t> </w:t>
      </w:r>
      <w:r>
        <w:rPr/>
        <w:t>generado.</w:t>
      </w:r>
    </w:p>
    <w:p>
      <w:pPr>
        <w:spacing w:before="5"/>
        <w:ind w:left="102" w:right="0" w:firstLine="0"/>
        <w:jc w:val="both"/>
        <w:rPr>
          <w:sz w:val="24"/>
        </w:rPr>
      </w:pPr>
      <w:r>
        <w:rPr>
          <w:b/>
          <w:sz w:val="24"/>
        </w:rPr>
        <w:t>PALABRAS CLAVE: </w:t>
      </w:r>
      <w:r>
        <w:rPr>
          <w:sz w:val="24"/>
        </w:rPr>
        <w:t>Análisis espacial, incendios forestales, riesgo, SIG.</w:t>
      </w:r>
    </w:p>
    <w:p>
      <w:pPr>
        <w:spacing w:after="0"/>
        <w:jc w:val="both"/>
        <w:rPr>
          <w:sz w:val="24"/>
        </w:rPr>
        <w:sectPr>
          <w:pgSz w:w="12240" w:h="15840"/>
          <w:pgMar w:header="0" w:footer="943" w:top="1360" w:bottom="1200" w:left="1600" w:right="1580"/>
        </w:sectPr>
      </w:pPr>
    </w:p>
    <w:p>
      <w:pPr>
        <w:pStyle w:val="Heading1"/>
        <w:spacing w:before="54"/>
        <w:ind w:firstLine="0"/>
        <w:jc w:val="both"/>
      </w:pPr>
      <w:bookmarkStart w:name="_bookmark3" w:id="4"/>
      <w:bookmarkEnd w:id="4"/>
      <w:r>
        <w:rPr>
          <w:b w:val="0"/>
        </w:rPr>
      </w:r>
      <w:r>
        <w:rPr/>
        <w:t>ABSTRACT</w:t>
      </w:r>
    </w:p>
    <w:p>
      <w:pPr>
        <w:pStyle w:val="BodyText"/>
        <w:rPr>
          <w:b/>
        </w:rPr>
      </w:pPr>
    </w:p>
    <w:p>
      <w:pPr>
        <w:pStyle w:val="BodyText"/>
        <w:rPr>
          <w:b/>
        </w:rPr>
      </w:pPr>
    </w:p>
    <w:p>
      <w:pPr>
        <w:pStyle w:val="BodyText"/>
        <w:spacing w:line="360" w:lineRule="auto"/>
        <w:ind w:left="102" w:right="115"/>
        <w:jc w:val="both"/>
      </w:pPr>
      <w:r>
        <w:rPr/>
        <w:t>The present work was developed in the area Soil Conservation Distrito Federal (SCDF), where wildfire are one of the most important factors in </w:t>
      </w:r>
      <w:r>
        <w:rPr>
          <w:spacing w:val="2"/>
        </w:rPr>
        <w:t>this </w:t>
      </w:r>
      <w:r>
        <w:rPr/>
        <w:t>area disturbance and influence of the structure, function and dynamics of ecosystems (GDF, 2006). The general purpose was to analyze the spatial and temporal dynamics of wildfire in the SCDF, during the period 1998-2012, to generate a map of wildfire risk. The risk was calculated using the methodology of Copete </w:t>
      </w:r>
      <w:r>
        <w:rPr>
          <w:i/>
        </w:rPr>
        <w:t>et al</w:t>
      </w:r>
      <w:r>
        <w:rPr/>
        <w:t>. (2007) which integrates the statistical risk (obtained from the frequency index, severity index and causality index) and the environmental hazard (which in turn is a result of fuel hazard, physiography hazard and the adversity of weather). These variables were processed and analyzed in a GIS environment, in order to locate  the sites that require more attention on prevention and firefighting. The wildfire map was validated with satellite images Landsat 7 year 2011 and Landsat 8 year 2014, comparing burned areas with the risk categories of the map. Nine maps were obtained that shows in ranges of categories from range very low to extreme. The higher statistical risk is located in delegaciones Milpa Alta, Tlalpan, Magdalena Contreras, Tláhuac and Gustavo A. Madero. The most dangerous environment is distributed in delegaciones Milpa Alta, Tlalpan, Magdalena Contreras, Álvaro Obregón and Cuajimalpa de Morelos. The greatest risk to wildfires is located in delegaciones Milpa Alta, Tlalpan, Magdalena Contreras, Tláhuac and Gustavo A. Madero. The climograms combined with historical records of wildfires show that to greater precipitation and higher relative humidity, the lower the number of wildfires. It was found that regional factors (precipitation, temperature, forest fuels and physiographic) affect the number of fires, the magnitude and involvement. The risk map wildfires generated is successful because a positive correlation between burned areas of satellite imagery and map risk areas generated was</w:t>
      </w:r>
      <w:r>
        <w:rPr>
          <w:spacing w:val="-28"/>
        </w:rPr>
        <w:t> </w:t>
      </w:r>
      <w:r>
        <w:rPr/>
        <w:t>found.</w:t>
      </w:r>
    </w:p>
    <w:p>
      <w:pPr>
        <w:pStyle w:val="BodyText"/>
      </w:pPr>
    </w:p>
    <w:p>
      <w:pPr>
        <w:spacing w:before="142"/>
        <w:ind w:left="102" w:right="0" w:firstLine="0"/>
        <w:jc w:val="both"/>
        <w:rPr>
          <w:sz w:val="24"/>
        </w:rPr>
      </w:pPr>
      <w:r>
        <w:rPr>
          <w:b/>
          <w:sz w:val="24"/>
        </w:rPr>
        <w:t>KEYWORDS: </w:t>
      </w:r>
      <w:r>
        <w:rPr>
          <w:sz w:val="24"/>
        </w:rPr>
        <w:t>Spatial analysis, wildfire, risk, SIG</w:t>
      </w:r>
    </w:p>
    <w:p>
      <w:pPr>
        <w:spacing w:after="0"/>
        <w:jc w:val="both"/>
        <w:rPr>
          <w:sz w:val="24"/>
        </w:rPr>
        <w:sectPr>
          <w:pgSz w:w="12240" w:h="15840"/>
          <w:pgMar w:header="0" w:footer="943" w:top="1360" w:bottom="1200" w:left="1600" w:right="1580"/>
        </w:sectPr>
      </w:pPr>
    </w:p>
    <w:p>
      <w:pPr>
        <w:pStyle w:val="BodyText"/>
        <w:rPr>
          <w:sz w:val="20"/>
        </w:rPr>
      </w:pPr>
    </w:p>
    <w:p>
      <w:pPr>
        <w:pStyle w:val="BodyText"/>
        <w:rPr>
          <w:sz w:val="20"/>
        </w:rPr>
      </w:pPr>
    </w:p>
    <w:p>
      <w:pPr>
        <w:pStyle w:val="BodyText"/>
        <w:spacing w:before="4"/>
      </w:pPr>
    </w:p>
    <w:p>
      <w:pPr>
        <w:pStyle w:val="Heading1"/>
        <w:numPr>
          <w:ilvl w:val="0"/>
          <w:numId w:val="4"/>
        </w:numPr>
        <w:tabs>
          <w:tab w:pos="1201" w:val="left" w:leader="none"/>
          <w:tab w:pos="1202" w:val="left" w:leader="none"/>
        </w:tabs>
        <w:spacing w:line="240" w:lineRule="auto" w:before="69" w:after="0"/>
        <w:ind w:left="102" w:right="0" w:firstLine="380"/>
        <w:jc w:val="left"/>
      </w:pPr>
      <w:bookmarkStart w:name="_bookmark4" w:id="5"/>
      <w:bookmarkEnd w:id="5"/>
      <w:r>
        <w:rPr>
          <w:b w:val="0"/>
        </w:rPr>
      </w:r>
      <w:bookmarkStart w:name="_bookmark4" w:id="6"/>
      <w:bookmarkEnd w:id="6"/>
      <w:r>
        <w:rPr/>
        <w:t>INT</w:t>
      </w:r>
      <w:r>
        <w:rPr/>
        <w:t>RODUCCIÓN</w:t>
      </w:r>
    </w:p>
    <w:p>
      <w:pPr>
        <w:pStyle w:val="BodyText"/>
        <w:rPr>
          <w:b/>
        </w:rPr>
      </w:pPr>
    </w:p>
    <w:p>
      <w:pPr>
        <w:pStyle w:val="BodyText"/>
        <w:spacing w:line="360" w:lineRule="auto" w:before="145"/>
        <w:ind w:left="122" w:right="115"/>
        <w:jc w:val="both"/>
      </w:pPr>
      <w:r>
        <w:rPr/>
        <w:t>El Suelo de Conservación</w:t>
      </w:r>
      <w:r>
        <w:rPr>
          <w:position w:val="11"/>
          <w:sz w:val="16"/>
        </w:rPr>
        <w:t>1 </w:t>
      </w:r>
      <w:r>
        <w:rPr/>
        <w:t>(SCDF), se refiere a las zonas que, por sus características ecológicas, proveen servicios ambientales, necesarios para el mantenimiento de la calidad de vida de los habitantes de la Ciudad de México, de conformidad con lo establecido en la Ley Ambiental del Distrito Federal (GDF, 2012).</w:t>
      </w:r>
    </w:p>
    <w:p>
      <w:pPr>
        <w:pStyle w:val="BodyText"/>
      </w:pPr>
    </w:p>
    <w:p>
      <w:pPr>
        <w:pStyle w:val="BodyText"/>
        <w:spacing w:line="360" w:lineRule="auto" w:before="142"/>
        <w:ind w:left="122" w:right="114"/>
        <w:jc w:val="both"/>
      </w:pPr>
      <w:r>
        <w:rPr/>
        <w:t>Los principales servicios ambientales que el SCDF brinda son: es la principal fuente de recarga del acuífero de la Ciudad de México, permite la disminución de los niveles de contaminación, es reservorio de biodiversidad, regula el microclima de la región, permite la retención de suelo y agua, permite la producción agropecuaria y rural, permite la recreación, valores escénicos y culturales (GDF, 2012).</w:t>
      </w:r>
    </w:p>
    <w:p>
      <w:pPr>
        <w:pStyle w:val="BodyText"/>
      </w:pPr>
    </w:p>
    <w:p>
      <w:pPr>
        <w:pStyle w:val="BodyText"/>
        <w:spacing w:line="360" w:lineRule="auto" w:before="142"/>
        <w:ind w:left="122" w:right="119"/>
        <w:jc w:val="both"/>
      </w:pPr>
      <w:r>
        <w:rPr/>
        <w:t>El Suelo de Conservación del Distrito Federal (SCDF), alberga más de 2,500 especies de flora y fauna, inmersas en las condiciones geográficas especiales que conforman los diversos ecosistemas y hábitats únicos que se presentan en el Valle de México (CONAFOR, 2013b).</w:t>
      </w:r>
    </w:p>
    <w:p>
      <w:pPr>
        <w:pStyle w:val="BodyText"/>
      </w:pPr>
    </w:p>
    <w:p>
      <w:pPr>
        <w:pStyle w:val="BodyText"/>
        <w:spacing w:line="360" w:lineRule="auto" w:before="142"/>
        <w:ind w:left="122" w:right="115"/>
        <w:jc w:val="both"/>
      </w:pPr>
      <w:r>
        <w:rPr/>
        <w:t>El Suelo de Conservación presenta deterioro, relacionado principalmente, con el crecimiento desordenado de los asentamientos humanos irregulares, con la tala ilegal de bosques, con la pavimentación de caminos, con los incendios forestales, con el entubamiento y contaminación de ríos, con la sobreexplotación del acuífero, con la disposición de residuos sólidos y por las prácticas agropecuarias (CONAFOR, 2013b).</w:t>
      </w: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120;mso-wrap-distance-left:0;mso-wrap-distance-right:0" from="85.103996pt,8.096845pt" to="229.123996pt,8.096845pt" stroked="true" strokeweight=".71997pt" strokecolor="#000000">
            <w10:wrap type="topAndBottom"/>
          </v:line>
        </w:pict>
      </w:r>
    </w:p>
    <w:p>
      <w:pPr>
        <w:spacing w:before="39"/>
        <w:ind w:left="122" w:right="359" w:firstLine="0"/>
        <w:jc w:val="left"/>
        <w:rPr>
          <w:rFonts w:ascii="Calibri" w:hAnsi="Calibri"/>
          <w:sz w:val="20"/>
        </w:rPr>
      </w:pPr>
      <w:r>
        <w:rPr>
          <w:rFonts w:ascii="Calibri" w:hAnsi="Calibri"/>
          <w:position w:val="10"/>
          <w:sz w:val="13"/>
        </w:rPr>
        <w:t>1 </w:t>
      </w:r>
      <w:r>
        <w:rPr>
          <w:rFonts w:ascii="Calibri" w:hAnsi="Calibri"/>
          <w:sz w:val="20"/>
        </w:rPr>
        <w:t>Suelo de Conservación: La clasificación establecida en la fracción II del artículo 30 de la Ley de Desarrollo Urbano del Distrito Federal (Asamblea Legislativa, 2000b).</w:t>
      </w:r>
    </w:p>
    <w:p>
      <w:pPr>
        <w:spacing w:after="0"/>
        <w:jc w:val="left"/>
        <w:rPr>
          <w:rFonts w:ascii="Calibri" w:hAnsi="Calibri"/>
          <w:sz w:val="20"/>
        </w:rPr>
        <w:sectPr>
          <w:footerReference w:type="default" r:id="rId11"/>
          <w:pgSz w:w="12240" w:h="15840"/>
          <w:pgMar w:footer="1003" w:header="0" w:top="1500" w:bottom="1200" w:left="1580" w:right="1580"/>
          <w:pgNumType w:start="1"/>
        </w:sectPr>
      </w:pPr>
    </w:p>
    <w:p>
      <w:pPr>
        <w:pStyle w:val="BodyText"/>
        <w:spacing w:line="360" w:lineRule="auto" w:before="54"/>
        <w:ind w:left="102" w:right="123"/>
        <w:jc w:val="both"/>
      </w:pPr>
      <w:r>
        <w:rPr/>
        <w:t>Los incendios forestales son uno de los factores de disturbio más importantes en  el Suelo de conservación que influyen en la estructura, funcionamiento y dinámica de los ecosistemas terrestres. En promedio cada año ocurren 1600 eventos (conatos + incendios) que afectan 1.67 ha por incendio y un total de 1,273 ha, ubicándose dentro de los tres primeros lugares a nivel nacional en cuanto a incidencia de incendios forestales en la República Mexicana (GDF,</w:t>
      </w:r>
      <w:r>
        <w:rPr>
          <w:spacing w:val="-26"/>
        </w:rPr>
        <w:t> </w:t>
      </w:r>
      <w:r>
        <w:rPr/>
        <w:t>2006).</w:t>
      </w:r>
    </w:p>
    <w:p>
      <w:pPr>
        <w:pStyle w:val="BodyText"/>
      </w:pPr>
    </w:p>
    <w:p>
      <w:pPr>
        <w:pStyle w:val="BodyText"/>
        <w:spacing w:line="360" w:lineRule="auto" w:before="142"/>
        <w:ind w:left="102" w:right="116"/>
        <w:jc w:val="both"/>
      </w:pPr>
      <w:r>
        <w:rPr/>
        <w:t>En el año 1998, se presentaron 14,445 incendios forestales a nivel nacional con una superficie afectada de 849,632.80 ha (CONAFOR, 2013), mientras que en el mismo año, en el Distrito Federal se presentaron 1,932 incendios con 5,741 ha afectadas (Dirección General de la Comisión de Recursos Naturales, 2013).</w:t>
      </w:r>
    </w:p>
    <w:p>
      <w:pPr>
        <w:pStyle w:val="BodyText"/>
      </w:pPr>
    </w:p>
    <w:p>
      <w:pPr>
        <w:pStyle w:val="BodyText"/>
        <w:spacing w:line="360" w:lineRule="auto" w:before="142"/>
        <w:ind w:left="102" w:right="119"/>
        <w:jc w:val="both"/>
      </w:pPr>
      <w:r>
        <w:rPr/>
        <w:t>Durante el año 2011, se presentaron a nivel nacional 12,113 incendios forestales con 956,404.80 ha (CONAFOR, 2013), mientras que en el Distrito Federal se presentaron 1,373 incendios con 4,415 ha afectadas (Dirección General de la Comisión de Recursos Naturales, 2013).</w:t>
      </w:r>
    </w:p>
    <w:p>
      <w:pPr>
        <w:pStyle w:val="BodyText"/>
      </w:pPr>
    </w:p>
    <w:p>
      <w:pPr>
        <w:pStyle w:val="BodyText"/>
        <w:spacing w:line="360" w:lineRule="auto" w:before="142"/>
        <w:ind w:left="102" w:right="116"/>
        <w:jc w:val="both"/>
      </w:pPr>
      <w:r>
        <w:rPr/>
        <w:t>En el año 2013, a nivel nacional, se registraron 10,391 incendios forestales con 413,593.99 ha afectadas (CONAFOR, 2013), mientras que el Distrito Federal, registró 1,159 incendios forestales con una afectación de 2,779.78 ha (Dirección General de la Comisión de Recursos Naturales. (2013).</w:t>
      </w:r>
    </w:p>
    <w:p>
      <w:pPr>
        <w:pStyle w:val="BodyText"/>
      </w:pPr>
    </w:p>
    <w:p>
      <w:pPr>
        <w:pStyle w:val="BodyText"/>
        <w:spacing w:line="360" w:lineRule="auto" w:before="142"/>
        <w:ind w:left="102" w:right="128"/>
        <w:jc w:val="both"/>
      </w:pPr>
      <w:r>
        <w:rPr/>
        <w:t>Estos datos muestran que los años 1998, 2011 y 2013 son críticos en materia de incendios forestales.</w:t>
      </w:r>
    </w:p>
    <w:p>
      <w:pPr>
        <w:pStyle w:val="BodyText"/>
      </w:pPr>
    </w:p>
    <w:p>
      <w:pPr>
        <w:pStyle w:val="BodyText"/>
        <w:spacing w:line="360" w:lineRule="auto" w:before="142"/>
        <w:ind w:left="102" w:right="116"/>
        <w:jc w:val="both"/>
      </w:pPr>
      <w:r>
        <w:rPr/>
        <w:t>El objetivo de este trabajo fue “analizar la dinámica espacial y temporal de los incendios forestales en el SCDF, durante el periodo 1998-2012, para generar el mapa de riesgo”, tomando como base los registros históricos de incendios y los factores ambientales y sociales que han favorecido su ocurrencia. Para llevarlo a cabo, se siguió la metodología de Copete </w:t>
      </w:r>
      <w:r>
        <w:rPr>
          <w:i/>
        </w:rPr>
        <w:t>et al</w:t>
      </w:r>
      <w:r>
        <w:rPr/>
        <w:t>., (2007), adaptándola donde fue necesario.  Se  obtuvo  el  riesgo  estadístico  de  los  incendios  forestales  y      la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peligrosidad del medio y como producto de estos, se obtuvo el riesgo a incendios forestales.</w:t>
      </w:r>
    </w:p>
    <w:p>
      <w:pPr>
        <w:pStyle w:val="BodyText"/>
      </w:pPr>
    </w:p>
    <w:p>
      <w:pPr>
        <w:pStyle w:val="BodyText"/>
        <w:spacing w:line="360" w:lineRule="auto" w:before="142"/>
        <w:ind w:left="102" w:right="116"/>
        <w:jc w:val="both"/>
      </w:pPr>
      <w:r>
        <w:rPr/>
        <w:t>El mapa de riesgo se validó a través del análisis de imágenes de satélite donde se identificaron las áreas quemadas y se compararon con el mapa de riesgo.  Posterior a ello, se realizó autocorrelación espacial mediante el índice de Moran, para conocer la concentración o dispersión del riesgo de incendios y las áreas incendiadas.</w:t>
      </w:r>
    </w:p>
    <w:p>
      <w:pPr>
        <w:pStyle w:val="BodyText"/>
      </w:pPr>
    </w:p>
    <w:p>
      <w:pPr>
        <w:pStyle w:val="BodyText"/>
        <w:spacing w:line="360" w:lineRule="auto" w:before="142"/>
        <w:ind w:left="102" w:right="116"/>
        <w:jc w:val="both"/>
      </w:pPr>
      <w:r>
        <w:rPr/>
        <w:t>Como resultado se encontró que las delegaciones con mayor riesgo a incendios forestales son: Milpa Alta, Tlalpan, La Magdalena Contreras, Tláhuac y Gustavo A. Madero. La autocorrelación espacial mostró índices de Moran positivos, con valores similares y que tienden a repetirse. De esta forma, se validó el mapa de riesgo.</w:t>
      </w:r>
    </w:p>
    <w:p>
      <w:pPr>
        <w:spacing w:after="0" w:line="360" w:lineRule="auto"/>
        <w:jc w:val="both"/>
        <w:sectPr>
          <w:pgSz w:w="12240" w:h="15840"/>
          <w:pgMar w:header="0" w:footer="1003" w:top="1360" w:bottom="1200" w:left="1600" w:right="1580"/>
        </w:sectPr>
      </w:pPr>
    </w:p>
    <w:p>
      <w:pPr>
        <w:pStyle w:val="Heading1"/>
        <w:numPr>
          <w:ilvl w:val="0"/>
          <w:numId w:val="4"/>
        </w:numPr>
        <w:tabs>
          <w:tab w:pos="1181" w:val="left" w:leader="none"/>
          <w:tab w:pos="1182" w:val="left" w:leader="none"/>
        </w:tabs>
        <w:spacing w:line="240" w:lineRule="auto" w:before="54" w:after="0"/>
        <w:ind w:left="1182" w:right="0" w:hanging="720"/>
        <w:jc w:val="left"/>
      </w:pPr>
      <w:bookmarkStart w:name="_bookmark5" w:id="7"/>
      <w:bookmarkEnd w:id="7"/>
      <w:r>
        <w:rPr>
          <w:b w:val="0"/>
        </w:rPr>
      </w:r>
      <w:bookmarkStart w:name="_bookmark5" w:id="8"/>
      <w:bookmarkEnd w:id="8"/>
      <w:r>
        <w:rPr/>
        <w:t>P</w:t>
      </w:r>
      <w:r>
        <w:rPr/>
        <w:t>LANTEAMIENTO DEL</w:t>
      </w:r>
      <w:r>
        <w:rPr>
          <w:spacing w:val="-8"/>
        </w:rPr>
        <w:t> </w:t>
      </w:r>
      <w:r>
        <w:rPr/>
        <w:t>PROBLEMA</w:t>
      </w:r>
    </w:p>
    <w:p>
      <w:pPr>
        <w:pStyle w:val="BodyText"/>
        <w:rPr>
          <w:b/>
        </w:rPr>
      </w:pPr>
    </w:p>
    <w:p>
      <w:pPr>
        <w:pStyle w:val="BodyText"/>
        <w:spacing w:line="360" w:lineRule="auto" w:before="180"/>
        <w:ind w:left="102" w:right="116"/>
        <w:jc w:val="both"/>
      </w:pPr>
      <w:r>
        <w:rPr/>
        <w:t>En el año 1998, se presentaron a nivel nacional 14,445 incendios forestales, con una superficie afectada de 849,632 ha, de las cuales el 42% correspondieron a pastizales, el 23% arbolado y el 35% arbustos y matorrales (CONAFOR, 2013). En dicho año, el Distrito Federal registró 1,932 incendios que afectaron 5,741 ha (Dirección General de la Comisión de Recursos Naturales, 2013). En el año 2011, se presentaron a nivel nacional 12,113 incendios, afectando 956,405 ha, de las cuales el 39% correspondieron a pastizales, el 7% arbolado y el 54% arbustos y matorrales (CONAFOR, 2013). De manera particular, el Distrito Federal registró 1,373 incendios con una afectación de 4,415 ha (Dirección General de la Comisión de Recursos Naturales, 2013). Estos datos permiten identificar a 1998 y 2011 como años críticos en materia de incendios forestales, siendo el año 2004 el que presentó menor incidencia con 81,322 ha siniestradas (CONAFOR, 2013).</w:t>
      </w:r>
    </w:p>
    <w:p>
      <w:pPr>
        <w:pStyle w:val="BodyText"/>
        <w:spacing w:line="360" w:lineRule="auto" w:before="204"/>
        <w:ind w:left="102" w:right="115"/>
        <w:jc w:val="both"/>
      </w:pPr>
      <w:r>
        <w:rPr/>
        <w:t>Durante el año 2012, el Distrito Federal presentó 394 incendios forestales (CONAFOR, 2012). Sin embargo, el año 2013 registró un total de 1,159 incendios, con eventos de hasta 210 hectáreas de superficie afectada. Las delegaciones con mayor número de incendios fueron Tlalpan, Milpa Alta y Xochimilco. La causa principal de los incendios se atribuye al vandalismo (69.7%), seguido por las actividades de pastoreo (24.2%), actividades agrícolas (4.1%), y el resto (1.9%) se debe a causas como la quema de basura, cambio de uso de suelo, cazadores, pirotecnia, quemas controladas, actividades agropecuarias, fumadores, incendiarios, rescoldo mal apagado y troceros (Dirección General de la Comisión de Recursos Naturales, 2013).</w:t>
      </w:r>
    </w:p>
    <w:p>
      <w:pPr>
        <w:pStyle w:val="BodyText"/>
        <w:spacing w:line="360" w:lineRule="auto" w:before="202"/>
        <w:ind w:left="102" w:right="115"/>
        <w:jc w:val="both"/>
      </w:pPr>
      <w:r>
        <w:rPr/>
        <w:t>El Gobierno del Distrito Federal a través de la Secretaría del Medio Ambiente y ésta, de la Comisión de Recursos Naturales, implementa el “Programa de Prevención y Combate de Incendios Forestales en el Distrito Federal”. Sin embargo, a pesar de que existe dicho programa, año con año se registra una alta incidencia de incendios, algunos de ellos han generado poca o nula afectación, pero otros han sido muy intensos generando grandes daños al ecosistema e incluso;  han  cobrado  vidas  humanas.  Por ello,  el presente  trabajo  tiene  como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objetivo, analizar la dinámica espacial y temporal de los incendios forestales en el Suelo de Conservación del Distrito Federal (SCDF), periodo 1998-2012, para generar el mapa de riesgo. El mapa de riesgo resalta a escala regional, las zonas más problemáticas, permite orientar las actividades de prevención física y alerta al personal de vigilancia sobre cuáles son las zonas a las que les debe poner mayor atención.</w:t>
      </w:r>
    </w:p>
    <w:p>
      <w:pPr>
        <w:pStyle w:val="BodyText"/>
      </w:pPr>
    </w:p>
    <w:p>
      <w:pPr>
        <w:pStyle w:val="Heading1"/>
        <w:numPr>
          <w:ilvl w:val="0"/>
          <w:numId w:val="4"/>
        </w:numPr>
        <w:tabs>
          <w:tab w:pos="1181" w:val="left" w:leader="none"/>
          <w:tab w:pos="1182" w:val="left" w:leader="none"/>
        </w:tabs>
        <w:spacing w:line="240" w:lineRule="auto" w:before="206" w:after="0"/>
        <w:ind w:left="1182" w:right="0" w:hanging="720"/>
        <w:jc w:val="left"/>
      </w:pPr>
      <w:bookmarkStart w:name="_bookmark6" w:id="9"/>
      <w:bookmarkEnd w:id="9"/>
      <w:r>
        <w:rPr>
          <w:b w:val="0"/>
        </w:rPr>
      </w:r>
      <w:bookmarkStart w:name="_bookmark6" w:id="10"/>
      <w:bookmarkEnd w:id="10"/>
      <w:r>
        <w:rPr/>
        <w:t>J</w:t>
      </w:r>
      <w:r>
        <w:rPr/>
        <w:t>USTIFICACIÓN</w:t>
      </w:r>
    </w:p>
    <w:p>
      <w:pPr>
        <w:pStyle w:val="BodyText"/>
        <w:rPr>
          <w:b/>
        </w:rPr>
      </w:pPr>
    </w:p>
    <w:p>
      <w:pPr>
        <w:pStyle w:val="BodyText"/>
        <w:rPr>
          <w:b/>
        </w:rPr>
      </w:pPr>
    </w:p>
    <w:p>
      <w:pPr>
        <w:pStyle w:val="BodyText"/>
        <w:spacing w:line="360" w:lineRule="auto"/>
        <w:ind w:left="102" w:right="115"/>
        <w:jc w:val="both"/>
      </w:pPr>
      <w:r>
        <w:rPr/>
        <w:t>En el Suelo de Conservación del Distrito Federal ocurre una alta incidencia de incendios forestales por día, semana, mes y año; ocasionando daños al ambiente, afectando no solo a la fauna y flora sino también al hombre. Se genera el  mapa  de riesgo de incendios forestales de acuerdo con la metodología de Copete et al., (2007), debido que el Distrito Federal no cuenta con un instrumento que oriente dónde realizar acciones preventivas que disminuyan el número de incendios y la superficie siniestrada en el</w:t>
      </w:r>
      <w:r>
        <w:rPr>
          <w:spacing w:val="-7"/>
        </w:rPr>
        <w:t> </w:t>
      </w:r>
      <w:r>
        <w:rPr/>
        <w:t>SCDF.</w:t>
      </w:r>
    </w:p>
    <w:p>
      <w:pPr>
        <w:pStyle w:val="BodyText"/>
        <w:spacing w:line="360" w:lineRule="auto" w:before="204"/>
        <w:ind w:left="102" w:right="115" w:firstLine="67"/>
        <w:jc w:val="both"/>
      </w:pPr>
      <w:r>
        <w:rPr/>
        <w:t>El mapa de riesgo de incendios forestales, es una herramienta que focaliza zonas prioritarias y fortalecerá a las autoridades en la toma de decisiones, logrando de esta forma, la disminución de siniestros y beneficiando a las 87,297.1 hectáreas del SCDF. El valor económico de los recursos de esta zona recae en la madera, los pastos, los matorrales, los recursos hídricos, los recursos faunísticos y florísticos, el ocio, el recreo, los recursos paisajísticos, así como la disminución de las enfermedades de la población por problemas respiratorios y la disminución de la erosión del</w:t>
      </w:r>
      <w:r>
        <w:rPr>
          <w:spacing w:val="-5"/>
        </w:rPr>
        <w:t> </w:t>
      </w:r>
      <w:r>
        <w:rPr/>
        <w:t>suelo.</w:t>
      </w:r>
    </w:p>
    <w:p>
      <w:pPr>
        <w:pStyle w:val="BodyText"/>
        <w:spacing w:line="360" w:lineRule="auto" w:before="205"/>
        <w:ind w:left="102" w:right="115" w:firstLine="67"/>
        <w:jc w:val="both"/>
      </w:pPr>
      <w:r>
        <w:rPr/>
        <w:t>Al disminuir el número de incendios forestales y la superficie siniestrada, permite evitar pérdidas económicas como las reportadas en el 2008 en la Evaluación Externa de los Apoyos para la Prevención y Combate de Incendios Forestales Ejercicio fiscal 2007, donde se calculó que en el Distrito Federal, por productos primarios,   secundarios,   y   celulósicos,   se   perdieron   $1,846,227.00   pesos y</w:t>
      </w:r>
    </w:p>
    <w:p>
      <w:pPr>
        <w:pStyle w:val="BodyText"/>
        <w:spacing w:before="5"/>
        <w:ind w:left="102"/>
        <w:jc w:val="both"/>
      </w:pPr>
      <w:r>
        <w:rPr/>
        <w:t>$110,890.00  pesos por leñas. Además, el costo de  reforestación  de  las     áreas</w:t>
      </w:r>
    </w:p>
    <w:p>
      <w:pPr>
        <w:spacing w:after="0"/>
        <w:jc w:val="both"/>
        <w:sectPr>
          <w:pgSz w:w="12240" w:h="15840"/>
          <w:pgMar w:header="0" w:footer="1003" w:top="1360" w:bottom="1200" w:left="1600" w:right="1580"/>
        </w:sectPr>
      </w:pPr>
    </w:p>
    <w:p>
      <w:pPr>
        <w:pStyle w:val="BodyText"/>
        <w:spacing w:line="360" w:lineRule="auto" w:before="54"/>
        <w:ind w:left="102" w:right="119"/>
        <w:jc w:val="both"/>
      </w:pPr>
      <w:r>
        <w:rPr/>
        <w:t>afectadas ascendió a $5,296,459.00 pesos. El total de pérdidas por todos estos rubros igualó $7,253,576.00 pesos (Tchikoué, 2008).</w:t>
      </w:r>
    </w:p>
    <w:p>
      <w:pPr>
        <w:pStyle w:val="BodyText"/>
        <w:spacing w:line="360" w:lineRule="auto" w:before="204"/>
        <w:ind w:left="102" w:right="119"/>
        <w:jc w:val="both"/>
      </w:pPr>
      <w:r>
        <w:rPr/>
        <w:t>Por lo tanto, los beneficiarios principales en la disminución de incendios forestales son para los 8,851,080.00 habitantes (cifra de acuerdo al Censo de Población del INEGI, 2010), que viven en la zona metropolitana de la ciudad de México, integrada por las 16 delegaciones del Distrito Federal, así como la flora y fauna presentes en el lugar.</w:t>
      </w:r>
    </w:p>
    <w:p>
      <w:pPr>
        <w:pStyle w:val="BodyText"/>
      </w:pPr>
    </w:p>
    <w:p>
      <w:pPr>
        <w:pStyle w:val="Heading1"/>
        <w:numPr>
          <w:ilvl w:val="0"/>
          <w:numId w:val="4"/>
        </w:numPr>
        <w:tabs>
          <w:tab w:pos="1181" w:val="left" w:leader="none"/>
          <w:tab w:pos="1182" w:val="left" w:leader="none"/>
        </w:tabs>
        <w:spacing w:line="240" w:lineRule="auto" w:before="205" w:after="0"/>
        <w:ind w:left="1182" w:right="0" w:hanging="720"/>
        <w:jc w:val="left"/>
      </w:pPr>
      <w:bookmarkStart w:name="_bookmark7" w:id="11"/>
      <w:bookmarkEnd w:id="11"/>
      <w:r>
        <w:rPr>
          <w:b w:val="0"/>
        </w:rPr>
      </w:r>
      <w:bookmarkStart w:name="_bookmark7" w:id="12"/>
      <w:bookmarkEnd w:id="12"/>
      <w:r>
        <w:rPr/>
        <w:t>OBJ</w:t>
      </w:r>
      <w:r>
        <w:rPr/>
        <w:t>ETIVOS</w:t>
      </w:r>
    </w:p>
    <w:p>
      <w:pPr>
        <w:pStyle w:val="BodyText"/>
        <w:rPr>
          <w:b/>
        </w:rPr>
      </w:pPr>
    </w:p>
    <w:p>
      <w:pPr>
        <w:pStyle w:val="BodyText"/>
        <w:rPr>
          <w:b/>
        </w:rPr>
      </w:pPr>
    </w:p>
    <w:p>
      <w:pPr>
        <w:pStyle w:val="BodyText"/>
        <w:ind w:left="102"/>
        <w:jc w:val="both"/>
      </w:pPr>
      <w:r>
        <w:rPr/>
        <w:t>OBJETIVO GENERAL</w:t>
      </w:r>
    </w:p>
    <w:p>
      <w:pPr>
        <w:pStyle w:val="BodyText"/>
        <w:spacing w:line="360" w:lineRule="auto" w:before="139"/>
        <w:ind w:left="102" w:right="115"/>
        <w:jc w:val="both"/>
      </w:pPr>
      <w:r>
        <w:rPr/>
        <w:t>Analizar la dinámica espacial y temporal de los incendios forestales en el SCDF durante el periodo 1998-2012, para generar el mapa de riesgo.</w:t>
      </w:r>
    </w:p>
    <w:p>
      <w:pPr>
        <w:pStyle w:val="BodyText"/>
      </w:pPr>
    </w:p>
    <w:p>
      <w:pPr>
        <w:pStyle w:val="BodyText"/>
        <w:spacing w:before="142"/>
        <w:ind w:left="810"/>
      </w:pPr>
      <w:r>
        <w:rPr/>
        <w:t>OBJETIVOS PARTICULARES</w:t>
      </w:r>
    </w:p>
    <w:p>
      <w:pPr>
        <w:pStyle w:val="ListParagraph"/>
        <w:numPr>
          <w:ilvl w:val="1"/>
          <w:numId w:val="4"/>
        </w:numPr>
        <w:tabs>
          <w:tab w:pos="1235" w:val="left" w:leader="none"/>
        </w:tabs>
        <w:spacing w:line="350" w:lineRule="auto" w:before="140" w:after="0"/>
        <w:ind w:left="1234" w:right="121" w:hanging="424"/>
        <w:jc w:val="both"/>
        <w:rPr>
          <w:sz w:val="24"/>
        </w:rPr>
      </w:pPr>
      <w:r>
        <w:rPr>
          <w:sz w:val="24"/>
        </w:rPr>
        <w:t>Evaluar los niveles de riesgo estadístico y de la peligrosidad del medio del SCDF para identificar áreas prioritarias en</w:t>
      </w:r>
      <w:r>
        <w:rPr>
          <w:spacing w:val="-21"/>
          <w:sz w:val="24"/>
        </w:rPr>
        <w:t> </w:t>
      </w:r>
      <w:r>
        <w:rPr>
          <w:sz w:val="24"/>
        </w:rPr>
        <w:t>prevención.</w:t>
      </w:r>
    </w:p>
    <w:p>
      <w:pPr>
        <w:pStyle w:val="ListParagraph"/>
        <w:numPr>
          <w:ilvl w:val="1"/>
          <w:numId w:val="4"/>
        </w:numPr>
        <w:tabs>
          <w:tab w:pos="1235" w:val="left" w:leader="none"/>
        </w:tabs>
        <w:spacing w:line="355" w:lineRule="auto" w:before="16" w:after="0"/>
        <w:ind w:left="1234" w:right="116" w:hanging="424"/>
        <w:jc w:val="both"/>
        <w:rPr>
          <w:sz w:val="24"/>
        </w:rPr>
      </w:pPr>
      <w:r>
        <w:rPr>
          <w:sz w:val="24"/>
        </w:rPr>
        <w:t>Evaluar la confiabilidad del mapa de riesgo de incendios forestales tomando como referencia áreas quemadas, utilizando Imágenes de satélite con sensores</w:t>
      </w:r>
      <w:r>
        <w:rPr>
          <w:spacing w:val="-6"/>
          <w:sz w:val="24"/>
        </w:rPr>
        <w:t> </w:t>
      </w:r>
      <w:r>
        <w:rPr>
          <w:sz w:val="24"/>
        </w:rPr>
        <w:t>ópticos.</w:t>
      </w:r>
    </w:p>
    <w:p>
      <w:pPr>
        <w:pStyle w:val="Heading1"/>
        <w:numPr>
          <w:ilvl w:val="0"/>
          <w:numId w:val="4"/>
        </w:numPr>
        <w:tabs>
          <w:tab w:pos="1181" w:val="left" w:leader="none"/>
          <w:tab w:pos="1182" w:val="left" w:leader="none"/>
        </w:tabs>
        <w:spacing w:line="730" w:lineRule="atLeast" w:before="36" w:after="0"/>
        <w:ind w:left="102" w:right="5967" w:firstLine="360"/>
        <w:jc w:val="left"/>
      </w:pPr>
      <w:bookmarkStart w:name="_bookmark8" w:id="13"/>
      <w:bookmarkEnd w:id="13"/>
      <w:r>
        <w:rPr>
          <w:b w:val="0"/>
        </w:rPr>
      </w:r>
      <w:bookmarkStart w:name="_bookmark8" w:id="14"/>
      <w:bookmarkEnd w:id="14"/>
      <w:r>
        <w:rPr/>
        <w:t>HIP</w:t>
      </w:r>
      <w:r>
        <w:rPr/>
        <w:t>ÓTESIS Pregunta de</w:t>
      </w:r>
      <w:r>
        <w:rPr>
          <w:spacing w:val="-7"/>
        </w:rPr>
        <w:t> </w:t>
      </w:r>
      <w:r>
        <w:rPr/>
        <w:t>investigación</w:t>
      </w:r>
    </w:p>
    <w:p>
      <w:pPr>
        <w:pStyle w:val="BodyText"/>
        <w:spacing w:line="360" w:lineRule="auto" w:before="140"/>
        <w:ind w:left="102" w:right="115"/>
        <w:jc w:val="both"/>
      </w:pPr>
      <w:r>
        <w:rPr/>
        <w:t>Utilizando la base de datos histórica de incendios forestales, elaborada por la Dirección General de la Comisión de Recursos Naturales (DGCORENA) para evaluar el riesgo de estos eventos, en conjunto con imágenes ópticas satelitales como una alternativa para construir un mapa de riesgo de incendios forestales en el SCDF, se plantea la siguiente pregunta: ¿Cuáles son los factores territoriales más relacionados con la incidencia de incendios? y al respecto se plantean las siguientes hipótesis:</w:t>
      </w:r>
    </w:p>
    <w:p>
      <w:pPr>
        <w:spacing w:after="0" w:line="360" w:lineRule="auto"/>
        <w:jc w:val="both"/>
        <w:sectPr>
          <w:pgSz w:w="12240" w:h="15840"/>
          <w:pgMar w:header="0" w:footer="1003" w:top="1360" w:bottom="1200" w:left="1600" w:right="1580"/>
        </w:sectPr>
      </w:pPr>
    </w:p>
    <w:p>
      <w:pPr>
        <w:pStyle w:val="BodyText"/>
        <w:spacing w:line="350" w:lineRule="auto" w:before="54"/>
        <w:ind w:left="102" w:right="431"/>
      </w:pPr>
      <w:r>
        <w:rPr/>
        <w:t>Ho</w:t>
      </w:r>
      <w:r>
        <w:rPr>
          <w:position w:val="-2"/>
          <w:sz w:val="16"/>
        </w:rPr>
        <w:t>1</w:t>
      </w:r>
      <w:r>
        <w:rPr/>
        <w:t>. Los factores territoriales en el SCDF no inciden en el número de incendios. Ha</w:t>
      </w:r>
      <w:r>
        <w:rPr>
          <w:position w:val="-2"/>
          <w:sz w:val="16"/>
        </w:rPr>
        <w:t>2</w:t>
      </w:r>
      <w:r>
        <w:rPr/>
        <w:t>. Los factores territoriales en el SCDF si inciden en el número de incendios.</w:t>
      </w:r>
    </w:p>
    <w:p>
      <w:pPr>
        <w:spacing w:after="0" w:line="350" w:lineRule="auto"/>
        <w:sectPr>
          <w:pgSz w:w="12240" w:h="15840"/>
          <w:pgMar w:header="0" w:footer="1003" w:top="1360" w:bottom="1200" w:left="1600" w:right="1580"/>
        </w:sectPr>
      </w:pPr>
    </w:p>
    <w:p>
      <w:pPr>
        <w:pStyle w:val="Heading1"/>
        <w:numPr>
          <w:ilvl w:val="0"/>
          <w:numId w:val="5"/>
        </w:numPr>
        <w:tabs>
          <w:tab w:pos="822" w:val="left" w:leader="none"/>
        </w:tabs>
        <w:spacing w:line="240" w:lineRule="auto" w:before="54" w:after="0"/>
        <w:ind w:left="102" w:right="0" w:firstLine="360"/>
        <w:jc w:val="left"/>
      </w:pPr>
      <w:bookmarkStart w:name="_bookmark9" w:id="15"/>
      <w:bookmarkEnd w:id="15"/>
      <w:r>
        <w:rPr>
          <w:b w:val="0"/>
        </w:rPr>
      </w:r>
      <w:bookmarkStart w:name="_bookmark9" w:id="16"/>
      <w:bookmarkEnd w:id="16"/>
      <w:r>
        <w:rPr/>
        <w:t>M</w:t>
      </w:r>
      <w:r>
        <w:rPr/>
        <w:t>ARCO</w:t>
      </w:r>
      <w:r>
        <w:rPr>
          <w:spacing w:val="-5"/>
        </w:rPr>
        <w:t> </w:t>
      </w:r>
      <w:r>
        <w:rPr/>
        <w:t>TEÓRICO</w:t>
      </w:r>
    </w:p>
    <w:p>
      <w:pPr>
        <w:pStyle w:val="BodyText"/>
        <w:rPr>
          <w:b/>
        </w:rPr>
      </w:pPr>
    </w:p>
    <w:p>
      <w:pPr>
        <w:pStyle w:val="BodyText"/>
        <w:spacing w:line="360" w:lineRule="auto" w:before="180"/>
        <w:ind w:left="102" w:right="115"/>
        <w:jc w:val="both"/>
      </w:pPr>
      <w:r>
        <w:rPr/>
        <w:t>Actualmente el fenómeno de riesgo por incendios forestales se ha abordado por geógrafos, ingenieros forestales, economistas, ecólogos, físicos, entre otros. Birot (2009), menciona que los aspectos relacionados con los incendios forestales, se abordan principalmente en el marco de las políticas forestales nacionales de los países mediterráneos. El tema ha sido parte de la agenda política de la Unión Europea desde los años 80 y ha resultado en el establecimiento de la legislación preventiva sobre los incendios forestales en 1992.</w:t>
      </w:r>
    </w:p>
    <w:p>
      <w:pPr>
        <w:pStyle w:val="BodyText"/>
      </w:pPr>
    </w:p>
    <w:p>
      <w:pPr>
        <w:pStyle w:val="BodyText"/>
        <w:spacing w:line="360" w:lineRule="auto" w:before="142"/>
        <w:ind w:left="102" w:right="118"/>
        <w:jc w:val="both"/>
      </w:pPr>
      <w:r>
        <w:rPr/>
        <w:t>Los sistemas de evaluación de riesgo o peligro de incendios forestales, son herramientas muy útiles para la planificación del Plan de Prevención de incendios. Normalmente se componen de índices, cada uno de los cuales es un indicador de la contribución de un determinado factor de probabilidad de que ocurra un incendio (Miliarium, 2008).</w:t>
      </w:r>
    </w:p>
    <w:p>
      <w:pPr>
        <w:pStyle w:val="BodyText"/>
      </w:pPr>
    </w:p>
    <w:p>
      <w:pPr>
        <w:pStyle w:val="BodyText"/>
        <w:spacing w:before="8"/>
        <w:rPr>
          <w:sz w:val="29"/>
        </w:rPr>
      </w:pPr>
    </w:p>
    <w:p>
      <w:pPr>
        <w:pStyle w:val="Heading1"/>
        <w:numPr>
          <w:ilvl w:val="1"/>
          <w:numId w:val="6"/>
        </w:numPr>
        <w:tabs>
          <w:tab w:pos="506" w:val="left" w:leader="none"/>
        </w:tabs>
        <w:spacing w:line="240" w:lineRule="auto" w:before="0" w:after="0"/>
        <w:ind w:left="505" w:right="0" w:hanging="403"/>
        <w:jc w:val="both"/>
      </w:pPr>
      <w:bookmarkStart w:name="_bookmark10" w:id="17"/>
      <w:bookmarkEnd w:id="17"/>
      <w:r>
        <w:rPr>
          <w:b w:val="0"/>
        </w:rPr>
      </w:r>
      <w:bookmarkStart w:name="_bookmark10" w:id="18"/>
      <w:bookmarkEnd w:id="18"/>
      <w:r>
        <w:rPr/>
        <w:t>Índ</w:t>
      </w:r>
      <w:r>
        <w:rPr/>
        <w:t>ices</w:t>
      </w:r>
    </w:p>
    <w:p>
      <w:pPr>
        <w:pStyle w:val="BodyText"/>
        <w:rPr>
          <w:b/>
        </w:rPr>
      </w:pPr>
    </w:p>
    <w:p>
      <w:pPr>
        <w:pStyle w:val="BodyText"/>
        <w:spacing w:line="360" w:lineRule="auto" w:before="180"/>
        <w:ind w:left="102" w:right="115"/>
        <w:jc w:val="both"/>
      </w:pPr>
      <w:r>
        <w:rPr/>
        <w:t>Ha aumentado la investigación sobre el diseño de indicadores que predicen la ocurrencia de incendios y que consideran condiciones ambientales y </w:t>
      </w:r>
      <w:r>
        <w:rPr>
          <w:spacing w:val="5"/>
        </w:rPr>
        <w:t>de </w:t>
      </w:r>
      <w:r>
        <w:rPr/>
        <w:t>los combustibles, así como los factores que pueden iniciar el fuego en el bosque. Algunos indicadores se conocen genéricamente como índices de peligro y para su diseño se usan variables meteorológicas como velocidad del viento, precipitación, temperatura, humedad o sus combinaciones, mezcladas con modelos de disponibilidad de combustibles (composición y nivel </w:t>
      </w:r>
      <w:r>
        <w:rPr>
          <w:spacing w:val="3"/>
        </w:rPr>
        <w:t>de </w:t>
      </w:r>
      <w:r>
        <w:rPr/>
        <w:t>humedad) y ocasionalmente algunas variables de comportamiento histórico para calcular la probabilidad de ocurrencia de un evento (Torres </w:t>
      </w:r>
      <w:r>
        <w:rPr>
          <w:i/>
        </w:rPr>
        <w:t>et al</w:t>
      </w:r>
      <w:r>
        <w:rPr/>
        <w:t>.,</w:t>
      </w:r>
      <w:r>
        <w:rPr>
          <w:spacing w:val="-17"/>
        </w:rPr>
        <w:t> </w:t>
      </w:r>
      <w:r>
        <w:rPr/>
        <w:t>2007).</w:t>
      </w:r>
    </w:p>
    <w:p>
      <w:pPr>
        <w:pStyle w:val="BodyText"/>
        <w:spacing w:line="360" w:lineRule="auto" w:before="204"/>
        <w:ind w:left="102" w:right="115"/>
        <w:jc w:val="both"/>
      </w:pPr>
      <w:r>
        <w:rPr/>
        <w:t>Existen formas para clasificar los índices de peligro, la más simple según Torres </w:t>
      </w:r>
      <w:r>
        <w:rPr>
          <w:i/>
        </w:rPr>
        <w:t>et </w:t>
      </w:r>
      <w:r>
        <w:rPr>
          <w:i/>
        </w:rPr>
        <w:t>al</w:t>
      </w:r>
      <w:r>
        <w:rPr/>
        <w:t>., (2007), se basa en el tipo de información usada y la clase de predicción que realiza.</w:t>
      </w:r>
    </w:p>
    <w:p>
      <w:pPr>
        <w:spacing w:after="0" w:line="360" w:lineRule="auto"/>
        <w:jc w:val="both"/>
        <w:sectPr>
          <w:pgSz w:w="12240" w:h="15840"/>
          <w:pgMar w:header="0" w:footer="1003" w:top="1360" w:bottom="1200" w:left="1600" w:right="1580"/>
        </w:sectPr>
      </w:pPr>
    </w:p>
    <w:p>
      <w:pPr>
        <w:pStyle w:val="BodyText"/>
        <w:spacing w:line="360" w:lineRule="auto" w:before="54"/>
        <w:ind w:left="222" w:right="156"/>
        <w:jc w:val="both"/>
      </w:pPr>
      <w:r>
        <w:rPr/>
        <w:t>Cuando se consideran los índices de corto plazo, es para hacer estimaciones diarias del riesgo de incendios con propósitos tácticos y operativos. A largo plazo se usan para evaluar riesgos a varias escalas con fines estratégicos. Por ende, se usan para determinar áreas con alto riesgo de incendio causado por las condiciones intrínsecas de la zona, así como para determinar áreas donde se debería reforzar la prevención y combate de incendios mediante inversión en infraestructura o priorizar la asignación de presupuesto para prevención y combate (Torres </w:t>
      </w:r>
      <w:r>
        <w:rPr>
          <w:i/>
        </w:rPr>
        <w:t>et al</w:t>
      </w:r>
      <w:r>
        <w:rPr/>
        <w:t>. 2007).</w:t>
      </w:r>
    </w:p>
    <w:p>
      <w:pPr>
        <w:pStyle w:val="BodyText"/>
      </w:pPr>
    </w:p>
    <w:p>
      <w:pPr>
        <w:pStyle w:val="BodyText"/>
        <w:spacing w:line="720" w:lineRule="auto" w:before="145"/>
        <w:ind w:left="222" w:right="1613"/>
      </w:pPr>
      <w:r>
        <w:rPr/>
        <w:pict>
          <v:shape style="position:absolute;margin-left:79.463997pt;margin-top:69.385887pt;width:449.75pt;height:386.25pt;mso-position-horizontal-relative:page;mso-position-vertical-relative:paragraph;z-index:11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7170"/>
                  </w:tblGrid>
                  <w:tr>
                    <w:trPr>
                      <w:trHeight w:val="425" w:hRule="exact"/>
                    </w:trPr>
                    <w:tc>
                      <w:tcPr>
                        <w:tcW w:w="1810" w:type="dxa"/>
                      </w:tcPr>
                      <w:p>
                        <w:pPr>
                          <w:pStyle w:val="TableParagraph"/>
                          <w:spacing w:line="274" w:lineRule="exact" w:before="0"/>
                          <w:ind w:left="551" w:right="100"/>
                          <w:rPr>
                            <w:b/>
                            <w:sz w:val="24"/>
                          </w:rPr>
                        </w:pPr>
                        <w:r>
                          <w:rPr>
                            <w:b/>
                            <w:sz w:val="24"/>
                          </w:rPr>
                          <w:t>Índice</w:t>
                        </w:r>
                      </w:p>
                    </w:tc>
                    <w:tc>
                      <w:tcPr>
                        <w:tcW w:w="7170" w:type="dxa"/>
                      </w:tcPr>
                      <w:p>
                        <w:pPr>
                          <w:pStyle w:val="TableParagraph"/>
                          <w:spacing w:line="274" w:lineRule="exact" w:before="0"/>
                          <w:ind w:left="2131" w:right="142"/>
                          <w:rPr>
                            <w:b/>
                            <w:sz w:val="24"/>
                          </w:rPr>
                        </w:pPr>
                        <w:r>
                          <w:rPr>
                            <w:b/>
                            <w:sz w:val="24"/>
                          </w:rPr>
                          <w:t>Características del índice</w:t>
                        </w:r>
                      </w:p>
                    </w:tc>
                  </w:tr>
                  <w:tr>
                    <w:trPr>
                      <w:trHeight w:val="3812" w:hRule="exact"/>
                    </w:trPr>
                    <w:tc>
                      <w:tcPr>
                        <w:tcW w:w="1810" w:type="dxa"/>
                      </w:tcPr>
                      <w:p>
                        <w:pPr>
                          <w:pStyle w:val="TableParagraph"/>
                          <w:tabs>
                            <w:tab w:pos="1597" w:val="left" w:leader="none"/>
                          </w:tabs>
                          <w:spacing w:line="360" w:lineRule="auto" w:before="0"/>
                          <w:ind w:left="103" w:right="100"/>
                          <w:jc w:val="both"/>
                          <w:rPr>
                            <w:sz w:val="20"/>
                          </w:rPr>
                        </w:pPr>
                        <w:r>
                          <w:rPr>
                            <w:sz w:val="20"/>
                          </w:rPr>
                          <w:t>De Nesterov (Dentoni</w:t>
                          <w:tab/>
                          <w:t>y Muñoz,</w:t>
                        </w:r>
                        <w:r>
                          <w:rPr>
                            <w:spacing w:val="-7"/>
                            <w:sz w:val="20"/>
                          </w:rPr>
                          <w:t> </w:t>
                        </w:r>
                        <w:r>
                          <w:rPr>
                            <w:sz w:val="20"/>
                          </w:rPr>
                          <w:t>2012).</w:t>
                        </w:r>
                      </w:p>
                    </w:tc>
                    <w:tc>
                      <w:tcPr>
                        <w:tcW w:w="7170" w:type="dxa"/>
                      </w:tcPr>
                      <w:p>
                        <w:pPr>
                          <w:pStyle w:val="TableParagraph"/>
                          <w:spacing w:line="360" w:lineRule="auto" w:before="0"/>
                          <w:ind w:left="103" w:right="105"/>
                          <w:jc w:val="both"/>
                          <w:rPr>
                            <w:sz w:val="20"/>
                          </w:rPr>
                        </w:pPr>
                        <w:r>
                          <w:rPr>
                            <w:sz w:val="20"/>
                          </w:rPr>
                          <w:t>Desarrollado por la antigua Unión Soviética, se ajusta a las condiciones climatológicas características de estos países. El Índice de Nesterov es el  más frecuentemente utilizado de los diversos índices desarrollados en la Unión Soviética. El mismo, es utilizado como un índice de ignición en el área de cobertura de una determinada estación meteorológica. En su forma original, su ecuación básica</w:t>
                        </w:r>
                        <w:r>
                          <w:rPr>
                            <w:spacing w:val="-12"/>
                            <w:sz w:val="20"/>
                          </w:rPr>
                          <w:t> </w:t>
                        </w:r>
                        <w:r>
                          <w:rPr>
                            <w:sz w:val="20"/>
                          </w:rPr>
                          <w:t>es:</w:t>
                        </w:r>
                      </w:p>
                      <w:p>
                        <w:pPr>
                          <w:pStyle w:val="TableParagraph"/>
                          <w:spacing w:before="1"/>
                          <w:ind w:left="1"/>
                          <w:jc w:val="center"/>
                          <w:rPr>
                            <w:rFonts w:ascii="Cambria Math"/>
                            <w:sz w:val="20"/>
                          </w:rPr>
                        </w:pPr>
                        <w:r>
                          <w:rPr>
                            <w:rFonts w:ascii="Cambria Math"/>
                            <w:w w:val="331"/>
                            <w:sz w:val="20"/>
                          </w:rPr>
                          <w:t> </w:t>
                        </w:r>
                        <w:r>
                          <w:rPr>
                            <w:rFonts w:ascii="Cambria Math"/>
                            <w:spacing w:val="16"/>
                            <w:sz w:val="20"/>
                          </w:rPr>
                          <w:t> </w:t>
                        </w:r>
                        <w:r>
                          <w:rPr>
                            <w:rFonts w:ascii="Cambria Math"/>
                            <w:w w:val="337"/>
                            <w:sz w:val="20"/>
                          </w:rPr>
                          <w:t> </w:t>
                        </w:r>
                        <w:r>
                          <w:rPr>
                            <w:rFonts w:ascii="Cambria Math"/>
                            <w:spacing w:val="13"/>
                            <w:sz w:val="20"/>
                          </w:rPr>
                          <w:t> </w:t>
                        </w:r>
                        <w:r>
                          <w:rPr>
                            <w:rFonts w:ascii="Cambria Math"/>
                            <w:spacing w:val="-2"/>
                            <w:w w:val="247"/>
                            <w:sz w:val="20"/>
                          </w:rPr>
                          <w:t> </w:t>
                        </w:r>
                        <w:r>
                          <w:rPr>
                            <w:rFonts w:ascii="Cambria Math"/>
                            <w:spacing w:val="1"/>
                            <w:w w:val="187"/>
                            <w:sz w:val="20"/>
                          </w:rPr>
                          <w:t> </w:t>
                        </w:r>
                        <w:r>
                          <w:rPr>
                            <w:rFonts w:ascii="Cambria Math"/>
                            <w:spacing w:val="6"/>
                            <w:w w:val="262"/>
                            <w:sz w:val="20"/>
                          </w:rPr>
                          <w:t> </w:t>
                        </w:r>
                        <w:r>
                          <w:rPr>
                            <w:rFonts w:ascii="Cambria Math"/>
                            <w:w w:val="92"/>
                            <w:sz w:val="20"/>
                          </w:rPr>
                          <w:t> </w:t>
                        </w:r>
                        <w:r>
                          <w:rPr>
                            <w:rFonts w:ascii="Cambria Math"/>
                            <w:spacing w:val="-11"/>
                            <w:sz w:val="20"/>
                          </w:rPr>
                          <w:t> </w:t>
                        </w:r>
                        <w:r>
                          <w:rPr>
                            <w:rFonts w:ascii="Cambria Math"/>
                            <w:spacing w:val="5"/>
                            <w:w w:val="178"/>
                            <w:sz w:val="20"/>
                          </w:rPr>
                          <w:t> </w:t>
                        </w:r>
                        <w:r>
                          <w:rPr>
                            <w:rFonts w:ascii="Cambria Math"/>
                            <w:w w:val="187"/>
                            <w:sz w:val="20"/>
                          </w:rPr>
                          <w:t> </w:t>
                        </w:r>
                      </w:p>
                      <w:p>
                        <w:pPr>
                          <w:pStyle w:val="TableParagraph"/>
                          <w:spacing w:before="118"/>
                          <w:ind w:left="103"/>
                          <w:jc w:val="both"/>
                          <w:rPr>
                            <w:sz w:val="20"/>
                          </w:rPr>
                        </w:pPr>
                        <w:r>
                          <w:rPr>
                            <w:sz w:val="20"/>
                          </w:rPr>
                          <w:t>Donde:</w:t>
                        </w:r>
                      </w:p>
                      <w:p>
                        <w:pPr>
                          <w:pStyle w:val="TableParagraph"/>
                          <w:spacing w:before="115"/>
                          <w:ind w:left="103"/>
                          <w:jc w:val="both"/>
                          <w:rPr>
                            <w:sz w:val="20"/>
                          </w:rPr>
                        </w:pPr>
                        <w:r>
                          <w:rPr>
                            <w:sz w:val="20"/>
                          </w:rPr>
                          <w:t>N: Índice de Nesterov</w:t>
                        </w:r>
                      </w:p>
                      <w:p>
                        <w:pPr>
                          <w:pStyle w:val="TableParagraph"/>
                          <w:spacing w:line="357" w:lineRule="auto" w:before="115"/>
                          <w:ind w:left="103" w:right="3858"/>
                          <w:rPr>
                            <w:sz w:val="20"/>
                          </w:rPr>
                        </w:pPr>
                        <w:r>
                          <w:rPr>
                            <w:sz w:val="20"/>
                          </w:rPr>
                          <w:t>d: déficit de saturación del aire (mb) t: temperatura del aire (°C)</w:t>
                        </w:r>
                      </w:p>
                    </w:tc>
                  </w:tr>
                  <w:tr>
                    <w:trPr>
                      <w:trHeight w:val="2432" w:hRule="exact"/>
                    </w:trPr>
                    <w:tc>
                      <w:tcPr>
                        <w:tcW w:w="1810" w:type="dxa"/>
                      </w:tcPr>
                      <w:p>
                        <w:pPr>
                          <w:pStyle w:val="TableParagraph"/>
                          <w:tabs>
                            <w:tab w:pos="1017" w:val="left" w:leader="none"/>
                            <w:tab w:pos="1597" w:val="left" w:leader="none"/>
                          </w:tabs>
                          <w:spacing w:line="360" w:lineRule="auto" w:before="0"/>
                          <w:ind w:left="103" w:right="100"/>
                          <w:jc w:val="both"/>
                          <w:rPr>
                            <w:sz w:val="20"/>
                          </w:rPr>
                        </w:pPr>
                        <w:r>
                          <w:rPr>
                            <w:sz w:val="20"/>
                          </w:rPr>
                          <w:t>De</w:t>
                          <w:tab/>
                          <w:t>Tellysin (Dentoni</w:t>
                          <w:tab/>
                          <w:tab/>
                          <w:t>y Muñoz,</w:t>
                        </w:r>
                        <w:r>
                          <w:rPr>
                            <w:spacing w:val="-7"/>
                            <w:sz w:val="20"/>
                          </w:rPr>
                          <w:t> </w:t>
                        </w:r>
                        <w:r>
                          <w:rPr>
                            <w:sz w:val="20"/>
                          </w:rPr>
                          <w:t>2012).</w:t>
                        </w:r>
                      </w:p>
                    </w:tc>
                    <w:tc>
                      <w:tcPr>
                        <w:tcW w:w="7170" w:type="dxa"/>
                      </w:tcPr>
                      <w:p>
                        <w:pPr>
                          <w:pStyle w:val="TableParagraph"/>
                          <w:spacing w:line="360" w:lineRule="auto" w:before="0"/>
                          <w:ind w:left="103" w:right="142"/>
                          <w:rPr>
                            <w:sz w:val="20"/>
                          </w:rPr>
                        </w:pPr>
                        <w:r>
                          <w:rPr>
                            <w:sz w:val="20"/>
                          </w:rPr>
                          <w:t>El índice de Tellysin también fue desarrollado en la antigua unión soviética. Su ecuación básica es la</w:t>
                        </w:r>
                        <w:r>
                          <w:rPr>
                            <w:spacing w:val="-11"/>
                            <w:sz w:val="20"/>
                          </w:rPr>
                          <w:t> </w:t>
                        </w:r>
                        <w:r>
                          <w:rPr>
                            <w:sz w:val="20"/>
                          </w:rPr>
                          <w:t>siguiente:</w:t>
                        </w:r>
                      </w:p>
                      <w:p>
                        <w:pPr>
                          <w:pStyle w:val="TableParagraph"/>
                          <w:spacing w:before="4"/>
                          <w:ind w:right="1"/>
                          <w:jc w:val="center"/>
                          <w:rPr>
                            <w:rFonts w:ascii="Cambria Math"/>
                            <w:sz w:val="20"/>
                          </w:rPr>
                        </w:pPr>
                        <w:r>
                          <w:rPr>
                            <w:rFonts w:ascii="Cambria Math"/>
                            <w:w w:val="269"/>
                            <w:sz w:val="20"/>
                          </w:rPr>
                          <w:t> </w:t>
                        </w:r>
                        <w:r>
                          <w:rPr>
                            <w:rFonts w:ascii="Cambria Math"/>
                            <w:spacing w:val="17"/>
                            <w:sz w:val="20"/>
                          </w:rPr>
                          <w:t> </w:t>
                        </w:r>
                        <w:r>
                          <w:rPr>
                            <w:rFonts w:ascii="Cambria Math"/>
                            <w:w w:val="337"/>
                            <w:sz w:val="20"/>
                          </w:rPr>
                          <w:t> </w:t>
                        </w:r>
                        <w:r>
                          <w:rPr>
                            <w:rFonts w:ascii="Cambria Math"/>
                            <w:spacing w:val="11"/>
                            <w:sz w:val="20"/>
                          </w:rPr>
                          <w:t> </w:t>
                        </w:r>
                        <w:r>
                          <w:rPr>
                            <w:rFonts w:ascii="Cambria Math"/>
                            <w:spacing w:val="-2"/>
                            <w:w w:val="247"/>
                            <w:sz w:val="20"/>
                          </w:rPr>
                          <w:t> </w:t>
                        </w:r>
                        <w:r>
                          <w:rPr>
                            <w:rFonts w:ascii="Cambria Math"/>
                            <w:spacing w:val="1"/>
                            <w:w w:val="122"/>
                            <w:sz w:val="20"/>
                          </w:rPr>
                          <w:t> </w:t>
                        </w:r>
                        <w:r>
                          <w:rPr>
                            <w:rFonts w:ascii="Cambria Math"/>
                            <w:w w:val="231"/>
                            <w:sz w:val="20"/>
                          </w:rPr>
                          <w:t> </w:t>
                        </w:r>
                        <w:r>
                          <w:rPr>
                            <w:rFonts w:ascii="Cambria Math"/>
                            <w:spacing w:val="2"/>
                            <w:w w:val="231"/>
                            <w:sz w:val="20"/>
                          </w:rPr>
                          <w:t> </w:t>
                        </w:r>
                        <w:r>
                          <w:rPr>
                            <w:rFonts w:ascii="Cambria Math"/>
                            <w:spacing w:val="-2"/>
                            <w:w w:val="187"/>
                            <w:sz w:val="20"/>
                          </w:rPr>
                          <w:t> </w:t>
                        </w:r>
                        <w:r>
                          <w:rPr>
                            <w:rFonts w:ascii="Cambria Math"/>
                            <w:w w:val="178"/>
                            <w:sz w:val="20"/>
                          </w:rPr>
                          <w:t> </w:t>
                        </w:r>
                        <w:r>
                          <w:rPr>
                            <w:rFonts w:ascii="Cambria Math"/>
                            <w:spacing w:val="6"/>
                            <w:sz w:val="20"/>
                          </w:rPr>
                          <w:t> </w:t>
                        </w:r>
                        <w:r>
                          <w:rPr>
                            <w:rFonts w:ascii="Cambria Math"/>
                            <w:w w:val="337"/>
                            <w:sz w:val="20"/>
                          </w:rPr>
                          <w:t> </w:t>
                        </w:r>
                        <w:r>
                          <w:rPr>
                            <w:rFonts w:ascii="Cambria Math"/>
                            <w:spacing w:val="1"/>
                            <w:sz w:val="20"/>
                          </w:rPr>
                          <w:t> </w:t>
                        </w:r>
                        <w:r>
                          <w:rPr>
                            <w:rFonts w:ascii="Cambria Math"/>
                            <w:w w:val="220"/>
                            <w:sz w:val="20"/>
                          </w:rPr>
                          <w:t> </w:t>
                        </w:r>
                        <w:r>
                          <w:rPr>
                            <w:rFonts w:ascii="Cambria Math"/>
                            <w:spacing w:val="4"/>
                            <w:w w:val="220"/>
                            <w:sz w:val="20"/>
                          </w:rPr>
                          <w:t> </w:t>
                        </w:r>
                        <w:r>
                          <w:rPr>
                            <w:rFonts w:ascii="Cambria Math"/>
                            <w:w w:val="187"/>
                            <w:sz w:val="20"/>
                          </w:rPr>
                          <w:t> </w:t>
                        </w:r>
                      </w:p>
                      <w:p>
                        <w:pPr>
                          <w:pStyle w:val="TableParagraph"/>
                          <w:spacing w:before="116"/>
                          <w:ind w:left="103" w:right="142"/>
                          <w:rPr>
                            <w:sz w:val="20"/>
                          </w:rPr>
                        </w:pPr>
                        <w:r>
                          <w:rPr>
                            <w:sz w:val="20"/>
                          </w:rPr>
                          <w:t>Donde:</w:t>
                        </w:r>
                      </w:p>
                      <w:p>
                        <w:pPr>
                          <w:pStyle w:val="TableParagraph"/>
                          <w:spacing w:before="115"/>
                          <w:ind w:left="103" w:right="142"/>
                          <w:rPr>
                            <w:sz w:val="20"/>
                          </w:rPr>
                        </w:pPr>
                        <w:r>
                          <w:rPr>
                            <w:sz w:val="20"/>
                          </w:rPr>
                          <w:t>T: índice Tellysin</w:t>
                        </w:r>
                      </w:p>
                      <w:p>
                        <w:pPr>
                          <w:pStyle w:val="TableParagraph"/>
                          <w:spacing w:line="357" w:lineRule="auto" w:before="115"/>
                          <w:ind w:left="103" w:right="4668"/>
                          <w:rPr>
                            <w:sz w:val="20"/>
                          </w:rPr>
                        </w:pPr>
                        <w:r>
                          <w:rPr>
                            <w:sz w:val="20"/>
                          </w:rPr>
                          <w:t>t: temperatura del aire (°C) td: punto de rocío (°C)</w:t>
                        </w:r>
                      </w:p>
                    </w:tc>
                  </w:tr>
                  <w:tr>
                    <w:trPr>
                      <w:trHeight w:val="1046" w:hRule="exact"/>
                    </w:trPr>
                    <w:tc>
                      <w:tcPr>
                        <w:tcW w:w="1810" w:type="dxa"/>
                      </w:tcPr>
                      <w:p>
                        <w:pPr>
                          <w:pStyle w:val="TableParagraph"/>
                          <w:tabs>
                            <w:tab w:pos="1597" w:val="left" w:leader="none"/>
                          </w:tabs>
                          <w:spacing w:line="360" w:lineRule="auto" w:before="0"/>
                          <w:ind w:left="103" w:right="100"/>
                          <w:jc w:val="both"/>
                          <w:rPr>
                            <w:sz w:val="20"/>
                          </w:rPr>
                        </w:pPr>
                        <w:r>
                          <w:rPr>
                            <w:sz w:val="20"/>
                          </w:rPr>
                          <w:t>De Monte Alegre o de Soarez (Dentoni</w:t>
                          <w:tab/>
                          <w:t>y</w:t>
                        </w:r>
                      </w:p>
                    </w:tc>
                    <w:tc>
                      <w:tcPr>
                        <w:tcW w:w="7170" w:type="dxa"/>
                      </w:tcPr>
                      <w:p>
                        <w:pPr>
                          <w:pStyle w:val="TableParagraph"/>
                          <w:spacing w:line="360" w:lineRule="auto" w:before="0"/>
                          <w:ind w:left="103" w:right="108"/>
                          <w:jc w:val="both"/>
                          <w:rPr>
                            <w:sz w:val="20"/>
                          </w:rPr>
                        </w:pPr>
                        <w:r>
                          <w:rPr>
                            <w:sz w:val="20"/>
                          </w:rPr>
                          <w:t>Fue desarrollado para ecosistemas húmedos del sudeste de Brasil. Este índice además de los ecosistemas húmedos de Brasil, también se aplica a algunas provincias del norte y noreste de Argentina.</w:t>
                        </w:r>
                      </w:p>
                    </w:tc>
                  </w:tr>
                </w:tbl>
                <w:p>
                  <w:pPr>
                    <w:pStyle w:val="BodyText"/>
                  </w:pPr>
                </w:p>
              </w:txbxContent>
            </v:textbox>
            <w10:wrap type="none"/>
          </v:shape>
        </w:pict>
      </w:r>
      <w:r>
        <w:rPr/>
        <w:t>A continuación se enumeran algunos índices de incendios forestales: Cuadro 1: Índices de incendios forestales.</w:t>
      </w:r>
    </w:p>
    <w:p>
      <w:pPr>
        <w:spacing w:after="0" w:line="720" w:lineRule="auto"/>
        <w:sectPr>
          <w:pgSz w:w="12240" w:h="15840"/>
          <w:pgMar w:header="0" w:footer="1003" w:top="1360" w:bottom="120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7170"/>
      </w:tblGrid>
      <w:tr>
        <w:trPr>
          <w:trHeight w:val="1743" w:hRule="exact"/>
        </w:trPr>
        <w:tc>
          <w:tcPr>
            <w:tcW w:w="1810" w:type="dxa"/>
          </w:tcPr>
          <w:p>
            <w:pPr>
              <w:pStyle w:val="TableParagraph"/>
              <w:spacing w:line="226" w:lineRule="exact" w:before="0"/>
              <w:ind w:left="103" w:right="100"/>
              <w:rPr>
                <w:sz w:val="20"/>
              </w:rPr>
            </w:pPr>
            <w:r>
              <w:rPr>
                <w:sz w:val="20"/>
              </w:rPr>
              <w:t>Muñoz, 2012).</w:t>
            </w:r>
          </w:p>
        </w:tc>
        <w:tc>
          <w:tcPr>
            <w:tcW w:w="7170" w:type="dxa"/>
          </w:tcPr>
          <w:p>
            <w:pPr>
              <w:pStyle w:val="TableParagraph"/>
              <w:spacing w:line="226" w:lineRule="exact" w:before="0"/>
              <w:ind w:left="103" w:right="142"/>
              <w:rPr>
                <w:sz w:val="20"/>
              </w:rPr>
            </w:pPr>
            <w:r>
              <w:rPr>
                <w:sz w:val="20"/>
              </w:rPr>
              <w:t>Su ecuación es la siguiente:</w:t>
            </w:r>
          </w:p>
          <w:p>
            <w:pPr>
              <w:pStyle w:val="TableParagraph"/>
              <w:spacing w:before="113"/>
              <w:ind w:right="4"/>
              <w:jc w:val="center"/>
              <w:rPr>
                <w:rFonts w:ascii="Cambria Math"/>
                <w:sz w:val="20"/>
              </w:rPr>
            </w:pPr>
            <w:r>
              <w:rPr>
                <w:rFonts w:ascii="Cambria Math"/>
                <w:w w:val="315"/>
                <w:sz w:val="20"/>
              </w:rPr>
              <w:t>   </w:t>
            </w:r>
            <w:r>
              <w:rPr>
                <w:rFonts w:ascii="Cambria Math"/>
                <w:spacing w:val="15"/>
                <w:sz w:val="20"/>
              </w:rPr>
              <w:t> </w:t>
            </w:r>
            <w:r>
              <w:rPr>
                <w:rFonts w:ascii="Cambria Math"/>
                <w:w w:val="337"/>
                <w:sz w:val="20"/>
              </w:rPr>
              <w:t> </w:t>
            </w:r>
            <w:r>
              <w:rPr>
                <w:rFonts w:ascii="Cambria Math"/>
                <w:spacing w:val="11"/>
                <w:sz w:val="20"/>
              </w:rPr>
              <w:t> </w:t>
            </w:r>
            <w:r>
              <w:rPr>
                <w:rFonts w:ascii="Cambria Math"/>
                <w:w w:val="250"/>
                <w:sz w:val="20"/>
              </w:rPr>
              <w:t>   </w:t>
            </w:r>
            <w:r>
              <w:rPr>
                <w:rFonts w:ascii="Cambria Math"/>
                <w:spacing w:val="1"/>
                <w:sz w:val="20"/>
              </w:rPr>
              <w:t> </w:t>
            </w:r>
            <w:r>
              <w:rPr>
                <w:rFonts w:ascii="Cambria Math"/>
                <w:w w:val="247"/>
                <w:sz w:val="20"/>
              </w:rPr>
              <w:t> </w:t>
            </w:r>
            <w:r>
              <w:rPr>
                <w:rFonts w:ascii="Cambria Math"/>
                <w:sz w:val="20"/>
              </w:rPr>
              <w:t> </w:t>
            </w:r>
            <w:r>
              <w:rPr>
                <w:rFonts w:ascii="Cambria Math"/>
                <w:w w:val="250"/>
                <w:sz w:val="20"/>
              </w:rPr>
              <w:t> </w:t>
            </w:r>
            <w:r>
              <w:rPr>
                <w:rFonts w:ascii="Cambria Math"/>
                <w:w w:val="221"/>
                <w:sz w:val="20"/>
              </w:rPr>
              <w:t> </w:t>
            </w:r>
            <w:r>
              <w:rPr>
                <w:rFonts w:ascii="Cambria Math"/>
                <w:w w:val="329"/>
                <w:sz w:val="20"/>
              </w:rPr>
              <w:t> </w:t>
            </w:r>
          </w:p>
          <w:p>
            <w:pPr>
              <w:pStyle w:val="TableParagraph"/>
              <w:spacing w:before="118"/>
              <w:ind w:left="103" w:right="142"/>
              <w:rPr>
                <w:sz w:val="20"/>
              </w:rPr>
            </w:pPr>
            <w:r>
              <w:rPr>
                <w:sz w:val="20"/>
              </w:rPr>
              <w:t>Donde:</w:t>
            </w:r>
          </w:p>
          <w:p>
            <w:pPr>
              <w:pStyle w:val="TableParagraph"/>
              <w:spacing w:before="115"/>
              <w:ind w:left="103" w:right="142"/>
              <w:rPr>
                <w:sz w:val="20"/>
              </w:rPr>
            </w:pPr>
            <w:r>
              <w:rPr>
                <w:sz w:val="20"/>
              </w:rPr>
              <w:t>FMA: índice de Monte Alegre</w:t>
            </w:r>
          </w:p>
          <w:p>
            <w:pPr>
              <w:pStyle w:val="TableParagraph"/>
              <w:spacing w:before="113"/>
              <w:ind w:left="103" w:right="142"/>
              <w:rPr>
                <w:sz w:val="20"/>
              </w:rPr>
            </w:pPr>
            <w:r>
              <w:rPr>
                <w:sz w:val="20"/>
              </w:rPr>
              <w:t>H: Humedad relativa a las 14 horas</w:t>
            </w:r>
          </w:p>
        </w:tc>
      </w:tr>
      <w:tr>
        <w:trPr>
          <w:trHeight w:val="5195" w:hRule="exact"/>
        </w:trPr>
        <w:tc>
          <w:tcPr>
            <w:tcW w:w="1810" w:type="dxa"/>
          </w:tcPr>
          <w:p>
            <w:pPr>
              <w:pStyle w:val="TableParagraph"/>
              <w:tabs>
                <w:tab w:pos="1094" w:val="left" w:leader="none"/>
              </w:tabs>
              <w:spacing w:line="360" w:lineRule="auto" w:before="0"/>
              <w:ind w:left="103" w:right="102"/>
              <w:jc w:val="both"/>
              <w:rPr>
                <w:sz w:val="20"/>
              </w:rPr>
            </w:pPr>
            <w:r>
              <w:rPr>
                <w:sz w:val="20"/>
              </w:rPr>
              <w:t>De</w:t>
              <w:tab/>
              <w:t>peligro desarrollado por Francia  (Dentoni y Muñoz,</w:t>
            </w:r>
            <w:r>
              <w:rPr>
                <w:spacing w:val="-8"/>
                <w:sz w:val="20"/>
              </w:rPr>
              <w:t> </w:t>
            </w:r>
            <w:r>
              <w:rPr>
                <w:sz w:val="20"/>
              </w:rPr>
              <w:t>2012).</w:t>
            </w:r>
          </w:p>
        </w:tc>
        <w:tc>
          <w:tcPr>
            <w:tcW w:w="7170" w:type="dxa"/>
          </w:tcPr>
          <w:p>
            <w:pPr>
              <w:pStyle w:val="TableParagraph"/>
              <w:spacing w:line="360" w:lineRule="auto" w:before="0"/>
              <w:ind w:left="103" w:right="109"/>
              <w:jc w:val="both"/>
              <w:rPr>
                <w:sz w:val="20"/>
              </w:rPr>
            </w:pPr>
            <w:r>
              <w:rPr>
                <w:sz w:val="20"/>
              </w:rPr>
              <w:t>Desarrollado por el Servicio Meteorológico Nacional francés, se basa en la estimación de sequía acumulativa y en la velocidad del viento. La sequía se calcula mediante una versión modificada de la fórmula de cálculo de evapotranspiración de Thornthwaite.</w:t>
            </w:r>
          </w:p>
          <w:p>
            <w:pPr>
              <w:pStyle w:val="TableParagraph"/>
              <w:spacing w:line="362" w:lineRule="auto" w:before="4"/>
              <w:ind w:left="103" w:right="142"/>
              <w:rPr>
                <w:sz w:val="20"/>
              </w:rPr>
            </w:pPr>
            <w:r>
              <w:rPr>
                <w:sz w:val="20"/>
              </w:rPr>
              <w:t>El análisis por discriminantes basado en el número de incendios diarios, dio como resultado la siguiente fórmula:</w:t>
            </w:r>
          </w:p>
          <w:p>
            <w:pPr>
              <w:pStyle w:val="TableParagraph"/>
              <w:spacing w:before="1"/>
              <w:ind w:left="2074"/>
              <w:rPr>
                <w:rFonts w:ascii="Cambria Math"/>
                <w:sz w:val="20"/>
              </w:rPr>
            </w:pPr>
            <w:r>
              <w:rPr>
                <w:rFonts w:ascii="Cambria Math"/>
                <w:w w:val="276"/>
                <w:sz w:val="20"/>
              </w:rPr>
              <w:t> </w:t>
            </w:r>
            <w:r>
              <w:rPr>
                <w:rFonts w:ascii="Cambria Math"/>
                <w:spacing w:val="19"/>
                <w:sz w:val="20"/>
              </w:rPr>
              <w:t> </w:t>
            </w:r>
            <w:r>
              <w:rPr>
                <w:rFonts w:ascii="Cambria Math"/>
                <w:w w:val="337"/>
                <w:sz w:val="20"/>
              </w:rPr>
              <w:t> </w:t>
            </w:r>
            <w:r>
              <w:rPr>
                <w:rFonts w:ascii="Cambria Math"/>
                <w:spacing w:val="13"/>
                <w:sz w:val="20"/>
              </w:rPr>
              <w:t> </w:t>
            </w:r>
            <w:r>
              <w:rPr>
                <w:rFonts w:ascii="Cambria Math"/>
                <w:w w:val="251"/>
                <w:sz w:val="20"/>
              </w:rPr>
              <w:t> </w:t>
            </w:r>
            <w:r>
              <w:rPr>
                <w:rFonts w:ascii="Cambria Math"/>
                <w:spacing w:val="5"/>
                <w:sz w:val="20"/>
              </w:rPr>
              <w:t> </w:t>
            </w:r>
            <w:r>
              <w:rPr>
                <w:rFonts w:ascii="Cambria Math"/>
                <w:w w:val="337"/>
                <w:sz w:val="20"/>
              </w:rPr>
              <w:t> </w:t>
            </w:r>
            <w:r>
              <w:rPr>
                <w:rFonts w:ascii="Cambria Math"/>
                <w:spacing w:val="1"/>
                <w:sz w:val="20"/>
              </w:rPr>
              <w:t> </w:t>
            </w:r>
            <w:r>
              <w:rPr>
                <w:rFonts w:ascii="Cambria Math"/>
                <w:w w:val="265"/>
                <w:sz w:val="20"/>
              </w:rPr>
              <w:t>  </w:t>
            </w:r>
            <w:r>
              <w:rPr>
                <w:rFonts w:ascii="Cambria Math"/>
                <w:spacing w:val="7"/>
                <w:sz w:val="20"/>
              </w:rPr>
              <w:t> </w:t>
            </w:r>
            <w:r>
              <w:rPr>
                <w:rFonts w:ascii="Cambria Math"/>
                <w:w w:val="337"/>
                <w:sz w:val="20"/>
              </w:rPr>
              <w:t> </w:t>
            </w:r>
            <w:r>
              <w:rPr>
                <w:rFonts w:ascii="Cambria Math"/>
                <w:spacing w:val="-1"/>
                <w:sz w:val="20"/>
              </w:rPr>
              <w:t> </w:t>
            </w:r>
            <w:r>
              <w:rPr>
                <w:rFonts w:ascii="Cambria Math"/>
                <w:spacing w:val="-1"/>
                <w:w w:val="245"/>
                <w:sz w:val="20"/>
              </w:rPr>
              <w:t> </w:t>
            </w:r>
            <w:r>
              <w:rPr>
                <w:rFonts w:ascii="Cambria Math"/>
                <w:w w:val="245"/>
                <w:sz w:val="20"/>
              </w:rPr>
              <w:t> </w:t>
            </w:r>
            <w:r>
              <w:rPr>
                <w:rFonts w:ascii="Cambria Math"/>
                <w:spacing w:val="9"/>
                <w:sz w:val="20"/>
              </w:rPr>
              <w:t> </w:t>
            </w:r>
            <w:r>
              <w:rPr>
                <w:rFonts w:ascii="Cambria Math"/>
                <w:w w:val="337"/>
                <w:sz w:val="20"/>
              </w:rPr>
              <w:t> </w:t>
            </w:r>
            <w:r>
              <w:rPr>
                <w:rFonts w:ascii="Cambria Math"/>
                <w:spacing w:val="1"/>
                <w:sz w:val="20"/>
              </w:rPr>
              <w:t> </w:t>
            </w:r>
            <w:r>
              <w:rPr>
                <w:rFonts w:ascii="Cambria Math"/>
                <w:spacing w:val="5"/>
                <w:w w:val="248"/>
                <w:sz w:val="20"/>
              </w:rPr>
              <w:t> </w:t>
            </w:r>
            <w:r>
              <w:rPr>
                <w:rFonts w:ascii="Cambria Math"/>
                <w:spacing w:val="12"/>
                <w:w w:val="282"/>
                <w:sz w:val="20"/>
              </w:rPr>
              <w:t> </w:t>
            </w:r>
            <w:r>
              <w:rPr>
                <w:rFonts w:ascii="Cambria Math"/>
                <w:w w:val="261"/>
                <w:position w:val="7"/>
                <w:sz w:val="14"/>
              </w:rPr>
              <w:t> </w:t>
            </w:r>
            <w:r>
              <w:rPr>
                <w:rFonts w:ascii="Cambria Math"/>
                <w:position w:val="7"/>
                <w:sz w:val="14"/>
              </w:rPr>
              <w:t> </w:t>
            </w:r>
            <w:r>
              <w:rPr>
                <w:rFonts w:ascii="Cambria Math"/>
                <w:spacing w:val="-11"/>
                <w:position w:val="7"/>
                <w:sz w:val="14"/>
              </w:rPr>
              <w:t> </w:t>
            </w:r>
            <w:r>
              <w:rPr>
                <w:rFonts w:ascii="Cambria Math"/>
                <w:w w:val="337"/>
                <w:sz w:val="20"/>
              </w:rPr>
              <w:t> </w:t>
            </w:r>
            <w:r>
              <w:rPr>
                <w:rFonts w:ascii="Cambria Math"/>
                <w:spacing w:val="1"/>
                <w:sz w:val="20"/>
              </w:rPr>
              <w:t> </w:t>
            </w:r>
            <w:r>
              <w:rPr>
                <w:rFonts w:ascii="Cambria Math"/>
                <w:spacing w:val="-1"/>
                <w:w w:val="296"/>
                <w:sz w:val="20"/>
              </w:rPr>
              <w:t> </w:t>
            </w:r>
            <w:r>
              <w:rPr>
                <w:rFonts w:ascii="Cambria Math"/>
                <w:w w:val="296"/>
                <w:sz w:val="20"/>
              </w:rPr>
              <w:t> </w:t>
            </w:r>
            <w:r>
              <w:rPr>
                <w:rFonts w:ascii="Cambria Math"/>
                <w:spacing w:val="6"/>
                <w:sz w:val="20"/>
              </w:rPr>
              <w:t> </w:t>
            </w:r>
            <w:r>
              <w:rPr>
                <w:rFonts w:ascii="Cambria Math"/>
                <w:w w:val="337"/>
                <w:sz w:val="20"/>
              </w:rPr>
              <w:t> </w:t>
            </w:r>
            <w:r>
              <w:rPr>
                <w:rFonts w:ascii="Cambria Math"/>
                <w:spacing w:val="1"/>
                <w:sz w:val="20"/>
              </w:rPr>
              <w:t> </w:t>
            </w:r>
            <w:r>
              <w:rPr>
                <w:rFonts w:ascii="Cambria Math"/>
                <w:spacing w:val="-1"/>
                <w:w w:val="265"/>
                <w:sz w:val="20"/>
              </w:rPr>
              <w:t>  </w:t>
            </w:r>
          </w:p>
          <w:p>
            <w:pPr>
              <w:pStyle w:val="TableParagraph"/>
              <w:spacing w:before="118"/>
              <w:ind w:left="103"/>
              <w:jc w:val="both"/>
              <w:rPr>
                <w:sz w:val="20"/>
              </w:rPr>
            </w:pPr>
            <w:r>
              <w:rPr>
                <w:sz w:val="20"/>
              </w:rPr>
              <w:t>Donde:</w:t>
            </w:r>
          </w:p>
          <w:p>
            <w:pPr>
              <w:pStyle w:val="TableParagraph"/>
              <w:spacing w:line="360" w:lineRule="auto" w:before="113"/>
              <w:ind w:left="103" w:right="142"/>
              <w:rPr>
                <w:sz w:val="20"/>
              </w:rPr>
            </w:pPr>
            <w:r>
              <w:rPr>
                <w:sz w:val="20"/>
              </w:rPr>
              <w:t>F: número positivo, cuyo valor aumenta a medida que disminuye el riesgo, y decrece hasta alcanzar valores negativos a medida que el riesgo aumenta.</w:t>
            </w:r>
          </w:p>
          <w:p>
            <w:pPr>
              <w:pStyle w:val="TableParagraph"/>
              <w:spacing w:line="360" w:lineRule="auto" w:before="4"/>
              <w:ind w:left="103" w:right="3575"/>
              <w:rPr>
                <w:sz w:val="20"/>
              </w:rPr>
            </w:pPr>
            <w:r>
              <w:rPr>
                <w:sz w:val="20"/>
              </w:rPr>
              <w:t>R: humedad estimada sobre el suelo. V: velocidad del viento</w:t>
            </w:r>
          </w:p>
          <w:p>
            <w:pPr>
              <w:pStyle w:val="TableParagraph"/>
              <w:spacing w:before="1"/>
              <w:ind w:left="103"/>
              <w:jc w:val="both"/>
              <w:rPr>
                <w:sz w:val="20"/>
              </w:rPr>
            </w:pPr>
            <w:r>
              <w:rPr>
                <w:sz w:val="20"/>
              </w:rPr>
              <w:t>N: número de días desde la última lluvia caída.</w:t>
            </w:r>
          </w:p>
          <w:p>
            <w:pPr>
              <w:pStyle w:val="TableParagraph"/>
              <w:spacing w:before="115"/>
              <w:ind w:left="103"/>
              <w:jc w:val="both"/>
              <w:rPr>
                <w:sz w:val="20"/>
              </w:rPr>
            </w:pPr>
            <w:r>
              <w:rPr>
                <w:sz w:val="20"/>
              </w:rPr>
              <w:t>Q: cantidad de la última lluvia caída</w:t>
            </w:r>
          </w:p>
          <w:p>
            <w:pPr>
              <w:pStyle w:val="TableParagraph"/>
              <w:spacing w:before="115"/>
              <w:ind w:left="103"/>
              <w:jc w:val="both"/>
              <w:rPr>
                <w:sz w:val="20"/>
              </w:rPr>
            </w:pPr>
            <w:r>
              <w:rPr>
                <w:sz w:val="20"/>
              </w:rPr>
              <w:t>a, b, c, d, y e: coeficientes empíricamente determinados</w:t>
            </w:r>
          </w:p>
        </w:tc>
      </w:tr>
      <w:tr>
        <w:trPr>
          <w:trHeight w:val="2770" w:hRule="exact"/>
        </w:trPr>
        <w:tc>
          <w:tcPr>
            <w:tcW w:w="1810" w:type="dxa"/>
          </w:tcPr>
          <w:p>
            <w:pPr>
              <w:pStyle w:val="TableParagraph"/>
              <w:tabs>
                <w:tab w:pos="614" w:val="left" w:leader="none"/>
                <w:tab w:pos="1405" w:val="left" w:leader="none"/>
                <w:tab w:pos="1470" w:val="left" w:leader="none"/>
                <w:tab w:pos="1597" w:val="left" w:leader="none"/>
              </w:tabs>
              <w:spacing w:line="360" w:lineRule="auto" w:before="0"/>
              <w:ind w:left="103" w:right="100"/>
              <w:rPr>
                <w:sz w:val="20"/>
              </w:rPr>
            </w:pPr>
            <w:r>
              <w:rPr>
                <w:sz w:val="20"/>
              </w:rPr>
              <w:t>De</w:t>
              <w:tab/>
              <w:t>peligro</w:t>
              <w:tab/>
              <w:tab/>
              <w:t>de propagación</w:t>
              <w:tab/>
              <w:tab/>
              <w:t>de incendios forestales, desarrollado</w:t>
              <w:tab/>
              <w:t>por Rodríguez</w:t>
              <w:tab/>
              <w:tab/>
              <w:tab/>
              <w:t>y Moretti (Dentoni y Muñoz,</w:t>
            </w:r>
            <w:r>
              <w:rPr>
                <w:spacing w:val="-7"/>
                <w:sz w:val="20"/>
              </w:rPr>
              <w:t> </w:t>
            </w:r>
            <w:r>
              <w:rPr>
                <w:sz w:val="20"/>
              </w:rPr>
              <w:t>2012).</w:t>
            </w:r>
          </w:p>
        </w:tc>
        <w:tc>
          <w:tcPr>
            <w:tcW w:w="7170" w:type="dxa"/>
          </w:tcPr>
          <w:p>
            <w:pPr>
              <w:pStyle w:val="TableParagraph"/>
              <w:spacing w:line="360" w:lineRule="auto" w:before="0"/>
              <w:ind w:left="103" w:right="105"/>
              <w:jc w:val="both"/>
              <w:rPr>
                <w:sz w:val="20"/>
              </w:rPr>
            </w:pPr>
            <w:r>
              <w:rPr>
                <w:sz w:val="20"/>
              </w:rPr>
              <w:t>Este índice fue desarrollado para la región Andino Patagónica. Las variables que se consideraron fueron: la temperatura, la humedad relativa, el viento y los días consecutivos con o sin precipitación. Se asumió que cada una de las variables utilizadas explica un determinado porcentaje del peligro total de propagación del fuego.</w:t>
            </w:r>
          </w:p>
        </w:tc>
      </w:tr>
      <w:tr>
        <w:trPr>
          <w:trHeight w:val="1745" w:hRule="exact"/>
        </w:trPr>
        <w:tc>
          <w:tcPr>
            <w:tcW w:w="1810" w:type="dxa"/>
          </w:tcPr>
          <w:p>
            <w:pPr>
              <w:pStyle w:val="TableParagraph"/>
              <w:spacing w:line="360" w:lineRule="auto" w:before="171"/>
              <w:ind w:left="376" w:right="380" w:firstLine="2"/>
              <w:jc w:val="center"/>
              <w:rPr>
                <w:sz w:val="20"/>
              </w:rPr>
            </w:pPr>
            <w:r>
              <w:rPr>
                <w:sz w:val="20"/>
              </w:rPr>
              <w:t>Índices en América </w:t>
            </w:r>
            <w:r>
              <w:rPr>
                <w:spacing w:val="-1"/>
                <w:sz w:val="20"/>
              </w:rPr>
              <w:t>(Rodríguez, </w:t>
            </w:r>
            <w:r>
              <w:rPr>
                <w:sz w:val="20"/>
              </w:rPr>
              <w:t>2009).</w:t>
            </w:r>
          </w:p>
        </w:tc>
        <w:tc>
          <w:tcPr>
            <w:tcW w:w="7170" w:type="dxa"/>
          </w:tcPr>
          <w:p>
            <w:pPr>
              <w:pStyle w:val="TableParagraph"/>
              <w:spacing w:line="362" w:lineRule="auto" w:before="0"/>
              <w:ind w:left="103" w:right="109"/>
              <w:jc w:val="both"/>
              <w:rPr>
                <w:sz w:val="20"/>
              </w:rPr>
            </w:pPr>
            <w:r>
              <w:rPr>
                <w:sz w:val="20"/>
              </w:rPr>
              <w:t>Canadá y Estados Unidos, elaboraron los primeros sistemas de predicción del continente Americano a principios de los años 20.</w:t>
            </w:r>
          </w:p>
          <w:p>
            <w:pPr>
              <w:pStyle w:val="TableParagraph"/>
              <w:spacing w:line="360" w:lineRule="auto" w:before="0"/>
              <w:ind w:left="103" w:right="108"/>
              <w:jc w:val="both"/>
              <w:rPr>
                <w:sz w:val="20"/>
              </w:rPr>
            </w:pPr>
            <w:r>
              <w:rPr>
                <w:sz w:val="20"/>
              </w:rPr>
              <w:t>Entre 1959 y 1972 se desarrolla un sistema nacional, cuya aplicación se generaliza en 1973 mediante un Sistema Estadounidense de Peligro de Incendio o National Fire Danger Rating Systems (NFDRS) (Rodríguez, 2009).</w:t>
            </w:r>
          </w:p>
        </w:tc>
      </w:tr>
    </w:tbl>
    <w:p>
      <w:pPr>
        <w:spacing w:after="0" w:line="360" w:lineRule="auto"/>
        <w:jc w:val="both"/>
        <w:rPr>
          <w:sz w:val="20"/>
        </w:rPr>
        <w:sectPr>
          <w:footerReference w:type="default" r:id="rId12"/>
          <w:pgSz w:w="12240" w:h="15840"/>
          <w:pgMar w:footer="943" w:header="0" w:top="1420" w:bottom="11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7170"/>
      </w:tblGrid>
      <w:tr>
        <w:trPr>
          <w:trHeight w:val="2427" w:hRule="exact"/>
        </w:trPr>
        <w:tc>
          <w:tcPr>
            <w:tcW w:w="1810" w:type="dxa"/>
          </w:tcPr>
          <w:p>
            <w:pPr>
              <w:pStyle w:val="TableParagraph"/>
              <w:spacing w:line="360" w:lineRule="auto" w:before="0"/>
              <w:ind w:left="259" w:right="263" w:firstLine="6"/>
              <w:jc w:val="center"/>
              <w:rPr>
                <w:sz w:val="20"/>
              </w:rPr>
            </w:pPr>
            <w:r>
              <w:rPr>
                <w:sz w:val="20"/>
              </w:rPr>
              <w:t>Sistema de evaluación de peligro de incendios canadiense (Dentoni y Muñoz,</w:t>
            </w:r>
            <w:r>
              <w:rPr>
                <w:spacing w:val="-7"/>
                <w:sz w:val="20"/>
              </w:rPr>
              <w:t> </w:t>
            </w:r>
            <w:r>
              <w:rPr>
                <w:sz w:val="20"/>
              </w:rPr>
              <w:t>2012).</w:t>
            </w:r>
          </w:p>
        </w:tc>
        <w:tc>
          <w:tcPr>
            <w:tcW w:w="7170" w:type="dxa"/>
          </w:tcPr>
          <w:p>
            <w:pPr>
              <w:pStyle w:val="TableParagraph"/>
              <w:spacing w:line="360" w:lineRule="auto" w:before="0"/>
              <w:ind w:left="103" w:right="105"/>
              <w:jc w:val="both"/>
              <w:rPr>
                <w:sz w:val="20"/>
              </w:rPr>
            </w:pPr>
            <w:r>
              <w:rPr>
                <w:sz w:val="20"/>
              </w:rPr>
              <w:t>Fue iniciada por J. G. Wright en 1925. Desde entonces, la evaluación del peligro de incendios se fue perfeccionando a través de la creación de sucesivos índices. Este sistema está formado por cuatro subsistemas: Índice Meteorológico de Peligro de Incendios; Subsistema de Predicción de Comportamiento del Fuego; Subsistema de Predicción de Ocurrencia de Fuego y Subsistema Accesorio de Humedad de Combustibles.</w:t>
            </w:r>
          </w:p>
        </w:tc>
      </w:tr>
      <w:tr>
        <w:trPr>
          <w:trHeight w:val="3459" w:hRule="exact"/>
        </w:trPr>
        <w:tc>
          <w:tcPr>
            <w:tcW w:w="1810" w:type="dxa"/>
          </w:tcPr>
          <w:p>
            <w:pPr>
              <w:pStyle w:val="TableParagraph"/>
              <w:spacing w:before="0"/>
              <w:rPr>
                <w:sz w:val="20"/>
              </w:rPr>
            </w:pPr>
          </w:p>
          <w:p>
            <w:pPr>
              <w:pStyle w:val="TableParagraph"/>
              <w:spacing w:before="5"/>
              <w:rPr>
                <w:sz w:val="24"/>
              </w:rPr>
            </w:pPr>
          </w:p>
          <w:p>
            <w:pPr>
              <w:pStyle w:val="TableParagraph"/>
              <w:spacing w:line="360" w:lineRule="auto" w:before="0"/>
              <w:ind w:left="182" w:right="184" w:firstLine="4"/>
              <w:jc w:val="center"/>
              <w:rPr>
                <w:sz w:val="20"/>
              </w:rPr>
            </w:pPr>
            <w:r>
              <w:rPr>
                <w:sz w:val="20"/>
              </w:rPr>
              <w:t>Sistema de evaluación de peligro de incendios de</w:t>
            </w:r>
            <w:r>
              <w:rPr>
                <w:spacing w:val="-6"/>
                <w:sz w:val="20"/>
              </w:rPr>
              <w:t> </w:t>
            </w:r>
            <w:r>
              <w:rPr>
                <w:sz w:val="20"/>
              </w:rPr>
              <w:t>los Estados Unidos (Dentoni y Muñoz,</w:t>
            </w:r>
            <w:r>
              <w:rPr>
                <w:spacing w:val="-8"/>
                <w:sz w:val="20"/>
              </w:rPr>
              <w:t> </w:t>
            </w:r>
            <w:r>
              <w:rPr>
                <w:sz w:val="20"/>
              </w:rPr>
              <w:t>2012).</w:t>
            </w:r>
          </w:p>
        </w:tc>
        <w:tc>
          <w:tcPr>
            <w:tcW w:w="7170" w:type="dxa"/>
          </w:tcPr>
          <w:p>
            <w:pPr>
              <w:pStyle w:val="TableParagraph"/>
              <w:spacing w:line="360" w:lineRule="auto" w:before="0"/>
              <w:ind w:left="103" w:right="104"/>
              <w:jc w:val="both"/>
              <w:rPr>
                <w:sz w:val="20"/>
              </w:rPr>
            </w:pPr>
            <w:r>
              <w:rPr>
                <w:sz w:val="20"/>
              </w:rPr>
              <w:t>Este sistema comenzó a desarrollarse en 1958. Considera solamente el fuego inicial; se supone que el comportamiento no es errático y que no hay coronamiento. Evalúa las condiciones más críticas para una región determinada, utilizando observaciones meteorológicas correspondientes a aquellas horas en las que se considere que el peligro de incendio es más alto, en espacios abiertos y, preferentemente, en las exposiciones más secas (sur y oeste en el hemisferio norte). Provee índices que tienen interpretación física en lo que respecta a ocurrencia y comportamiento, relaciona a los distintos índices que lo componen con el aspecto de comportamiento del fuego. Utiliza observaciones meteorológicas diarias para evaluar el peligro</w:t>
            </w:r>
            <w:r>
              <w:rPr>
                <w:spacing w:val="-12"/>
                <w:sz w:val="20"/>
              </w:rPr>
              <w:t> </w:t>
            </w:r>
            <w:r>
              <w:rPr>
                <w:sz w:val="20"/>
              </w:rPr>
              <w:t>diario.</w:t>
            </w:r>
          </w:p>
        </w:tc>
      </w:tr>
      <w:tr>
        <w:trPr>
          <w:trHeight w:val="1736" w:hRule="exact"/>
        </w:trPr>
        <w:tc>
          <w:tcPr>
            <w:tcW w:w="1810" w:type="dxa"/>
          </w:tcPr>
          <w:p>
            <w:pPr>
              <w:pStyle w:val="TableParagraph"/>
              <w:spacing w:line="360" w:lineRule="auto" w:before="0"/>
              <w:ind w:left="103" w:right="100"/>
              <w:jc w:val="both"/>
              <w:rPr>
                <w:sz w:val="20"/>
              </w:rPr>
            </w:pPr>
            <w:r>
              <w:rPr>
                <w:sz w:val="20"/>
              </w:rPr>
              <w:t>Sistema Métrico de Peligro de Incendios de Mc Arthur (Dentoni y Muñoz, 2012).</w:t>
            </w:r>
          </w:p>
        </w:tc>
        <w:tc>
          <w:tcPr>
            <w:tcW w:w="7170" w:type="dxa"/>
          </w:tcPr>
          <w:p>
            <w:pPr>
              <w:pStyle w:val="TableParagraph"/>
              <w:spacing w:line="360" w:lineRule="auto" w:before="0"/>
              <w:ind w:left="103" w:right="104"/>
              <w:jc w:val="both"/>
              <w:rPr>
                <w:sz w:val="20"/>
              </w:rPr>
            </w:pPr>
            <w:r>
              <w:rPr>
                <w:sz w:val="20"/>
              </w:rPr>
              <w:t>El primer sistema de evaluación de peligro de incendios utilizado en Australia, fue desarrollado por Mc Arthur a principios de 1960. Los  sistemas actualmente utilizados, se componen de índices que se relacionan directamente con la probabilidad de ignición, la velocidad de propagación y las dificultades de</w:t>
            </w:r>
            <w:r>
              <w:rPr>
                <w:spacing w:val="-10"/>
                <w:sz w:val="20"/>
              </w:rPr>
              <w:t> </w:t>
            </w:r>
            <w:r>
              <w:rPr>
                <w:sz w:val="20"/>
              </w:rPr>
              <w:t>supresión.</w:t>
            </w:r>
          </w:p>
        </w:tc>
      </w:tr>
      <w:tr>
        <w:trPr>
          <w:trHeight w:val="1390" w:hRule="exact"/>
        </w:trPr>
        <w:tc>
          <w:tcPr>
            <w:tcW w:w="1810" w:type="dxa"/>
            <w:vMerge w:val="restart"/>
          </w:tcPr>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line="357" w:lineRule="auto" w:before="119"/>
              <w:ind w:left="443" w:hanging="305"/>
              <w:rPr>
                <w:sz w:val="20"/>
              </w:rPr>
            </w:pPr>
            <w:r>
              <w:rPr>
                <w:sz w:val="20"/>
              </w:rPr>
              <w:t>Índices utilizados en México</w:t>
            </w:r>
          </w:p>
        </w:tc>
        <w:tc>
          <w:tcPr>
            <w:tcW w:w="7170" w:type="dxa"/>
          </w:tcPr>
          <w:p>
            <w:pPr>
              <w:pStyle w:val="TableParagraph"/>
              <w:spacing w:line="360" w:lineRule="auto" w:before="0"/>
              <w:ind w:left="103" w:right="103"/>
              <w:jc w:val="both"/>
              <w:rPr>
                <w:sz w:val="20"/>
              </w:rPr>
            </w:pPr>
            <w:r>
              <w:rPr>
                <w:sz w:val="20"/>
              </w:rPr>
              <w:t>Índice meteorológico de peligro: comprende el Índice de humedad del combustible ligero y del humus, Índice de sequía, Índice de propagación e Índice de consumo (CENAPRED, 2001).</w:t>
            </w:r>
          </w:p>
          <w:p>
            <w:pPr>
              <w:pStyle w:val="TableParagraph"/>
              <w:spacing w:before="4"/>
              <w:ind w:left="103"/>
              <w:jc w:val="both"/>
              <w:rPr>
                <w:sz w:val="20"/>
              </w:rPr>
            </w:pPr>
            <w:r>
              <w:rPr>
                <w:w w:val="99"/>
                <w:sz w:val="20"/>
              </w:rPr>
              <w:t>.</w:t>
            </w:r>
          </w:p>
        </w:tc>
      </w:tr>
      <w:tr>
        <w:trPr>
          <w:trHeight w:val="701" w:hRule="exact"/>
        </w:trPr>
        <w:tc>
          <w:tcPr>
            <w:tcW w:w="1810" w:type="dxa"/>
            <w:vMerge/>
          </w:tcPr>
          <w:p>
            <w:pPr/>
          </w:p>
        </w:tc>
        <w:tc>
          <w:tcPr>
            <w:tcW w:w="7170" w:type="dxa"/>
          </w:tcPr>
          <w:p>
            <w:pPr>
              <w:pStyle w:val="TableParagraph"/>
              <w:spacing w:line="360" w:lineRule="auto" w:before="0"/>
              <w:ind w:left="103" w:right="142"/>
              <w:rPr>
                <w:sz w:val="20"/>
              </w:rPr>
            </w:pPr>
            <w:r>
              <w:rPr>
                <w:sz w:val="20"/>
              </w:rPr>
              <w:t>Índice de peligro de incendios forestales usados por Muñoz et al. (2005), Rentería et al. (2004),  Diez, (2007).</w:t>
            </w:r>
          </w:p>
        </w:tc>
      </w:tr>
      <w:tr>
        <w:trPr>
          <w:trHeight w:val="701" w:hRule="exact"/>
        </w:trPr>
        <w:tc>
          <w:tcPr>
            <w:tcW w:w="1810" w:type="dxa"/>
            <w:vMerge/>
          </w:tcPr>
          <w:p>
            <w:pPr/>
          </w:p>
        </w:tc>
        <w:tc>
          <w:tcPr>
            <w:tcW w:w="7170" w:type="dxa"/>
          </w:tcPr>
          <w:p>
            <w:pPr>
              <w:pStyle w:val="TableParagraph"/>
              <w:spacing w:line="362" w:lineRule="auto" w:before="0"/>
              <w:ind w:left="103" w:right="142"/>
              <w:rPr>
                <w:sz w:val="20"/>
              </w:rPr>
            </w:pPr>
            <w:r>
              <w:rPr>
                <w:sz w:val="20"/>
              </w:rPr>
              <w:t>Índice de peligro de incendios forestales a largo plazo e Índices de peligrosidad de incendios forestales usados por Torres et al. (2007).</w:t>
            </w:r>
          </w:p>
        </w:tc>
      </w:tr>
    </w:tbl>
    <w:p>
      <w:pPr>
        <w:pStyle w:val="BodyText"/>
        <w:spacing w:line="270" w:lineRule="exact"/>
        <w:ind w:left="222" w:right="1613"/>
      </w:pPr>
      <w:r>
        <w:rPr/>
        <w:t>Fuente: (Dentoni y Muñoz, 2012).</w:t>
      </w:r>
    </w:p>
    <w:p>
      <w:pPr>
        <w:spacing w:after="0" w:line="270" w:lineRule="exact"/>
        <w:sectPr>
          <w:footerReference w:type="default" r:id="rId13"/>
          <w:pgSz w:w="12240" w:h="15840"/>
          <w:pgMar w:footer="943" w:header="0" w:top="1420" w:bottom="1140" w:left="1480" w:right="1540"/>
          <w:pgNumType w:start="11"/>
        </w:sectPr>
      </w:pPr>
    </w:p>
    <w:p>
      <w:pPr>
        <w:pStyle w:val="Heading1"/>
        <w:numPr>
          <w:ilvl w:val="1"/>
          <w:numId w:val="6"/>
        </w:numPr>
        <w:tabs>
          <w:tab w:pos="570" w:val="left" w:leader="none"/>
        </w:tabs>
        <w:spacing w:line="240" w:lineRule="auto" w:before="54" w:after="0"/>
        <w:ind w:left="570" w:right="0" w:hanging="468"/>
        <w:jc w:val="both"/>
      </w:pPr>
      <w:bookmarkStart w:name="_bookmark11" w:id="19"/>
      <w:bookmarkEnd w:id="19"/>
      <w:r>
        <w:rPr>
          <w:b w:val="0"/>
        </w:rPr>
      </w:r>
      <w:bookmarkStart w:name="_bookmark11" w:id="20"/>
      <w:bookmarkEnd w:id="20"/>
      <w:r>
        <w:rPr/>
        <w:t>In</w:t>
      </w:r>
      <w:r>
        <w:rPr/>
        <w:t>cendios</w:t>
      </w:r>
      <w:r>
        <w:rPr>
          <w:spacing w:val="-5"/>
        </w:rPr>
        <w:t> </w:t>
      </w:r>
      <w:r>
        <w:rPr/>
        <w:t>forestales</w:t>
      </w:r>
    </w:p>
    <w:p>
      <w:pPr>
        <w:pStyle w:val="BodyText"/>
        <w:rPr>
          <w:b/>
        </w:rPr>
      </w:pPr>
    </w:p>
    <w:p>
      <w:pPr>
        <w:pStyle w:val="BodyText"/>
        <w:rPr>
          <w:b/>
        </w:rPr>
      </w:pPr>
    </w:p>
    <w:p>
      <w:pPr>
        <w:pStyle w:val="BodyText"/>
        <w:spacing w:line="360" w:lineRule="auto"/>
        <w:ind w:left="102" w:right="125"/>
        <w:jc w:val="both"/>
      </w:pPr>
      <w:r>
        <w:rPr/>
        <w:t>Los incendios forestales son abordados por diversas fuentes de la siguiente manera:</w:t>
      </w:r>
    </w:p>
    <w:p>
      <w:pPr>
        <w:pStyle w:val="BodyText"/>
      </w:pPr>
    </w:p>
    <w:p>
      <w:pPr>
        <w:pStyle w:val="BodyText"/>
        <w:spacing w:line="360" w:lineRule="auto" w:before="142"/>
        <w:ind w:left="102" w:right="117"/>
        <w:jc w:val="both"/>
      </w:pPr>
      <w:r>
        <w:rPr/>
        <w:t>Conafor (2008), menciona que un incendio forestal o conflagración se produce cuando el fuego (calor) afecta los combustibles vegetales naturales situados en el monte, cuya quema no estaba prevista, lo que obliga a intentar su extinción.</w:t>
      </w:r>
    </w:p>
    <w:p>
      <w:pPr>
        <w:pStyle w:val="BodyText"/>
        <w:spacing w:line="360" w:lineRule="auto" w:before="5"/>
        <w:ind w:left="102" w:right="121"/>
        <w:jc w:val="both"/>
      </w:pPr>
      <w:r>
        <w:rPr/>
        <w:t>Se considera incendio forestal al fuego que, con una ocurrencia y propagación no controlada, afecta selvas, bosques o vegetación de zonas áridas o semiáridas, por causas naturales o inducidas con una ocurrencia y propagación no controladas o programadas (CENAPRED, 2014a).</w:t>
      </w:r>
    </w:p>
    <w:p>
      <w:pPr>
        <w:pStyle w:val="BodyText"/>
      </w:pPr>
    </w:p>
    <w:p>
      <w:pPr>
        <w:pStyle w:val="BodyText"/>
        <w:spacing w:line="360" w:lineRule="auto" w:before="142"/>
        <w:ind w:left="102" w:right="115"/>
        <w:jc w:val="both"/>
      </w:pPr>
      <w:r>
        <w:rPr/>
        <w:t>La NOM-015-SEMARNAP/SAGAR-1997 se refiere a un incendio forestal como la “quema sin control de la vegetación forestal” (SEMARNAP/SAGAR, 1999). Un incendio no es un evento aislado (SEMARNAT, 2011 y Ávila et al., 2010) y su comportamiento depende de las condiciones prevalecientes en el momento de la quema y de las condiciones históricas del sitio (SEMARNAT, 2009).</w:t>
      </w:r>
    </w:p>
    <w:p>
      <w:pPr>
        <w:pStyle w:val="BodyText"/>
      </w:pPr>
    </w:p>
    <w:p>
      <w:pPr>
        <w:pStyle w:val="BodyText"/>
        <w:spacing w:line="360" w:lineRule="auto" w:before="142"/>
        <w:ind w:left="102" w:right="116"/>
        <w:jc w:val="both"/>
      </w:pPr>
      <w:r>
        <w:rPr/>
        <w:t>En el ámbito del manejo forestal, un incendio consiste en la “propagación libre y  no programada del fuego sobre la vegetación en los bosques, selvas, zonas áridas y semiáridas”. En términos de inventario de emisiones, es un proceso natural de combustión a gran escala que consume diferentes tipos de vegetación silvestre en un área determinada (Gobierno del Estado de México,</w:t>
      </w:r>
      <w:r>
        <w:rPr>
          <w:spacing w:val="-21"/>
        </w:rPr>
        <w:t> </w:t>
      </w:r>
      <w:r>
        <w:rPr/>
        <w:t>2009).</w:t>
      </w:r>
    </w:p>
    <w:p>
      <w:pPr>
        <w:pStyle w:val="BodyText"/>
      </w:pPr>
    </w:p>
    <w:p>
      <w:pPr>
        <w:pStyle w:val="BodyText"/>
        <w:spacing w:line="360" w:lineRule="auto" w:before="142"/>
        <w:ind w:left="102" w:right="122"/>
        <w:jc w:val="both"/>
      </w:pPr>
      <w:r>
        <w:rPr/>
        <w:t>Por otro lado, Villers y López (2004), mencionan que un incendio forestal es la perturbación que, con una ocurrencia y propagación no controlada, afecta selvas, bosques y vegetación de zonas áridas y semiáridas.</w:t>
      </w:r>
    </w:p>
    <w:p>
      <w:pPr>
        <w:pStyle w:val="BodyText"/>
      </w:pPr>
    </w:p>
    <w:p>
      <w:pPr>
        <w:pStyle w:val="BodyText"/>
        <w:spacing w:line="360" w:lineRule="auto" w:before="142"/>
        <w:ind w:left="102" w:right="126"/>
        <w:jc w:val="both"/>
      </w:pPr>
      <w:r>
        <w:rPr/>
        <w:t>Jiménez y Alanis (2011), definen al incendio forestal como “el fuego que se extiende sin control sobre un terreno forestal que no estaba destinado a arder”.</w:t>
      </w:r>
    </w:p>
    <w:p>
      <w:pPr>
        <w:spacing w:after="0" w:line="360" w:lineRule="auto"/>
        <w:jc w:val="both"/>
        <w:sectPr>
          <w:pgSz w:w="12240" w:h="15840"/>
          <w:pgMar w:header="0" w:footer="943" w:top="1360" w:bottom="1200" w:left="1600" w:right="1580"/>
        </w:sectPr>
      </w:pPr>
    </w:p>
    <w:p>
      <w:pPr>
        <w:pStyle w:val="BodyText"/>
        <w:spacing w:line="360" w:lineRule="auto" w:before="54"/>
        <w:ind w:left="102" w:right="118"/>
        <w:jc w:val="both"/>
      </w:pPr>
      <w:r>
        <w:rPr/>
        <w:t>La Secretaría del Medio Ambiente (2013b), puntualiza a un incendio como aquel que tiene una superficie afectada mayor a una hectárea y a un conato como aquel cuya afectación es menor a esta. CONAFOR (2006), menciona que un incendio normal es aquel que ocurre en un 95% de los casos en el Suelo de Conservación y registra afectaciones de hasta 5 hectáreas en zonas de pastizal y hasta 3 en zonas boscosas, de renuevo y reforestación. En cambio, un incendio relevante, es aquel cuya superficie afectada supera las 20 hectáreas de pastizal ó 10 hectáreas de</w:t>
      </w:r>
      <w:r>
        <w:rPr>
          <w:spacing w:val="-4"/>
        </w:rPr>
        <w:t> </w:t>
      </w:r>
      <w:r>
        <w:rPr/>
        <w:t>arbolado.</w:t>
      </w:r>
    </w:p>
    <w:p>
      <w:pPr>
        <w:pStyle w:val="BodyText"/>
      </w:pPr>
    </w:p>
    <w:p>
      <w:pPr>
        <w:pStyle w:val="BodyText"/>
        <w:spacing w:before="8"/>
        <w:rPr>
          <w:sz w:val="29"/>
        </w:rPr>
      </w:pPr>
    </w:p>
    <w:p>
      <w:pPr>
        <w:pStyle w:val="Heading1"/>
        <w:numPr>
          <w:ilvl w:val="1"/>
          <w:numId w:val="6"/>
        </w:numPr>
        <w:tabs>
          <w:tab w:pos="508" w:val="left" w:leader="none"/>
        </w:tabs>
        <w:spacing w:line="240" w:lineRule="auto" w:before="0" w:after="0"/>
        <w:ind w:left="507" w:right="0" w:hanging="405"/>
        <w:jc w:val="both"/>
      </w:pPr>
      <w:bookmarkStart w:name="_bookmark12" w:id="21"/>
      <w:bookmarkEnd w:id="21"/>
      <w:r>
        <w:rPr>
          <w:b w:val="0"/>
        </w:rPr>
      </w:r>
      <w:bookmarkStart w:name="_bookmark12" w:id="22"/>
      <w:bookmarkEnd w:id="22"/>
      <w:r>
        <w:rPr/>
        <w:t>A</w:t>
      </w:r>
      <w:r>
        <w:rPr/>
        <w:t>gentes causales de los</w:t>
      </w:r>
      <w:r>
        <w:rPr>
          <w:spacing w:val="-16"/>
        </w:rPr>
        <w:t> </w:t>
      </w:r>
      <w:r>
        <w:rPr/>
        <w:t>incendios</w:t>
      </w:r>
    </w:p>
    <w:p>
      <w:pPr>
        <w:pStyle w:val="BodyText"/>
        <w:rPr>
          <w:b/>
        </w:rPr>
      </w:pPr>
    </w:p>
    <w:p>
      <w:pPr>
        <w:pStyle w:val="BodyText"/>
        <w:spacing w:line="360" w:lineRule="auto" w:before="180"/>
        <w:ind w:left="102" w:right="125"/>
        <w:jc w:val="both"/>
      </w:pPr>
      <w:r>
        <w:rPr/>
        <w:t>El fuego es un proceso químico y físico. Los incendios forestales se producen por la combinación rápida de oxígeno con otras sustancias químicas contenidas en la madera, en las hojas y en otros componentes del bosque (Daugherty y Camp, 2005). Para que se genere un incendio es necesario que existan y coincidan tres elementos: combustible,  oxígeno y calor (CONAFOR, 2006).</w:t>
      </w:r>
    </w:p>
    <w:p>
      <w:pPr>
        <w:pStyle w:val="BodyText"/>
      </w:pPr>
    </w:p>
    <w:p>
      <w:pPr>
        <w:pStyle w:val="BodyText"/>
        <w:spacing w:line="360" w:lineRule="auto" w:before="142"/>
        <w:ind w:left="102" w:right="117"/>
        <w:jc w:val="both"/>
      </w:pPr>
      <w:r>
        <w:rPr/>
        <w:t>El combustible es algo que arda, los árboles, las hojas muertas, las hierbas, la hojarasca, la maleza son combustibles. Las hojas y la madera verde no arden tan rápidamente como las secas pero pueden quemarse si se dan las condiciones adecuadas (Daugherty y Camp, 2005).</w:t>
      </w:r>
    </w:p>
    <w:p>
      <w:pPr>
        <w:pStyle w:val="BodyText"/>
      </w:pPr>
    </w:p>
    <w:p>
      <w:pPr>
        <w:pStyle w:val="BodyText"/>
        <w:spacing w:line="360" w:lineRule="auto" w:before="142"/>
        <w:ind w:left="102" w:right="116"/>
        <w:jc w:val="both"/>
      </w:pPr>
      <w:r>
        <w:rPr/>
        <w:t>Alrededor del 20% de nuestra atmósfera superficial es oxígeno. A medida que una llama va consumiendo oxígeno, se va apagando. Cuando se agota el oxígeno, la llama se apaga. Los vientos e incluso las brisas suaves atizan las llamas. Incluso si no hay brisas, el aire caliente asciende y cada llama crea su propia brisa, ya que al consumir el aire caliente hace que el aire más fresco acuda a la llama. Cuando las llamas se agitan debido a los fuertes vientos, el fuego se propaga muy rápidamente (Daugherty y Camp,</w:t>
      </w:r>
      <w:r>
        <w:rPr>
          <w:spacing w:val="-13"/>
        </w:rPr>
        <w:t> </w:t>
      </w:r>
      <w:r>
        <w:rPr/>
        <w:t>2005).</w:t>
      </w:r>
    </w:p>
    <w:p>
      <w:pPr>
        <w:spacing w:after="0" w:line="360" w:lineRule="auto"/>
        <w:jc w:val="both"/>
        <w:sectPr>
          <w:pgSz w:w="12240" w:h="15840"/>
          <w:pgMar w:header="0" w:footer="943" w:top="1360" w:bottom="1200" w:left="1600" w:right="1580"/>
        </w:sectPr>
      </w:pPr>
    </w:p>
    <w:p>
      <w:pPr>
        <w:pStyle w:val="BodyText"/>
        <w:spacing w:line="360" w:lineRule="auto" w:before="54"/>
        <w:ind w:left="102" w:right="119"/>
        <w:jc w:val="both"/>
      </w:pPr>
      <w:r>
        <w:rPr/>
        <w:t>Para que un material combustible arda, debe alcanzar su temperatura de ignición. La mayoría de los combustibles forestales tienen temperaturas de ignición entre 316° y 417° C. Esta temperatura es la misma tanto si la materia está húmeda como seca, pero las hojas y la madera húmedas no arden tan fácilmente. ¿Por qué? Porque el agua hierve a una temperatura muy por debajo de la temperatura normal de ignición. Las hojas y la madera húmedas expuestas a una llama abierta no consiguen sobrepasar la temperatura del punto de ebullición del agua hasta que ésta no se evapora (Daugherty y Camp,</w:t>
      </w:r>
      <w:r>
        <w:rPr>
          <w:spacing w:val="-16"/>
        </w:rPr>
        <w:t> </w:t>
      </w:r>
      <w:r>
        <w:rPr/>
        <w:t>2005).</w:t>
      </w:r>
    </w:p>
    <w:p>
      <w:pPr>
        <w:pStyle w:val="BodyText"/>
      </w:pPr>
    </w:p>
    <w:p>
      <w:pPr>
        <w:pStyle w:val="BodyText"/>
        <w:spacing w:line="360" w:lineRule="auto" w:before="142"/>
        <w:ind w:left="102" w:right="125" w:firstLine="67"/>
        <w:jc w:val="both"/>
      </w:pPr>
      <w:r>
        <w:rPr/>
        <w:t>Esta es la razón por la que el riesgo de incendios forestales es menor durante el tiempo húmedo y mayor con tiempo seco (Daugherty y Camp, 2005).</w:t>
      </w:r>
    </w:p>
    <w:p>
      <w:pPr>
        <w:pStyle w:val="BodyText"/>
      </w:pPr>
    </w:p>
    <w:p>
      <w:pPr>
        <w:pStyle w:val="BodyText"/>
        <w:spacing w:line="360" w:lineRule="auto" w:before="142"/>
        <w:ind w:left="102" w:right="118"/>
        <w:jc w:val="both"/>
      </w:pPr>
      <w:r>
        <w:rPr/>
        <w:t>Existen diversos factores que tienen incidencia en el inicio del fuego y su desarrollo, entre estos se encuentran el clima, el material combustible, la topografía del terreno y las actividades humanas; los incendios atribuibles a esta última causa representan el 92.85% del total de los incendios que se producen en el país (CENAPRED,</w:t>
      </w:r>
      <w:r>
        <w:rPr>
          <w:spacing w:val="-6"/>
        </w:rPr>
        <w:t> </w:t>
      </w:r>
      <w:r>
        <w:rPr/>
        <w:t>2014c).</w:t>
      </w:r>
    </w:p>
    <w:p>
      <w:pPr>
        <w:pStyle w:val="BodyText"/>
      </w:pPr>
    </w:p>
    <w:p>
      <w:pPr>
        <w:pStyle w:val="BodyText"/>
        <w:spacing w:before="8"/>
        <w:rPr>
          <w:sz w:val="29"/>
        </w:rPr>
      </w:pPr>
    </w:p>
    <w:p>
      <w:pPr>
        <w:pStyle w:val="Heading1"/>
        <w:numPr>
          <w:ilvl w:val="1"/>
          <w:numId w:val="6"/>
        </w:numPr>
        <w:tabs>
          <w:tab w:pos="506" w:val="left" w:leader="none"/>
        </w:tabs>
        <w:spacing w:line="240" w:lineRule="auto" w:before="0" w:after="0"/>
        <w:ind w:left="505" w:right="0" w:hanging="403"/>
        <w:jc w:val="both"/>
      </w:pPr>
      <w:bookmarkStart w:name="_bookmark13" w:id="23"/>
      <w:bookmarkEnd w:id="23"/>
      <w:r>
        <w:rPr>
          <w:b w:val="0"/>
        </w:rPr>
      </w:r>
      <w:bookmarkStart w:name="_bookmark13" w:id="24"/>
      <w:bookmarkEnd w:id="24"/>
      <w:r>
        <w:rPr/>
        <w:t>M</w:t>
      </w:r>
      <w:r>
        <w:rPr/>
        <w:t>odelo</w:t>
      </w:r>
    </w:p>
    <w:p>
      <w:pPr>
        <w:pStyle w:val="BodyText"/>
        <w:rPr>
          <w:b/>
        </w:rPr>
      </w:pPr>
    </w:p>
    <w:p>
      <w:pPr>
        <w:pStyle w:val="BodyText"/>
        <w:spacing w:line="360" w:lineRule="auto" w:before="180"/>
        <w:ind w:left="102" w:right="117"/>
        <w:jc w:val="both"/>
      </w:pPr>
      <w:r>
        <w:rPr/>
        <w:t>Un modelo es una representación simplificada de un sistema de la vida real, de una situación o de una realidad. Un modelo captura características selectas de un sistema, proceso o realidad y luego las combina en una representación abstracta del original, entonces un modelo es una abstracción de la realidad. Los modelos pueden ser objeto de diversa clasificación. Tres formas de modelo son: icónico, analógico y matemático en SIG. Los icónicos son representaciones a escalas (replicas físicas) de objetos reales. Los analógicos o esquemáticos son modelos físicos en cuanto a la forma pero no son semejantes físicamente al objeto que está siendo modelado (Rentería, 2004).</w:t>
      </w:r>
    </w:p>
    <w:p>
      <w:pPr>
        <w:spacing w:after="0" w:line="360" w:lineRule="auto"/>
        <w:jc w:val="both"/>
        <w:sectPr>
          <w:pgSz w:w="12240" w:h="15840"/>
          <w:pgMar w:header="0" w:footer="943" w:top="1360" w:bottom="1200" w:left="1600" w:right="1580"/>
        </w:sectPr>
      </w:pPr>
    </w:p>
    <w:p>
      <w:pPr>
        <w:pStyle w:val="BodyText"/>
        <w:spacing w:line="360" w:lineRule="auto" w:before="54"/>
        <w:ind w:left="102" w:right="116"/>
        <w:jc w:val="both"/>
      </w:pPr>
      <w:r>
        <w:rPr/>
        <w:t>Los modelos matemáticos representan sistemas o fenómenos del mundo real; cuantifican sus variables y las combinan en expresiones y fórmulas matemáticas. Las principales razones de usar modelos, en lugar de trabajar directamente sobre la realidad son: a) ahorro de dinero, tiempo u otro bien de valor; b) evitar riesgos de daños al sistema cuando se está solucionando el problema y c) para entender mejor el ambiente real cuando este es muy complicado (Rentería,</w:t>
      </w:r>
      <w:r>
        <w:rPr>
          <w:spacing w:val="-21"/>
        </w:rPr>
        <w:t> </w:t>
      </w:r>
      <w:r>
        <w:rPr/>
        <w:t>2004).</w:t>
      </w:r>
    </w:p>
    <w:p>
      <w:pPr>
        <w:pStyle w:val="BodyText"/>
      </w:pPr>
    </w:p>
    <w:p>
      <w:pPr>
        <w:pStyle w:val="BodyText"/>
        <w:spacing w:before="7"/>
        <w:rPr>
          <w:sz w:val="29"/>
        </w:rPr>
      </w:pPr>
    </w:p>
    <w:p>
      <w:pPr>
        <w:pStyle w:val="Heading1"/>
        <w:numPr>
          <w:ilvl w:val="1"/>
          <w:numId w:val="6"/>
        </w:numPr>
        <w:tabs>
          <w:tab w:pos="506" w:val="left" w:leader="none"/>
        </w:tabs>
        <w:spacing w:line="240" w:lineRule="auto" w:before="0" w:after="0"/>
        <w:ind w:left="505" w:right="0" w:hanging="403"/>
        <w:jc w:val="both"/>
      </w:pPr>
      <w:bookmarkStart w:name="_bookmark14" w:id="25"/>
      <w:bookmarkEnd w:id="25"/>
      <w:r>
        <w:rPr>
          <w:b w:val="0"/>
        </w:rPr>
      </w:r>
      <w:bookmarkStart w:name="_bookmark14" w:id="26"/>
      <w:bookmarkEnd w:id="26"/>
      <w:r>
        <w:rPr/>
        <w:t>V</w:t>
      </w:r>
      <w:r>
        <w:rPr/>
        <w:t>ariables</w:t>
      </w:r>
      <w:r>
        <w:rPr>
          <w:spacing w:val="-7"/>
        </w:rPr>
        <w:t> </w:t>
      </w:r>
      <w:r>
        <w:rPr/>
        <w:t>meteorológicas</w:t>
      </w:r>
    </w:p>
    <w:p>
      <w:pPr>
        <w:pStyle w:val="BodyText"/>
        <w:rPr>
          <w:b/>
        </w:rPr>
      </w:pPr>
    </w:p>
    <w:p>
      <w:pPr>
        <w:pStyle w:val="BodyText"/>
        <w:spacing w:before="9"/>
        <w:rPr>
          <w:b/>
          <w:sz w:val="23"/>
        </w:rPr>
      </w:pPr>
    </w:p>
    <w:p>
      <w:pPr>
        <w:pStyle w:val="BodyText"/>
        <w:spacing w:line="360" w:lineRule="auto"/>
        <w:ind w:left="102" w:right="119"/>
        <w:jc w:val="both"/>
      </w:pPr>
      <w:r>
        <w:rPr/>
        <w:t>Las variables meteorológicas más importantes que determinan el comportamiento del fuego y la inflamabilidad de los combustibles son la temperatura, la humedad relativa y el viento. Tanto la temperatura como la dirección y velocidad del viento modulan el inicio y la propagación del incendio (Gobierno del Estado de México, 2009).</w:t>
      </w:r>
    </w:p>
    <w:p>
      <w:pPr>
        <w:pStyle w:val="BodyText"/>
      </w:pPr>
    </w:p>
    <w:p>
      <w:pPr>
        <w:pStyle w:val="BodyText"/>
        <w:spacing w:before="7"/>
        <w:rPr>
          <w:sz w:val="29"/>
        </w:rPr>
      </w:pPr>
    </w:p>
    <w:p>
      <w:pPr>
        <w:pStyle w:val="Heading1"/>
        <w:numPr>
          <w:ilvl w:val="1"/>
          <w:numId w:val="6"/>
        </w:numPr>
        <w:tabs>
          <w:tab w:pos="508" w:val="left" w:leader="none"/>
        </w:tabs>
        <w:spacing w:line="240" w:lineRule="auto" w:before="0" w:after="0"/>
        <w:ind w:left="507" w:right="0" w:hanging="405"/>
        <w:jc w:val="both"/>
      </w:pPr>
      <w:bookmarkStart w:name="_bookmark15" w:id="27"/>
      <w:bookmarkEnd w:id="27"/>
      <w:r>
        <w:rPr>
          <w:b w:val="0"/>
        </w:rPr>
      </w:r>
      <w:bookmarkStart w:name="_bookmark15" w:id="28"/>
      <w:bookmarkEnd w:id="28"/>
      <w:r>
        <w:rPr/>
        <w:t>A</w:t>
      </w:r>
      <w:r>
        <w:rPr/>
        <w:t>nálisis</w:t>
      </w:r>
      <w:r>
        <w:rPr>
          <w:spacing w:val="-10"/>
        </w:rPr>
        <w:t> </w:t>
      </w:r>
      <w:r>
        <w:rPr/>
        <w:t>espacial</w:t>
      </w:r>
    </w:p>
    <w:p>
      <w:pPr>
        <w:pStyle w:val="BodyText"/>
        <w:rPr>
          <w:b/>
        </w:rPr>
      </w:pPr>
    </w:p>
    <w:p>
      <w:pPr>
        <w:pStyle w:val="BodyText"/>
        <w:rPr>
          <w:b/>
        </w:rPr>
      </w:pPr>
    </w:p>
    <w:p>
      <w:pPr>
        <w:pStyle w:val="BodyText"/>
        <w:spacing w:line="360" w:lineRule="auto"/>
        <w:ind w:left="102" w:right="116"/>
        <w:jc w:val="both"/>
      </w:pPr>
      <w:r>
        <w:rPr/>
        <w:t>Rodríguez (2012a), define al análisis espacial como el conjunto de operaciones cognoscitivas auxiliadas de herramientas y modelos matemáticos, geométricos y estadísticos, que permiten el estudio y significancia de cada componente del espacio territorial. Evidentemente, cada componente analizado desde la perspectiva espacial, tendrá una connotación cuantitativa y abstracta: matriz, modelo, ecuación, punto, línea, polígono, etc. Por el contrario el análisis  geográfico se basa en los principios fundamentales del holismo geográfico: localización, causalidad, correlación, explicación y aplicación. Bajo este tenor, el análisis geográfico puede implicar el uso del análisis espacial, pero adiciona los principios para elaborar una</w:t>
      </w:r>
      <w:r>
        <w:rPr>
          <w:spacing w:val="-9"/>
        </w:rPr>
        <w:t> </w:t>
      </w:r>
      <w:r>
        <w:rPr/>
        <w:t>síntesis.</w:t>
      </w:r>
    </w:p>
    <w:p>
      <w:pPr>
        <w:pStyle w:val="BodyText"/>
        <w:spacing w:line="360" w:lineRule="auto" w:before="204"/>
        <w:ind w:left="102" w:right="115"/>
        <w:jc w:val="both"/>
      </w:pPr>
      <w:r>
        <w:rPr/>
        <w:t>El análisis espacial es una de las aplicaciones más usuales de los sistemas de información geográfica, el cual constituye una serie de técnicas estadísticas y matemáticas   aplicadas   al   estudio   de   datos   distribuidos   sobre   el </w:t>
      </w:r>
      <w:r>
        <w:rPr>
          <w:spacing w:val="55"/>
        </w:rPr>
        <w:t> </w:t>
      </w:r>
      <w:r>
        <w:rPr/>
        <w:t>espacio</w:t>
      </w:r>
    </w:p>
    <w:p>
      <w:pPr>
        <w:spacing w:after="0" w:line="360" w:lineRule="auto"/>
        <w:jc w:val="both"/>
        <w:sectPr>
          <w:pgSz w:w="12240" w:h="15840"/>
          <w:pgMar w:header="0" w:footer="943" w:top="1360" w:bottom="1200" w:left="1600" w:right="1580"/>
        </w:sectPr>
      </w:pPr>
    </w:p>
    <w:p>
      <w:pPr>
        <w:pStyle w:val="BodyText"/>
        <w:spacing w:line="360" w:lineRule="auto" w:before="54"/>
        <w:ind w:left="102" w:right="115"/>
        <w:jc w:val="both"/>
      </w:pPr>
      <w:r>
        <w:rPr/>
        <w:t>geográfico, posibilitando trabajar con las relaciones espaciales de las entidades contenidas en cada capa temática de la base de datos (Buzai y Baxendale, 2006). En el ámbito de los incendios forestales, este tipo de análisis permite obtener conclusiones acerca del nivel de importancia de cada una de las variables que intervienen (Ávila et al., 2010).</w:t>
      </w:r>
    </w:p>
    <w:p>
      <w:pPr>
        <w:pStyle w:val="BodyText"/>
        <w:spacing w:line="360" w:lineRule="auto" w:before="204"/>
        <w:ind w:left="102" w:right="116"/>
        <w:jc w:val="both"/>
      </w:pPr>
      <w:r>
        <w:rPr/>
        <w:t>El estudio de los incendios forestales requiere un análisis integrado del territorio, ya que se deriva de la acción conjunta de un grupo de factores, entre los cuales la vegetación, los tipos climáticos, topografía y actividades humanas resultan especialmente significativos. Por lo tanto, el análisis espacial es una técnica que proporciona herramientas útiles para la investigación del fenómeno de los incendios forestales (Ávila </w:t>
      </w:r>
      <w:r>
        <w:rPr>
          <w:i/>
        </w:rPr>
        <w:t>et al</w:t>
      </w:r>
      <w:r>
        <w:rPr/>
        <w:t>.,</w:t>
      </w:r>
      <w:r>
        <w:rPr>
          <w:spacing w:val="-9"/>
        </w:rPr>
        <w:t> </w:t>
      </w:r>
      <w:r>
        <w:rPr/>
        <w:t>2010).</w:t>
      </w:r>
    </w:p>
    <w:p>
      <w:pPr>
        <w:pStyle w:val="BodyText"/>
        <w:spacing w:line="360" w:lineRule="auto" w:before="204"/>
        <w:ind w:left="102" w:right="119"/>
        <w:jc w:val="both"/>
      </w:pPr>
      <w:r>
        <w:rPr/>
        <w:t>La autocorrelación puede definirse como la concentración o dispersión de los valores de una variable en un mapa; es decir, refleja el grado en que objetos o actividades en una unidad geográfica, son similares a otros objetos o actividades en unidades geográficas próximas (Goodchild, 1987).</w:t>
      </w:r>
    </w:p>
    <w:p>
      <w:pPr>
        <w:pStyle w:val="BodyText"/>
        <w:spacing w:line="360" w:lineRule="auto" w:before="204"/>
        <w:ind w:left="102" w:right="118"/>
        <w:jc w:val="both"/>
      </w:pPr>
      <w:r>
        <w:rPr/>
        <w:t>En el coeficiente de Moran los valores varían entre +1 y -1, donde +1 indica una correlación positiva perfecta o perfecta concentración, -1 indica una correlación negativa perfecta o perfecta dispersión y el 0 indica un patrón espacial totalmente aleatorio (Ávila et al., 2010).</w:t>
      </w:r>
    </w:p>
    <w:p>
      <w:pPr>
        <w:pStyle w:val="BodyText"/>
      </w:pPr>
    </w:p>
    <w:p>
      <w:pPr>
        <w:pStyle w:val="BodyText"/>
      </w:pPr>
    </w:p>
    <w:p>
      <w:pPr>
        <w:pStyle w:val="BodyText"/>
        <w:spacing w:before="2"/>
        <w:rPr>
          <w:sz w:val="23"/>
        </w:rPr>
      </w:pPr>
    </w:p>
    <w:p>
      <w:pPr>
        <w:pStyle w:val="Heading1"/>
        <w:numPr>
          <w:ilvl w:val="1"/>
          <w:numId w:val="6"/>
        </w:numPr>
        <w:tabs>
          <w:tab w:pos="506" w:val="left" w:leader="none"/>
        </w:tabs>
        <w:spacing w:line="240" w:lineRule="auto" w:before="0" w:after="0"/>
        <w:ind w:left="505" w:right="0" w:hanging="403"/>
        <w:jc w:val="both"/>
      </w:pPr>
      <w:bookmarkStart w:name="_bookmark16" w:id="29"/>
      <w:bookmarkEnd w:id="29"/>
      <w:r>
        <w:rPr>
          <w:b w:val="0"/>
        </w:rPr>
      </w:r>
      <w:bookmarkStart w:name="_bookmark16" w:id="30"/>
      <w:bookmarkEnd w:id="30"/>
      <w:r>
        <w:rPr/>
        <w:t>P</w:t>
      </w:r>
      <w:r>
        <w:rPr/>
        <w:t>eligro</w:t>
      </w:r>
    </w:p>
    <w:p>
      <w:pPr>
        <w:pStyle w:val="BodyText"/>
        <w:rPr>
          <w:b/>
        </w:rPr>
      </w:pPr>
    </w:p>
    <w:p>
      <w:pPr>
        <w:pStyle w:val="BodyText"/>
        <w:spacing w:before="180"/>
        <w:ind w:left="102"/>
        <w:jc w:val="both"/>
      </w:pPr>
      <w:r>
        <w:rPr/>
        <w:t>El peligro es abordado por diversas fuentes de la siguiente manera:</w:t>
      </w:r>
    </w:p>
    <w:p>
      <w:pPr>
        <w:pStyle w:val="BodyText"/>
      </w:pPr>
    </w:p>
    <w:p>
      <w:pPr>
        <w:pStyle w:val="BodyText"/>
        <w:spacing w:before="9"/>
        <w:rPr>
          <w:sz w:val="23"/>
        </w:rPr>
      </w:pPr>
    </w:p>
    <w:p>
      <w:pPr>
        <w:pStyle w:val="BodyText"/>
        <w:spacing w:line="360" w:lineRule="auto"/>
        <w:ind w:left="102" w:right="114"/>
        <w:jc w:val="both"/>
      </w:pPr>
      <w:r>
        <w:rPr/>
        <w:t>Peligro es “la probabilidad de ocurrencia de un fenómeno potencialmente dañino de cierta intensidad, durante un cierto periodo de tiempo y en un sitio dado” (CENAPRED, 2014b y Guevara et al., 2006). La expresión de un peligro representado en un mapa asocia su distribución espacial en el territorio con la probabilidad de su ocurrencia en un lapso de tiempo (CENAPRED, 2014a).</w:t>
      </w:r>
    </w:p>
    <w:p>
      <w:pPr>
        <w:spacing w:after="0" w:line="360" w:lineRule="auto"/>
        <w:jc w:val="both"/>
        <w:sectPr>
          <w:pgSz w:w="12240" w:h="15840"/>
          <w:pgMar w:header="0" w:footer="943" w:top="1360" w:bottom="1200" w:left="1600" w:right="1580"/>
        </w:sectPr>
      </w:pPr>
    </w:p>
    <w:p>
      <w:pPr>
        <w:pStyle w:val="BodyText"/>
        <w:spacing w:before="7"/>
        <w:rPr>
          <w:sz w:val="22"/>
        </w:rPr>
      </w:pPr>
    </w:p>
    <w:p>
      <w:pPr>
        <w:pStyle w:val="BodyText"/>
        <w:spacing w:line="360" w:lineRule="auto" w:before="69"/>
        <w:ind w:left="102" w:right="119"/>
        <w:jc w:val="both"/>
      </w:pPr>
      <w:r>
        <w:rPr/>
        <w:t>Un peligro es la probabilidad de ocurrencia de un evento natural o inducido por el ser humano, potencialmente dañino, en un periodo específico y en una localidad o área determinada. Los peligros pueden ser naturales, socionaturales y antrópicos (Zilbert y Romero, 2012).</w:t>
      </w:r>
    </w:p>
    <w:p>
      <w:pPr>
        <w:pStyle w:val="BodyText"/>
      </w:pPr>
    </w:p>
    <w:p>
      <w:pPr>
        <w:pStyle w:val="BodyText"/>
        <w:spacing w:line="360" w:lineRule="auto" w:before="142"/>
        <w:ind w:left="102" w:right="123"/>
        <w:jc w:val="both"/>
      </w:pPr>
      <w:r>
        <w:rPr/>
        <w:t>La Asociación Nacional de Protección al fuego (NFPA por sus siglas en Inglés) (1997), menciona que peligro es cualquier situación o condición que con base a datos aplicables puede causar fuego o proporcionar una fuente de combustible lista para aumentar la extensión o la intensidad del fuego y que significa una amenaza a la vida o al</w:t>
      </w:r>
      <w:r>
        <w:rPr>
          <w:spacing w:val="-11"/>
        </w:rPr>
        <w:t> </w:t>
      </w:r>
      <w:r>
        <w:rPr/>
        <w:t>ambiente.</w:t>
      </w:r>
    </w:p>
    <w:p>
      <w:pPr>
        <w:pStyle w:val="BodyText"/>
      </w:pPr>
    </w:p>
    <w:p>
      <w:pPr>
        <w:pStyle w:val="BodyText"/>
        <w:spacing w:line="360" w:lineRule="auto" w:before="142"/>
        <w:ind w:left="102" w:right="123"/>
        <w:jc w:val="both"/>
      </w:pPr>
      <w:r>
        <w:rPr/>
        <w:t>"Los peligros naturales resultan de los conflictos de los procesos geofísicos con la gente...". “Peligro natural es "la probabilidad de que se produzca, dentro de un período determinado y en una zona dada, un fenómeno natural potencialmente dañino." (Aneas, 2000).</w:t>
      </w:r>
    </w:p>
    <w:p>
      <w:pPr>
        <w:pStyle w:val="BodyText"/>
      </w:pPr>
    </w:p>
    <w:p>
      <w:pPr>
        <w:pStyle w:val="BodyText"/>
        <w:spacing w:line="360" w:lineRule="auto" w:before="142"/>
        <w:ind w:left="102" w:right="117"/>
        <w:jc w:val="both"/>
      </w:pPr>
      <w:r>
        <w:rPr/>
        <w:t>Para el estudio de los peligros, es importante definir los fenómenos perturbadores, mediante parámetros cuantitativos con un significado físico preciso, que puedan medirse numéricamente y ser asociados mediante relaciones físicas con los efectos del fenómeno sobre los bienes expuestos. En la mayoría de los  fenómenos pueden distinguirse dos medidas: una de magnitud y otra de  intensidad (Guevara </w:t>
      </w:r>
      <w:r>
        <w:rPr>
          <w:i/>
        </w:rPr>
        <w:t>et al</w:t>
      </w:r>
      <w:r>
        <w:rPr/>
        <w:t>.,</w:t>
      </w:r>
      <w:r>
        <w:rPr>
          <w:spacing w:val="-10"/>
        </w:rPr>
        <w:t> </w:t>
      </w:r>
      <w:r>
        <w:rPr/>
        <w:t>2006).</w:t>
      </w:r>
    </w:p>
    <w:p>
      <w:pPr>
        <w:pStyle w:val="BodyText"/>
      </w:pPr>
    </w:p>
    <w:p>
      <w:pPr>
        <w:pStyle w:val="BodyText"/>
        <w:spacing w:line="360" w:lineRule="auto" w:before="142"/>
        <w:ind w:left="102" w:right="118"/>
        <w:jc w:val="both"/>
      </w:pPr>
      <w:r>
        <w:rPr/>
        <w:t>Torres </w:t>
      </w:r>
      <w:r>
        <w:rPr>
          <w:i/>
        </w:rPr>
        <w:t>et al</w:t>
      </w:r>
      <w:r>
        <w:rPr/>
        <w:t>., (2006), menciona que los factores para establecer un sistema de predicción del peligro de incendios, se dividen en permanentes y variables. Entre ellos se incluye la disponibilidad, humedad y acumulación de los combustibles, velocidad del viento y la pendiente del terreno. También es importante considerar los factores socioeconómicos como el pastoreo, la silvicultura, el turismo, aserraderos, líneas eléctricas y fogatas.</w:t>
      </w:r>
    </w:p>
    <w:p>
      <w:pPr>
        <w:spacing w:after="0" w:line="360" w:lineRule="auto"/>
        <w:jc w:val="both"/>
        <w:sectPr>
          <w:pgSz w:w="12240" w:h="15840"/>
          <w:pgMar w:header="0" w:footer="943" w:top="1500" w:bottom="1200" w:left="1600" w:right="1580"/>
        </w:sectPr>
      </w:pPr>
    </w:p>
    <w:p>
      <w:pPr>
        <w:pStyle w:val="Heading1"/>
        <w:numPr>
          <w:ilvl w:val="1"/>
          <w:numId w:val="6"/>
        </w:numPr>
        <w:tabs>
          <w:tab w:pos="506" w:val="left" w:leader="none"/>
        </w:tabs>
        <w:spacing w:line="240" w:lineRule="auto" w:before="54" w:after="0"/>
        <w:ind w:left="505" w:right="0" w:hanging="403"/>
        <w:jc w:val="both"/>
      </w:pPr>
      <w:bookmarkStart w:name="_bookmark17" w:id="31"/>
      <w:bookmarkEnd w:id="31"/>
      <w:r>
        <w:rPr>
          <w:b w:val="0"/>
        </w:rPr>
      </w:r>
      <w:bookmarkStart w:name="_bookmark17" w:id="32"/>
      <w:bookmarkEnd w:id="32"/>
      <w:r>
        <w:rPr/>
        <w:t>V</w:t>
      </w:r>
      <w:r>
        <w:rPr/>
        <w:t>ulnerabilidad</w:t>
      </w:r>
    </w:p>
    <w:p>
      <w:pPr>
        <w:pStyle w:val="BodyText"/>
        <w:rPr>
          <w:b/>
        </w:rPr>
      </w:pPr>
    </w:p>
    <w:p>
      <w:pPr>
        <w:pStyle w:val="BodyText"/>
        <w:spacing w:line="360" w:lineRule="auto" w:before="180"/>
        <w:ind w:left="102" w:right="113"/>
        <w:jc w:val="both"/>
      </w:pPr>
      <w:r>
        <w:rPr/>
        <w:t>La vulnerabilidad es la susceptibilidad o propensión de los sistemas expuestos a ser afectados o dañados por el efecto de un fenómeno perturbador, es decir, el grado de pérdidas esperadas. Se distinguen dos tipos: la vulnerabilidad física y la vulnerabilidad social. La primera es más factible de cuantificarse en términos físicos y la segunda puede valorarse cualitativamente y es relativa por estar relacionada con aspectos económicos, educativos, culturales y el grado de preparación de las personas. La vulnerabilidad física se expresa como una probabilidad de daño de un sistema expuesto y es normal expresarla a través de una función matemática o matriz de vulnerabilidad con valores entre cero y uno (CENAPRED, 2014b).</w:t>
      </w:r>
    </w:p>
    <w:p>
      <w:pPr>
        <w:pStyle w:val="BodyText"/>
      </w:pPr>
    </w:p>
    <w:p>
      <w:pPr>
        <w:pStyle w:val="BodyText"/>
        <w:spacing w:line="360" w:lineRule="auto" w:before="139"/>
        <w:ind w:left="102" w:right="119"/>
        <w:jc w:val="both"/>
      </w:pPr>
      <w:r>
        <w:rPr/>
        <w:t>Vulnerabilidad es la susceptibilidad de una unidad social (familias, comunidad, sociedad) y sus medios de vida, a sufrir daños por acción de un peligro. En el concepto de vulnerabilidad comprende la capacidad o incapacidad de una unidad social para anticiparse, resistir y recuperarse de los efectos adversos causados  por el peligro (Zilbert y Romero, 2012). La vulnerabilidad está en función del grado de exposición, la protección preestablecida, la reacción inmediata, la recuperación básica y la reconstrucción (Vargas,</w:t>
      </w:r>
      <w:r>
        <w:rPr>
          <w:spacing w:val="-14"/>
        </w:rPr>
        <w:t> </w:t>
      </w:r>
      <w:r>
        <w:rPr/>
        <w:t>2002).</w:t>
      </w:r>
    </w:p>
    <w:p>
      <w:pPr>
        <w:pStyle w:val="BodyText"/>
      </w:pPr>
    </w:p>
    <w:p>
      <w:pPr>
        <w:pStyle w:val="BodyText"/>
        <w:spacing w:line="360" w:lineRule="auto" w:before="142"/>
        <w:ind w:left="102" w:right="120"/>
        <w:jc w:val="both"/>
      </w:pPr>
      <w:r>
        <w:rPr/>
        <w:t>La vulnerabilidad es la disposición interna a ser afectado por una amenaza. Si no hay vulnerabilidad, no hay destrucción o pérdida. Se define como la propensión interna de un ecosistema o de algunos de sus componentes a sufrir daño ante la presencia de determinada fuerza o energía potencialmente destructiva (Vargas, 2002).</w:t>
      </w:r>
    </w:p>
    <w:p>
      <w:pPr>
        <w:pStyle w:val="BodyText"/>
      </w:pPr>
    </w:p>
    <w:p>
      <w:pPr>
        <w:pStyle w:val="BodyText"/>
        <w:spacing w:before="7"/>
        <w:rPr>
          <w:sz w:val="29"/>
        </w:rPr>
      </w:pPr>
    </w:p>
    <w:p>
      <w:pPr>
        <w:pStyle w:val="Heading1"/>
        <w:ind w:left="810" w:firstLine="0"/>
      </w:pPr>
      <w:bookmarkStart w:name="_bookmark18" w:id="33"/>
      <w:bookmarkEnd w:id="33"/>
      <w:r>
        <w:rPr>
          <w:b w:val="0"/>
        </w:rPr>
      </w:r>
      <w:r>
        <w:rPr/>
        <w:t>1.8.1 Elementos de la vulnerabilidad</w:t>
      </w:r>
    </w:p>
    <w:p>
      <w:pPr>
        <w:pStyle w:val="BodyText"/>
        <w:rPr>
          <w:b/>
        </w:rPr>
      </w:pPr>
    </w:p>
    <w:p>
      <w:pPr>
        <w:pStyle w:val="BodyText"/>
        <w:spacing w:line="360" w:lineRule="auto" w:before="180"/>
        <w:ind w:left="102" w:right="117"/>
        <w:jc w:val="both"/>
      </w:pPr>
      <w:r>
        <w:rPr/>
        <w:t>Los elementos de la vulnerabilidad son: exposición, fragilidad y resiliencia. La exposición  ante  el peligro se  da  cuando  la unidad  social y sus  medios de  vida</w:t>
      </w:r>
    </w:p>
    <w:p>
      <w:pPr>
        <w:spacing w:after="0" w:line="360" w:lineRule="auto"/>
        <w:jc w:val="both"/>
        <w:sectPr>
          <w:pgSz w:w="12240" w:h="15840"/>
          <w:pgMar w:header="0" w:footer="943" w:top="1360" w:bottom="1200" w:left="1600" w:right="1580"/>
        </w:sectPr>
      </w:pPr>
    </w:p>
    <w:p>
      <w:pPr>
        <w:pStyle w:val="BodyText"/>
        <w:spacing w:line="360" w:lineRule="auto" w:before="54"/>
        <w:ind w:left="102" w:right="118"/>
        <w:jc w:val="both"/>
      </w:pPr>
      <w:r>
        <w:rPr/>
        <w:t>están localizados en el área donde el peligro ocurre e impacta. La fragilidad ante el peligro ocurre cuando el nivel de resistencia y protección ante el impacto de un peligro es nula, baja o inadecuada. La resiliencia ante el peligro es cuando una unidad social está en condiciones de asimilar los impactos, adaptarse al cambio, afrontar la situación y recuperarse de los impactos de un peligro, es algo que se desarrolla a través del tiempo y en base a las experiencias (Zilbert y Romero, 2012).</w:t>
      </w:r>
    </w:p>
    <w:p>
      <w:pPr>
        <w:pStyle w:val="BodyText"/>
      </w:pPr>
    </w:p>
    <w:p>
      <w:pPr>
        <w:pStyle w:val="BodyText"/>
        <w:spacing w:line="360" w:lineRule="auto" w:before="142"/>
        <w:ind w:left="102" w:right="126"/>
        <w:jc w:val="both"/>
      </w:pPr>
      <w:r>
        <w:rPr/>
        <w:t>El análisis de vulnerabilidad analiza la exposición, la fragilidad y la resiliencia de una unidad social y sus medios de vida, ante uno o varios peligros (Zilbert y Romero, 2012).</w:t>
      </w:r>
    </w:p>
    <w:p>
      <w:pPr>
        <w:pStyle w:val="BodyText"/>
      </w:pPr>
    </w:p>
    <w:p>
      <w:pPr>
        <w:pStyle w:val="BodyText"/>
        <w:spacing w:before="7"/>
        <w:rPr>
          <w:sz w:val="29"/>
        </w:rPr>
      </w:pPr>
    </w:p>
    <w:p>
      <w:pPr>
        <w:pStyle w:val="Heading1"/>
        <w:numPr>
          <w:ilvl w:val="1"/>
          <w:numId w:val="7"/>
        </w:numPr>
        <w:tabs>
          <w:tab w:pos="638" w:val="left" w:leader="none"/>
        </w:tabs>
        <w:spacing w:line="240" w:lineRule="auto" w:before="0" w:after="0"/>
        <w:ind w:left="637" w:right="0" w:hanging="535"/>
        <w:jc w:val="both"/>
      </w:pPr>
      <w:bookmarkStart w:name="_bookmark19" w:id="34"/>
      <w:bookmarkEnd w:id="34"/>
      <w:r>
        <w:rPr>
          <w:b w:val="0"/>
        </w:rPr>
      </w:r>
      <w:bookmarkStart w:name="_bookmark19" w:id="35"/>
      <w:bookmarkEnd w:id="35"/>
      <w:r>
        <w:rPr/>
        <w:t>E</w:t>
      </w:r>
      <w:r>
        <w:rPr/>
        <w:t>xposición</w:t>
      </w:r>
    </w:p>
    <w:p>
      <w:pPr>
        <w:pStyle w:val="BodyText"/>
        <w:rPr>
          <w:b/>
        </w:rPr>
      </w:pPr>
    </w:p>
    <w:p>
      <w:pPr>
        <w:pStyle w:val="BodyText"/>
        <w:spacing w:line="360" w:lineRule="auto" w:before="180"/>
        <w:ind w:left="102" w:right="115"/>
        <w:jc w:val="both"/>
      </w:pPr>
      <w:r>
        <w:rPr/>
        <w:t>Se refiere a la cantidad de personas, bienes y sistemas que se encuentran en el sitio y que son factibles de ser dañados. El grado de exposición es un parámetro que varía con el tiempo, está íntimamente ligado al crecimiento y desarrollo de la población y su infraestructura. En cuanto mayor sea el valor de lo expuesto, mayor será el riesgo que se enfrenta. Si el valor de lo expuesto es nulo, el riesgo también será nulo, independientemente del valor del peligro (CENAPRED, 2014b).</w:t>
      </w:r>
    </w:p>
    <w:p>
      <w:pPr>
        <w:pStyle w:val="BodyText"/>
      </w:pPr>
    </w:p>
    <w:p>
      <w:pPr>
        <w:pStyle w:val="BodyText"/>
        <w:spacing w:line="360" w:lineRule="auto" w:before="142"/>
        <w:ind w:left="102" w:right="124"/>
        <w:jc w:val="both"/>
      </w:pPr>
      <w:r>
        <w:rPr/>
        <w:t>Una vez que se han identificado y cuantificado el peligro, la vulnerabilidad y el grado de exposición para los diferentes fenómenos perturbadores y sus diferentes manifestaciones, es necesario completar el análisis a través de escenarios de riesgo (Manzo, 2006).</w:t>
      </w:r>
    </w:p>
    <w:p>
      <w:pPr>
        <w:spacing w:after="0" w:line="360" w:lineRule="auto"/>
        <w:jc w:val="both"/>
        <w:sectPr>
          <w:pgSz w:w="12240" w:h="15840"/>
          <w:pgMar w:header="0" w:footer="943" w:top="1360" w:bottom="1200" w:left="1600" w:right="1580"/>
        </w:sectPr>
      </w:pPr>
    </w:p>
    <w:p>
      <w:pPr>
        <w:pStyle w:val="Heading1"/>
        <w:numPr>
          <w:ilvl w:val="1"/>
          <w:numId w:val="7"/>
        </w:numPr>
        <w:tabs>
          <w:tab w:pos="640" w:val="left" w:leader="none"/>
        </w:tabs>
        <w:spacing w:line="240" w:lineRule="auto" w:before="54" w:after="0"/>
        <w:ind w:left="639" w:right="0" w:hanging="537"/>
        <w:jc w:val="both"/>
      </w:pPr>
      <w:bookmarkStart w:name="_bookmark20" w:id="36"/>
      <w:bookmarkEnd w:id="36"/>
      <w:r>
        <w:rPr>
          <w:b w:val="0"/>
        </w:rPr>
      </w:r>
      <w:bookmarkStart w:name="_bookmark20" w:id="37"/>
      <w:bookmarkEnd w:id="37"/>
      <w:r>
        <w:rPr/>
        <w:t>A</w:t>
      </w:r>
      <w:r>
        <w:rPr/>
        <w:t>menaza</w:t>
      </w:r>
    </w:p>
    <w:p>
      <w:pPr>
        <w:pStyle w:val="BodyText"/>
        <w:rPr>
          <w:b/>
        </w:rPr>
      </w:pPr>
    </w:p>
    <w:p>
      <w:pPr>
        <w:pStyle w:val="BodyText"/>
        <w:rPr>
          <w:b/>
        </w:rPr>
      </w:pPr>
    </w:p>
    <w:p>
      <w:pPr>
        <w:pStyle w:val="BodyText"/>
        <w:spacing w:line="360" w:lineRule="auto"/>
        <w:ind w:left="102" w:right="126" w:firstLine="67"/>
        <w:jc w:val="both"/>
      </w:pPr>
      <w:r>
        <w:rPr/>
        <w:t>La probabilidad de ocurrencia de tales eventos en un cierto sitio o región constituye una amenaza, entendida como una condición latente de posible generación de eventos perturbadores (CENAPRED, 2014b).</w:t>
      </w:r>
    </w:p>
    <w:p>
      <w:pPr>
        <w:pStyle w:val="BodyText"/>
      </w:pPr>
    </w:p>
    <w:p>
      <w:pPr>
        <w:pStyle w:val="BodyText"/>
        <w:spacing w:before="7"/>
        <w:rPr>
          <w:sz w:val="29"/>
        </w:rPr>
      </w:pPr>
    </w:p>
    <w:p>
      <w:pPr>
        <w:pStyle w:val="Heading1"/>
        <w:numPr>
          <w:ilvl w:val="1"/>
          <w:numId w:val="7"/>
        </w:numPr>
        <w:tabs>
          <w:tab w:pos="638" w:val="left" w:leader="none"/>
        </w:tabs>
        <w:spacing w:line="240" w:lineRule="auto" w:before="0" w:after="0"/>
        <w:ind w:left="637" w:right="0" w:hanging="535"/>
        <w:jc w:val="both"/>
      </w:pPr>
      <w:bookmarkStart w:name="_bookmark21" w:id="38"/>
      <w:bookmarkEnd w:id="38"/>
      <w:r>
        <w:rPr>
          <w:b w:val="0"/>
        </w:rPr>
      </w:r>
      <w:bookmarkStart w:name="_bookmark21" w:id="39"/>
      <w:bookmarkEnd w:id="39"/>
      <w:r>
        <w:rPr/>
        <w:t>El</w:t>
      </w:r>
      <w:r>
        <w:rPr>
          <w:spacing w:val="-3"/>
        </w:rPr>
        <w:t> </w:t>
      </w:r>
      <w:r>
        <w:rPr/>
        <w:t>riesgo</w:t>
      </w:r>
    </w:p>
    <w:p>
      <w:pPr>
        <w:pStyle w:val="BodyText"/>
        <w:rPr>
          <w:b/>
        </w:rPr>
      </w:pPr>
    </w:p>
    <w:p>
      <w:pPr>
        <w:pStyle w:val="BodyText"/>
        <w:spacing w:line="360" w:lineRule="auto" w:before="180"/>
        <w:ind w:left="102" w:right="117"/>
        <w:jc w:val="both"/>
      </w:pPr>
      <w:r>
        <w:rPr/>
        <w:t>El riesgo es la probabilidad de ocurrencia de daños, pérdidas o  efectos indeseables sobre sistemas constituidos por personas, comunidades o sus bienes, como consecuencia del impacto de eventos o fenómenos perturbadores (CENAPRED, 2014b y Guevara et al., 2006). Es el conjunto de daños y pérdidas que podrían producirse en una unidad social y sus medios de vida, como consecuencia del impacto de uno o varios peligros sobre las condiciones de vulnerabilidad que presenta dicha unidad social (Zilbert y Romero, 2012).</w:t>
      </w:r>
    </w:p>
    <w:p>
      <w:pPr>
        <w:pStyle w:val="BodyText"/>
      </w:pPr>
    </w:p>
    <w:p>
      <w:pPr>
        <w:pStyle w:val="BodyText"/>
        <w:spacing w:line="360" w:lineRule="auto" w:before="142"/>
        <w:ind w:left="102" w:right="121"/>
        <w:jc w:val="both"/>
      </w:pPr>
      <w:r>
        <w:rPr/>
        <w:t>La existencia de un riesgo implica la presencia de un agente perturbador (fenómeno natural o generado por el hombre) que tenga la probabilidad de ocasionar daños a un sistema afectable (asentamientos humanos, infraestructura, planta productiva, etc.) en un grado tal, que constituye un desastre.</w:t>
      </w:r>
    </w:p>
    <w:p>
      <w:pPr>
        <w:pStyle w:val="BodyText"/>
      </w:pPr>
    </w:p>
    <w:p>
      <w:pPr>
        <w:pStyle w:val="BodyText"/>
        <w:spacing w:line="360" w:lineRule="auto" w:before="142"/>
        <w:ind w:left="102" w:right="116"/>
        <w:jc w:val="both"/>
      </w:pPr>
      <w:r>
        <w:rPr/>
        <w:t>En forma cuantitativa, el riesgo es entendido como la función de tres factores: la probabilidad de que ocurra un fenómeno potencialmente dañino, es decir el peligro, la vulnerabilidad y el valor de los bienes expuestos y su fórmula </w:t>
      </w:r>
      <w:r>
        <w:rPr>
          <w:spacing w:val="5"/>
        </w:rPr>
        <w:t>es </w:t>
      </w:r>
      <w:r>
        <w:rPr/>
        <w:t>la siguiente:</w:t>
      </w:r>
    </w:p>
    <w:p>
      <w:pPr>
        <w:spacing w:line="360" w:lineRule="auto" w:before="5"/>
        <w:ind w:left="3988" w:right="2504" w:hanging="1486"/>
        <w:jc w:val="left"/>
        <w:rPr>
          <w:rFonts w:ascii="Times New Roman" w:hAnsi="Times New Roman"/>
          <w:b/>
          <w:sz w:val="20"/>
        </w:rPr>
      </w:pPr>
      <w:r>
        <w:rPr>
          <w:rFonts w:ascii="Times New Roman" w:hAnsi="Times New Roman"/>
          <w:b/>
          <w:sz w:val="20"/>
        </w:rPr>
        <w:t>Riesgo </w:t>
      </w:r>
      <w:r>
        <w:rPr>
          <w:sz w:val="20"/>
        </w:rPr>
        <w:t>= </w:t>
      </w:r>
      <w:r>
        <w:rPr>
          <w:sz w:val="24"/>
        </w:rPr>
        <w:t>f</w:t>
      </w:r>
      <w:r>
        <w:rPr>
          <w:sz w:val="20"/>
        </w:rPr>
        <w:t>(</w:t>
      </w:r>
      <w:r>
        <w:rPr>
          <w:rFonts w:ascii="Times New Roman" w:hAnsi="Times New Roman"/>
          <w:b/>
          <w:sz w:val="20"/>
        </w:rPr>
        <w:t>Peligro, Vulnerabilidad, Exposición</w:t>
      </w:r>
      <w:r>
        <w:rPr>
          <w:sz w:val="20"/>
        </w:rPr>
        <w:t>) </w:t>
      </w:r>
      <w:r>
        <w:rPr>
          <w:rFonts w:ascii="Times New Roman" w:hAnsi="Times New Roman"/>
          <w:b/>
          <w:sz w:val="20"/>
        </w:rPr>
        <w:t>R </w:t>
      </w:r>
      <w:r>
        <w:rPr>
          <w:sz w:val="20"/>
        </w:rPr>
        <w:t>= </w:t>
      </w:r>
      <w:r>
        <w:rPr>
          <w:sz w:val="24"/>
        </w:rPr>
        <w:t>f</w:t>
      </w:r>
      <w:r>
        <w:rPr>
          <w:sz w:val="20"/>
        </w:rPr>
        <w:t>(</w:t>
      </w:r>
      <w:r>
        <w:rPr>
          <w:rFonts w:ascii="Times New Roman" w:hAnsi="Times New Roman"/>
          <w:b/>
          <w:sz w:val="20"/>
        </w:rPr>
        <w:t>P,V,E)</w:t>
      </w:r>
    </w:p>
    <w:p>
      <w:pPr>
        <w:pStyle w:val="BodyText"/>
        <w:spacing w:before="5"/>
        <w:rPr>
          <w:rFonts w:ascii="Times New Roman"/>
          <w:b/>
          <w:sz w:val="30"/>
        </w:rPr>
      </w:pPr>
    </w:p>
    <w:p>
      <w:pPr>
        <w:pStyle w:val="BodyText"/>
        <w:spacing w:line="360" w:lineRule="auto"/>
        <w:ind w:left="102" w:right="122"/>
        <w:jc w:val="both"/>
      </w:pPr>
      <w:r>
        <w:rPr/>
        <w:t>Un riesgo natural es considerado como "aquellos elementos del medio físico y biológico que son nocivos para el hombre y causados por fuerzas ajenas a él" (Burton y Kates, 1964). Aquello que puede considerarse como riesgo natural es,</w:t>
      </w:r>
    </w:p>
    <w:p>
      <w:pPr>
        <w:spacing w:after="0" w:line="360" w:lineRule="auto"/>
        <w:jc w:val="both"/>
        <w:sectPr>
          <w:footerReference w:type="default" r:id="rId14"/>
          <w:pgSz w:w="12240" w:h="15840"/>
          <w:pgMar w:footer="1003" w:header="0" w:top="1360" w:bottom="1200" w:left="1600" w:right="1580"/>
        </w:sectPr>
      </w:pPr>
    </w:p>
    <w:p>
      <w:pPr>
        <w:pStyle w:val="BodyText"/>
        <w:spacing w:line="360" w:lineRule="auto" w:before="54"/>
        <w:ind w:left="102" w:right="126"/>
        <w:jc w:val="both"/>
      </w:pPr>
      <w:r>
        <w:rPr/>
        <w:t>por tanto, algo variable, puesto que son mutables a lo largo del tiempo y del espacio.</w:t>
      </w:r>
    </w:p>
    <w:p>
      <w:pPr>
        <w:pStyle w:val="BodyText"/>
      </w:pPr>
    </w:p>
    <w:p>
      <w:pPr>
        <w:pStyle w:val="BodyText"/>
        <w:spacing w:line="360" w:lineRule="auto" w:before="142"/>
        <w:ind w:left="102" w:right="120"/>
        <w:jc w:val="both"/>
      </w:pPr>
      <w:r>
        <w:rPr/>
        <w:t>Los niveles de civilización de las distintas sociedades, y lo que para cada una de ellas puede calificarse como riesgo es algo que sufre fuertes variaciones a lo largo del tiempo y de un lugar para otro. Desde un punto de vista geográfico, riesgo es la situación concreta en el tiempo de un determinado grupo humano frente a las condiciones de su medio, en cuanto este grupo es capaz de aprovecharlas para su supervivencia, o incapaz de dominarlas a partir de determinados umbrales de variación de estas condiciones (Calvo,</w:t>
      </w:r>
      <w:r>
        <w:rPr>
          <w:spacing w:val="-16"/>
        </w:rPr>
        <w:t> </w:t>
      </w:r>
      <w:r>
        <w:rPr/>
        <w:t>1984).</w:t>
      </w:r>
    </w:p>
    <w:p>
      <w:pPr>
        <w:pStyle w:val="BodyText"/>
      </w:pPr>
    </w:p>
    <w:p>
      <w:pPr>
        <w:pStyle w:val="BodyText"/>
        <w:spacing w:line="360" w:lineRule="auto" w:before="139"/>
        <w:ind w:left="102" w:right="121"/>
        <w:jc w:val="both"/>
      </w:pPr>
      <w:r>
        <w:rPr/>
        <w:t>Copete </w:t>
      </w:r>
      <w:r>
        <w:rPr>
          <w:i/>
        </w:rPr>
        <w:t>et al</w:t>
      </w:r>
      <w:r>
        <w:rPr/>
        <w:t>., (2007), definieron el riesgo potencial de incendios como una combinación del análisis del riesgo estadístico y la peligrosidad del sistema forestal.</w:t>
      </w:r>
    </w:p>
    <w:p>
      <w:pPr>
        <w:pStyle w:val="BodyText"/>
      </w:pPr>
    </w:p>
    <w:p>
      <w:pPr>
        <w:pStyle w:val="BodyText"/>
        <w:spacing w:before="7"/>
        <w:rPr>
          <w:sz w:val="29"/>
        </w:rPr>
      </w:pPr>
    </w:p>
    <w:p>
      <w:pPr>
        <w:pStyle w:val="Heading1"/>
        <w:numPr>
          <w:ilvl w:val="1"/>
          <w:numId w:val="7"/>
        </w:numPr>
        <w:tabs>
          <w:tab w:pos="640" w:val="left" w:leader="none"/>
        </w:tabs>
        <w:spacing w:line="240" w:lineRule="auto" w:before="0" w:after="0"/>
        <w:ind w:left="639" w:right="0" w:hanging="537"/>
        <w:jc w:val="both"/>
      </w:pPr>
      <w:bookmarkStart w:name="_bookmark22" w:id="40"/>
      <w:bookmarkEnd w:id="40"/>
      <w:r>
        <w:rPr>
          <w:b w:val="0"/>
        </w:rPr>
      </w:r>
      <w:bookmarkStart w:name="_bookmark22" w:id="41"/>
      <w:bookmarkEnd w:id="41"/>
      <w:r>
        <w:rPr/>
        <w:t>A</w:t>
      </w:r>
      <w:r>
        <w:rPr/>
        <w:t>nálisis del</w:t>
      </w:r>
      <w:r>
        <w:rPr>
          <w:spacing w:val="-13"/>
        </w:rPr>
        <w:t> </w:t>
      </w:r>
      <w:r>
        <w:rPr/>
        <w:t>riesgo</w:t>
      </w:r>
    </w:p>
    <w:p>
      <w:pPr>
        <w:pStyle w:val="BodyText"/>
        <w:rPr>
          <w:b/>
        </w:rPr>
      </w:pPr>
    </w:p>
    <w:p>
      <w:pPr>
        <w:pStyle w:val="BodyText"/>
        <w:spacing w:line="360" w:lineRule="auto" w:before="180"/>
        <w:ind w:left="102" w:right="116"/>
        <w:jc w:val="both"/>
      </w:pPr>
      <w:r>
        <w:rPr/>
        <w:t>Es el estudio que se realiza para identificar y caracterizar el riesgo, a partir del análisis de los peligros que afectan un territorio determinado, del análisis de vulnerabilidades y de las capacidades existentes para gestionar el riesgo (Zilbert y Romero, 2012).</w:t>
      </w:r>
    </w:p>
    <w:p>
      <w:pPr>
        <w:pStyle w:val="BodyText"/>
      </w:pPr>
    </w:p>
    <w:p>
      <w:pPr>
        <w:pStyle w:val="BodyText"/>
        <w:spacing w:before="7"/>
        <w:rPr>
          <w:sz w:val="29"/>
        </w:rPr>
      </w:pPr>
    </w:p>
    <w:p>
      <w:pPr>
        <w:pStyle w:val="Heading1"/>
        <w:numPr>
          <w:ilvl w:val="1"/>
          <w:numId w:val="7"/>
        </w:numPr>
        <w:tabs>
          <w:tab w:pos="638" w:val="left" w:leader="none"/>
        </w:tabs>
        <w:spacing w:line="240" w:lineRule="auto" w:before="0" w:after="0"/>
        <w:ind w:left="637" w:right="0" w:hanging="535"/>
        <w:jc w:val="both"/>
      </w:pPr>
      <w:bookmarkStart w:name="_bookmark23" w:id="42"/>
      <w:bookmarkEnd w:id="42"/>
      <w:r>
        <w:rPr>
          <w:b w:val="0"/>
        </w:rPr>
      </w:r>
      <w:bookmarkStart w:name="_bookmark23" w:id="43"/>
      <w:bookmarkEnd w:id="43"/>
      <w:r>
        <w:rPr/>
        <w:t>El</w:t>
      </w:r>
      <w:r>
        <w:rPr>
          <w:spacing w:val="-2"/>
        </w:rPr>
        <w:t> </w:t>
      </w:r>
      <w:r>
        <w:rPr/>
        <w:t>fuego</w:t>
      </w:r>
    </w:p>
    <w:p>
      <w:pPr>
        <w:pStyle w:val="BodyText"/>
        <w:rPr>
          <w:b/>
        </w:rPr>
      </w:pPr>
    </w:p>
    <w:p>
      <w:pPr>
        <w:pStyle w:val="BodyText"/>
        <w:spacing w:line="360" w:lineRule="auto" w:before="180"/>
        <w:ind w:left="102" w:right="126"/>
        <w:jc w:val="both"/>
      </w:pPr>
      <w:r>
        <w:rPr/>
        <w:t>El fuego es un proceso de oxidación de un material combustible, con desprendimiento de calor, luz y gases (Torres </w:t>
      </w:r>
      <w:r>
        <w:rPr>
          <w:i/>
        </w:rPr>
        <w:t>et al</w:t>
      </w:r>
      <w:r>
        <w:rPr/>
        <w:t>., 2006).</w:t>
      </w:r>
    </w:p>
    <w:p>
      <w:pPr>
        <w:pStyle w:val="BodyText"/>
      </w:pPr>
    </w:p>
    <w:p>
      <w:pPr>
        <w:pStyle w:val="BodyText"/>
        <w:spacing w:line="360" w:lineRule="auto" w:before="144"/>
        <w:ind w:left="102" w:right="121"/>
        <w:jc w:val="both"/>
      </w:pPr>
      <w:r>
        <w:rPr/>
        <w:t>Jiménez y Alanís (2011), mencionan que el fuego es un regulador natural de algunos ecosistemas, por lo cual la ocurrencia de incendios forestales en numerosos   ecosistemas   responde   a   comportamientos   climáticos   y   a      la</w:t>
      </w:r>
    </w:p>
    <w:p>
      <w:pPr>
        <w:spacing w:after="0" w:line="360" w:lineRule="auto"/>
        <w:jc w:val="both"/>
        <w:sectPr>
          <w:footerReference w:type="default" r:id="rId15"/>
          <w:pgSz w:w="12240" w:h="15840"/>
          <w:pgMar w:footer="1003" w:header="0" w:top="1360" w:bottom="1200" w:left="1600" w:right="1580"/>
          <w:pgNumType w:start="21"/>
        </w:sectPr>
      </w:pPr>
    </w:p>
    <w:p>
      <w:pPr>
        <w:pStyle w:val="BodyText"/>
        <w:spacing w:line="360" w:lineRule="auto" w:before="54"/>
        <w:ind w:left="102" w:right="119"/>
        <w:jc w:val="both"/>
      </w:pPr>
      <w:r>
        <w:rPr/>
        <w:t>susceptibilidad natural o adaptación de la vegetación a la ignición y la inflamabilidad, especialmente en periodos de sequedad.</w:t>
      </w:r>
    </w:p>
    <w:p>
      <w:pPr>
        <w:pStyle w:val="BodyText"/>
      </w:pPr>
    </w:p>
    <w:p>
      <w:pPr>
        <w:pStyle w:val="BodyText"/>
        <w:spacing w:line="360" w:lineRule="auto" w:before="142"/>
        <w:ind w:left="102" w:right="124"/>
        <w:jc w:val="both"/>
      </w:pPr>
      <w:r>
        <w:rPr/>
        <w:t>Jardel et al. (2004), concluyen que los incendios forestales son un fenómeno complejo en términos ecológicos y sociales, cuyo entendimiento es fundamental para el diseño de prácticas de manejo del fuego en áreas naturales protegidas, donde se combinan condiciones de heterogeneidad ambiental, diversidad biológica, intereses de distintos actores sociales y objetivos de conservación ecológica y desarrollo social.</w:t>
      </w:r>
    </w:p>
    <w:p>
      <w:pPr>
        <w:pStyle w:val="BodyText"/>
      </w:pPr>
    </w:p>
    <w:p>
      <w:pPr>
        <w:pStyle w:val="BodyText"/>
        <w:spacing w:before="7"/>
        <w:rPr>
          <w:sz w:val="29"/>
        </w:rPr>
      </w:pPr>
    </w:p>
    <w:p>
      <w:pPr>
        <w:pStyle w:val="Heading1"/>
        <w:numPr>
          <w:ilvl w:val="1"/>
          <w:numId w:val="7"/>
        </w:numPr>
        <w:tabs>
          <w:tab w:pos="638" w:val="left" w:leader="none"/>
        </w:tabs>
        <w:spacing w:line="240" w:lineRule="auto" w:before="0" w:after="0"/>
        <w:ind w:left="637" w:right="0" w:hanging="535"/>
        <w:jc w:val="both"/>
      </w:pPr>
      <w:bookmarkStart w:name="_bookmark24" w:id="44"/>
      <w:bookmarkEnd w:id="44"/>
      <w:r>
        <w:rPr>
          <w:b w:val="0"/>
        </w:rPr>
      </w:r>
      <w:bookmarkStart w:name="_bookmark24" w:id="45"/>
      <w:bookmarkEnd w:id="45"/>
      <w:r>
        <w:rPr/>
        <w:t>Tip</w:t>
      </w:r>
      <w:r>
        <w:rPr/>
        <w:t>os de incendios</w:t>
      </w:r>
      <w:r>
        <w:rPr>
          <w:spacing w:val="-11"/>
        </w:rPr>
        <w:t> </w:t>
      </w:r>
      <w:r>
        <w:rPr/>
        <w:t>forestales</w:t>
      </w:r>
    </w:p>
    <w:p>
      <w:pPr>
        <w:pStyle w:val="BodyText"/>
        <w:rPr>
          <w:b/>
        </w:rPr>
      </w:pPr>
    </w:p>
    <w:p>
      <w:pPr>
        <w:pStyle w:val="BodyText"/>
        <w:spacing w:line="360" w:lineRule="auto" w:before="180"/>
        <w:ind w:left="102" w:right="114"/>
        <w:jc w:val="both"/>
      </w:pPr>
      <w:r>
        <w:rPr/>
        <w:t>Existen tres tipos de incendios forestales que son: superficial, de copa y subterráneo.</w:t>
      </w:r>
    </w:p>
    <w:p>
      <w:pPr>
        <w:pStyle w:val="BodyText"/>
      </w:pPr>
    </w:p>
    <w:p>
      <w:pPr>
        <w:pStyle w:val="BodyText"/>
        <w:spacing w:line="360" w:lineRule="auto" w:before="142"/>
        <w:ind w:left="102" w:right="115"/>
        <w:jc w:val="both"/>
      </w:pPr>
      <w:r>
        <w:rPr/>
        <w:t>El incendio superficial afecta principalmente pastizales y vegetación herbácea que se encuentra entre la superficie terrestre hasta 1.5 metros de altura como hierbas, zacates, leñas y hojarascas. En México es el más frecuente ya que alrededor del 90% de los incendios corresponden a este tipo (Villers y López, 2004; Torres et al., 2006 y Gobierno del Estado de México, 2009).</w:t>
      </w:r>
    </w:p>
    <w:p>
      <w:pPr>
        <w:pStyle w:val="BodyText"/>
      </w:pPr>
    </w:p>
    <w:p>
      <w:pPr>
        <w:pStyle w:val="BodyText"/>
        <w:spacing w:line="360" w:lineRule="auto" w:before="142"/>
        <w:ind w:left="102" w:right="116"/>
        <w:jc w:val="both"/>
      </w:pPr>
      <w:r>
        <w:rPr/>
        <w:t>El incendio de copa es de los más violentos y peligrosos (Daugherty y Camp, 2005). Los grandes incendios de copas son conducidos por fuertes vientos y con frecuencia están favorecidos por pendientes pronunciadas (Keller y Blodgett, 2004). Perturban a toda la vegetación y en grados diversos dañan a la biodiversidad; aproximadamente 8% de los incendios en el país es de este tipo (Villers y López, 2004; Torres et al., 2006 y Gobierno del Estado de México, 2009).</w:t>
      </w:r>
    </w:p>
    <w:p>
      <w:pPr>
        <w:pStyle w:val="BodyText"/>
      </w:pPr>
    </w:p>
    <w:p>
      <w:pPr>
        <w:pStyle w:val="BodyText"/>
        <w:spacing w:line="360" w:lineRule="auto" w:before="142"/>
        <w:ind w:left="102" w:right="117"/>
        <w:jc w:val="both"/>
      </w:pPr>
      <w:r>
        <w:rPr/>
        <w:t>El incendio subterráneo es aquel que se propaga bajo la superficie del terreno; afecta las raíces y la materia orgánica acumulada en grandes afloramientos de roca y se caracteriza por no generar llamas y por presentar poco humo; en México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menos del 2% de incendios es de este tipo (Villers y López, 2004; Torres et al., 2006 y Gobierno del Estado de México, 2009).</w:t>
      </w:r>
    </w:p>
    <w:p>
      <w:pPr>
        <w:pStyle w:val="BodyText"/>
      </w:pPr>
    </w:p>
    <w:p>
      <w:pPr>
        <w:pStyle w:val="BodyText"/>
        <w:spacing w:line="360" w:lineRule="auto" w:before="142"/>
        <w:ind w:left="102" w:right="115"/>
        <w:jc w:val="both"/>
      </w:pPr>
      <w:r>
        <w:rPr/>
        <w:t>El tamaño de los incendios está influenciado no sólo por factores ambientales (precipitación, temperatura y altitud), sino también por factores antropogénicos (índice de gravedad de población, distancia a caminos, distancia a localidades, distancia a áreas deforestadas). Y su efecto es variable en función de la ubicación de los incendios. Las áreas deforestadas para la siembra de cultivos agrícolas es también otro factor que influye significativamente en el tamaño de los incendios (Pérez et al., 2013).</w:t>
      </w:r>
    </w:p>
    <w:p>
      <w:pPr>
        <w:pStyle w:val="BodyText"/>
      </w:pPr>
    </w:p>
    <w:p>
      <w:pPr>
        <w:pStyle w:val="BodyText"/>
        <w:spacing w:line="360" w:lineRule="auto" w:before="142"/>
        <w:ind w:left="102" w:right="118"/>
        <w:jc w:val="both"/>
      </w:pPr>
      <w:r>
        <w:rPr/>
        <w:t>Existen ecosistemas adaptados al fuego, independientes al fuego y sensibles al fuego (SEMARNAT, 2009). Los ecosistemas dependientes o adaptados al fuego son los pinares, pastizales y encinares; entre los sensibles están los bosques de oyamel y las selvas bajas (Tchikoué, 2003).</w:t>
      </w:r>
    </w:p>
    <w:p>
      <w:pPr>
        <w:pStyle w:val="BodyText"/>
      </w:pPr>
    </w:p>
    <w:p>
      <w:pPr>
        <w:pStyle w:val="BodyText"/>
        <w:spacing w:before="8"/>
        <w:rPr>
          <w:sz w:val="29"/>
        </w:rPr>
      </w:pPr>
    </w:p>
    <w:p>
      <w:pPr>
        <w:pStyle w:val="Heading1"/>
        <w:numPr>
          <w:ilvl w:val="1"/>
          <w:numId w:val="7"/>
        </w:numPr>
        <w:tabs>
          <w:tab w:pos="638" w:val="left" w:leader="none"/>
        </w:tabs>
        <w:spacing w:line="240" w:lineRule="auto" w:before="0" w:after="0"/>
        <w:ind w:left="637" w:right="0" w:hanging="535"/>
        <w:jc w:val="both"/>
      </w:pPr>
      <w:bookmarkStart w:name="_bookmark25" w:id="46"/>
      <w:bookmarkEnd w:id="46"/>
      <w:r>
        <w:rPr>
          <w:b w:val="0"/>
        </w:rPr>
      </w:r>
      <w:bookmarkStart w:name="_bookmark25" w:id="47"/>
      <w:bookmarkEnd w:id="47"/>
      <w:r>
        <w:rPr/>
        <w:t>C</w:t>
      </w:r>
      <w:r>
        <w:rPr/>
        <w:t>ombustibles</w:t>
      </w:r>
      <w:r>
        <w:rPr>
          <w:spacing w:val="-6"/>
        </w:rPr>
        <w:t> </w:t>
      </w:r>
      <w:r>
        <w:rPr/>
        <w:t>forestales</w:t>
      </w:r>
    </w:p>
    <w:p>
      <w:pPr>
        <w:pStyle w:val="BodyText"/>
        <w:rPr>
          <w:b/>
        </w:rPr>
      </w:pPr>
    </w:p>
    <w:p>
      <w:pPr>
        <w:pStyle w:val="BodyText"/>
        <w:spacing w:line="360" w:lineRule="auto" w:before="180"/>
        <w:ind w:left="102" w:right="115"/>
        <w:jc w:val="both"/>
      </w:pPr>
      <w:r>
        <w:rPr/>
        <w:t>Se considera como combustible, todo material vegetal que potencialmente puede arder al ser expuesto a una fuente de calor (Gobierno del Estado de México, 2009; Wong y Villers, 2007) tanto de los estratos arbóreo, arbustivo y herbáceo, así como de la biomasa muerta que se encuentra sobre el suelo (Wong y Villers, 2007).</w:t>
      </w:r>
    </w:p>
    <w:p>
      <w:pPr>
        <w:pStyle w:val="BodyText"/>
      </w:pPr>
    </w:p>
    <w:p>
      <w:pPr>
        <w:pStyle w:val="BodyText"/>
        <w:spacing w:line="360" w:lineRule="auto" w:before="142"/>
        <w:ind w:left="102" w:right="115"/>
        <w:jc w:val="both"/>
      </w:pPr>
      <w:r>
        <w:rPr/>
        <w:t>Por su condición, los combustibles pueden clasificarse en vivos y muertos (Gobierno del Estado de México, 2009; Wong y Villers, 2007). Los primeros consisten en hierbas, arbustos y árboles. Los segundos se clasifican en delgados (hojas y ramillas finas), medianos (ramillas y ramas) y gruesos (ramas gruesas y troncos) (Wong y Villers, 2007).</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Los combustibles de diámetro pequeño como hojarasca, hierba seca y ramilla seca, representan una alta cantidad del combustible disponible y se les conoce como combustibles rápidos, en cambio, los de mayor diámetro conservan más tiempo la humedad y su contribución al combustible disponible es más retardada, por lo que son llamados combustibles lentos. El tamaño y volumen de los combustibles se relaciona con el hecho de que puedan arder menos o más fácilmente, o que tan rápido pueda avanzar la flama (Gobierno del Estado de México, 2009).</w:t>
      </w:r>
    </w:p>
    <w:p>
      <w:pPr>
        <w:pStyle w:val="BodyText"/>
      </w:pPr>
    </w:p>
    <w:p>
      <w:pPr>
        <w:pStyle w:val="BodyText"/>
        <w:spacing w:line="360" w:lineRule="auto" w:before="142"/>
        <w:ind w:left="102" w:right="116"/>
        <w:jc w:val="both"/>
      </w:pPr>
      <w:r>
        <w:rPr/>
        <w:t>Cuando los combustibles están dispuestos de forma continua y horizontal, el fuego se propaga mejor que cuando existen espacios vacíos sin vegetación (Gobierno del Estado de México, 2009). Por ello, son importantes las labores de prevención física que pueden ser brechas cortafuego y líneas negras, entre otras, que contribuyen a romper dicha continuidad.</w:t>
      </w:r>
    </w:p>
    <w:p>
      <w:pPr>
        <w:pStyle w:val="BodyText"/>
      </w:pPr>
    </w:p>
    <w:p>
      <w:pPr>
        <w:pStyle w:val="BodyText"/>
        <w:spacing w:line="360" w:lineRule="auto" w:before="142"/>
        <w:ind w:left="102" w:right="116"/>
        <w:jc w:val="both"/>
      </w:pPr>
      <w:r>
        <w:rPr/>
        <w:t>La altitud juega un papel importante con relación a los combustibles, CONAFOR define tres zonas distintas, la primera es la parte baja, generalmente hay más cantidad de combustibles, por lo que el incendio es más intenso; en la parte media, es común una disminución del combustible, pero en esa región se forma un cinturón térmico que representa un índice de peligro más alto; en el tercio superior, la propagación de fuego se reduce al haber menos combustible, pero presenta cambios bruscos del viento (CONAFOR,</w:t>
      </w:r>
      <w:r>
        <w:rPr>
          <w:spacing w:val="-14"/>
        </w:rPr>
        <w:t> </w:t>
      </w:r>
      <w:r>
        <w:rPr/>
        <w:t>2008).</w:t>
      </w:r>
    </w:p>
    <w:p>
      <w:pPr>
        <w:pStyle w:val="BodyText"/>
      </w:pPr>
    </w:p>
    <w:p>
      <w:pPr>
        <w:pStyle w:val="BodyText"/>
        <w:spacing w:before="7"/>
        <w:rPr>
          <w:sz w:val="29"/>
        </w:rPr>
      </w:pPr>
    </w:p>
    <w:p>
      <w:pPr>
        <w:pStyle w:val="Heading1"/>
        <w:numPr>
          <w:ilvl w:val="1"/>
          <w:numId w:val="7"/>
        </w:numPr>
        <w:tabs>
          <w:tab w:pos="638" w:val="left" w:leader="none"/>
        </w:tabs>
        <w:spacing w:line="240" w:lineRule="auto" w:before="0" w:after="0"/>
        <w:ind w:left="637" w:right="0" w:hanging="535"/>
        <w:jc w:val="both"/>
      </w:pPr>
      <w:bookmarkStart w:name="_bookmark26" w:id="48"/>
      <w:bookmarkEnd w:id="48"/>
      <w:r>
        <w:rPr>
          <w:b w:val="0"/>
        </w:rPr>
      </w:r>
      <w:bookmarkStart w:name="_bookmark26" w:id="49"/>
      <w:bookmarkEnd w:id="49"/>
      <w:r>
        <w:rPr/>
        <w:t>Qu</w:t>
      </w:r>
      <w:r>
        <w:rPr/>
        <w:t>emas</w:t>
      </w:r>
      <w:r>
        <w:rPr>
          <w:spacing w:val="-6"/>
        </w:rPr>
        <w:t> </w:t>
      </w:r>
      <w:r>
        <w:rPr/>
        <w:t>controladas</w:t>
      </w:r>
    </w:p>
    <w:p>
      <w:pPr>
        <w:pStyle w:val="BodyText"/>
        <w:rPr>
          <w:b/>
        </w:rPr>
      </w:pPr>
    </w:p>
    <w:p>
      <w:pPr>
        <w:pStyle w:val="BodyText"/>
        <w:spacing w:line="360" w:lineRule="auto" w:before="180"/>
        <w:ind w:left="102" w:right="116"/>
        <w:jc w:val="both"/>
      </w:pPr>
      <w:r>
        <w:rPr/>
        <w:t>Una manera de controlar la peligrosa acumulación de combustibles consiste en iniciar quemas controladas. Las quemas controladas han sido utilizadas durante años como alternativa a la supresión total de los incendios. Sus principales objetivos son: reducir la cantidad de combustible existente en el bosque y cortar la continuidad horizontal de los combustibles (CONAFOR, 2008), y por tanto la probabilidad de un incendio arrasador y catastrófico. Cada quema controlada tiene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un plan escrito que traza los objetivos y define dónde y cómo se va a llevar a cabo, bajo qué autoridad y cómo será evaluada la quema (Keller y Blodgett, 2004).</w:t>
      </w:r>
    </w:p>
    <w:p>
      <w:pPr>
        <w:pStyle w:val="BodyText"/>
      </w:pPr>
    </w:p>
    <w:p>
      <w:pPr>
        <w:pStyle w:val="BodyText"/>
        <w:spacing w:before="7"/>
        <w:rPr>
          <w:sz w:val="29"/>
        </w:rPr>
      </w:pPr>
    </w:p>
    <w:p>
      <w:pPr>
        <w:pStyle w:val="Heading1"/>
        <w:numPr>
          <w:ilvl w:val="1"/>
          <w:numId w:val="7"/>
        </w:numPr>
        <w:tabs>
          <w:tab w:pos="640" w:val="left" w:leader="none"/>
        </w:tabs>
        <w:spacing w:line="240" w:lineRule="auto" w:before="0" w:after="0"/>
        <w:ind w:left="639" w:right="0" w:hanging="537"/>
        <w:jc w:val="both"/>
      </w:pPr>
      <w:bookmarkStart w:name="_bookmark27" w:id="50"/>
      <w:bookmarkEnd w:id="50"/>
      <w:r>
        <w:rPr>
          <w:b w:val="0"/>
        </w:rPr>
      </w:r>
      <w:bookmarkStart w:name="_bookmark27" w:id="51"/>
      <w:bookmarkEnd w:id="51"/>
      <w:r>
        <w:rPr/>
        <w:t>A</w:t>
      </w:r>
      <w:r>
        <w:rPr/>
        <w:t>nálisis de Imágenes de</w:t>
      </w:r>
      <w:r>
        <w:rPr>
          <w:spacing w:val="-19"/>
        </w:rPr>
        <w:t> </w:t>
      </w:r>
      <w:r>
        <w:rPr/>
        <w:t>Satélite</w:t>
      </w:r>
    </w:p>
    <w:p>
      <w:pPr>
        <w:pStyle w:val="BodyText"/>
        <w:rPr>
          <w:b/>
        </w:rPr>
      </w:pPr>
    </w:p>
    <w:p>
      <w:pPr>
        <w:pStyle w:val="BodyText"/>
        <w:spacing w:before="9"/>
        <w:rPr>
          <w:b/>
          <w:sz w:val="23"/>
        </w:rPr>
      </w:pPr>
    </w:p>
    <w:p>
      <w:pPr>
        <w:pStyle w:val="BodyText"/>
        <w:spacing w:line="360" w:lineRule="auto"/>
        <w:ind w:left="102" w:right="116"/>
        <w:jc w:val="both"/>
      </w:pPr>
      <w:r>
        <w:rPr/>
        <w:t>La cartografía de superficies quemadas constituye una base sólida para evaluar los cambios ocasionados por el fuego, sobre la vegetación, los suelos y la atmósfera, además de constituir un apoyo importante para desarrollar programas de reforestación y recuperación de este tipo de superficies (Manzo, 2012). Al mismo tiempo, se considera que constituye un insumo importante para elaborar un mapa de riesgo de incendios. Montero </w:t>
      </w:r>
      <w:r>
        <w:rPr>
          <w:i/>
        </w:rPr>
        <w:t>et al</w:t>
      </w:r>
      <w:r>
        <w:rPr/>
        <w:t>., (2004), sugieren que la información debe ser complementada por diversos sensores de resolución espacial,  para poder servir como un conjunto de herramientas para un mejor seguimiento de incendios forestales que tuvieran el potencial de perjudicar la riqueza de zonas ecológicas.</w:t>
      </w:r>
    </w:p>
    <w:p>
      <w:pPr>
        <w:pStyle w:val="BodyText"/>
        <w:spacing w:line="360" w:lineRule="auto" w:before="204"/>
        <w:ind w:left="102" w:right="117"/>
        <w:jc w:val="both"/>
      </w:pPr>
      <w:r>
        <w:rPr/>
        <w:t>Manzo (2012), menciona que existen diversas técnicas para discriminar las superficies quemadas: índices de vegetación NDVI, análisis de componentes principales, clasificación supervisada, diferencia de imágenes, análisis de series  de tiempo, índices de áreas quemadas Normal Burn Ratio (NBR) entre otros. Se ha demostrado que el NBR y Burned Area Index (BAI) presentan una mayor capacidad para discriminar superficies</w:t>
      </w:r>
      <w:r>
        <w:rPr>
          <w:spacing w:val="-18"/>
        </w:rPr>
        <w:t> </w:t>
      </w:r>
      <w:r>
        <w:rPr/>
        <w:t>quemadas.</w:t>
      </w:r>
    </w:p>
    <w:p>
      <w:pPr>
        <w:pStyle w:val="BodyText"/>
      </w:pPr>
    </w:p>
    <w:p>
      <w:pPr>
        <w:pStyle w:val="BodyText"/>
      </w:pPr>
    </w:p>
    <w:p>
      <w:pPr>
        <w:pStyle w:val="BodyText"/>
        <w:spacing w:before="2"/>
        <w:rPr>
          <w:sz w:val="23"/>
        </w:rPr>
      </w:pPr>
    </w:p>
    <w:p>
      <w:pPr>
        <w:pStyle w:val="Heading1"/>
        <w:numPr>
          <w:ilvl w:val="1"/>
          <w:numId w:val="7"/>
        </w:numPr>
        <w:tabs>
          <w:tab w:pos="638" w:val="left" w:leader="none"/>
        </w:tabs>
        <w:spacing w:line="240" w:lineRule="auto" w:before="0" w:after="0"/>
        <w:ind w:left="637" w:right="0" w:hanging="535"/>
        <w:jc w:val="both"/>
      </w:pPr>
      <w:bookmarkStart w:name="_bookmark28" w:id="52"/>
      <w:bookmarkEnd w:id="52"/>
      <w:r>
        <w:rPr>
          <w:b w:val="0"/>
        </w:rPr>
      </w:r>
      <w:bookmarkStart w:name="_bookmark28" w:id="53"/>
      <w:bookmarkEnd w:id="53"/>
      <w:r>
        <w:rPr/>
        <w:t>C</w:t>
      </w:r>
      <w:r>
        <w:rPr/>
        <w:t>ociente normalizado de área quemada</w:t>
      </w:r>
      <w:r>
        <w:rPr>
          <w:spacing w:val="-11"/>
        </w:rPr>
        <w:t> </w:t>
      </w:r>
      <w:r>
        <w:rPr/>
        <w:t>(NBR)</w:t>
      </w:r>
    </w:p>
    <w:p>
      <w:pPr>
        <w:pStyle w:val="BodyText"/>
        <w:rPr>
          <w:b/>
        </w:rPr>
      </w:pPr>
    </w:p>
    <w:p>
      <w:pPr>
        <w:pStyle w:val="BodyText"/>
        <w:spacing w:line="360" w:lineRule="auto" w:before="176"/>
        <w:ind w:left="102" w:right="116"/>
        <w:jc w:val="both"/>
      </w:pPr>
      <w:r>
        <w:rPr/>
        <w:t>Laclaustra </w:t>
      </w:r>
      <w:r>
        <w:rPr>
          <w:i/>
        </w:rPr>
        <w:t>et al</w:t>
      </w:r>
      <w:r>
        <w:rPr/>
        <w:t>., (2003) y Rodríguez (2012b), mencionan que el cociente normalizado de Área quemada (NBR) se usa para discriminar áreas quemadas tanto en imágenes Landsat y/o MODIS. Este análisis se basa en el contraste entre el infrarrojo cercano (ρIRC, 0.78–0.90 μm) que es sensible al contenido de agua  en</w:t>
      </w:r>
      <w:r>
        <w:rPr>
          <w:spacing w:val="25"/>
        </w:rPr>
        <w:t> </w:t>
      </w:r>
      <w:r>
        <w:rPr/>
        <w:t>el</w:t>
      </w:r>
      <w:r>
        <w:rPr>
          <w:spacing w:val="22"/>
        </w:rPr>
        <w:t> </w:t>
      </w:r>
      <w:r>
        <w:rPr/>
        <w:t>suelo</w:t>
      </w:r>
      <w:r>
        <w:rPr>
          <w:spacing w:val="23"/>
        </w:rPr>
        <w:t> </w:t>
      </w:r>
      <w:r>
        <w:rPr/>
        <w:t>y</w:t>
      </w:r>
      <w:r>
        <w:rPr>
          <w:spacing w:val="20"/>
        </w:rPr>
        <w:t> </w:t>
      </w:r>
      <w:r>
        <w:rPr/>
        <w:t>la</w:t>
      </w:r>
      <w:r>
        <w:rPr>
          <w:spacing w:val="26"/>
        </w:rPr>
        <w:t> </w:t>
      </w:r>
      <w:r>
        <w:rPr/>
        <w:t>vegetación</w:t>
      </w:r>
      <w:r>
        <w:rPr>
          <w:spacing w:val="25"/>
        </w:rPr>
        <w:t> </w:t>
      </w:r>
      <w:r>
        <w:rPr/>
        <w:t>y</w:t>
      </w:r>
      <w:r>
        <w:rPr>
          <w:spacing w:val="20"/>
        </w:rPr>
        <w:t> </w:t>
      </w:r>
      <w:r>
        <w:rPr/>
        <w:t>el</w:t>
      </w:r>
      <w:r>
        <w:rPr>
          <w:spacing w:val="25"/>
        </w:rPr>
        <w:t> </w:t>
      </w:r>
      <w:r>
        <w:rPr/>
        <w:t>infrarrojo</w:t>
      </w:r>
      <w:r>
        <w:rPr>
          <w:spacing w:val="23"/>
        </w:rPr>
        <w:t> </w:t>
      </w:r>
      <w:r>
        <w:rPr/>
        <w:t>de</w:t>
      </w:r>
      <w:r>
        <w:rPr>
          <w:spacing w:val="25"/>
        </w:rPr>
        <w:t> </w:t>
      </w:r>
      <w:r>
        <w:rPr/>
        <w:t>onda</w:t>
      </w:r>
      <w:r>
        <w:rPr>
          <w:spacing w:val="25"/>
        </w:rPr>
        <w:t> </w:t>
      </w:r>
      <w:r>
        <w:rPr/>
        <w:t>corta</w:t>
      </w:r>
      <w:r>
        <w:rPr>
          <w:spacing w:val="25"/>
        </w:rPr>
        <w:t> </w:t>
      </w:r>
      <w:r>
        <w:rPr/>
        <w:t>(ρSWIR,</w:t>
      </w:r>
      <w:r>
        <w:rPr>
          <w:spacing w:val="20"/>
        </w:rPr>
        <w:t> </w:t>
      </w:r>
      <w:r>
        <w:rPr/>
        <w:t>2.09–2.35</w:t>
      </w:r>
      <w:r>
        <w:rPr>
          <w:spacing w:val="25"/>
        </w:rPr>
        <w:t> </w:t>
      </w:r>
      <w:r>
        <w:rPr/>
        <w:t>μm),</w:t>
      </w:r>
    </w:p>
    <w:p>
      <w:pPr>
        <w:spacing w:after="0" w:line="360" w:lineRule="auto"/>
        <w:jc w:val="both"/>
        <w:sectPr>
          <w:pgSz w:w="12240" w:h="15840"/>
          <w:pgMar w:header="0" w:footer="1003" w:top="1360" w:bottom="1200" w:left="1600" w:right="1580"/>
        </w:sectPr>
      </w:pPr>
    </w:p>
    <w:p>
      <w:pPr>
        <w:pStyle w:val="BodyText"/>
        <w:spacing w:line="360" w:lineRule="auto" w:before="54" w:after="8"/>
        <w:ind w:left="102" w:right="127"/>
        <w:jc w:val="both"/>
      </w:pPr>
      <w:r>
        <w:rPr/>
        <w:t>que es sensible a la detección de vegetación muerta o no fotosintética, en un entorno post-incendio (Jia </w:t>
      </w:r>
      <w:r>
        <w:rPr>
          <w:i/>
        </w:rPr>
        <w:t>et al</w:t>
      </w:r>
      <w:r>
        <w:rPr/>
        <w:t>., 2006), en la ecuación:</w:t>
      </w:r>
    </w:p>
    <w:p>
      <w:pPr>
        <w:pStyle w:val="BodyText"/>
        <w:ind w:left="3199"/>
        <w:rPr>
          <w:sz w:val="20"/>
        </w:rPr>
      </w:pPr>
      <w:r>
        <w:rPr>
          <w:sz w:val="20"/>
        </w:rPr>
        <w:drawing>
          <wp:inline distT="0" distB="0" distL="0" distR="0">
            <wp:extent cx="1667855" cy="798576"/>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6" cstate="print"/>
                    <a:stretch>
                      <a:fillRect/>
                    </a:stretch>
                  </pic:blipFill>
                  <pic:spPr>
                    <a:xfrm>
                      <a:off x="0" y="0"/>
                      <a:ext cx="1667855" cy="798576"/>
                    </a:xfrm>
                    <a:prstGeom prst="rect">
                      <a:avLst/>
                    </a:prstGeom>
                  </pic:spPr>
                </pic:pic>
              </a:graphicData>
            </a:graphic>
          </wp:inline>
        </w:drawing>
      </w:r>
      <w:r>
        <w:rPr>
          <w:sz w:val="20"/>
        </w:rPr>
      </w:r>
    </w:p>
    <w:p>
      <w:pPr>
        <w:pStyle w:val="BodyText"/>
      </w:pPr>
    </w:p>
    <w:p>
      <w:pPr>
        <w:pStyle w:val="BodyText"/>
        <w:spacing w:before="4"/>
      </w:pPr>
    </w:p>
    <w:p>
      <w:pPr>
        <w:pStyle w:val="BodyText"/>
        <w:ind w:left="102"/>
        <w:jc w:val="both"/>
      </w:pPr>
      <w:r>
        <w:rPr/>
        <w:t>Donde:</w:t>
      </w:r>
    </w:p>
    <w:p>
      <w:pPr>
        <w:pStyle w:val="BodyText"/>
        <w:spacing w:before="139"/>
        <w:ind w:left="102"/>
        <w:jc w:val="both"/>
      </w:pPr>
      <w:r>
        <w:rPr/>
        <w:t>IRC: indica la reflectividad del pixel i en la banda del infrarrojo cercano.</w:t>
      </w:r>
    </w:p>
    <w:p>
      <w:pPr>
        <w:pStyle w:val="BodyText"/>
        <w:spacing w:line="360" w:lineRule="auto" w:before="137"/>
        <w:ind w:left="954" w:right="431" w:hanging="852"/>
      </w:pPr>
      <w:r>
        <w:rPr/>
        <w:t>SWIR: indica la reflectividad del pixel i en la región del infrarrojo medio de onda corta (SWIR, entre 1 y 2.5 micras).</w:t>
      </w:r>
    </w:p>
    <w:p>
      <w:pPr>
        <w:pStyle w:val="BodyText"/>
      </w:pPr>
    </w:p>
    <w:p>
      <w:pPr>
        <w:pStyle w:val="BodyText"/>
        <w:spacing w:line="360" w:lineRule="auto" w:before="142"/>
        <w:ind w:left="102" w:right="124"/>
        <w:jc w:val="both"/>
      </w:pPr>
      <w:r>
        <w:rPr/>
        <w:t>Rodríguez (2012b), encontró que la discriminación de áreas quemadas aplicando el índice NBR en las imágenes Landsat es satisfactoria. Por lo tanto, la aplicación del NBR permitiría determinar las áreas quemadas en imágenes Landsat.</w:t>
      </w:r>
    </w:p>
    <w:p>
      <w:pPr>
        <w:pStyle w:val="BodyText"/>
      </w:pPr>
    </w:p>
    <w:p>
      <w:pPr>
        <w:pStyle w:val="BodyText"/>
        <w:spacing w:before="7"/>
        <w:rPr>
          <w:sz w:val="29"/>
        </w:rPr>
      </w:pPr>
    </w:p>
    <w:p>
      <w:pPr>
        <w:pStyle w:val="Heading1"/>
        <w:numPr>
          <w:ilvl w:val="1"/>
          <w:numId w:val="7"/>
        </w:numPr>
        <w:tabs>
          <w:tab w:pos="640" w:val="left" w:leader="none"/>
        </w:tabs>
        <w:spacing w:line="240" w:lineRule="auto" w:before="0" w:after="0"/>
        <w:ind w:left="639" w:right="0" w:hanging="537"/>
        <w:jc w:val="both"/>
      </w:pPr>
      <w:bookmarkStart w:name="_bookmark29" w:id="54"/>
      <w:bookmarkEnd w:id="54"/>
      <w:r>
        <w:rPr>
          <w:b w:val="0"/>
        </w:rPr>
      </w:r>
      <w:bookmarkStart w:name="_bookmark29" w:id="55"/>
      <w:bookmarkEnd w:id="55"/>
      <w:r>
        <w:rPr/>
        <w:t>A</w:t>
      </w:r>
      <w:r>
        <w:rPr/>
        <w:t>nálisis</w:t>
      </w:r>
      <w:r>
        <w:rPr>
          <w:spacing w:val="-7"/>
        </w:rPr>
        <w:t> </w:t>
      </w:r>
      <w:r>
        <w:rPr/>
        <w:t>multivariable.</w:t>
      </w:r>
    </w:p>
    <w:p>
      <w:pPr>
        <w:pStyle w:val="BodyText"/>
        <w:rPr>
          <w:b/>
        </w:rPr>
      </w:pPr>
    </w:p>
    <w:p>
      <w:pPr>
        <w:pStyle w:val="BodyText"/>
        <w:spacing w:line="360" w:lineRule="auto" w:before="180"/>
        <w:ind w:left="102" w:right="115"/>
        <w:jc w:val="both"/>
      </w:pPr>
      <w:r>
        <w:rPr/>
        <w:t>Las técnicas multivariantes se definen como un conjunto de métodos estadísticos que permiten el análisis de forma simultánea de más de dos variables observadas en una investigación. El análisis multivariante es un conjunto de métodos que analizan las relaciones entre un número razonablemente amplio de variables (medidas), tomadas sobre cada elemento de análisis, en una o más muestras simultáneamente (Jiménez, 2004).</w:t>
      </w:r>
    </w:p>
    <w:p>
      <w:pPr>
        <w:spacing w:after="0" w:line="360" w:lineRule="auto"/>
        <w:jc w:val="both"/>
        <w:sectPr>
          <w:pgSz w:w="12240" w:h="15840"/>
          <w:pgMar w:header="0" w:footer="1003" w:top="1360" w:bottom="1200" w:left="1600" w:right="1580"/>
        </w:sectPr>
      </w:pPr>
    </w:p>
    <w:p>
      <w:pPr>
        <w:pStyle w:val="Heading1"/>
        <w:numPr>
          <w:ilvl w:val="0"/>
          <w:numId w:val="5"/>
        </w:numPr>
        <w:tabs>
          <w:tab w:pos="822" w:val="left" w:leader="none"/>
        </w:tabs>
        <w:spacing w:line="240" w:lineRule="auto" w:before="54" w:after="0"/>
        <w:ind w:left="822" w:right="0" w:hanging="360"/>
        <w:jc w:val="left"/>
      </w:pPr>
      <w:bookmarkStart w:name="_bookmark30" w:id="56"/>
      <w:bookmarkEnd w:id="56"/>
      <w:r>
        <w:rPr>
          <w:b w:val="0"/>
        </w:rPr>
      </w:r>
      <w:bookmarkStart w:name="_bookmark30" w:id="57"/>
      <w:bookmarkEnd w:id="57"/>
      <w:r>
        <w:rPr/>
        <w:t>A</w:t>
      </w:r>
      <w:r>
        <w:rPr/>
        <w:t>NTECEDENTES</w:t>
      </w:r>
    </w:p>
    <w:p>
      <w:pPr>
        <w:pStyle w:val="BodyText"/>
        <w:rPr>
          <w:b/>
        </w:rPr>
      </w:pPr>
    </w:p>
    <w:p>
      <w:pPr>
        <w:pStyle w:val="BodyText"/>
        <w:spacing w:line="360" w:lineRule="auto" w:before="180"/>
        <w:ind w:left="102" w:right="116"/>
        <w:jc w:val="both"/>
      </w:pPr>
      <w:r>
        <w:rPr/>
        <w:t>La incidencia de incendios forestales ha sido estudiada por diferentes autores  tanto a nivel internacional como nacional y local, utilizando escalas y enfoques diversos. Su estudio se debe a los daños que causa a los ecosistemas alterando  el suelo, vegetación, fauna y paisajes. A continuación se reseñan algunos de los estudios que se han</w:t>
      </w:r>
      <w:r>
        <w:rPr>
          <w:spacing w:val="-7"/>
        </w:rPr>
        <w:t> </w:t>
      </w:r>
      <w:r>
        <w:rPr/>
        <w:t>hecho.</w:t>
      </w:r>
    </w:p>
    <w:p>
      <w:pPr>
        <w:pStyle w:val="BodyText"/>
      </w:pPr>
    </w:p>
    <w:p>
      <w:pPr>
        <w:pStyle w:val="BodyText"/>
        <w:spacing w:before="8"/>
        <w:rPr>
          <w:sz w:val="29"/>
        </w:rPr>
      </w:pPr>
    </w:p>
    <w:p>
      <w:pPr>
        <w:pStyle w:val="Heading1"/>
        <w:numPr>
          <w:ilvl w:val="1"/>
          <w:numId w:val="8"/>
        </w:numPr>
        <w:tabs>
          <w:tab w:pos="508" w:val="left" w:leader="none"/>
        </w:tabs>
        <w:spacing w:line="240" w:lineRule="auto" w:before="0" w:after="0"/>
        <w:ind w:left="507" w:right="0" w:hanging="405"/>
        <w:jc w:val="both"/>
      </w:pPr>
      <w:bookmarkStart w:name="_bookmark31" w:id="58"/>
      <w:bookmarkEnd w:id="58"/>
      <w:r>
        <w:rPr>
          <w:b w:val="0"/>
        </w:rPr>
      </w:r>
      <w:bookmarkStart w:name="_bookmark31" w:id="59"/>
      <w:bookmarkEnd w:id="59"/>
      <w:r>
        <w:rPr/>
        <w:t>A</w:t>
      </w:r>
      <w:r>
        <w:rPr/>
        <w:t> nivel</w:t>
      </w:r>
      <w:r>
        <w:rPr>
          <w:spacing w:val="-14"/>
        </w:rPr>
        <w:t> </w:t>
      </w:r>
      <w:r>
        <w:rPr/>
        <w:t>internacional</w:t>
      </w:r>
    </w:p>
    <w:p>
      <w:pPr>
        <w:pStyle w:val="BodyText"/>
        <w:rPr>
          <w:b/>
        </w:rPr>
      </w:pPr>
    </w:p>
    <w:p>
      <w:pPr>
        <w:pStyle w:val="BodyText"/>
        <w:spacing w:before="9"/>
        <w:rPr>
          <w:b/>
          <w:sz w:val="23"/>
        </w:rPr>
      </w:pPr>
    </w:p>
    <w:p>
      <w:pPr>
        <w:pStyle w:val="BodyText"/>
        <w:spacing w:line="350" w:lineRule="auto"/>
        <w:ind w:left="102" w:right="117"/>
        <w:jc w:val="both"/>
      </w:pPr>
      <w:r>
        <w:rPr/>
        <w:t>Copete </w:t>
      </w:r>
      <w:r>
        <w:rPr>
          <w:i/>
        </w:rPr>
        <w:t>et al</w:t>
      </w:r>
      <w:r>
        <w:rPr/>
        <w:t>., (2007), realizaron un estudio de la probabilidad de incendio forestal en Castilla - La Mancha, España, a escala regional. Para ello  calcularon  los índices de frecuencia, gravedad y causalidad referidos a nivel municipal en áreas de 100 km</w:t>
      </w:r>
      <w:r>
        <w:rPr>
          <w:position w:val="11"/>
          <w:sz w:val="16"/>
        </w:rPr>
        <w:t>2  </w:t>
      </w:r>
      <w:r>
        <w:rPr/>
        <w:t>para obtener el mapa de riesgo estadístico de acuerdo    a la siguiente</w:t>
      </w:r>
    </w:p>
    <w:p>
      <w:pPr>
        <w:pStyle w:val="BodyText"/>
        <w:spacing w:line="357" w:lineRule="auto"/>
        <w:ind w:left="102" w:right="115"/>
        <w:jc w:val="both"/>
      </w:pPr>
      <w:r>
        <w:rPr/>
        <w:t>expresión: R</w:t>
      </w:r>
      <w:r>
        <w:rPr>
          <w:position w:val="-2"/>
          <w:sz w:val="16"/>
        </w:rPr>
        <w:t>E </w:t>
      </w:r>
      <w:r>
        <w:rPr/>
        <w:t>= F</w:t>
      </w:r>
      <w:r>
        <w:rPr>
          <w:position w:val="-2"/>
          <w:sz w:val="16"/>
        </w:rPr>
        <w:t>i</w:t>
      </w:r>
      <w:r>
        <w:rPr/>
        <w:t>*I</w:t>
      </w:r>
      <w:r>
        <w:rPr>
          <w:position w:val="-2"/>
          <w:sz w:val="16"/>
        </w:rPr>
        <w:t>g</w:t>
      </w:r>
      <w:r>
        <w:rPr/>
        <w:t>*C</w:t>
      </w:r>
      <w:r>
        <w:rPr>
          <w:position w:val="-2"/>
          <w:sz w:val="16"/>
        </w:rPr>
        <w:t>i</w:t>
      </w:r>
      <w:r>
        <w:rPr/>
        <w:t>. La peligrosidad del medio la estimaron a partir de características ligadas a la vegetación, la fisiografía y la climatología con la siguiente fórmula: P</w:t>
      </w:r>
      <w:r>
        <w:rPr>
          <w:position w:val="-2"/>
          <w:sz w:val="16"/>
        </w:rPr>
        <w:t>M </w:t>
      </w:r>
      <w:r>
        <w:rPr/>
        <w:t>= P</w:t>
      </w:r>
      <w:r>
        <w:rPr>
          <w:position w:val="-2"/>
          <w:sz w:val="16"/>
        </w:rPr>
        <w:t>CB</w:t>
      </w:r>
      <w:r>
        <w:rPr/>
        <w:t>*P</w:t>
      </w:r>
      <w:r>
        <w:rPr>
          <w:position w:val="-2"/>
          <w:sz w:val="16"/>
        </w:rPr>
        <w:t>F</w:t>
      </w:r>
      <w:r>
        <w:rPr/>
        <w:t>*PC</w:t>
      </w:r>
      <w:r>
        <w:rPr>
          <w:position w:val="-2"/>
          <w:sz w:val="16"/>
        </w:rPr>
        <w:t>L </w:t>
      </w:r>
      <w:r>
        <w:rPr/>
        <w:t>y fue clasificado por un rango de valores con  su respectivo indicador para su representación en un mapa. Finalmente, el riesgo potencial de incendios lo determinaron mediante la intersección del índice de riesgo estadístico y el índice de peligrosidad del medio. Concluyen que lo ideal es diseñar aplicaciones informáticas que permitan su actualización periódica, mediante la simple importación de los registros correspondientes a la última campaña de</w:t>
      </w:r>
      <w:r>
        <w:rPr>
          <w:spacing w:val="-9"/>
        </w:rPr>
        <w:t> </w:t>
      </w:r>
      <w:r>
        <w:rPr/>
        <w:t>incendios.</w:t>
      </w:r>
    </w:p>
    <w:p>
      <w:pPr>
        <w:pStyle w:val="BodyText"/>
        <w:spacing w:line="360" w:lineRule="auto" w:before="204"/>
        <w:ind w:left="102" w:right="117"/>
        <w:jc w:val="both"/>
      </w:pPr>
      <w:r>
        <w:rPr/>
        <w:t>Altamirano </w:t>
      </w:r>
      <w:r>
        <w:rPr>
          <w:i/>
        </w:rPr>
        <w:t>et al</w:t>
      </w:r>
      <w:r>
        <w:rPr/>
        <w:t>., (2013), estudiaron la heterogeneidad del paisaje en </w:t>
      </w:r>
      <w:r>
        <w:rPr>
          <w:spacing w:val="3"/>
        </w:rPr>
        <w:t>la </w:t>
      </w:r>
      <w:r>
        <w:rPr/>
        <w:t>ocurrencia de incendios forestales en Chile Central, particularmente en la zona mediterránea. Los datos que utilizaron fueron los registros de incendios forestales de la Corporación Nacional Forestal del período (2004-2008). Para modelar la ocurrencia de incendios forestales utilizaron 14 variables: climáticas, topográficas, de actividad humana y de cobertura del suelo. A este modelo predictivo, los autores, lo consideraron como una herramienta, para orientar aspectos urgentes de protección y prevención de incendios forestales. Los resultados pueden ser </w:t>
      </w:r>
      <w:r>
        <w:rPr>
          <w:spacing w:val="59"/>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3"/>
        <w:jc w:val="both"/>
      </w:pPr>
      <w:r>
        <w:rPr/>
        <w:t>gran utilidad para la planificación del territorio de acuerdo a la probabilidad de ocurrencia de incendios y las prioridades de protección actuales y futuras, proporcionando apoyo a la toma de decisiones y a los planes de protección y prevención de incendios.</w:t>
      </w:r>
    </w:p>
    <w:p>
      <w:pPr>
        <w:pStyle w:val="BodyText"/>
      </w:pPr>
    </w:p>
    <w:p>
      <w:pPr>
        <w:pStyle w:val="BodyText"/>
      </w:pPr>
    </w:p>
    <w:p>
      <w:pPr>
        <w:pStyle w:val="BodyText"/>
        <w:spacing w:before="2"/>
        <w:rPr>
          <w:sz w:val="23"/>
        </w:rPr>
      </w:pPr>
    </w:p>
    <w:p>
      <w:pPr>
        <w:pStyle w:val="Heading1"/>
        <w:numPr>
          <w:ilvl w:val="1"/>
          <w:numId w:val="8"/>
        </w:numPr>
        <w:tabs>
          <w:tab w:pos="508" w:val="left" w:leader="none"/>
        </w:tabs>
        <w:spacing w:line="240" w:lineRule="auto" w:before="0" w:after="0"/>
        <w:ind w:left="507" w:right="0" w:hanging="405"/>
        <w:jc w:val="both"/>
      </w:pPr>
      <w:bookmarkStart w:name="_bookmark32" w:id="60"/>
      <w:bookmarkEnd w:id="60"/>
      <w:r>
        <w:rPr>
          <w:b w:val="0"/>
        </w:rPr>
      </w:r>
      <w:bookmarkStart w:name="_bookmark32" w:id="61"/>
      <w:bookmarkEnd w:id="61"/>
      <w:r>
        <w:rPr/>
        <w:t>A</w:t>
      </w:r>
      <w:r>
        <w:rPr/>
        <w:t> nivel</w:t>
      </w:r>
      <w:r>
        <w:rPr>
          <w:spacing w:val="-11"/>
        </w:rPr>
        <w:t> </w:t>
      </w:r>
      <w:r>
        <w:rPr/>
        <w:t>nacional</w:t>
      </w:r>
    </w:p>
    <w:p>
      <w:pPr>
        <w:pStyle w:val="BodyText"/>
        <w:rPr>
          <w:b/>
        </w:rPr>
      </w:pPr>
    </w:p>
    <w:p>
      <w:pPr>
        <w:pStyle w:val="BodyText"/>
        <w:spacing w:line="360" w:lineRule="auto" w:before="177"/>
        <w:ind w:left="102" w:right="115"/>
        <w:jc w:val="both"/>
      </w:pPr>
      <w:r>
        <w:rPr/>
        <w:t>CENAPRED (2001), identificó zonas con peligro de incendios para cada  temporada utilizando cinco variables a) índice de humedad del combustible ligero, que indica la facilidad de ignición del material combustible; b) Índice de humedad del humus, es un rango numérico que indica la sequedad de la materia orgánica muerta compactada , conocida como humus, para capas de 5 a 10 cm de</w:t>
      </w:r>
      <w:r>
        <w:rPr>
          <w:spacing w:val="-4"/>
        </w:rPr>
        <w:t> </w:t>
      </w:r>
      <w:r>
        <w:rPr/>
        <w:t>espesor;</w:t>
      </w:r>
    </w:p>
    <w:p>
      <w:pPr>
        <w:pStyle w:val="ListParagraph"/>
        <w:numPr>
          <w:ilvl w:val="3"/>
          <w:numId w:val="1"/>
        </w:numPr>
        <w:tabs>
          <w:tab w:pos="381" w:val="left" w:leader="none"/>
        </w:tabs>
        <w:spacing w:line="360" w:lineRule="auto" w:before="5" w:after="0"/>
        <w:ind w:left="102" w:right="117" w:firstLine="0"/>
        <w:jc w:val="both"/>
        <w:rPr>
          <w:sz w:val="24"/>
        </w:rPr>
      </w:pPr>
      <w:r>
        <w:rPr>
          <w:sz w:val="24"/>
        </w:rPr>
        <w:t>índice de sequía, que mide los efectos de la sequía estacional o de largo plazo sobre los combustibles forestales pesados; d) índice de propagación; es determinado en un rango numérico que señala la velocidad de propagación del fuego, inmediatamente después de que se ha producido la ignición y e) índice de consumo, que representa una combinación balanceada del índice de humedad del humus y el índice de sequía. A partir de la combinación de los índices anteriores, determina el índice meteorológico de Peligro (IMP), que proporciona una evaluación del potencial relativo del</w:t>
      </w:r>
      <w:r>
        <w:rPr>
          <w:spacing w:val="-9"/>
          <w:sz w:val="24"/>
        </w:rPr>
        <w:t> </w:t>
      </w:r>
      <w:r>
        <w:rPr>
          <w:sz w:val="24"/>
        </w:rPr>
        <w:t>incendio.</w:t>
      </w:r>
    </w:p>
    <w:p>
      <w:pPr>
        <w:pStyle w:val="BodyText"/>
      </w:pPr>
    </w:p>
    <w:p>
      <w:pPr>
        <w:pStyle w:val="BodyText"/>
        <w:spacing w:line="360" w:lineRule="auto" w:before="142"/>
        <w:ind w:left="102" w:right="116"/>
        <w:jc w:val="both"/>
      </w:pPr>
      <w:r>
        <w:rPr/>
        <w:t>Miranda (2004), determinó las áreas de riesgos a incendios forestales del parque ecológico Chipinque, Nuevo León. Utilizó un sistema de información geográfica donde integró cartografía del INEGI e información obtenida directamente de una imagen satelital y datos de campo, utilizó fotografías aéreas a escala 1:12,000 y 1:75,000 e imagen de satélite Ikonos-2. Para el inventario de combustibles utilizó el método de transectos planares. Estableció cinco modelos para representar una cantidad de material combustible acumulado (materia seca) por unidad de superficie. Dichos modelos, sirvieron como muestra para realizar una clasificación supervisada. A partir de la capa de modelos, generó un mapa de peligros de incendios por combustibles y posteriormente le asignó al subrodal la  </w:t>
      </w:r>
      <w:r>
        <w:rPr>
          <w:spacing w:val="43"/>
        </w:rPr>
        <w:t> </w:t>
      </w:r>
      <w:r>
        <w:rPr/>
        <w:t>clasificación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final de riesgo tomando en cuenta las características ecológicas de los subrodales y la cantidad de combustibles. Relacionó en otro mapa el combustible, las características ecológicas y los peligros de origen antrópico. Concluyó que el nivel de peligro a incendios forestales aumenta a medida que suceden incendios en el parque, debido al combustible que se originó por incendios y a la presencia de insectos descortezadores que se presentan después de un incendio, causando la muerte del arbolado debilitado.</w:t>
      </w:r>
    </w:p>
    <w:p>
      <w:pPr>
        <w:pStyle w:val="BodyText"/>
      </w:pPr>
    </w:p>
    <w:p>
      <w:pPr>
        <w:pStyle w:val="BodyText"/>
        <w:spacing w:line="360" w:lineRule="auto" w:before="140"/>
        <w:ind w:left="102" w:right="114"/>
        <w:jc w:val="both"/>
      </w:pPr>
      <w:r>
        <w:rPr/>
        <w:t>Jardel </w:t>
      </w:r>
      <w:r>
        <w:rPr>
          <w:i/>
        </w:rPr>
        <w:t>et al</w:t>
      </w:r>
      <w:r>
        <w:rPr/>
        <w:t>., (2004), evaluaron la incidencia de incendios forestales en la reserva de la biosfera Sierra de Manantlán (RBSM), Jalisco y Colima para el periodo de 1995 a 2003. La información la obtuvieron de reportes oficiales y dispusieron de  un mapa catastral digitalizado. Encontraron que existe una relación inversa entre  la precipitación pluvial y la superficie afectada por incendios por año. Mencionaron la importancia de considerar la influencia humana como un factor determinante del régimen de incendios forestales, debido a que en la RBSM la mayor parte de los incendios son antrópicos. La principal causa de los incendios forestales entre 1996 y 2003 fueron las quemas agropecuarias (33.5%), el (15.8%) de los incendios se reportaron como originados por quemas en cultivos ilegales (marihuana y amapola), los incendios reportados como causados por incendiarios, fueron provocados intencionalmente en el contexto de conflictos de tenencia de la tierra, sabotaje a actividades de aprovechamiento forestal e incluso por oposición al establecimiento de la RBSM (11.9%) y los incendios provocados por paseantes o visitantes se debieron a fogatas abandonadas o fumadores (6.4%). Los incendios por causas no determinadas corresponden al (32.4%). Concluyeron que a nivel nacional hacen falta evaluaciones sistemáticas y estudios de los efectos ecológicos de los incendios y que las consecuencias del fuego son siempre negativas.</w:t>
      </w:r>
    </w:p>
    <w:p>
      <w:pPr>
        <w:pStyle w:val="BodyText"/>
      </w:pPr>
    </w:p>
    <w:p>
      <w:pPr>
        <w:pStyle w:val="BodyText"/>
        <w:spacing w:line="360" w:lineRule="auto" w:before="139"/>
        <w:ind w:left="102" w:right="123"/>
        <w:jc w:val="both"/>
      </w:pPr>
      <w:r>
        <w:rPr/>
        <w:t>Muñoz </w:t>
      </w:r>
      <w:r>
        <w:rPr>
          <w:i/>
        </w:rPr>
        <w:t>et al</w:t>
      </w:r>
      <w:r>
        <w:rPr/>
        <w:t>., (2005), desarrollaron un modelo espacial para evaluar el peligro de incendios forestales en la Sierra Madre Oriental de México, en el Ejido Corona del Rosal.  La  integración  de  las  variables  para  calcular  el  Índice  de  Peligro    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Incendios Forestales (IPIF) la realizaron en términos de una Evaluación Multicriterio (EMC) a través del comando Fuzzy incluido en el programa Idrisi32. Como resultado, presentaron un mapa de la distribución espacial del peligro de incendios forestales, con las categorías muy bajo, bajo, medio, alto y muy alto. Concluyeron que el conocimiento de la distribución del peligro de incendios en el área de estudio, permitirá planear estrategias de control y combate de incendios forestales.</w:t>
      </w:r>
    </w:p>
    <w:p>
      <w:pPr>
        <w:pStyle w:val="BodyText"/>
      </w:pPr>
    </w:p>
    <w:p>
      <w:pPr>
        <w:pStyle w:val="BodyText"/>
        <w:spacing w:line="360" w:lineRule="auto" w:before="140"/>
        <w:ind w:left="102" w:right="115"/>
        <w:jc w:val="both"/>
      </w:pPr>
      <w:r>
        <w:rPr/>
        <w:t>Torres </w:t>
      </w:r>
      <w:r>
        <w:rPr>
          <w:i/>
        </w:rPr>
        <w:t>et al</w:t>
      </w:r>
      <w:r>
        <w:rPr/>
        <w:t>., (2007), calcularon un índice de peligro de incendios forestales de largo plazo. Con base en la serie histórica de incendios forestales en México (1970-2005), realizaron dos estimaciones, la primera se usó para verificar el comportamiento crítico auto organizado de la ocurrencia de incendios forestales  en México, la segunda, consistió en calcular los índices de peligrosidad de incendios forestales por Estado. Como resultados encontraron que los  estimadores de β relativamente bajos (&lt;1.0) están asociados a Estados con varios registros con años sin o con incendios muy pequeños. Los estimadores altos de β están asociados a Estados con registros de grandes superficies afectadas. Concluyeron que, el área total incendiada por año en cada Estado, sigue un comportamiento crítico auto organizado. Es un indicador útil para aproximar la asignación de presupuesto base, priorizar actividades de prevención y control o realizar un análisis costo-beneficio de las acciones de control de</w:t>
      </w:r>
      <w:r>
        <w:rPr>
          <w:spacing w:val="-28"/>
        </w:rPr>
        <w:t> </w:t>
      </w:r>
      <w:r>
        <w:rPr/>
        <w:t>incendios.</w:t>
      </w:r>
    </w:p>
    <w:p>
      <w:pPr>
        <w:pStyle w:val="BodyText"/>
      </w:pPr>
    </w:p>
    <w:p>
      <w:pPr>
        <w:pStyle w:val="BodyText"/>
        <w:spacing w:line="360" w:lineRule="auto" w:before="139"/>
        <w:ind w:left="102" w:right="118"/>
        <w:jc w:val="both"/>
      </w:pPr>
      <w:r>
        <w:rPr/>
        <w:t>Rentería </w:t>
      </w:r>
      <w:r>
        <w:rPr>
          <w:i/>
        </w:rPr>
        <w:t>et al</w:t>
      </w:r>
      <w:r>
        <w:rPr/>
        <w:t>., (2005), calculó el índice de peligro de incendios forestales (IPIF) en Pueblo Nuevo, Durango. Integraron índices causales y meteorológicos donde los modelos de índices meteorológicos, fueron obtenidos a partir de las diferentes variables climáticas. Los registros con los que se contaron por parte de la Comisión Nacional del Agua (CNA) son desde, 1965 al 2002. Los índices de combustibles los obtuvieron mediante un inventario donde determinaron la carga de combustibles por rodal. Los índices causales los obtuvieron en función de poblados, caminos, cercanías y áreas de corta. Con dicha información obtuvieron el  índice  de  peligro  de  incendio  forestal  mediante  una  evaluación</w:t>
      </w:r>
      <w:r>
        <w:rPr>
          <w:spacing w:val="13"/>
        </w:rPr>
        <w:t> </w:t>
      </w:r>
      <w:r>
        <w:rPr/>
        <w:t>multicriterio</w:t>
      </w:r>
    </w:p>
    <w:p>
      <w:pPr>
        <w:spacing w:after="0" w:line="360" w:lineRule="auto"/>
        <w:jc w:val="both"/>
        <w:sectPr>
          <w:footerReference w:type="default" r:id="rId17"/>
          <w:pgSz w:w="12240" w:h="15840"/>
          <w:pgMar w:footer="1003" w:header="0" w:top="1360" w:bottom="1200" w:left="1600" w:right="1580"/>
        </w:sectPr>
      </w:pPr>
    </w:p>
    <w:p>
      <w:pPr>
        <w:pStyle w:val="BodyText"/>
        <w:spacing w:line="360" w:lineRule="auto" w:before="54"/>
        <w:ind w:left="102" w:right="121"/>
        <w:jc w:val="both"/>
      </w:pPr>
      <w:r>
        <w:rPr/>
        <w:t>(EMC). Los índices de peligro de incendios presentaron valores más elevados durante los meses de Febrero a Mayo con grados medio, alto y muy alto, mientras que los valores bajos coincidían con los periodos de lluvias. Esto demuestra que el índice de peligro de incendio forestal está altamente influenciado por el índice meteorológico.</w:t>
      </w:r>
    </w:p>
    <w:p>
      <w:pPr>
        <w:pStyle w:val="BodyText"/>
      </w:pPr>
    </w:p>
    <w:p>
      <w:pPr>
        <w:pStyle w:val="BodyText"/>
        <w:spacing w:line="360" w:lineRule="auto" w:before="139"/>
        <w:ind w:left="102" w:right="113"/>
        <w:jc w:val="both"/>
      </w:pPr>
      <w:r>
        <w:rPr/>
        <w:t>Pérez </w:t>
      </w:r>
      <w:r>
        <w:rPr>
          <w:i/>
        </w:rPr>
        <w:t>et al</w:t>
      </w:r>
      <w:r>
        <w:rPr/>
        <w:t>., (2013) realizaron un análisis espacio-temporal de la ocurrencia de incendios forestales en Durango, México en el periodo 2000-2011. La información de los incendios la obtuvieron de la base de datos de la CONAFOR. Utilizaron el modelo digital de elevación del INEGI así como, mapas temáticos para obtener información sobre vegetación, suelos, caminos y poblados. Las  variables climáticas precipitación anual y temperatura media mensual, las obtuvieron de la base de datos del Servicio Meteorológico Nacional. Como resultados encontraron que tanto en distancias cortas como lejanas, la distribución de los incendios mantiene un patrón de distribución de forma agregada y han estado desplazándose ligeramente hacia el centro-sur del estado, esto es en dirección a la ciudad de Durango. Los incendios son no estacionarios y no están correlacionados temporalmente. El tamaño de los incendios se manifiesta de acuerdo con la densidad de población y vías de acceso, lo que confirma la importancia del factor antropogénico en la magnitud de estos eventos, las bajas precipitaciones y altas temperaturas son factores climáticos que también afectan la ocurrencia de los incendios y concluyeron que se requieren más apoyos en educación y capacitación para reducir los efectos del</w:t>
      </w:r>
      <w:r>
        <w:rPr>
          <w:spacing w:val="-21"/>
        </w:rPr>
        <w:t> </w:t>
      </w:r>
      <w:r>
        <w:rPr/>
        <w:t>fuego.</w:t>
      </w:r>
    </w:p>
    <w:p>
      <w:pPr>
        <w:pStyle w:val="BodyText"/>
      </w:pPr>
    </w:p>
    <w:p>
      <w:pPr>
        <w:pStyle w:val="BodyText"/>
        <w:spacing w:line="360" w:lineRule="auto" w:before="142"/>
        <w:ind w:left="102" w:right="118"/>
        <w:jc w:val="both"/>
      </w:pPr>
      <w:r>
        <w:rPr/>
        <w:t>En la Sierra Madre Occidental han realizado múltiples investigaciones sobre los regímenes de incendios forestales. Es así como, Jiménez y Alanís (2011), mencionan que los incendios forestales no necesariamente afectan los ecosistemas, sino que contribuyen al funcionamiento y heterogeneidad. Sugieren que es necesario restablecer los regímenes naturales de los incendios forestales, como un elemento que ha jugado un rol en las adaptaciones de plantas y en la distribución, mantenimiento y funcionalidad de los ecosistemas, además de   evitar</w:t>
      </w:r>
    </w:p>
    <w:p>
      <w:pPr>
        <w:spacing w:after="0" w:line="360" w:lineRule="auto"/>
        <w:jc w:val="both"/>
        <w:sectPr>
          <w:footerReference w:type="default" r:id="rId18"/>
          <w:pgSz w:w="12240" w:h="15840"/>
          <w:pgMar w:footer="1003" w:header="0" w:top="1360" w:bottom="1200" w:left="1600" w:right="1580"/>
          <w:pgNumType w:start="31"/>
        </w:sectPr>
      </w:pPr>
    </w:p>
    <w:p>
      <w:pPr>
        <w:pStyle w:val="BodyText"/>
        <w:spacing w:line="360" w:lineRule="auto" w:before="54"/>
        <w:ind w:left="102" w:right="122"/>
        <w:jc w:val="both"/>
      </w:pPr>
      <w:r>
        <w:rPr/>
        <w:t>los incendios de gran escala que tienen múltiples efectos negativos, tanto ambientales como económicos y sociales. Ante escenarios de incendios de grandes magnitudes, Jiménez y Alanís (2011), mencionan que es necesario y fundamental realizar acciones que fomenten: 1) la promoción de políticas de incendios controlados, de educación y difusión a distintos niveles socioculturales, capacitación a la población rural sobre el uso responsable del fuego, 2) acciones de manejo forestal inmediatamente después del incendio, para favorecer la regeneración de la vegetación y con ello la estabilidad del ecosistema.</w:t>
      </w:r>
    </w:p>
    <w:p>
      <w:pPr>
        <w:pStyle w:val="BodyText"/>
      </w:pPr>
    </w:p>
    <w:p>
      <w:pPr>
        <w:pStyle w:val="BodyText"/>
      </w:pPr>
    </w:p>
    <w:p>
      <w:pPr>
        <w:pStyle w:val="BodyText"/>
        <w:rPr>
          <w:sz w:val="23"/>
        </w:rPr>
      </w:pPr>
    </w:p>
    <w:p>
      <w:pPr>
        <w:pStyle w:val="Heading1"/>
        <w:numPr>
          <w:ilvl w:val="1"/>
          <w:numId w:val="8"/>
        </w:numPr>
        <w:tabs>
          <w:tab w:pos="508" w:val="left" w:leader="none"/>
        </w:tabs>
        <w:spacing w:line="240" w:lineRule="auto" w:before="0" w:after="0"/>
        <w:ind w:left="507" w:right="0" w:hanging="405"/>
        <w:jc w:val="both"/>
      </w:pPr>
      <w:bookmarkStart w:name="_bookmark33" w:id="62"/>
      <w:bookmarkEnd w:id="62"/>
      <w:r>
        <w:rPr>
          <w:b w:val="0"/>
        </w:rPr>
      </w:r>
      <w:bookmarkStart w:name="_bookmark33" w:id="63"/>
      <w:bookmarkEnd w:id="63"/>
      <w:r>
        <w:rPr/>
        <w:t>A</w:t>
      </w:r>
      <w:r>
        <w:rPr/>
        <w:t> nivel</w:t>
      </w:r>
      <w:r>
        <w:rPr>
          <w:spacing w:val="-13"/>
        </w:rPr>
        <w:t> </w:t>
      </w:r>
      <w:r>
        <w:rPr/>
        <w:t>delegacional</w:t>
      </w:r>
    </w:p>
    <w:p>
      <w:pPr>
        <w:pStyle w:val="BodyText"/>
        <w:rPr>
          <w:b/>
        </w:rPr>
      </w:pPr>
    </w:p>
    <w:p>
      <w:pPr>
        <w:pStyle w:val="BodyText"/>
        <w:rPr>
          <w:b/>
        </w:rPr>
      </w:pPr>
    </w:p>
    <w:p>
      <w:pPr>
        <w:pStyle w:val="BodyText"/>
        <w:spacing w:line="360" w:lineRule="auto"/>
        <w:ind w:left="102" w:right="116"/>
        <w:jc w:val="both"/>
      </w:pPr>
      <w:r>
        <w:rPr/>
        <w:t>Diez (2007), realizo una evaluación del peligro por incendios forestales en la delegación Milpa Alta, donde creó un índice de peligro de incendio forestal (IPIF). Utilizó cinco factores con sus respectivas variables, siendo dos variables meteorológicas (temperatura y precipitación), tres variables de relieve (pendiente, exposición y altitud), cinco variables de uso de suelo y vegetación (coníferas, latifoliadas, herbáceas y arbustivas, zonas agrícolas y pastizales),  tres variables de combustibles (profundidad de mantillo, ligeros y pesados) y dos variables de servicios (vías de acceso y zonas de recreación). Compiló reportes sobre  incendios ocurridos de 1994 a 2006 de la Comisión de Recursos Naturales (CORENA). Los datos de temperatura y precipitación, los obtuvo de la Comisión Nacional de Agua (CNA). Concluyó que la zona occidental de la delegación es la de menor peligro debido a la alta precipitación y menor superficie, el nivel medio de peligro quedó limitado a las zonas agrícolas y la porción Sur de la entidad quedó definida con un nivel alto de peligro, donde la probabilidad de ocurrencia de incendio en la época de estiaje supera el 80%. </w:t>
      </w:r>
      <w:r>
        <w:rPr>
          <w:spacing w:val="2"/>
        </w:rPr>
        <w:t>Sin </w:t>
      </w:r>
      <w:r>
        <w:rPr/>
        <w:t>embargo, no están claras las áreas de peligro ya que no muestra un mapa final del</w:t>
      </w:r>
      <w:r>
        <w:rPr>
          <w:spacing w:val="-17"/>
        </w:rPr>
        <w:t> </w:t>
      </w:r>
      <w:r>
        <w:rPr/>
        <w:t>IPIF.</w:t>
      </w:r>
    </w:p>
    <w:p>
      <w:pPr>
        <w:spacing w:after="0" w:line="360" w:lineRule="auto"/>
        <w:jc w:val="both"/>
        <w:sectPr>
          <w:pgSz w:w="12240" w:h="15840"/>
          <w:pgMar w:header="0" w:footer="1003" w:top="1360" w:bottom="1200" w:left="1600" w:right="1580"/>
        </w:sectPr>
      </w:pPr>
    </w:p>
    <w:p>
      <w:pPr>
        <w:pStyle w:val="Heading1"/>
        <w:numPr>
          <w:ilvl w:val="0"/>
          <w:numId w:val="5"/>
        </w:numPr>
        <w:tabs>
          <w:tab w:pos="822" w:val="left" w:leader="none"/>
        </w:tabs>
        <w:spacing w:line="240" w:lineRule="auto" w:before="54" w:after="0"/>
        <w:ind w:left="822" w:right="0" w:hanging="360"/>
        <w:jc w:val="left"/>
      </w:pPr>
      <w:bookmarkStart w:name="_bookmark34" w:id="64"/>
      <w:bookmarkEnd w:id="64"/>
      <w:r>
        <w:rPr>
          <w:b w:val="0"/>
        </w:rPr>
      </w:r>
      <w:bookmarkStart w:name="_bookmark34" w:id="65"/>
      <w:bookmarkEnd w:id="65"/>
      <w:r>
        <w:rPr/>
        <w:t>M</w:t>
      </w:r>
      <w:r>
        <w:rPr/>
        <w:t>ARCO</w:t>
      </w:r>
      <w:r>
        <w:rPr>
          <w:spacing w:val="-8"/>
        </w:rPr>
        <w:t> </w:t>
      </w:r>
      <w:r>
        <w:rPr/>
        <w:t>LEGAL</w:t>
      </w:r>
    </w:p>
    <w:p>
      <w:pPr>
        <w:pStyle w:val="BodyText"/>
        <w:rPr>
          <w:b/>
        </w:rPr>
      </w:pPr>
    </w:p>
    <w:p>
      <w:pPr>
        <w:pStyle w:val="BodyText"/>
        <w:rPr>
          <w:b/>
        </w:rPr>
      </w:pPr>
    </w:p>
    <w:p>
      <w:pPr>
        <w:pStyle w:val="BodyText"/>
        <w:spacing w:line="360" w:lineRule="auto"/>
        <w:ind w:left="102" w:right="116"/>
        <w:jc w:val="both"/>
      </w:pPr>
      <w:r>
        <w:rPr/>
        <w:t>El ordenamiento de la actividad forestal en la entidad del Distrito Federal, se desprende en forma inicial de la constitución Política de los Estados Unidos Mexicanos, específicamente del artículo 27, de la que emanan las disposiciones básicas, como lo es la Ley Forestal de carácter federal, </w:t>
      </w:r>
      <w:r>
        <w:rPr>
          <w:spacing w:val="2"/>
        </w:rPr>
        <w:t>hoy </w:t>
      </w:r>
      <w:r>
        <w:rPr/>
        <w:t>denominada Ley General de desarrollo Forestal Sustentable y el reglamento correspondiente, en donde se indican las formas de administrar los recursos forestales en los niveles de gobierno federal estatal y municipal (GDF,</w:t>
      </w:r>
      <w:r>
        <w:rPr>
          <w:spacing w:val="-15"/>
        </w:rPr>
        <w:t> </w:t>
      </w:r>
      <w:r>
        <w:rPr/>
        <w:t>2006).</w:t>
      </w:r>
    </w:p>
    <w:p>
      <w:pPr>
        <w:pStyle w:val="BodyText"/>
        <w:spacing w:line="360" w:lineRule="auto" w:before="202"/>
        <w:ind w:left="102" w:right="117"/>
        <w:jc w:val="both"/>
      </w:pPr>
      <w:r>
        <w:rPr/>
        <w:t>La política en materia forestal sustentable que desarrolló el Ejecutivo Local,  deberá observar los principios y criterios obligatorios de política forestal previstos en la Ley General de Desarrollo Forestal Sustentable y lo establecido en el programa estratégico forestal del Distrito Federal</w:t>
      </w:r>
      <w:r>
        <w:rPr>
          <w:spacing w:val="-14"/>
        </w:rPr>
        <w:t> </w:t>
      </w:r>
      <w:r>
        <w:rPr/>
        <w:t>2006-2025.</w:t>
      </w:r>
    </w:p>
    <w:p>
      <w:pPr>
        <w:pStyle w:val="BodyText"/>
      </w:pPr>
    </w:p>
    <w:p>
      <w:pPr>
        <w:pStyle w:val="BodyText"/>
      </w:pPr>
    </w:p>
    <w:p>
      <w:pPr>
        <w:pStyle w:val="BodyText"/>
        <w:spacing w:before="11"/>
        <w:rPr>
          <w:sz w:val="22"/>
        </w:rPr>
      </w:pPr>
    </w:p>
    <w:p>
      <w:pPr>
        <w:pStyle w:val="Heading1"/>
        <w:numPr>
          <w:ilvl w:val="1"/>
          <w:numId w:val="5"/>
        </w:numPr>
        <w:tabs>
          <w:tab w:pos="822" w:val="left" w:leader="none"/>
        </w:tabs>
        <w:spacing w:line="240" w:lineRule="auto" w:before="0" w:after="0"/>
        <w:ind w:left="822" w:right="0" w:hanging="360"/>
        <w:jc w:val="left"/>
      </w:pPr>
      <w:bookmarkStart w:name="_bookmark35" w:id="66"/>
      <w:bookmarkEnd w:id="66"/>
      <w:r>
        <w:rPr>
          <w:b w:val="0"/>
        </w:rPr>
      </w:r>
      <w:bookmarkStart w:name="_bookmark35" w:id="67"/>
      <w:bookmarkEnd w:id="67"/>
      <w:r>
        <w:rPr/>
        <w:t>P</w:t>
      </w:r>
      <w:r>
        <w:rPr/>
        <w:t>rograma Nacional Forestal</w:t>
      </w:r>
      <w:r>
        <w:rPr>
          <w:spacing w:val="-11"/>
        </w:rPr>
        <w:t> </w:t>
      </w:r>
      <w:r>
        <w:rPr/>
        <w:t>2014-2018</w:t>
      </w:r>
    </w:p>
    <w:p>
      <w:pPr>
        <w:pStyle w:val="BodyText"/>
        <w:rPr>
          <w:b/>
        </w:rPr>
      </w:pPr>
    </w:p>
    <w:p>
      <w:pPr>
        <w:pStyle w:val="BodyText"/>
        <w:rPr>
          <w:b/>
        </w:rPr>
      </w:pPr>
    </w:p>
    <w:p>
      <w:pPr>
        <w:pStyle w:val="BodyText"/>
        <w:spacing w:line="360" w:lineRule="auto"/>
        <w:ind w:left="102" w:right="116"/>
        <w:jc w:val="both"/>
      </w:pPr>
      <w:r>
        <w:rPr/>
        <w:t>El Programa Nacional Forestal 2014-2018 está alineado a lo establecido en el Programa Sectorial de Medio Ambiente y Recursos Naturales 2013-2018 (PROMARNAT), y contribuirá al cumplimiento de diferentes objetivos sectoriales entre los que están los siguientes:</w:t>
      </w:r>
    </w:p>
    <w:p>
      <w:pPr>
        <w:pStyle w:val="BodyText"/>
        <w:spacing w:before="204"/>
        <w:ind w:left="102"/>
        <w:jc w:val="both"/>
      </w:pPr>
      <w:r>
        <w:rPr/>
        <w:t>Objetivo 3. Proteger los ecosistemas forestales.</w:t>
      </w:r>
    </w:p>
    <w:p>
      <w:pPr>
        <w:pStyle w:val="BodyText"/>
        <w:spacing w:before="4"/>
        <w:rPr>
          <w:sz w:val="29"/>
        </w:rPr>
      </w:pPr>
    </w:p>
    <w:p>
      <w:pPr>
        <w:pStyle w:val="BodyText"/>
        <w:spacing w:line="360" w:lineRule="auto" w:before="1"/>
        <w:ind w:left="2795" w:hanging="1417"/>
      </w:pPr>
      <w:r>
        <w:rPr/>
        <w:t>Estrategia 1. Coordinar y fortalecer acciones para la prevención, detección y combate de Incendios forestales.</w:t>
      </w:r>
    </w:p>
    <w:p>
      <w:pPr>
        <w:pStyle w:val="BodyText"/>
        <w:spacing w:line="360" w:lineRule="auto" w:before="204"/>
        <w:ind w:left="1234" w:right="116" w:hanging="1133"/>
        <w:jc w:val="both"/>
      </w:pPr>
      <w:r>
        <w:rPr/>
        <w:t>Objetivo 5. Detener y revertir la pérdida de capital natural y la contaminación del agua, aire y suelo, mediante el desarrollo y fortalecimiento de las estrategias para prevenir y controlar incendios, plagas y enfermedades forestales, así como para combatir la tala clandestina a lo largo de la cadena productiva forestal (DOF, 2014a).</w:t>
      </w:r>
    </w:p>
    <w:p>
      <w:pPr>
        <w:spacing w:after="0" w:line="360" w:lineRule="auto"/>
        <w:jc w:val="both"/>
        <w:sectPr>
          <w:pgSz w:w="12240" w:h="15840"/>
          <w:pgMar w:header="0" w:footer="1003" w:top="1360" w:bottom="1200" w:left="1600" w:right="1580"/>
        </w:sectPr>
      </w:pPr>
    </w:p>
    <w:p>
      <w:pPr>
        <w:pStyle w:val="Heading1"/>
        <w:numPr>
          <w:ilvl w:val="1"/>
          <w:numId w:val="5"/>
        </w:numPr>
        <w:tabs>
          <w:tab w:pos="822" w:val="left" w:leader="none"/>
        </w:tabs>
        <w:spacing w:line="240" w:lineRule="auto" w:before="54" w:after="0"/>
        <w:ind w:left="822" w:right="0" w:hanging="360"/>
        <w:jc w:val="left"/>
      </w:pPr>
      <w:bookmarkStart w:name="_bookmark36" w:id="68"/>
      <w:bookmarkEnd w:id="68"/>
      <w:r>
        <w:rPr>
          <w:b w:val="0"/>
        </w:rPr>
      </w:r>
      <w:bookmarkStart w:name="_bookmark36" w:id="69"/>
      <w:bookmarkEnd w:id="69"/>
      <w:r>
        <w:rPr/>
        <w:t>P</w:t>
      </w:r>
      <w:r>
        <w:rPr/>
        <w:t>rograma Nacional de Prevención de Incendios Forestales</w:t>
      </w:r>
      <w:r>
        <w:rPr>
          <w:spacing w:val="-19"/>
        </w:rPr>
        <w:t> </w:t>
      </w:r>
      <w:r>
        <w:rPr/>
        <w:t>2014</w:t>
      </w:r>
    </w:p>
    <w:p>
      <w:pPr>
        <w:pStyle w:val="BodyText"/>
        <w:rPr>
          <w:b/>
        </w:rPr>
      </w:pPr>
    </w:p>
    <w:p>
      <w:pPr>
        <w:pStyle w:val="BodyText"/>
        <w:rPr>
          <w:b/>
        </w:rPr>
      </w:pPr>
    </w:p>
    <w:p>
      <w:pPr>
        <w:pStyle w:val="BodyText"/>
        <w:spacing w:line="360" w:lineRule="auto"/>
        <w:ind w:left="102" w:right="115"/>
        <w:jc w:val="both"/>
      </w:pPr>
      <w:r>
        <w:rPr/>
        <w:t>El Programa Nacional de Prevención de Incendios Forestales (PNPIF) es un instrumento que se desprende del Plan Nacional de Desarrollo (PND) 2013-2018, el Programa de Medio Ambiente y Recursos Naturales (PROMARNAT) 2013-2018 y el Programa Nacional Forestal (PRONAFOR) 2013-2018.</w:t>
      </w:r>
    </w:p>
    <w:p>
      <w:pPr>
        <w:pStyle w:val="BodyText"/>
      </w:pPr>
    </w:p>
    <w:p>
      <w:pPr>
        <w:pStyle w:val="BodyText"/>
        <w:spacing w:line="360" w:lineRule="auto" w:before="142"/>
        <w:ind w:left="102" w:right="119"/>
        <w:jc w:val="both"/>
      </w:pPr>
      <w:r>
        <w:rPr/>
        <w:t>El objetivo general del PNPIF es “Reducir el deterioro de los ecosistemas forestales ocasionado por incendios forestales dañinos (CONAFOR, 2014). Entre sus estrategias y líneas de acción se definen las siguientes:</w:t>
      </w:r>
    </w:p>
    <w:p>
      <w:pPr>
        <w:pStyle w:val="ListParagraph"/>
        <w:numPr>
          <w:ilvl w:val="2"/>
          <w:numId w:val="8"/>
        </w:numPr>
        <w:tabs>
          <w:tab w:pos="821" w:val="left" w:leader="none"/>
          <w:tab w:pos="822" w:val="left" w:leader="none"/>
        </w:tabs>
        <w:spacing w:line="350" w:lineRule="auto" w:before="5" w:after="0"/>
        <w:ind w:left="822" w:right="125" w:hanging="360"/>
        <w:jc w:val="left"/>
        <w:rPr>
          <w:sz w:val="24"/>
        </w:rPr>
      </w:pPr>
      <w:r>
        <w:rPr>
          <w:sz w:val="24"/>
        </w:rPr>
        <w:t>Fortalecer la coordinación interinstitucional efectiva entre los actores con responsabilidad en el tema de los incendios</w:t>
      </w:r>
      <w:r>
        <w:rPr>
          <w:spacing w:val="-17"/>
          <w:sz w:val="24"/>
        </w:rPr>
        <w:t> </w:t>
      </w:r>
      <w:r>
        <w:rPr>
          <w:sz w:val="24"/>
        </w:rPr>
        <w:t>forestales.</w:t>
      </w:r>
    </w:p>
    <w:p>
      <w:pPr>
        <w:pStyle w:val="ListParagraph"/>
        <w:numPr>
          <w:ilvl w:val="2"/>
          <w:numId w:val="8"/>
        </w:numPr>
        <w:tabs>
          <w:tab w:pos="821" w:val="left" w:leader="none"/>
          <w:tab w:pos="822" w:val="left" w:leader="none"/>
        </w:tabs>
        <w:spacing w:line="350" w:lineRule="auto" w:before="14" w:after="0"/>
        <w:ind w:left="822" w:right="121" w:hanging="360"/>
        <w:jc w:val="left"/>
        <w:rPr>
          <w:sz w:val="24"/>
        </w:rPr>
      </w:pPr>
      <w:r>
        <w:rPr>
          <w:sz w:val="24"/>
        </w:rPr>
        <w:t>Impulsar acciones de prevención física, legal y cultural en materia de incendios</w:t>
      </w:r>
      <w:r>
        <w:rPr>
          <w:spacing w:val="-4"/>
          <w:sz w:val="24"/>
        </w:rPr>
        <w:t> </w:t>
      </w:r>
      <w:r>
        <w:rPr>
          <w:sz w:val="24"/>
        </w:rPr>
        <w:t>forestales.</w:t>
      </w:r>
    </w:p>
    <w:p>
      <w:pPr>
        <w:pStyle w:val="ListParagraph"/>
        <w:numPr>
          <w:ilvl w:val="2"/>
          <w:numId w:val="8"/>
        </w:numPr>
        <w:tabs>
          <w:tab w:pos="821" w:val="left" w:leader="none"/>
          <w:tab w:pos="822" w:val="left" w:leader="none"/>
        </w:tabs>
        <w:spacing w:line="240" w:lineRule="auto" w:before="16" w:after="0"/>
        <w:ind w:left="822" w:right="0" w:hanging="360"/>
        <w:jc w:val="left"/>
        <w:rPr>
          <w:sz w:val="24"/>
        </w:rPr>
      </w:pPr>
      <w:r>
        <w:rPr>
          <w:sz w:val="24"/>
        </w:rPr>
        <w:t>Impulsar acciones de detección de incendios</w:t>
      </w:r>
      <w:r>
        <w:rPr>
          <w:spacing w:val="-23"/>
          <w:sz w:val="24"/>
        </w:rPr>
        <w:t> </w:t>
      </w:r>
      <w:r>
        <w:rPr>
          <w:sz w:val="24"/>
        </w:rPr>
        <w:t>forestales.</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sz w:val="24"/>
        </w:rPr>
        <w:t>Coordinar las acciones de capacitación y</w:t>
      </w:r>
      <w:r>
        <w:rPr>
          <w:spacing w:val="-17"/>
          <w:sz w:val="24"/>
        </w:rPr>
        <w:t> </w:t>
      </w:r>
      <w:r>
        <w:rPr>
          <w:sz w:val="24"/>
        </w:rPr>
        <w:t>adiestramiento.</w:t>
      </w:r>
    </w:p>
    <w:p>
      <w:pPr>
        <w:pStyle w:val="ListParagraph"/>
        <w:numPr>
          <w:ilvl w:val="2"/>
          <w:numId w:val="8"/>
        </w:numPr>
        <w:tabs>
          <w:tab w:pos="821" w:val="left" w:leader="none"/>
          <w:tab w:pos="822" w:val="left" w:leader="none"/>
        </w:tabs>
        <w:spacing w:line="352" w:lineRule="auto" w:before="136" w:after="0"/>
        <w:ind w:left="822" w:right="125" w:hanging="360"/>
        <w:jc w:val="left"/>
        <w:rPr>
          <w:sz w:val="24"/>
        </w:rPr>
      </w:pPr>
      <w:r>
        <w:rPr>
          <w:sz w:val="24"/>
        </w:rPr>
        <w:t>Coordinar el combate y control de incendios forestales de forma oportuna, eficaz y</w:t>
      </w:r>
      <w:r>
        <w:rPr>
          <w:spacing w:val="-7"/>
          <w:sz w:val="24"/>
        </w:rPr>
        <w:t> </w:t>
      </w:r>
      <w:r>
        <w:rPr>
          <w:sz w:val="24"/>
        </w:rPr>
        <w:t>eficiente.</w:t>
      </w:r>
    </w:p>
    <w:p>
      <w:pPr>
        <w:pStyle w:val="ListParagraph"/>
        <w:numPr>
          <w:ilvl w:val="2"/>
          <w:numId w:val="8"/>
        </w:numPr>
        <w:tabs>
          <w:tab w:pos="821" w:val="left" w:leader="none"/>
          <w:tab w:pos="822" w:val="left" w:leader="none"/>
        </w:tabs>
        <w:spacing w:line="350" w:lineRule="auto" w:before="11" w:after="0"/>
        <w:ind w:left="822" w:right="125" w:hanging="360"/>
        <w:jc w:val="left"/>
        <w:rPr>
          <w:sz w:val="24"/>
        </w:rPr>
      </w:pPr>
      <w:r>
        <w:rPr>
          <w:sz w:val="24"/>
        </w:rPr>
        <w:t>Mantener y promover mecanismos de cooperación internacional para la protección contra incendios forestales y el manejo del</w:t>
      </w:r>
      <w:r>
        <w:rPr>
          <w:spacing w:val="-19"/>
          <w:sz w:val="24"/>
        </w:rPr>
        <w:t> </w:t>
      </w:r>
      <w:r>
        <w:rPr>
          <w:sz w:val="24"/>
        </w:rPr>
        <w:t>fuego.</w:t>
      </w:r>
    </w:p>
    <w:p>
      <w:pPr>
        <w:pStyle w:val="ListParagraph"/>
        <w:numPr>
          <w:ilvl w:val="2"/>
          <w:numId w:val="8"/>
        </w:numPr>
        <w:tabs>
          <w:tab w:pos="821" w:val="left" w:leader="none"/>
          <w:tab w:pos="822" w:val="left" w:leader="none"/>
        </w:tabs>
        <w:spacing w:line="240" w:lineRule="auto" w:before="16" w:after="0"/>
        <w:ind w:left="822" w:right="0" w:hanging="360"/>
        <w:jc w:val="left"/>
        <w:rPr>
          <w:sz w:val="24"/>
        </w:rPr>
      </w:pPr>
      <w:r>
        <w:rPr>
          <w:sz w:val="24"/>
        </w:rPr>
        <w:t>Impulsar la investigación aplicada en materia de incendios</w:t>
      </w:r>
      <w:r>
        <w:rPr>
          <w:spacing w:val="-23"/>
          <w:sz w:val="24"/>
        </w:rPr>
        <w:t> </w:t>
      </w:r>
      <w:r>
        <w:rPr>
          <w:sz w:val="24"/>
        </w:rPr>
        <w:t>forestales.</w:t>
      </w:r>
    </w:p>
    <w:p>
      <w:pPr>
        <w:pStyle w:val="ListParagraph"/>
        <w:numPr>
          <w:ilvl w:val="2"/>
          <w:numId w:val="8"/>
        </w:numPr>
        <w:tabs>
          <w:tab w:pos="821" w:val="left" w:leader="none"/>
          <w:tab w:pos="822" w:val="left" w:leader="none"/>
        </w:tabs>
        <w:spacing w:line="350" w:lineRule="auto" w:before="135" w:after="0"/>
        <w:ind w:left="822" w:right="119" w:hanging="360"/>
        <w:jc w:val="left"/>
        <w:rPr>
          <w:sz w:val="24"/>
        </w:rPr>
      </w:pPr>
      <w:r>
        <w:rPr>
          <w:sz w:val="24"/>
        </w:rPr>
        <w:t>Fortalecer el marco legal y de planeación del Programa Nacional de Prevención de Incendios</w:t>
      </w:r>
      <w:r>
        <w:rPr>
          <w:spacing w:val="-11"/>
          <w:sz w:val="24"/>
        </w:rPr>
        <w:t> </w:t>
      </w:r>
      <w:r>
        <w:rPr>
          <w:sz w:val="24"/>
        </w:rPr>
        <w:t>Forestales.</w:t>
      </w:r>
    </w:p>
    <w:p>
      <w:pPr>
        <w:pStyle w:val="BodyText"/>
      </w:pPr>
    </w:p>
    <w:p>
      <w:pPr>
        <w:pStyle w:val="BodyText"/>
        <w:spacing w:before="9"/>
        <w:rPr>
          <w:sz w:val="30"/>
        </w:rPr>
      </w:pPr>
    </w:p>
    <w:p>
      <w:pPr>
        <w:spacing w:line="360" w:lineRule="auto" w:before="1"/>
        <w:ind w:left="102" w:right="119" w:firstLine="0"/>
        <w:jc w:val="both"/>
        <w:rPr>
          <w:sz w:val="24"/>
        </w:rPr>
      </w:pPr>
      <w:r>
        <w:rPr>
          <w:b/>
          <w:sz w:val="24"/>
        </w:rPr>
        <w:t>La Secretaría del Medio Ambiente, a través de la Dirección General de la Comisión de Recursos Naturales (DGCORENA) </w:t>
      </w:r>
      <w:r>
        <w:rPr>
          <w:sz w:val="24"/>
        </w:rPr>
        <w:t>aplica programas dirigidos a regular, promover, fomentar, coordinar y ejecutar estudios y acciones en materia de protección, desarrollo, restauración y conservación de los ecosistemas naturales, la vegetación natural o inducida, restauración y conservación del  suelo,</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5"/>
        <w:jc w:val="both"/>
      </w:pPr>
      <w:r>
        <w:rPr/>
        <w:t>agua y otros recursos naturales en el Suelo de Conservación y Áreas Naturales Protegidas.</w:t>
      </w:r>
    </w:p>
    <w:p>
      <w:pPr>
        <w:pStyle w:val="BodyText"/>
      </w:pPr>
    </w:p>
    <w:p>
      <w:pPr>
        <w:pStyle w:val="BodyText"/>
        <w:spacing w:before="8"/>
        <w:rPr>
          <w:sz w:val="29"/>
        </w:rPr>
      </w:pPr>
    </w:p>
    <w:p>
      <w:pPr>
        <w:pStyle w:val="ListParagraph"/>
        <w:numPr>
          <w:ilvl w:val="2"/>
          <w:numId w:val="8"/>
        </w:numPr>
        <w:tabs>
          <w:tab w:pos="821" w:val="left" w:leader="none"/>
          <w:tab w:pos="822" w:val="left" w:leader="none"/>
        </w:tabs>
        <w:spacing w:line="350" w:lineRule="auto" w:before="0" w:after="0"/>
        <w:ind w:left="822" w:right="125" w:hanging="360"/>
        <w:jc w:val="left"/>
        <w:rPr>
          <w:sz w:val="24"/>
        </w:rPr>
      </w:pPr>
      <w:r>
        <w:rPr>
          <w:sz w:val="24"/>
        </w:rPr>
        <w:t>Entre las actividades que ejecuta la DGCORENA desarrolla programas y acciones relevantes de prevención y combate de incendios</w:t>
      </w:r>
      <w:r>
        <w:rPr>
          <w:spacing w:val="-26"/>
          <w:sz w:val="24"/>
        </w:rPr>
        <w:t> </w:t>
      </w:r>
      <w:r>
        <w:rPr>
          <w:sz w:val="24"/>
        </w:rPr>
        <w:t>forestales.</w:t>
      </w:r>
    </w:p>
    <w:p>
      <w:pPr>
        <w:pStyle w:val="BodyText"/>
      </w:pPr>
    </w:p>
    <w:p>
      <w:pPr>
        <w:pStyle w:val="BodyText"/>
      </w:pPr>
    </w:p>
    <w:p>
      <w:pPr>
        <w:pStyle w:val="BodyText"/>
      </w:pPr>
    </w:p>
    <w:p>
      <w:pPr>
        <w:pStyle w:val="Heading1"/>
        <w:numPr>
          <w:ilvl w:val="1"/>
          <w:numId w:val="5"/>
        </w:numPr>
        <w:tabs>
          <w:tab w:pos="822" w:val="left" w:leader="none"/>
        </w:tabs>
        <w:spacing w:line="240" w:lineRule="auto" w:before="145" w:after="0"/>
        <w:ind w:left="822" w:right="0" w:hanging="360"/>
        <w:jc w:val="left"/>
      </w:pPr>
      <w:bookmarkStart w:name="_bookmark37" w:id="70"/>
      <w:bookmarkEnd w:id="70"/>
      <w:r>
        <w:rPr>
          <w:b w:val="0"/>
        </w:rPr>
      </w:r>
      <w:bookmarkStart w:name="_bookmark37" w:id="71"/>
      <w:bookmarkEnd w:id="71"/>
      <w:r>
        <w:rPr/>
        <w:t>P</w:t>
      </w:r>
      <w:r>
        <w:rPr/>
        <w:t>rograma estratégico forestal del Distrito Federal (PEF-DF)</w:t>
      </w:r>
      <w:r>
        <w:rPr>
          <w:spacing w:val="-15"/>
        </w:rPr>
        <w:t> </w:t>
      </w:r>
      <w:r>
        <w:rPr/>
        <w:t>2006-2025.</w:t>
      </w:r>
    </w:p>
    <w:p>
      <w:pPr>
        <w:pStyle w:val="BodyText"/>
        <w:rPr>
          <w:b/>
        </w:rPr>
      </w:pPr>
    </w:p>
    <w:p>
      <w:pPr>
        <w:pStyle w:val="BodyText"/>
        <w:spacing w:before="2"/>
        <w:rPr>
          <w:b/>
          <w:sz w:val="33"/>
        </w:rPr>
      </w:pPr>
    </w:p>
    <w:p>
      <w:pPr>
        <w:pStyle w:val="BodyText"/>
        <w:spacing w:line="360" w:lineRule="auto"/>
        <w:ind w:left="102" w:right="122"/>
        <w:jc w:val="both"/>
      </w:pPr>
      <w:r>
        <w:rPr/>
        <w:t>Tiene el objetivo general de desarrollar todas las acciones necesarias para reducir el número, intensidad, duración, superficie afectada de los incendios forestales (GDF, 2006).</w:t>
      </w:r>
    </w:p>
    <w:p>
      <w:pPr>
        <w:pStyle w:val="BodyText"/>
        <w:spacing w:before="202"/>
        <w:ind w:left="102"/>
        <w:jc w:val="both"/>
      </w:pPr>
      <w:r>
        <w:rPr/>
        <w:t>Entre sus estrategias se encuentran las siguientes:</w:t>
      </w:r>
    </w:p>
    <w:p>
      <w:pPr>
        <w:pStyle w:val="BodyText"/>
        <w:spacing w:before="5"/>
        <w:rPr>
          <w:sz w:val="29"/>
        </w:rPr>
      </w:pPr>
    </w:p>
    <w:p>
      <w:pPr>
        <w:pStyle w:val="ListParagraph"/>
        <w:numPr>
          <w:ilvl w:val="2"/>
          <w:numId w:val="8"/>
        </w:numPr>
        <w:tabs>
          <w:tab w:pos="821" w:val="left" w:leader="none"/>
          <w:tab w:pos="822" w:val="left" w:leader="none"/>
        </w:tabs>
        <w:spacing w:line="350" w:lineRule="auto" w:before="0" w:after="0"/>
        <w:ind w:left="822" w:right="119" w:hanging="360"/>
        <w:jc w:val="left"/>
        <w:rPr>
          <w:sz w:val="24"/>
        </w:rPr>
      </w:pPr>
      <w:r>
        <w:rPr>
          <w:sz w:val="24"/>
        </w:rPr>
        <w:t>Fortalecer la prevención atendiendo primordialmente las causas que originan mayor incidencia de los incendios por la intervención</w:t>
      </w:r>
      <w:r>
        <w:rPr>
          <w:spacing w:val="-28"/>
          <w:sz w:val="24"/>
        </w:rPr>
        <w:t> </w:t>
      </w:r>
      <w:r>
        <w:rPr>
          <w:sz w:val="24"/>
        </w:rPr>
        <w:t>humana.</w:t>
      </w:r>
    </w:p>
    <w:p>
      <w:pPr>
        <w:pStyle w:val="ListParagraph"/>
        <w:numPr>
          <w:ilvl w:val="2"/>
          <w:numId w:val="8"/>
        </w:numPr>
        <w:tabs>
          <w:tab w:pos="821" w:val="left" w:leader="none"/>
          <w:tab w:pos="822" w:val="left" w:leader="none"/>
        </w:tabs>
        <w:spacing w:line="350" w:lineRule="auto" w:before="16" w:after="0"/>
        <w:ind w:left="822" w:right="125" w:hanging="360"/>
        <w:jc w:val="left"/>
        <w:rPr>
          <w:sz w:val="24"/>
        </w:rPr>
      </w:pPr>
      <w:r>
        <w:rPr>
          <w:sz w:val="24"/>
        </w:rPr>
        <w:t>Promocionar la cultura forestal ambiental, orientada a la prevención de los incendios, involucrando a los sectores público, social y</w:t>
      </w:r>
      <w:r>
        <w:rPr>
          <w:spacing w:val="-22"/>
          <w:sz w:val="24"/>
        </w:rPr>
        <w:t> </w:t>
      </w:r>
      <w:r>
        <w:rPr>
          <w:sz w:val="24"/>
        </w:rPr>
        <w:t>privado.</w:t>
      </w:r>
    </w:p>
    <w:p>
      <w:pPr>
        <w:pStyle w:val="ListParagraph"/>
        <w:numPr>
          <w:ilvl w:val="2"/>
          <w:numId w:val="8"/>
        </w:numPr>
        <w:tabs>
          <w:tab w:pos="821" w:val="left" w:leader="none"/>
          <w:tab w:pos="822" w:val="left" w:leader="none"/>
        </w:tabs>
        <w:spacing w:line="350" w:lineRule="auto" w:before="16" w:after="0"/>
        <w:ind w:left="822" w:right="118" w:hanging="360"/>
        <w:jc w:val="left"/>
        <w:rPr>
          <w:sz w:val="24"/>
        </w:rPr>
      </w:pPr>
      <w:r>
        <w:rPr>
          <w:sz w:val="24"/>
        </w:rPr>
        <w:t>Promover y aplicar la NOM-015-SEMARNAP-1997, que regula el uso del fuego en terrenos forestales y</w:t>
      </w:r>
      <w:r>
        <w:rPr>
          <w:spacing w:val="-16"/>
          <w:sz w:val="24"/>
        </w:rPr>
        <w:t> </w:t>
      </w:r>
      <w:r>
        <w:rPr>
          <w:sz w:val="24"/>
        </w:rPr>
        <w:t>agropecuarios.</w:t>
      </w:r>
    </w:p>
    <w:p>
      <w:pPr>
        <w:pStyle w:val="ListParagraph"/>
        <w:numPr>
          <w:ilvl w:val="2"/>
          <w:numId w:val="8"/>
        </w:numPr>
        <w:tabs>
          <w:tab w:pos="822" w:val="left" w:leader="none"/>
        </w:tabs>
        <w:spacing w:line="357" w:lineRule="auto" w:before="14" w:after="0"/>
        <w:ind w:left="822" w:right="122" w:hanging="360"/>
        <w:jc w:val="both"/>
        <w:rPr>
          <w:sz w:val="24"/>
        </w:rPr>
      </w:pPr>
      <w:r>
        <w:rPr>
          <w:sz w:val="24"/>
        </w:rPr>
        <w:t>Incrementar la capacidad de detección de incendios mediante el mejoramiento de centros de control, infraestructura terrestre de detección, aplicación de sistemas actuales de vigilancia, como el uso del satélite para la identificación de zonas de alto riesgo natural, entre</w:t>
      </w:r>
      <w:r>
        <w:rPr>
          <w:spacing w:val="-16"/>
          <w:sz w:val="24"/>
        </w:rPr>
        <w:t> </w:t>
      </w:r>
      <w:r>
        <w:rPr>
          <w:sz w:val="24"/>
        </w:rPr>
        <w:t>otros.</w:t>
      </w:r>
    </w:p>
    <w:p>
      <w:pPr>
        <w:pStyle w:val="ListParagraph"/>
        <w:numPr>
          <w:ilvl w:val="2"/>
          <w:numId w:val="8"/>
        </w:numPr>
        <w:tabs>
          <w:tab w:pos="821" w:val="left" w:leader="none"/>
          <w:tab w:pos="822" w:val="left" w:leader="none"/>
        </w:tabs>
        <w:spacing w:line="350" w:lineRule="auto" w:before="8" w:after="0"/>
        <w:ind w:left="822" w:right="125" w:hanging="360"/>
        <w:jc w:val="left"/>
        <w:rPr>
          <w:sz w:val="24"/>
        </w:rPr>
      </w:pPr>
      <w:r>
        <w:rPr>
          <w:sz w:val="24"/>
        </w:rPr>
        <w:t>Reforzar y aplicar el sistema de alerta roja que señala las áreas de alto riesgo por condiciones climáticas y de la</w:t>
      </w:r>
      <w:r>
        <w:rPr>
          <w:spacing w:val="-18"/>
          <w:sz w:val="24"/>
        </w:rPr>
        <w:t> </w:t>
      </w:r>
      <w:r>
        <w:rPr>
          <w:sz w:val="24"/>
        </w:rPr>
        <w:t>vegetación.</w:t>
      </w:r>
    </w:p>
    <w:p>
      <w:pPr>
        <w:pStyle w:val="ListParagraph"/>
        <w:numPr>
          <w:ilvl w:val="2"/>
          <w:numId w:val="8"/>
        </w:numPr>
        <w:tabs>
          <w:tab w:pos="821" w:val="left" w:leader="none"/>
          <w:tab w:pos="822" w:val="left" w:leader="none"/>
        </w:tabs>
        <w:spacing w:line="240" w:lineRule="auto" w:before="16" w:after="0"/>
        <w:ind w:left="822" w:right="0" w:hanging="360"/>
        <w:jc w:val="left"/>
        <w:rPr>
          <w:sz w:val="24"/>
        </w:rPr>
      </w:pPr>
      <w:r>
        <w:rPr>
          <w:sz w:val="24"/>
        </w:rPr>
        <w:t>Causas y evaluación de daños de los incendios por ecosistemas y</w:t>
      </w:r>
      <w:r>
        <w:rPr>
          <w:spacing w:val="-22"/>
          <w:sz w:val="24"/>
        </w:rPr>
        <w:t> </w:t>
      </w:r>
      <w:r>
        <w:rPr>
          <w:sz w:val="24"/>
        </w:rPr>
        <w:t>regiones.</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sz w:val="24"/>
        </w:rPr>
        <w:t>Desarrollo de métodos de</w:t>
      </w:r>
      <w:r>
        <w:rPr>
          <w:spacing w:val="-11"/>
          <w:sz w:val="24"/>
        </w:rPr>
        <w:t> </w:t>
      </w:r>
      <w:r>
        <w:rPr>
          <w:sz w:val="24"/>
        </w:rPr>
        <w:t>prevención.</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sz w:val="24"/>
        </w:rPr>
        <w:t>Desarrollo del sistema de predicción y</w:t>
      </w:r>
      <w:r>
        <w:rPr>
          <w:spacing w:val="-14"/>
          <w:sz w:val="24"/>
        </w:rPr>
        <w:t> </w:t>
      </w:r>
      <w:r>
        <w:rPr>
          <w:sz w:val="24"/>
        </w:rPr>
        <w:t>detección.</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sz w:val="24"/>
        </w:rPr>
        <w:t>Desarrollo y adaptación de tecnologías de</w:t>
      </w:r>
      <w:r>
        <w:rPr>
          <w:spacing w:val="-15"/>
          <w:sz w:val="24"/>
        </w:rPr>
        <w:t> </w:t>
      </w:r>
      <w:r>
        <w:rPr>
          <w:sz w:val="24"/>
        </w:rPr>
        <w:t>control.</w:t>
      </w:r>
    </w:p>
    <w:p>
      <w:pPr>
        <w:spacing w:after="0" w:line="240" w:lineRule="auto"/>
        <w:jc w:val="left"/>
        <w:rPr>
          <w:sz w:val="24"/>
        </w:rPr>
        <w:sectPr>
          <w:pgSz w:w="12240" w:h="15840"/>
          <w:pgMar w:header="0" w:footer="1003" w:top="1360" w:bottom="1200" w:left="1600" w:right="1580"/>
        </w:sectPr>
      </w:pPr>
    </w:p>
    <w:p>
      <w:pPr>
        <w:pStyle w:val="ListParagraph"/>
        <w:numPr>
          <w:ilvl w:val="2"/>
          <w:numId w:val="8"/>
        </w:numPr>
        <w:tabs>
          <w:tab w:pos="821" w:val="left" w:leader="none"/>
          <w:tab w:pos="822" w:val="left" w:leader="none"/>
        </w:tabs>
        <w:spacing w:line="240" w:lineRule="auto" w:before="35" w:after="0"/>
        <w:ind w:left="822" w:right="0" w:hanging="360"/>
        <w:jc w:val="left"/>
        <w:rPr>
          <w:sz w:val="24"/>
        </w:rPr>
      </w:pPr>
      <w:r>
        <w:rPr>
          <w:sz w:val="24"/>
        </w:rPr>
        <w:t>Promover la educación y cultura en materia de incendios</w:t>
      </w:r>
      <w:r>
        <w:rPr>
          <w:spacing w:val="-17"/>
          <w:sz w:val="24"/>
        </w:rPr>
        <w:t> </w:t>
      </w:r>
      <w:r>
        <w:rPr>
          <w:sz w:val="24"/>
        </w:rPr>
        <w:t>forestales.</w:t>
      </w:r>
    </w:p>
    <w:p>
      <w:pPr>
        <w:pStyle w:val="BodyText"/>
      </w:pPr>
    </w:p>
    <w:p>
      <w:pPr>
        <w:pStyle w:val="BodyText"/>
      </w:pPr>
    </w:p>
    <w:p>
      <w:pPr>
        <w:pStyle w:val="Heading1"/>
        <w:numPr>
          <w:ilvl w:val="1"/>
          <w:numId w:val="5"/>
        </w:numPr>
        <w:tabs>
          <w:tab w:pos="822" w:val="left" w:leader="none"/>
        </w:tabs>
        <w:spacing w:line="278" w:lineRule="auto" w:before="197" w:after="0"/>
        <w:ind w:left="822" w:right="475" w:hanging="360"/>
        <w:jc w:val="left"/>
      </w:pPr>
      <w:bookmarkStart w:name="_bookmark38" w:id="72"/>
      <w:bookmarkEnd w:id="72"/>
      <w:r>
        <w:rPr>
          <w:b w:val="0"/>
        </w:rPr>
      </w:r>
      <w:bookmarkStart w:name="_bookmark38" w:id="73"/>
      <w:bookmarkEnd w:id="73"/>
      <w:r>
        <w:rPr/>
        <w:t>P</w:t>
      </w:r>
      <w:r>
        <w:rPr/>
        <w:t>rograma de Prevención y Combate de Incendios Forestales para</w:t>
      </w:r>
      <w:r>
        <w:rPr>
          <w:spacing w:val="-21"/>
        </w:rPr>
        <w:t> </w:t>
      </w:r>
      <w:r>
        <w:rPr/>
        <w:t>el Distrito Federal,</w:t>
      </w:r>
      <w:r>
        <w:rPr>
          <w:spacing w:val="-8"/>
        </w:rPr>
        <w:t> </w:t>
      </w:r>
      <w:r>
        <w:rPr/>
        <w:t>2014.</w:t>
      </w:r>
    </w:p>
    <w:p>
      <w:pPr>
        <w:pStyle w:val="BodyText"/>
        <w:rPr>
          <w:b/>
        </w:rPr>
      </w:pPr>
    </w:p>
    <w:p>
      <w:pPr>
        <w:pStyle w:val="BodyText"/>
        <w:rPr>
          <w:b/>
          <w:sz w:val="20"/>
        </w:rPr>
      </w:pPr>
    </w:p>
    <w:p>
      <w:pPr>
        <w:pStyle w:val="BodyText"/>
        <w:spacing w:line="360" w:lineRule="auto"/>
        <w:ind w:left="102" w:right="116"/>
        <w:jc w:val="both"/>
      </w:pPr>
      <w:r>
        <w:rPr/>
        <w:t>Con base en el Reglamento Interno de la Administración Pública del Distrito Federal, Articulo 56 Ter. Corresponde a la Dirección General de la Comisión de Recursos Naturales (DGCORENA):</w:t>
      </w:r>
    </w:p>
    <w:p>
      <w:pPr>
        <w:pStyle w:val="BodyText"/>
      </w:pPr>
    </w:p>
    <w:p>
      <w:pPr>
        <w:pStyle w:val="ListParagraph"/>
        <w:numPr>
          <w:ilvl w:val="0"/>
          <w:numId w:val="9"/>
        </w:numPr>
        <w:tabs>
          <w:tab w:pos="414" w:val="left" w:leader="none"/>
        </w:tabs>
        <w:spacing w:line="360" w:lineRule="auto" w:before="142" w:after="0"/>
        <w:ind w:left="102" w:right="125" w:firstLine="0"/>
        <w:jc w:val="both"/>
        <w:rPr>
          <w:sz w:val="24"/>
        </w:rPr>
      </w:pPr>
      <w:r>
        <w:rPr>
          <w:sz w:val="24"/>
        </w:rPr>
        <w:t>Promover, coordinar y llevar a cabo, las acciones de conservación, protección, restauración y manejo de los ecosistemas del Suelo de Conservación y las Áreas Naturales Protegidas de la Ciudad de</w:t>
      </w:r>
      <w:r>
        <w:rPr>
          <w:spacing w:val="-15"/>
          <w:sz w:val="24"/>
        </w:rPr>
        <w:t> </w:t>
      </w:r>
      <w:r>
        <w:rPr>
          <w:sz w:val="24"/>
        </w:rPr>
        <w:t>México.</w:t>
      </w:r>
    </w:p>
    <w:p>
      <w:pPr>
        <w:pStyle w:val="BodyText"/>
        <w:spacing w:before="2"/>
      </w:pPr>
    </w:p>
    <w:p>
      <w:pPr>
        <w:spacing w:line="360" w:lineRule="auto" w:before="0"/>
        <w:ind w:left="102" w:right="122" w:firstLine="0"/>
        <w:jc w:val="both"/>
        <w:rPr>
          <w:sz w:val="24"/>
        </w:rPr>
      </w:pPr>
      <w:r>
        <w:rPr>
          <w:sz w:val="24"/>
        </w:rPr>
        <w:t>Por lo anterior, se implementa el </w:t>
      </w:r>
      <w:r>
        <w:rPr>
          <w:b/>
          <w:sz w:val="24"/>
        </w:rPr>
        <w:t>“Programa de Prevención y Combate de Incendios Forestales para el Distrito Federal, 2014”, </w:t>
      </w:r>
      <w:r>
        <w:rPr>
          <w:sz w:val="24"/>
        </w:rPr>
        <w:t>el cual tiene como objetivo vigilar y proteger las 87,294 ha del Suelo de Conservación (SC) del Distrito Federal, a través de acciones de prevención y combate eficiente que permitan reducir la incidencia y el grado de afectación por los incendios forestales (Secretaría del Medio Ambiente, 2014).</w:t>
      </w:r>
    </w:p>
    <w:p>
      <w:pPr>
        <w:pStyle w:val="BodyText"/>
      </w:pPr>
    </w:p>
    <w:p>
      <w:pPr>
        <w:pStyle w:val="BodyText"/>
      </w:pPr>
    </w:p>
    <w:p>
      <w:pPr>
        <w:pStyle w:val="BodyText"/>
        <w:spacing w:before="11"/>
        <w:rPr>
          <w:sz w:val="22"/>
        </w:rPr>
      </w:pPr>
    </w:p>
    <w:p>
      <w:pPr>
        <w:pStyle w:val="Heading1"/>
        <w:numPr>
          <w:ilvl w:val="1"/>
          <w:numId w:val="5"/>
        </w:numPr>
        <w:tabs>
          <w:tab w:pos="822" w:val="left" w:leader="none"/>
        </w:tabs>
        <w:spacing w:line="240" w:lineRule="auto" w:before="0" w:after="0"/>
        <w:ind w:left="822" w:right="0" w:hanging="360"/>
        <w:jc w:val="left"/>
      </w:pPr>
      <w:bookmarkStart w:name="_bookmark39" w:id="74"/>
      <w:bookmarkEnd w:id="74"/>
      <w:r>
        <w:rPr>
          <w:b w:val="0"/>
        </w:rPr>
      </w:r>
      <w:bookmarkStart w:name="_bookmark39" w:id="75"/>
      <w:bookmarkEnd w:id="75"/>
      <w:r>
        <w:rPr/>
        <w:t>P</w:t>
      </w:r>
      <w:r>
        <w:rPr/>
        <w:t>lan Nacional de Desarrollo</w:t>
      </w:r>
      <w:r>
        <w:rPr>
          <w:spacing w:val="-10"/>
        </w:rPr>
        <w:t> </w:t>
      </w:r>
      <w:r>
        <w:rPr/>
        <w:t>2013-2018.</w:t>
      </w:r>
    </w:p>
    <w:p>
      <w:pPr>
        <w:pStyle w:val="BodyText"/>
        <w:rPr>
          <w:b/>
        </w:rPr>
      </w:pPr>
    </w:p>
    <w:p>
      <w:pPr>
        <w:pStyle w:val="BodyText"/>
        <w:spacing w:before="11"/>
        <w:rPr>
          <w:b/>
          <w:sz w:val="32"/>
        </w:rPr>
      </w:pPr>
    </w:p>
    <w:p>
      <w:pPr>
        <w:pStyle w:val="BodyText"/>
        <w:spacing w:line="362" w:lineRule="auto"/>
        <w:ind w:left="102" w:right="117"/>
        <w:jc w:val="both"/>
      </w:pPr>
      <w:r>
        <w:rPr/>
        <w:t>En la estrategia 4.4.4 Proteger el Patrimonio Natural establece las siguientes líneas de</w:t>
      </w:r>
      <w:r>
        <w:rPr>
          <w:spacing w:val="-3"/>
        </w:rPr>
        <w:t> </w:t>
      </w:r>
      <w:r>
        <w:rPr/>
        <w:t>acción:</w:t>
      </w:r>
    </w:p>
    <w:p>
      <w:pPr>
        <w:pStyle w:val="ListParagraph"/>
        <w:numPr>
          <w:ilvl w:val="1"/>
          <w:numId w:val="9"/>
        </w:numPr>
        <w:tabs>
          <w:tab w:pos="822" w:val="left" w:leader="none"/>
        </w:tabs>
        <w:spacing w:line="355" w:lineRule="auto" w:before="202" w:after="0"/>
        <w:ind w:left="822" w:right="122" w:hanging="360"/>
        <w:jc w:val="both"/>
        <w:rPr>
          <w:sz w:val="24"/>
        </w:rPr>
      </w:pPr>
      <w:r>
        <w:rPr>
          <w:sz w:val="24"/>
        </w:rPr>
        <w:t>Fortalecer el capital social y las capacidades de gestión de ejidos y comunidades en las zonas forestales y de alto valor para la conservación  de la</w:t>
      </w:r>
      <w:r>
        <w:rPr>
          <w:spacing w:val="-7"/>
          <w:sz w:val="24"/>
        </w:rPr>
        <w:t> </w:t>
      </w:r>
      <w:r>
        <w:rPr>
          <w:sz w:val="24"/>
        </w:rPr>
        <w:t>biodiversidad.</w:t>
      </w:r>
    </w:p>
    <w:p>
      <w:pPr>
        <w:pStyle w:val="ListParagraph"/>
        <w:numPr>
          <w:ilvl w:val="1"/>
          <w:numId w:val="9"/>
        </w:numPr>
        <w:tabs>
          <w:tab w:pos="821" w:val="left" w:leader="none"/>
          <w:tab w:pos="822" w:val="left" w:leader="none"/>
        </w:tabs>
        <w:spacing w:line="350" w:lineRule="auto" w:before="11" w:after="0"/>
        <w:ind w:left="822" w:right="117" w:hanging="360"/>
        <w:jc w:val="left"/>
        <w:rPr>
          <w:sz w:val="24"/>
        </w:rPr>
      </w:pPr>
      <w:r>
        <w:rPr>
          <w:sz w:val="24"/>
        </w:rPr>
        <w:t>Fortalecer los mecanismos e instrumentos para prevenir y controlar los incendios forestales (Gobierno de la República,</w:t>
      </w:r>
      <w:r>
        <w:rPr>
          <w:spacing w:val="-19"/>
          <w:sz w:val="24"/>
        </w:rPr>
        <w:t> </w:t>
      </w:r>
      <w:r>
        <w:rPr>
          <w:sz w:val="24"/>
        </w:rPr>
        <w:t>2014).</w:t>
      </w:r>
    </w:p>
    <w:p>
      <w:pPr>
        <w:spacing w:after="0" w:line="350" w:lineRule="auto"/>
        <w:jc w:val="left"/>
        <w:rPr>
          <w:sz w:val="24"/>
        </w:rPr>
        <w:sectPr>
          <w:pgSz w:w="12240" w:h="15840"/>
          <w:pgMar w:header="0" w:footer="1003" w:top="1380" w:bottom="1200" w:left="1600" w:right="1580"/>
        </w:sectPr>
      </w:pPr>
    </w:p>
    <w:p>
      <w:pPr>
        <w:pStyle w:val="Heading1"/>
        <w:numPr>
          <w:ilvl w:val="1"/>
          <w:numId w:val="5"/>
        </w:numPr>
        <w:tabs>
          <w:tab w:pos="822" w:val="left" w:leader="none"/>
        </w:tabs>
        <w:spacing w:line="240" w:lineRule="auto" w:before="54" w:after="0"/>
        <w:ind w:left="822" w:right="0" w:hanging="360"/>
        <w:jc w:val="left"/>
      </w:pPr>
      <w:bookmarkStart w:name="_bookmark40" w:id="76"/>
      <w:bookmarkEnd w:id="76"/>
      <w:r>
        <w:rPr>
          <w:b w:val="0"/>
        </w:rPr>
      </w:r>
      <w:bookmarkStart w:name="_bookmark40" w:id="77"/>
      <w:bookmarkEnd w:id="77"/>
      <w:r>
        <w:rPr/>
        <w:t>L</w:t>
      </w:r>
      <w:r>
        <w:rPr/>
        <w:t>ey General de Desarrollo Forestal</w:t>
      </w:r>
      <w:r>
        <w:rPr>
          <w:spacing w:val="-17"/>
        </w:rPr>
        <w:t> </w:t>
      </w:r>
      <w:r>
        <w:rPr/>
        <w:t>Sustentable</w:t>
      </w:r>
    </w:p>
    <w:p>
      <w:pPr>
        <w:pStyle w:val="BodyText"/>
        <w:rPr>
          <w:b/>
        </w:rPr>
      </w:pPr>
    </w:p>
    <w:p>
      <w:pPr>
        <w:pStyle w:val="BodyText"/>
        <w:rPr>
          <w:b/>
        </w:rPr>
      </w:pPr>
    </w:p>
    <w:p>
      <w:pPr>
        <w:pStyle w:val="BodyText"/>
        <w:rPr>
          <w:b/>
        </w:rPr>
      </w:pPr>
    </w:p>
    <w:p>
      <w:pPr>
        <w:pStyle w:val="BodyText"/>
        <w:ind w:left="102"/>
      </w:pPr>
      <w:r>
        <w:rPr/>
        <w:t>Establece en sus artículos:</w:t>
      </w:r>
    </w:p>
    <w:p>
      <w:pPr>
        <w:pStyle w:val="BodyText"/>
        <w:spacing w:before="2"/>
        <w:rPr>
          <w:sz w:val="29"/>
        </w:rPr>
      </w:pPr>
    </w:p>
    <w:p>
      <w:pPr>
        <w:pStyle w:val="ListParagraph"/>
        <w:numPr>
          <w:ilvl w:val="0"/>
          <w:numId w:val="10"/>
        </w:numPr>
        <w:tabs>
          <w:tab w:pos="822" w:val="left" w:leader="none"/>
        </w:tabs>
        <w:spacing w:line="360" w:lineRule="auto" w:before="0" w:after="0"/>
        <w:ind w:left="822" w:right="125" w:hanging="360"/>
        <w:jc w:val="both"/>
        <w:rPr>
          <w:sz w:val="24"/>
        </w:rPr>
      </w:pPr>
      <w:r>
        <w:rPr>
          <w:sz w:val="24"/>
        </w:rPr>
        <w:t>3º Fracción XV regular la prevención, combate y control de incendios forestales, así como de las plagas y enfermedades</w:t>
      </w:r>
      <w:r>
        <w:rPr>
          <w:spacing w:val="-18"/>
          <w:sz w:val="24"/>
        </w:rPr>
        <w:t> </w:t>
      </w:r>
      <w:r>
        <w:rPr>
          <w:sz w:val="24"/>
        </w:rPr>
        <w:t>forestales;</w:t>
      </w:r>
    </w:p>
    <w:p>
      <w:pPr>
        <w:pStyle w:val="ListParagraph"/>
        <w:numPr>
          <w:ilvl w:val="0"/>
          <w:numId w:val="10"/>
        </w:numPr>
        <w:tabs>
          <w:tab w:pos="822" w:val="left" w:leader="none"/>
        </w:tabs>
        <w:spacing w:line="360" w:lineRule="auto" w:before="2" w:after="0"/>
        <w:ind w:left="822" w:right="116" w:hanging="360"/>
        <w:jc w:val="both"/>
        <w:rPr>
          <w:sz w:val="24"/>
        </w:rPr>
      </w:pPr>
      <w:r>
        <w:rPr>
          <w:sz w:val="24"/>
        </w:rPr>
        <w:t>9º  Fracción VII Los Titulares de las dependencias o entidades que tengan  a su cargo la atención de las distintas actividades o materias relacionadas con el sector forestal. Para la atención y coordinación de las distintas materias del sector forestal el Servicio Nacional Forestal contará, al menos, con grupos de trabajo de protección de incendios</w:t>
      </w:r>
      <w:r>
        <w:rPr>
          <w:spacing w:val="-22"/>
          <w:sz w:val="24"/>
        </w:rPr>
        <w:t> </w:t>
      </w:r>
      <w:r>
        <w:rPr>
          <w:sz w:val="24"/>
        </w:rPr>
        <w:t>forestales.</w:t>
      </w:r>
    </w:p>
    <w:p>
      <w:pPr>
        <w:pStyle w:val="ListParagraph"/>
        <w:numPr>
          <w:ilvl w:val="0"/>
          <w:numId w:val="10"/>
        </w:numPr>
        <w:tabs>
          <w:tab w:pos="822" w:val="left" w:leader="none"/>
        </w:tabs>
        <w:spacing w:line="281" w:lineRule="exact" w:before="0" w:after="0"/>
        <w:ind w:left="822" w:right="0" w:hanging="360"/>
        <w:jc w:val="both"/>
        <w:rPr>
          <w:sz w:val="24"/>
        </w:rPr>
      </w:pPr>
      <w:r>
        <w:rPr>
          <w:sz w:val="24"/>
        </w:rPr>
        <w:t>12</w:t>
      </w:r>
      <w:r>
        <w:rPr>
          <w:position w:val="11"/>
          <w:sz w:val="16"/>
        </w:rPr>
        <w:t>o   </w:t>
      </w:r>
      <w:r>
        <w:rPr>
          <w:sz w:val="24"/>
        </w:rPr>
        <w:t>Fracción  XVI    menciona  que  es  una  atribución  de  la   </w:t>
      </w:r>
      <w:r>
        <w:rPr>
          <w:spacing w:val="37"/>
          <w:sz w:val="24"/>
        </w:rPr>
        <w:t> </w:t>
      </w:r>
      <w:r>
        <w:rPr>
          <w:sz w:val="24"/>
        </w:rPr>
        <w:t>Federación</w:t>
      </w:r>
    </w:p>
    <w:p>
      <w:pPr>
        <w:pStyle w:val="BodyText"/>
        <w:spacing w:line="360" w:lineRule="auto" w:before="137"/>
        <w:ind w:left="821" w:right="114"/>
        <w:jc w:val="both"/>
      </w:pPr>
      <w:r>
        <w:rPr/>
        <w:t>coordinar las acciones de prevención y combate de incendios forestales, así como elaborar y aplicar el Programa Nacional de Prevención de Incendios Forestales, con la participación que corresponda a los Estados, Distrito Federal, Municipios y al Sistema Nacional de Protección Civil;</w:t>
      </w:r>
    </w:p>
    <w:p>
      <w:pPr>
        <w:pStyle w:val="ListParagraph"/>
        <w:numPr>
          <w:ilvl w:val="0"/>
          <w:numId w:val="10"/>
        </w:numPr>
        <w:tabs>
          <w:tab w:pos="822" w:val="left" w:leader="none"/>
        </w:tabs>
        <w:spacing w:line="279" w:lineRule="exact" w:before="0" w:after="0"/>
        <w:ind w:left="822" w:right="0" w:hanging="360"/>
        <w:jc w:val="both"/>
        <w:rPr>
          <w:sz w:val="24"/>
        </w:rPr>
      </w:pPr>
      <w:r>
        <w:rPr>
          <w:sz w:val="24"/>
        </w:rPr>
        <w:t>13</w:t>
      </w:r>
      <w:r>
        <w:rPr>
          <w:position w:val="11"/>
          <w:sz w:val="16"/>
        </w:rPr>
        <w:t>o    </w:t>
      </w:r>
      <w:r>
        <w:rPr>
          <w:sz w:val="24"/>
        </w:rPr>
        <w:t>Fracción   XV   establece   llevar   a   cabo   acciones   de  </w:t>
      </w:r>
      <w:r>
        <w:rPr>
          <w:spacing w:val="7"/>
          <w:sz w:val="24"/>
        </w:rPr>
        <w:t> </w:t>
      </w:r>
      <w:r>
        <w:rPr>
          <w:sz w:val="24"/>
        </w:rPr>
        <w:t>prevención,</w:t>
      </w:r>
    </w:p>
    <w:p>
      <w:pPr>
        <w:pStyle w:val="BodyText"/>
        <w:spacing w:line="360" w:lineRule="auto" w:before="139"/>
        <w:ind w:left="821" w:right="123"/>
        <w:jc w:val="both"/>
      </w:pPr>
      <w:r>
        <w:rPr/>
        <w:t>capacitación y combate de incendios forestales, en congruencia con el programa nacional respectivo.</w:t>
      </w:r>
    </w:p>
    <w:p>
      <w:pPr>
        <w:pStyle w:val="ListParagraph"/>
        <w:numPr>
          <w:ilvl w:val="0"/>
          <w:numId w:val="10"/>
        </w:numPr>
        <w:tabs>
          <w:tab w:pos="822" w:val="left" w:leader="none"/>
        </w:tabs>
        <w:spacing w:line="281" w:lineRule="exact" w:before="0" w:after="0"/>
        <w:ind w:left="822" w:right="0" w:hanging="360"/>
        <w:jc w:val="both"/>
        <w:rPr>
          <w:sz w:val="24"/>
        </w:rPr>
      </w:pPr>
      <w:r>
        <w:rPr>
          <w:sz w:val="24"/>
        </w:rPr>
        <w:t>15</w:t>
      </w:r>
      <w:r>
        <w:rPr>
          <w:position w:val="11"/>
          <w:sz w:val="16"/>
        </w:rPr>
        <w:t>o   </w:t>
      </w:r>
      <w:r>
        <w:rPr>
          <w:sz w:val="24"/>
        </w:rPr>
        <w:t>Fracción  XI    determina  participar  y  coadyuvar  en  las  acciones </w:t>
      </w:r>
      <w:r>
        <w:rPr>
          <w:spacing w:val="53"/>
          <w:sz w:val="24"/>
        </w:rPr>
        <w:t> </w:t>
      </w:r>
      <w:r>
        <w:rPr>
          <w:sz w:val="24"/>
        </w:rPr>
        <w:t>de</w:t>
      </w:r>
    </w:p>
    <w:p>
      <w:pPr>
        <w:pStyle w:val="BodyText"/>
        <w:spacing w:line="360" w:lineRule="auto" w:before="137"/>
        <w:ind w:left="821" w:right="117"/>
        <w:jc w:val="both"/>
      </w:pPr>
      <w:r>
        <w:rPr/>
        <w:t>prevención y combate de incendios forestales en coordinación con los gobiernos federal y estatal, y participar en la atención, en general, de las emergencias y contingencias forestales, de acuerdo con los programas de protección civil;</w:t>
      </w:r>
    </w:p>
    <w:p>
      <w:pPr>
        <w:pStyle w:val="ListParagraph"/>
        <w:numPr>
          <w:ilvl w:val="0"/>
          <w:numId w:val="10"/>
        </w:numPr>
        <w:tabs>
          <w:tab w:pos="822" w:val="left" w:leader="none"/>
        </w:tabs>
        <w:spacing w:line="279" w:lineRule="exact" w:before="0" w:after="0"/>
        <w:ind w:left="822" w:right="0" w:hanging="360"/>
        <w:jc w:val="both"/>
        <w:rPr>
          <w:sz w:val="24"/>
        </w:rPr>
      </w:pPr>
      <w:r>
        <w:rPr>
          <w:sz w:val="24"/>
        </w:rPr>
        <w:t>123</w:t>
      </w:r>
      <w:r>
        <w:rPr>
          <w:position w:val="11"/>
          <w:sz w:val="16"/>
        </w:rPr>
        <w:t>o  </w:t>
      </w:r>
      <w:r>
        <w:rPr>
          <w:sz w:val="24"/>
        </w:rPr>
        <w:t>Determina que  la  Comisión  (CONAFOR)  coordinará las acciones</w:t>
      </w:r>
      <w:r>
        <w:rPr>
          <w:spacing w:val="7"/>
          <w:sz w:val="24"/>
        </w:rPr>
        <w:t> </w:t>
      </w:r>
      <w:r>
        <w:rPr>
          <w:sz w:val="24"/>
        </w:rPr>
        <w:t>de</w:t>
      </w:r>
    </w:p>
    <w:p>
      <w:pPr>
        <w:pStyle w:val="BodyText"/>
        <w:spacing w:line="360" w:lineRule="auto" w:before="140"/>
        <w:ind w:left="821" w:right="123"/>
        <w:jc w:val="both"/>
      </w:pPr>
      <w:r>
        <w:rPr/>
        <w:t>prevención, combate y control especializado de incendios forestales y promoverá la asistencia de las demás dependencias y entidades de la Administración Pública Federal, de las entidades federativas y de los municipios,</w:t>
      </w:r>
    </w:p>
    <w:p>
      <w:pPr>
        <w:pStyle w:val="ListParagraph"/>
        <w:numPr>
          <w:ilvl w:val="0"/>
          <w:numId w:val="10"/>
        </w:numPr>
        <w:tabs>
          <w:tab w:pos="822" w:val="left" w:leader="none"/>
        </w:tabs>
        <w:spacing w:line="281" w:lineRule="exact" w:before="0" w:after="0"/>
        <w:ind w:left="822" w:right="0" w:hanging="360"/>
        <w:jc w:val="both"/>
        <w:rPr>
          <w:sz w:val="24"/>
        </w:rPr>
      </w:pPr>
      <w:r>
        <w:rPr>
          <w:sz w:val="24"/>
        </w:rPr>
        <w:t>124</w:t>
      </w:r>
      <w:r>
        <w:rPr>
          <w:position w:val="11"/>
          <w:sz w:val="16"/>
        </w:rPr>
        <w:t>o  </w:t>
      </w:r>
      <w:r>
        <w:rPr>
          <w:sz w:val="24"/>
        </w:rPr>
        <w:t>Destaca que los propietarios y poseedores de los terrenos forestales</w:t>
      </w:r>
      <w:r>
        <w:rPr>
          <w:spacing w:val="12"/>
          <w:sz w:val="24"/>
        </w:rPr>
        <w:t> </w:t>
      </w:r>
      <w:r>
        <w:rPr>
          <w:sz w:val="24"/>
        </w:rPr>
        <w:t>y</w:t>
      </w:r>
    </w:p>
    <w:p>
      <w:pPr>
        <w:pStyle w:val="BodyText"/>
        <w:spacing w:before="136"/>
        <w:ind w:left="821"/>
        <w:jc w:val="both"/>
      </w:pPr>
      <w:r>
        <w:rPr/>
        <w:t>preferentemente    forestales    y   sus    colindantes,    quienes    realicen el</w:t>
      </w:r>
    </w:p>
    <w:p>
      <w:pPr>
        <w:spacing w:after="0"/>
        <w:jc w:val="both"/>
        <w:sectPr>
          <w:pgSz w:w="12240" w:h="15840"/>
          <w:pgMar w:header="0" w:footer="1003" w:top="1360" w:bottom="1200" w:left="1600" w:right="1580"/>
        </w:sectPr>
      </w:pPr>
    </w:p>
    <w:p>
      <w:pPr>
        <w:pStyle w:val="BodyText"/>
        <w:spacing w:line="360" w:lineRule="auto" w:before="54"/>
        <w:ind w:left="821" w:right="121"/>
        <w:jc w:val="both"/>
      </w:pPr>
      <w:r>
        <w:rPr/>
        <w:t>aprovechamiento de recursos forestales, la forestación o plantaciones forestales comerciales y reforestación, así como los prestadores de servicios técnicos forestales responsables de los mismos y los encargados de la administración de las áreas naturales protegidas, estarán obligados a ejecutar trabajos para prevenir, combatir y controlar incendios forestales (DOF,</w:t>
      </w:r>
      <w:r>
        <w:rPr>
          <w:spacing w:val="-3"/>
        </w:rPr>
        <w:t> </w:t>
      </w:r>
      <w:r>
        <w:rPr/>
        <w:t>2003).</w:t>
      </w:r>
    </w:p>
    <w:p>
      <w:pPr>
        <w:pStyle w:val="BodyText"/>
        <w:spacing w:before="204"/>
        <w:ind w:left="102"/>
        <w:jc w:val="both"/>
      </w:pPr>
      <w:r>
        <w:rPr/>
        <w:t>Estas leyes y programas aterrizan particularmente en los siguientes:</w:t>
      </w:r>
    </w:p>
    <w:p>
      <w:pPr>
        <w:pStyle w:val="BodyText"/>
      </w:pPr>
    </w:p>
    <w:p>
      <w:pPr>
        <w:pStyle w:val="BodyText"/>
      </w:pPr>
    </w:p>
    <w:p>
      <w:pPr>
        <w:pStyle w:val="BodyText"/>
        <w:spacing w:before="8"/>
        <w:rPr>
          <w:sz w:val="34"/>
        </w:rPr>
      </w:pPr>
    </w:p>
    <w:p>
      <w:pPr>
        <w:pStyle w:val="Heading1"/>
        <w:numPr>
          <w:ilvl w:val="0"/>
          <w:numId w:val="11"/>
        </w:numPr>
        <w:tabs>
          <w:tab w:pos="822" w:val="left" w:leader="none"/>
        </w:tabs>
        <w:spacing w:line="240" w:lineRule="auto" w:before="0" w:after="0"/>
        <w:ind w:left="822" w:right="0" w:hanging="360"/>
        <w:jc w:val="left"/>
      </w:pPr>
      <w:bookmarkStart w:name="_bookmark41" w:id="78"/>
      <w:bookmarkEnd w:id="78"/>
      <w:r>
        <w:rPr>
          <w:b w:val="0"/>
        </w:rPr>
      </w:r>
      <w:bookmarkStart w:name="_bookmark41" w:id="79"/>
      <w:bookmarkEnd w:id="79"/>
      <w:r>
        <w:rPr/>
        <w:t>Regl</w:t>
      </w:r>
      <w:r>
        <w:rPr/>
        <w:t>amento de impacto ambiental y</w:t>
      </w:r>
      <w:r>
        <w:rPr>
          <w:spacing w:val="-11"/>
        </w:rPr>
        <w:t> </w:t>
      </w:r>
      <w:r>
        <w:rPr/>
        <w:t>riesgo</w:t>
      </w:r>
    </w:p>
    <w:p>
      <w:pPr>
        <w:pStyle w:val="BodyText"/>
        <w:rPr>
          <w:b/>
        </w:rPr>
      </w:pPr>
    </w:p>
    <w:p>
      <w:pPr>
        <w:pStyle w:val="BodyText"/>
        <w:rPr>
          <w:b/>
        </w:rPr>
      </w:pPr>
    </w:p>
    <w:p>
      <w:pPr>
        <w:pStyle w:val="BodyText"/>
        <w:spacing w:line="360" w:lineRule="auto"/>
        <w:ind w:left="102" w:right="117"/>
        <w:jc w:val="both"/>
      </w:pPr>
      <w:r>
        <w:rPr/>
        <w:t>El reglamento de impacto ambiental y riesgo en el artículo 88º, menciona que “Cuando las obras y actividades del proyecto se ubiquen en suelo  de conservación, áreas de valor ambiental o áreas naturales protegidas, y su realización requiera del derribo, poda o trasplante de arbolado, la resolución correspondiente en materia de impacto ambiental incluirá, en su caso, la autorización respectiva, en aquellos casos en que dichas acciones obedezcan a medidas fitosanitarias o de prevención de incendios” (GDF, 2004).</w:t>
      </w:r>
    </w:p>
    <w:p>
      <w:pPr>
        <w:pStyle w:val="BodyText"/>
      </w:pPr>
    </w:p>
    <w:p>
      <w:pPr>
        <w:pStyle w:val="BodyText"/>
      </w:pPr>
    </w:p>
    <w:p>
      <w:pPr>
        <w:pStyle w:val="BodyText"/>
        <w:spacing w:before="2"/>
        <w:rPr>
          <w:sz w:val="23"/>
        </w:rPr>
      </w:pPr>
    </w:p>
    <w:p>
      <w:pPr>
        <w:pStyle w:val="Heading1"/>
        <w:numPr>
          <w:ilvl w:val="0"/>
          <w:numId w:val="11"/>
        </w:numPr>
        <w:tabs>
          <w:tab w:pos="822" w:val="left" w:leader="none"/>
        </w:tabs>
        <w:spacing w:line="240" w:lineRule="auto" w:before="0" w:after="0"/>
        <w:ind w:left="822" w:right="0" w:hanging="360"/>
        <w:jc w:val="left"/>
      </w:pPr>
      <w:bookmarkStart w:name="_bookmark42" w:id="80"/>
      <w:bookmarkEnd w:id="80"/>
      <w:r>
        <w:rPr>
          <w:b w:val="0"/>
        </w:rPr>
      </w:r>
      <w:bookmarkStart w:name="_bookmark42" w:id="81"/>
      <w:bookmarkEnd w:id="81"/>
      <w:r>
        <w:rPr/>
        <w:t>N</w:t>
      </w:r>
      <w:r>
        <w:rPr/>
        <w:t>orma Oficial Mexicana</w:t>
      </w:r>
      <w:r>
        <w:rPr>
          <w:spacing w:val="-19"/>
        </w:rPr>
        <w:t> </w:t>
      </w:r>
      <w:r>
        <w:rPr/>
        <w:t>NOM-015-SEMARNAP-SAGAR-1997</w:t>
      </w:r>
    </w:p>
    <w:p>
      <w:pPr>
        <w:pStyle w:val="BodyText"/>
        <w:rPr>
          <w:b/>
        </w:rPr>
      </w:pPr>
    </w:p>
    <w:p>
      <w:pPr>
        <w:pStyle w:val="BodyText"/>
        <w:spacing w:before="9"/>
        <w:rPr>
          <w:b/>
          <w:sz w:val="23"/>
        </w:rPr>
      </w:pPr>
    </w:p>
    <w:p>
      <w:pPr>
        <w:pStyle w:val="BodyText"/>
        <w:spacing w:line="360" w:lineRule="auto"/>
        <w:ind w:left="102" w:right="123"/>
        <w:jc w:val="both"/>
      </w:pPr>
      <w:r>
        <w:rPr/>
        <w:t>Regula el uso del fuego en terrenos forestales y agropecuarios y que establece las especificaciones, criterios y procedimientos para promover y ordenar la participación social del gobierno en la detección y combate de incendios forestales (DOF, 1999).</w:t>
      </w:r>
    </w:p>
    <w:p>
      <w:pPr>
        <w:spacing w:after="0" w:line="360" w:lineRule="auto"/>
        <w:jc w:val="both"/>
        <w:sectPr>
          <w:pgSz w:w="12240" w:h="15840"/>
          <w:pgMar w:header="0" w:footer="1003" w:top="1360" w:bottom="1200" w:left="1600" w:right="1580"/>
        </w:sectPr>
      </w:pPr>
    </w:p>
    <w:p>
      <w:pPr>
        <w:pStyle w:val="Heading1"/>
        <w:numPr>
          <w:ilvl w:val="0"/>
          <w:numId w:val="5"/>
        </w:numPr>
        <w:tabs>
          <w:tab w:pos="822" w:val="left" w:leader="none"/>
        </w:tabs>
        <w:spacing w:line="636" w:lineRule="auto" w:before="54" w:after="0"/>
        <w:ind w:left="102" w:right="3745" w:firstLine="360"/>
        <w:jc w:val="left"/>
      </w:pPr>
      <w:bookmarkStart w:name="_bookmark43" w:id="82"/>
      <w:bookmarkEnd w:id="82"/>
      <w:r>
        <w:rPr>
          <w:b w:val="0"/>
        </w:rPr>
      </w:r>
      <w:bookmarkStart w:name="_bookmark43" w:id="83"/>
      <w:bookmarkEnd w:id="83"/>
      <w:r>
        <w:rPr/>
        <w:t>D</w:t>
      </w:r>
      <w:r>
        <w:rPr/>
        <w:t>ESCRIPCIÓN DEL ÁREA DE</w:t>
      </w:r>
      <w:r>
        <w:rPr>
          <w:spacing w:val="-11"/>
        </w:rPr>
        <w:t> </w:t>
      </w:r>
      <w:r>
        <w:rPr/>
        <w:t>ESTUDIO Ubicación</w:t>
      </w:r>
      <w:r>
        <w:rPr>
          <w:spacing w:val="-6"/>
        </w:rPr>
        <w:t> </w:t>
      </w:r>
      <w:r>
        <w:rPr/>
        <w:t>geográfica</w:t>
      </w:r>
    </w:p>
    <w:p>
      <w:pPr>
        <w:pStyle w:val="BodyText"/>
        <w:spacing w:line="360" w:lineRule="auto" w:before="109"/>
        <w:ind w:left="102" w:right="117"/>
        <w:jc w:val="both"/>
      </w:pPr>
      <w:r>
        <w:rPr/>
        <w:t>El Distrito Federal se divide en dos grandes zonas administrativas (ver figura 1): el suelo de conservación y el suelo urbano (GDF, 2012).</w:t>
      </w:r>
    </w:p>
    <w:p>
      <w:pPr>
        <w:pStyle w:val="BodyText"/>
        <w:spacing w:line="360" w:lineRule="auto" w:before="202"/>
        <w:ind w:left="102" w:right="118"/>
        <w:jc w:val="both"/>
      </w:pPr>
      <w:r>
        <w:rPr/>
        <w:t>El área de estudio comprende el Suelo de Conservación del Distrito  Federal SCDF, que se refiere a las zonas que por sus características ecológicas, proveen servicios ambientales, necesarios para el mantenimiento de la calidad de vida de los habitantes de la Ciudad de México, de conformidad con lo establecido en la Ley Ambiental del Distrito Federal; el SCDF ocupa una extensión aproximada de 87,297.1 ha, y se localiza principalmente al sur y surponiente del Distrito Federal (GDF,</w:t>
      </w:r>
      <w:r>
        <w:rPr>
          <w:spacing w:val="-3"/>
        </w:rPr>
        <w:t> </w:t>
      </w:r>
      <w:r>
        <w:rPr/>
        <w:t>2012).</w:t>
      </w:r>
    </w:p>
    <w:p>
      <w:pPr>
        <w:pStyle w:val="BodyText"/>
        <w:spacing w:line="360" w:lineRule="auto" w:before="204"/>
        <w:ind w:left="102" w:right="121"/>
        <w:jc w:val="both"/>
      </w:pPr>
      <w:r>
        <w:rPr/>
        <w:t>El Suelo de Conservación (SC) está conformado por las Delegaciones Álvaro Obregón, Cuajimalpa de Morelos, Gustavo A. Madero, Iztapalapa, Magdalena Contreras, Milpa Alta, Tláhuac, Tlalpan y Xochimilco.</w:t>
      </w:r>
    </w:p>
    <w:p>
      <w:pPr>
        <w:pStyle w:val="BodyText"/>
        <w:spacing w:line="360" w:lineRule="auto" w:before="204"/>
        <w:ind w:left="102" w:right="112"/>
        <w:jc w:val="both"/>
      </w:pPr>
      <w:r>
        <w:rPr/>
        <w:t>La mayor proporción (93%) del SC se ubica en las serranías que delimitan al Distrito Federal: hacia el sur, La Sierra Chichinautzin y la Sierra del Ajusco; hacia el suroeste, la Sierra de las Cruces; hacia el oriente, la Sierra Santa Catarina; y hacia el norte, la Sierra de Guadalupe. El resto (7%) se incluye dentro de la zona lacustre de Xochimilco y Tláhuac. Si bien la altitud del SC varía de 2,200 a 4,000 msnm, casi la mitad del área de estudio (48%) se ubica por arriba de los 3,000 msnm. En general, la Sierra de Las Cruces drena hacia la llamada zona lacustre metropolitana, mientras que el escurrimiento superficial de la Sierra Chichinautzin y de la Sierra del Ajusco se dirige hacia la zona lacustre de Xochimilco (Asamblea Legislativa del Distrito Federal,</w:t>
      </w:r>
      <w:r>
        <w:rPr>
          <w:spacing w:val="-9"/>
        </w:rPr>
        <w:t> </w:t>
      </w:r>
      <w:r>
        <w:rPr/>
        <w:t>2000).</w:t>
      </w:r>
    </w:p>
    <w:p>
      <w:pPr>
        <w:spacing w:after="0" w:line="360" w:lineRule="auto"/>
        <w:jc w:val="both"/>
        <w:sectPr>
          <w:pgSz w:w="12240" w:h="15840"/>
          <w:pgMar w:header="0" w:footer="1003" w:top="1360" w:bottom="1200" w:left="1600" w:right="1580"/>
        </w:sectPr>
      </w:pPr>
    </w:p>
    <w:p>
      <w:pPr>
        <w:pStyle w:val="BodyText"/>
        <w:spacing w:before="52" w:after="5"/>
        <w:ind w:left="102"/>
      </w:pPr>
      <w:r>
        <w:rPr/>
        <w:t>Figura 1: Ubicación del área de estudio.</w:t>
      </w:r>
    </w:p>
    <w:p>
      <w:pPr>
        <w:pStyle w:val="BodyText"/>
        <w:ind w:left="101"/>
        <w:rPr>
          <w:sz w:val="20"/>
        </w:rPr>
      </w:pPr>
      <w:r>
        <w:rPr>
          <w:sz w:val="20"/>
        </w:rPr>
        <w:drawing>
          <wp:inline distT="0" distB="0" distL="0" distR="0">
            <wp:extent cx="5294481" cy="7941659"/>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20" cstate="print"/>
                    <a:stretch>
                      <a:fillRect/>
                    </a:stretch>
                  </pic:blipFill>
                  <pic:spPr>
                    <a:xfrm>
                      <a:off x="0" y="0"/>
                      <a:ext cx="5294481" cy="7941659"/>
                    </a:xfrm>
                    <a:prstGeom prst="rect">
                      <a:avLst/>
                    </a:prstGeom>
                  </pic:spPr>
                </pic:pic>
              </a:graphicData>
            </a:graphic>
          </wp:inline>
        </w:drawing>
      </w:r>
      <w:r>
        <w:rPr>
          <w:sz w:val="20"/>
        </w:rPr>
      </w:r>
    </w:p>
    <w:p>
      <w:pPr>
        <w:spacing w:after="0"/>
        <w:rPr>
          <w:sz w:val="20"/>
        </w:rPr>
        <w:sectPr>
          <w:footerReference w:type="default" r:id="rId19"/>
          <w:pgSz w:w="12240" w:h="15840"/>
          <w:pgMar w:footer="1003" w:header="0" w:top="1360" w:bottom="1200" w:left="1600" w:right="1580"/>
        </w:sectPr>
      </w:pPr>
    </w:p>
    <w:p>
      <w:pPr>
        <w:pStyle w:val="BodyText"/>
        <w:spacing w:line="360" w:lineRule="auto" w:before="54"/>
        <w:ind w:left="102" w:right="115"/>
        <w:jc w:val="both"/>
      </w:pPr>
      <w:r>
        <w:rPr/>
        <w:t>Desde el punto de vista geomorfológico, el SC se incluye dentro de la Cuenca de México, la cual forma parte, a su vez, del Eje Neovolcánico Transversal. Equivale al 11% de la Cuenca de México y contiene áreas representativas de las zonas denominadas como lacustre, de transición y de montaña (Asamblea Legislativa del Distrito Federal, 2000).</w:t>
      </w:r>
    </w:p>
    <w:p>
      <w:pPr>
        <w:pStyle w:val="BodyText"/>
        <w:spacing w:line="360" w:lineRule="auto" w:before="204"/>
        <w:ind w:left="102" w:right="118"/>
        <w:jc w:val="both"/>
      </w:pPr>
      <w:r>
        <w:rPr/>
        <w:t>El SC se ubica dentro del Eje Neovolcánico Transversal. Este hecho es relevante porque el Eje Neovolcánico constituye una barrera entre las Regiones Biogeográficas Neártica y Neotropical, dado que se extiende desde el Golfo de México hasta el Océano Pacífico, por el centro del país. Gracias a su compleja topografía y variedad de tipos de vegetación, dicha unidad geográfica contiene  una alta diversidad de especies y una alta concentración de especies endémicas de vertebrados, comparable en México sólo con las selvas secas de la vertiente del Pacífico (Asamblea Legislativa del Distrito Federal, 2000). De este modo, las características del Eje Neovolcánico se manifiestan en el</w:t>
      </w:r>
      <w:r>
        <w:rPr>
          <w:spacing w:val="-17"/>
        </w:rPr>
        <w:t> </w:t>
      </w:r>
      <w:r>
        <w:rPr/>
        <w:t>SC.</w:t>
      </w:r>
    </w:p>
    <w:p>
      <w:pPr>
        <w:pStyle w:val="BodyText"/>
        <w:spacing w:line="360" w:lineRule="auto" w:before="204"/>
        <w:ind w:left="102" w:right="118"/>
        <w:jc w:val="both"/>
      </w:pPr>
      <w:r>
        <w:rPr/>
        <w:t>El patrón general del clima en la Cuenca de México, determina que cerca de la mitad de la superficie del SC, presenta un potencial de moderado a alto para generar escurrimientos o infiltraciones al subsuelo. Debido a que existe un gradiente de precipitación de dirección noreste-suroeste, las zonas con mayor potencial para recarga de acuíferos, se localizan en la Sierra de Las Cruces, la Sierra del Ajusco y la Sierra Chichinautzin (Asamblea Legislativa del Distrito Federal, 2000).</w:t>
      </w:r>
    </w:p>
    <w:p>
      <w:pPr>
        <w:pStyle w:val="BodyText"/>
        <w:spacing w:line="360" w:lineRule="auto" w:before="204"/>
        <w:ind w:left="102" w:right="117"/>
        <w:jc w:val="both"/>
      </w:pPr>
      <w:r>
        <w:rPr/>
        <w:t>La vegetación natural dentro del SC, ocupa alrededor de 50,000 ha e incluye bosque de oyamel, bosque de pino, bosque de encino, bosque mixto, matorral xerófilo, tipos acuáticos y subacuáticos y pastizal (Asamblea Legislativa del Distrito Federal, 2000 y Velázquez, 2010).</w:t>
      </w:r>
    </w:p>
    <w:p>
      <w:pPr>
        <w:pStyle w:val="BodyText"/>
        <w:spacing w:line="360" w:lineRule="auto" w:before="204"/>
        <w:ind w:left="102" w:right="117" w:firstLine="67"/>
        <w:jc w:val="both"/>
      </w:pPr>
      <w:r>
        <w:rPr/>
        <w:t>El SC es una región extremadamente importante para la conservación de la fauna de vertebrados de México, en general, y del Eje Neovolcánico Transversal y del Distrito Federal, en particular. Esto se aprecia en la gran concentración de especies endémicas sobre todo en las porciones sur y surponiente del SC. La</w:t>
      </w:r>
    </w:p>
    <w:p>
      <w:pPr>
        <w:spacing w:after="0" w:line="360" w:lineRule="auto"/>
        <w:jc w:val="both"/>
        <w:sectPr>
          <w:footerReference w:type="default" r:id="rId21"/>
          <w:pgSz w:w="12240" w:h="15840"/>
          <w:pgMar w:footer="1003" w:header="0" w:top="1360" w:bottom="1200" w:left="1600" w:right="1580"/>
          <w:pgNumType w:start="41"/>
        </w:sectPr>
      </w:pPr>
    </w:p>
    <w:p>
      <w:pPr>
        <w:pStyle w:val="BodyText"/>
        <w:spacing w:line="360" w:lineRule="auto" w:before="54"/>
        <w:ind w:left="102" w:right="117"/>
        <w:jc w:val="both"/>
      </w:pPr>
      <w:r>
        <w:rPr/>
        <w:t>importancia del SC para la diversidad biológica, se manifiesta incluso por el hecho de que el Parque Nacional El Ajusco, es una de las cuatro reservas más importantes del país, para la protección de los mamíferos (Asamblea Legislativa del Distrito Federal, 2000).</w:t>
      </w:r>
    </w:p>
    <w:p>
      <w:pPr>
        <w:spacing w:after="0" w:line="360" w:lineRule="auto"/>
        <w:jc w:val="both"/>
        <w:sectPr>
          <w:pgSz w:w="12240" w:h="15840"/>
          <w:pgMar w:header="0" w:footer="1003" w:top="1360" w:bottom="1200" w:left="1600" w:right="1580"/>
        </w:sectPr>
      </w:pPr>
    </w:p>
    <w:p>
      <w:pPr>
        <w:pStyle w:val="Heading1"/>
        <w:numPr>
          <w:ilvl w:val="0"/>
          <w:numId w:val="5"/>
        </w:numPr>
        <w:tabs>
          <w:tab w:pos="942" w:val="left" w:leader="none"/>
        </w:tabs>
        <w:spacing w:line="240" w:lineRule="auto" w:before="54" w:after="0"/>
        <w:ind w:left="942" w:right="0" w:hanging="360"/>
        <w:jc w:val="left"/>
      </w:pPr>
      <w:bookmarkStart w:name="_bookmark44" w:id="84"/>
      <w:bookmarkEnd w:id="84"/>
      <w:r>
        <w:rPr>
          <w:b w:val="0"/>
        </w:rPr>
      </w:r>
      <w:bookmarkStart w:name="_bookmark44" w:id="85"/>
      <w:bookmarkEnd w:id="85"/>
      <w:r>
        <w:rPr/>
        <w:t>M</w:t>
      </w:r>
      <w:r>
        <w:rPr/>
        <w:t>ARCO</w:t>
      </w:r>
      <w:r>
        <w:rPr>
          <w:spacing w:val="-6"/>
        </w:rPr>
        <w:t> </w:t>
      </w:r>
      <w:r>
        <w:rPr/>
        <w:t>METODOLÓGICO</w:t>
      </w:r>
    </w:p>
    <w:p>
      <w:pPr>
        <w:pStyle w:val="BodyText"/>
        <w:rPr>
          <w:b/>
          <w:sz w:val="21"/>
        </w:rPr>
      </w:pPr>
    </w:p>
    <w:p>
      <w:pPr>
        <w:pStyle w:val="Heading1"/>
        <w:numPr>
          <w:ilvl w:val="1"/>
          <w:numId w:val="5"/>
        </w:numPr>
        <w:tabs>
          <w:tab w:pos="942" w:val="left" w:leader="none"/>
        </w:tabs>
        <w:spacing w:line="240" w:lineRule="auto" w:before="1" w:after="0"/>
        <w:ind w:left="942" w:right="0" w:hanging="360"/>
        <w:jc w:val="left"/>
      </w:pPr>
      <w:bookmarkStart w:name="_bookmark45" w:id="86"/>
      <w:bookmarkEnd w:id="86"/>
      <w:r>
        <w:rPr>
          <w:b w:val="0"/>
        </w:rPr>
      </w:r>
      <w:bookmarkStart w:name="_bookmark45" w:id="87"/>
      <w:bookmarkEnd w:id="87"/>
      <w:r>
        <w:rPr/>
        <w:t>V</w:t>
      </w:r>
      <w:r>
        <w:rPr/>
        <w:t>ariables de</w:t>
      </w:r>
      <w:r>
        <w:rPr>
          <w:spacing w:val="-6"/>
        </w:rPr>
        <w:t> </w:t>
      </w:r>
      <w:r>
        <w:rPr/>
        <w:t>estudio</w:t>
      </w:r>
    </w:p>
    <w:p>
      <w:pPr>
        <w:pStyle w:val="BodyText"/>
        <w:rPr>
          <w:b/>
        </w:rPr>
      </w:pPr>
    </w:p>
    <w:p>
      <w:pPr>
        <w:pStyle w:val="BodyText"/>
        <w:spacing w:line="360" w:lineRule="auto" w:before="177"/>
        <w:ind w:left="222"/>
      </w:pPr>
      <w:r>
        <w:rPr/>
        <w:t>Se utilizaron diversas variables de acuerdo con Copete, </w:t>
      </w:r>
      <w:r>
        <w:rPr>
          <w:i/>
        </w:rPr>
        <w:t>et al., </w:t>
      </w:r>
      <w:r>
        <w:rPr/>
        <w:t>(2007), para poder determinar el riesgo, las cuales se muestran en el cuadro 2:</w:t>
      </w:r>
    </w:p>
    <w:p>
      <w:pPr>
        <w:pStyle w:val="BodyText"/>
      </w:pPr>
    </w:p>
    <w:p>
      <w:pPr>
        <w:pStyle w:val="BodyText"/>
        <w:spacing w:before="142"/>
        <w:ind w:left="222"/>
      </w:pPr>
      <w:r>
        <w:rPr/>
        <w:pict>
          <v:line style="position:absolute;mso-position-horizontal-relative:page;mso-position-vertical-relative:paragraph;z-index:-342760" from="328.510010pt,106.285873pt" to="333.79001pt,106.285873pt" stroked="true" strokeweight=".600010pt" strokecolor="#000000">
            <w10:wrap type="none"/>
          </v:line>
        </w:pict>
      </w:r>
      <w:r>
        <w:rPr/>
        <w:t>Cuadro 2. Variables utilizadas para esta investigación.</w:t>
      </w:r>
    </w:p>
    <w:p>
      <w:pPr>
        <w:pStyle w:val="BodyText"/>
        <w:spacing w:before="3"/>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702"/>
        <w:gridCol w:w="2552"/>
        <w:gridCol w:w="2127"/>
      </w:tblGrid>
      <w:tr>
        <w:trPr>
          <w:trHeight w:val="632" w:hRule="exact"/>
        </w:trPr>
        <w:tc>
          <w:tcPr>
            <w:tcW w:w="2093" w:type="dxa"/>
          </w:tcPr>
          <w:p>
            <w:pPr>
              <w:pStyle w:val="TableParagraph"/>
              <w:spacing w:before="150"/>
              <w:ind w:left="621" w:right="621"/>
              <w:jc w:val="center"/>
              <w:rPr>
                <w:b/>
                <w:sz w:val="18"/>
              </w:rPr>
            </w:pPr>
            <w:r>
              <w:rPr>
                <w:b/>
                <w:sz w:val="18"/>
              </w:rPr>
              <w:t>Variables</w:t>
            </w:r>
          </w:p>
        </w:tc>
        <w:tc>
          <w:tcPr>
            <w:tcW w:w="1702" w:type="dxa"/>
          </w:tcPr>
          <w:p>
            <w:pPr>
              <w:pStyle w:val="TableParagraph"/>
              <w:spacing w:line="360" w:lineRule="auto" w:before="0"/>
              <w:ind w:left="175" w:right="123" w:hanging="36"/>
              <w:rPr>
                <w:b/>
                <w:sz w:val="18"/>
              </w:rPr>
            </w:pPr>
            <w:r>
              <w:rPr>
                <w:b/>
                <w:sz w:val="18"/>
              </w:rPr>
              <w:t>¿Por qué utilizar esas variables?</w:t>
            </w:r>
          </w:p>
        </w:tc>
        <w:tc>
          <w:tcPr>
            <w:tcW w:w="2552" w:type="dxa"/>
          </w:tcPr>
          <w:p>
            <w:pPr>
              <w:pStyle w:val="TableParagraph"/>
              <w:spacing w:before="150"/>
              <w:ind w:left="290"/>
              <w:rPr>
                <w:b/>
                <w:sz w:val="18"/>
              </w:rPr>
            </w:pPr>
            <w:r>
              <w:rPr>
                <w:b/>
                <w:sz w:val="18"/>
              </w:rPr>
              <w:t>¿Cómo se obtuvieron?</w:t>
            </w:r>
          </w:p>
        </w:tc>
        <w:tc>
          <w:tcPr>
            <w:tcW w:w="2127" w:type="dxa"/>
          </w:tcPr>
          <w:p>
            <w:pPr>
              <w:pStyle w:val="TableParagraph"/>
              <w:spacing w:before="150"/>
              <w:ind w:left="112"/>
              <w:rPr>
                <w:b/>
                <w:sz w:val="18"/>
              </w:rPr>
            </w:pPr>
            <w:r>
              <w:rPr>
                <w:b/>
                <w:sz w:val="18"/>
              </w:rPr>
              <w:t>¿Cuál es el producto?</w:t>
            </w:r>
          </w:p>
        </w:tc>
      </w:tr>
      <w:tr>
        <w:trPr>
          <w:trHeight w:val="1325" w:hRule="exact"/>
        </w:trPr>
        <w:tc>
          <w:tcPr>
            <w:tcW w:w="2093" w:type="dxa"/>
          </w:tcPr>
          <w:p>
            <w:pPr>
              <w:pStyle w:val="TableParagraph"/>
              <w:tabs>
                <w:tab w:pos="823" w:val="left" w:leader="none"/>
                <w:tab w:pos="1779" w:val="left" w:leader="none"/>
              </w:tabs>
              <w:spacing w:line="360" w:lineRule="auto" w:before="0"/>
              <w:ind w:left="823" w:right="100" w:hanging="360"/>
              <w:rPr>
                <w:sz w:val="18"/>
              </w:rPr>
            </w:pPr>
            <w:r>
              <w:rPr>
                <w:sz w:val="18"/>
              </w:rPr>
              <w:t>1.</w:t>
              <w:tab/>
              <w:t>Número</w:t>
              <w:tab/>
              <w:t>de incendios</w:t>
            </w:r>
          </w:p>
        </w:tc>
        <w:tc>
          <w:tcPr>
            <w:tcW w:w="1702" w:type="dxa"/>
          </w:tcPr>
          <w:p>
            <w:pPr>
              <w:pStyle w:val="TableParagraph"/>
              <w:tabs>
                <w:tab w:pos="1449" w:val="left" w:leader="none"/>
              </w:tabs>
              <w:spacing w:line="206" w:lineRule="exact" w:before="0"/>
              <w:ind w:left="103"/>
              <w:rPr>
                <w:sz w:val="18"/>
              </w:rPr>
            </w:pPr>
            <w:r>
              <w:rPr>
                <w:sz w:val="18"/>
              </w:rPr>
              <w:t>Obtener</w:t>
              <w:tab/>
              <w:t>la</w:t>
            </w:r>
          </w:p>
          <w:p>
            <w:pPr>
              <w:pStyle w:val="TableParagraph"/>
              <w:tabs>
                <w:tab w:pos="1390" w:val="left" w:leader="none"/>
              </w:tabs>
              <w:spacing w:line="360" w:lineRule="auto" w:before="102"/>
              <w:ind w:left="103" w:right="99"/>
              <w:rPr>
                <w:sz w:val="18"/>
              </w:rPr>
            </w:pPr>
            <w:r>
              <w:rPr>
                <w:sz w:val="18"/>
              </w:rPr>
              <w:t>frecuencia</w:t>
              <w:tab/>
              <w:t>de incendios</w:t>
            </w:r>
          </w:p>
        </w:tc>
        <w:tc>
          <w:tcPr>
            <w:tcW w:w="2552" w:type="dxa"/>
          </w:tcPr>
          <w:p>
            <w:pPr>
              <w:pStyle w:val="TableParagraph"/>
              <w:spacing w:line="360" w:lineRule="auto" w:before="0"/>
              <w:ind w:left="103" w:right="498"/>
              <w:rPr>
                <w:sz w:val="18"/>
              </w:rPr>
            </w:pPr>
            <w:r>
              <w:rPr>
                <w:sz w:val="18"/>
              </w:rPr>
              <w:t>A partir de la fórmula de frecuencia</w:t>
            </w:r>
          </w:p>
          <w:p>
            <w:pPr>
              <w:pStyle w:val="TableParagraph"/>
              <w:spacing w:line="88" w:lineRule="exact" w:before="0"/>
              <w:ind w:left="314"/>
              <w:jc w:val="center"/>
              <w:rPr>
                <w:rFonts w:ascii="Cambria Math"/>
                <w:sz w:val="13"/>
              </w:rPr>
            </w:pPr>
            <w:r>
              <w:rPr>
                <w:rFonts w:ascii="Cambria Math"/>
                <w:w w:val="282"/>
                <w:sz w:val="13"/>
              </w:rPr>
              <w:t> </w:t>
            </w:r>
          </w:p>
          <w:p>
            <w:pPr>
              <w:pStyle w:val="TableParagraph"/>
              <w:spacing w:line="139" w:lineRule="exact" w:before="0"/>
              <w:ind w:right="82"/>
              <w:jc w:val="center"/>
              <w:rPr>
                <w:rFonts w:ascii="Cambria Math"/>
                <w:sz w:val="18"/>
              </w:rPr>
            </w:pPr>
            <w:r>
              <w:rPr>
                <w:rFonts w:ascii="Cambria Math"/>
                <w:w w:val="251"/>
                <w:sz w:val="18"/>
              </w:rPr>
              <w:t> </w:t>
            </w:r>
          </w:p>
          <w:p>
            <w:pPr>
              <w:pStyle w:val="TableParagraph"/>
              <w:spacing w:line="174" w:lineRule="exact" w:before="0"/>
              <w:ind w:right="5"/>
              <w:jc w:val="center"/>
              <w:rPr>
                <w:rFonts w:ascii="Cambria Math" w:hAnsi="Cambria Math"/>
                <w:sz w:val="18"/>
              </w:rPr>
            </w:pPr>
            <w:r>
              <w:rPr>
                <w:rFonts w:ascii="Cambria Math" w:hAnsi="Cambria Math"/>
                <w:w w:val="185"/>
                <w:sz w:val="18"/>
              </w:rPr>
              <w:t>  </w:t>
            </w:r>
            <w:r>
              <w:rPr>
                <w:rFonts w:ascii="Cambria Math" w:hAnsi="Cambria Math"/>
                <w:sz w:val="18"/>
              </w:rPr>
              <w:t> </w:t>
            </w:r>
            <w:r>
              <w:rPr>
                <w:rFonts w:ascii="Cambria Math" w:hAnsi="Cambria Math"/>
                <w:w w:val="339"/>
                <w:sz w:val="18"/>
              </w:rPr>
              <w:t> </w:t>
            </w:r>
            <w:r>
              <w:rPr>
                <w:rFonts w:ascii="Cambria Math" w:hAnsi="Cambria Math"/>
                <w:sz w:val="18"/>
              </w:rPr>
              <w:t> </w:t>
            </w:r>
            <w:r>
              <w:rPr>
                <w:rFonts w:ascii="Cambria Math" w:hAnsi="Cambria Math"/>
                <w:w w:val="252"/>
                <w:position w:val="-11"/>
                <w:sz w:val="18"/>
              </w:rPr>
              <w:t> </w:t>
            </w:r>
            <w:r>
              <w:rPr>
                <w:rFonts w:ascii="Cambria Math" w:hAnsi="Cambria Math"/>
                <w:position w:val="-11"/>
                <w:sz w:val="18"/>
              </w:rPr>
              <w:t> </w:t>
            </w:r>
            <w:r>
              <w:rPr>
                <w:rFonts w:ascii="Cambria Math" w:hAnsi="Cambria Math"/>
                <w:w w:val="185"/>
                <w:sz w:val="18"/>
              </w:rPr>
              <w:t>∑</w:t>
            </w:r>
            <w:r>
              <w:rPr>
                <w:rFonts w:ascii="Cambria Math" w:hAnsi="Cambria Math"/>
                <w:sz w:val="18"/>
              </w:rPr>
              <w:t> </w:t>
            </w:r>
            <w:r>
              <w:rPr>
                <w:rFonts w:ascii="Cambria Math" w:hAnsi="Cambria Math"/>
                <w:w w:val="202"/>
                <w:sz w:val="18"/>
              </w:rPr>
              <w:t>  </w:t>
            </w:r>
          </w:p>
          <w:p>
            <w:pPr>
              <w:pStyle w:val="TableParagraph"/>
              <w:spacing w:before="64"/>
              <w:ind w:left="317"/>
              <w:jc w:val="center"/>
              <w:rPr>
                <w:rFonts w:ascii="Cambria Math"/>
                <w:sz w:val="13"/>
              </w:rPr>
            </w:pPr>
            <w:r>
              <w:rPr>
                <w:rFonts w:ascii="Cambria Math"/>
                <w:w w:val="262"/>
                <w:sz w:val="13"/>
              </w:rPr>
              <w:t> </w:t>
            </w:r>
          </w:p>
        </w:tc>
        <w:tc>
          <w:tcPr>
            <w:tcW w:w="2127" w:type="dxa"/>
          </w:tcPr>
          <w:p>
            <w:pPr>
              <w:pStyle w:val="TableParagraph"/>
              <w:spacing w:line="360" w:lineRule="auto" w:before="0"/>
              <w:ind w:left="103" w:right="100"/>
              <w:jc w:val="both"/>
              <w:rPr>
                <w:sz w:val="18"/>
              </w:rPr>
            </w:pPr>
            <w:r>
              <w:rPr>
                <w:sz w:val="18"/>
              </w:rPr>
              <w:t>Mapa de frecuencia de incendios calculado a nivel cuadrantes.</w:t>
            </w:r>
          </w:p>
        </w:tc>
      </w:tr>
      <w:tr>
        <w:trPr>
          <w:trHeight w:val="1459" w:hRule="exact"/>
        </w:trPr>
        <w:tc>
          <w:tcPr>
            <w:tcW w:w="2093" w:type="dxa"/>
          </w:tcPr>
          <w:p>
            <w:pPr>
              <w:pStyle w:val="TableParagraph"/>
              <w:tabs>
                <w:tab w:pos="823" w:val="left" w:leader="none"/>
              </w:tabs>
              <w:spacing w:line="360" w:lineRule="auto" w:before="0"/>
              <w:ind w:left="823" w:right="455" w:hanging="360"/>
              <w:rPr>
                <w:sz w:val="18"/>
              </w:rPr>
            </w:pPr>
            <w:r>
              <w:rPr>
                <w:sz w:val="18"/>
              </w:rPr>
              <w:t>2.</w:t>
              <w:tab/>
              <w:t>Superficie forestal quemada</w:t>
            </w:r>
          </w:p>
        </w:tc>
        <w:tc>
          <w:tcPr>
            <w:tcW w:w="1702" w:type="dxa"/>
          </w:tcPr>
          <w:p>
            <w:pPr>
              <w:pStyle w:val="TableParagraph"/>
              <w:tabs>
                <w:tab w:pos="1450" w:val="left" w:leader="none"/>
              </w:tabs>
              <w:spacing w:line="360" w:lineRule="auto" w:before="0"/>
              <w:ind w:left="103" w:right="99"/>
              <w:jc w:val="both"/>
              <w:rPr>
                <w:sz w:val="18"/>
              </w:rPr>
            </w:pPr>
            <w:r>
              <w:rPr>
                <w:sz w:val="18"/>
              </w:rPr>
              <w:t>Identificar</w:t>
              <w:tab/>
              <w:t>la gravedad de los incendios.</w:t>
            </w:r>
          </w:p>
        </w:tc>
        <w:tc>
          <w:tcPr>
            <w:tcW w:w="2552" w:type="dxa"/>
          </w:tcPr>
          <w:p>
            <w:pPr>
              <w:pStyle w:val="TableParagraph"/>
              <w:spacing w:line="360" w:lineRule="auto" w:before="0"/>
              <w:ind w:left="103"/>
              <w:rPr>
                <w:sz w:val="18"/>
              </w:rPr>
            </w:pPr>
            <w:r>
              <w:rPr>
                <w:sz w:val="18"/>
              </w:rPr>
              <w:t>A partir de la fórmula de gravedad</w:t>
            </w:r>
          </w:p>
          <w:p>
            <w:pPr>
              <w:pStyle w:val="TableParagraph"/>
              <w:spacing w:before="0"/>
              <w:ind w:left="101"/>
              <w:rPr>
                <w:sz w:val="20"/>
              </w:rPr>
            </w:pPr>
            <w:r>
              <w:rPr>
                <w:sz w:val="20"/>
              </w:rPr>
              <w:drawing>
                <wp:inline distT="0" distB="0" distL="0" distR="0">
                  <wp:extent cx="1202912" cy="458914"/>
                  <wp:effectExtent l="0" t="0" r="0" b="0"/>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2" cstate="print"/>
                          <a:stretch>
                            <a:fillRect/>
                          </a:stretch>
                        </pic:blipFill>
                        <pic:spPr>
                          <a:xfrm>
                            <a:off x="0" y="0"/>
                            <a:ext cx="1202912" cy="458914"/>
                          </a:xfrm>
                          <a:prstGeom prst="rect">
                            <a:avLst/>
                          </a:prstGeom>
                        </pic:spPr>
                      </pic:pic>
                    </a:graphicData>
                  </a:graphic>
                </wp:inline>
              </w:drawing>
            </w:r>
            <w:r>
              <w:rPr>
                <w:sz w:val="20"/>
              </w:rPr>
            </w:r>
          </w:p>
        </w:tc>
        <w:tc>
          <w:tcPr>
            <w:tcW w:w="2127" w:type="dxa"/>
          </w:tcPr>
          <w:p>
            <w:pPr>
              <w:pStyle w:val="TableParagraph"/>
              <w:tabs>
                <w:tab w:pos="1815" w:val="left" w:leader="none"/>
              </w:tabs>
              <w:spacing w:line="360" w:lineRule="auto" w:before="0"/>
              <w:ind w:left="103" w:right="100"/>
              <w:jc w:val="both"/>
              <w:rPr>
                <w:sz w:val="18"/>
              </w:rPr>
            </w:pPr>
            <w:r>
              <w:rPr>
                <w:sz w:val="18"/>
              </w:rPr>
              <w:t>Mapa de gravedad de estadística</w:t>
              <w:tab/>
              <w:t>de incendios calculado a nivel</w:t>
            </w:r>
            <w:r>
              <w:rPr>
                <w:spacing w:val="-6"/>
                <w:sz w:val="18"/>
              </w:rPr>
              <w:t> </w:t>
            </w:r>
            <w:r>
              <w:rPr>
                <w:sz w:val="18"/>
              </w:rPr>
              <w:t>cuadrantes.</w:t>
            </w:r>
          </w:p>
        </w:tc>
      </w:tr>
      <w:tr>
        <w:trPr>
          <w:trHeight w:val="1587" w:hRule="exact"/>
        </w:trPr>
        <w:tc>
          <w:tcPr>
            <w:tcW w:w="2093" w:type="dxa"/>
          </w:tcPr>
          <w:p>
            <w:pPr>
              <w:pStyle w:val="TableParagraph"/>
              <w:tabs>
                <w:tab w:pos="823" w:val="left" w:leader="none"/>
              </w:tabs>
              <w:spacing w:line="362" w:lineRule="auto" w:before="0"/>
              <w:ind w:left="823" w:right="101" w:hanging="360"/>
              <w:rPr>
                <w:sz w:val="18"/>
              </w:rPr>
            </w:pPr>
            <w:r>
              <w:rPr>
                <w:sz w:val="18"/>
              </w:rPr>
              <w:t>3.</w:t>
              <w:tab/>
              <w:t>Causas</w:t>
            </w:r>
            <w:r>
              <w:rPr>
                <w:spacing w:val="6"/>
                <w:sz w:val="18"/>
              </w:rPr>
              <w:t> </w:t>
            </w:r>
            <w:r>
              <w:rPr>
                <w:sz w:val="18"/>
              </w:rPr>
              <w:t>de</w:t>
            </w:r>
            <w:r>
              <w:rPr>
                <w:spacing w:val="5"/>
                <w:sz w:val="18"/>
              </w:rPr>
              <w:t> </w:t>
            </w:r>
            <w:r>
              <w:rPr>
                <w:sz w:val="18"/>
              </w:rPr>
              <w:t>los </w:t>
            </w:r>
            <w:r>
              <w:rPr>
                <w:sz w:val="18"/>
              </w:rPr>
              <w:t>incendios</w:t>
            </w:r>
          </w:p>
        </w:tc>
        <w:tc>
          <w:tcPr>
            <w:tcW w:w="1702" w:type="dxa"/>
          </w:tcPr>
          <w:p>
            <w:pPr>
              <w:pStyle w:val="TableParagraph"/>
              <w:tabs>
                <w:tab w:pos="1449" w:val="left" w:leader="none"/>
              </w:tabs>
              <w:spacing w:line="206" w:lineRule="exact" w:before="0"/>
              <w:ind w:left="103"/>
              <w:rPr>
                <w:sz w:val="18"/>
              </w:rPr>
            </w:pPr>
            <w:r>
              <w:rPr>
                <w:sz w:val="18"/>
              </w:rPr>
              <w:t>Conocer</w:t>
              <w:tab/>
              <w:t>el</w:t>
            </w:r>
          </w:p>
          <w:p>
            <w:pPr>
              <w:pStyle w:val="TableParagraph"/>
              <w:tabs>
                <w:tab w:pos="1389" w:val="left" w:leader="none"/>
              </w:tabs>
              <w:spacing w:before="105"/>
              <w:ind w:left="103"/>
              <w:rPr>
                <w:sz w:val="18"/>
              </w:rPr>
            </w:pPr>
            <w:r>
              <w:rPr>
                <w:sz w:val="18"/>
              </w:rPr>
              <w:t>número</w:t>
              <w:tab/>
              <w:t>de</w:t>
            </w:r>
          </w:p>
          <w:p>
            <w:pPr>
              <w:pStyle w:val="TableParagraph"/>
              <w:tabs>
                <w:tab w:pos="1328" w:val="left" w:leader="none"/>
              </w:tabs>
              <w:spacing w:line="362" w:lineRule="auto" w:before="103"/>
              <w:ind w:left="103" w:right="100"/>
              <w:rPr>
                <w:sz w:val="18"/>
              </w:rPr>
            </w:pPr>
            <w:r>
              <w:rPr>
                <w:sz w:val="18"/>
              </w:rPr>
              <w:t>incendios</w:t>
              <w:tab/>
              <w:t>por causa por</w:t>
            </w:r>
            <w:r>
              <w:rPr>
                <w:spacing w:val="-5"/>
                <w:sz w:val="18"/>
              </w:rPr>
              <w:t> </w:t>
            </w:r>
            <w:r>
              <w:rPr>
                <w:sz w:val="18"/>
              </w:rPr>
              <w:t>año.</w:t>
            </w:r>
          </w:p>
        </w:tc>
        <w:tc>
          <w:tcPr>
            <w:tcW w:w="2552" w:type="dxa"/>
          </w:tcPr>
          <w:p>
            <w:pPr>
              <w:pStyle w:val="TableParagraph"/>
              <w:spacing w:line="362" w:lineRule="auto" w:before="0"/>
              <w:ind w:left="103"/>
              <w:rPr>
                <w:sz w:val="18"/>
              </w:rPr>
            </w:pPr>
            <w:r>
              <w:rPr>
                <w:sz w:val="18"/>
              </w:rPr>
              <w:t>A partir de la fórmula de causalidad</w:t>
            </w:r>
          </w:p>
          <w:p>
            <w:pPr>
              <w:pStyle w:val="TableParagraph"/>
              <w:spacing w:before="0"/>
              <w:ind w:left="101"/>
              <w:rPr>
                <w:sz w:val="20"/>
              </w:rPr>
            </w:pPr>
            <w:r>
              <w:rPr>
                <w:sz w:val="20"/>
              </w:rPr>
              <w:drawing>
                <wp:inline distT="0" distB="0" distL="0" distR="0">
                  <wp:extent cx="1117722" cy="538638"/>
                  <wp:effectExtent l="0" t="0" r="0" b="0"/>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3" cstate="print"/>
                          <a:stretch>
                            <a:fillRect/>
                          </a:stretch>
                        </pic:blipFill>
                        <pic:spPr>
                          <a:xfrm>
                            <a:off x="0" y="0"/>
                            <a:ext cx="1117722" cy="538638"/>
                          </a:xfrm>
                          <a:prstGeom prst="rect">
                            <a:avLst/>
                          </a:prstGeom>
                        </pic:spPr>
                      </pic:pic>
                    </a:graphicData>
                  </a:graphic>
                </wp:inline>
              </w:drawing>
            </w:r>
            <w:r>
              <w:rPr>
                <w:sz w:val="20"/>
              </w:rPr>
            </w:r>
          </w:p>
        </w:tc>
        <w:tc>
          <w:tcPr>
            <w:tcW w:w="2127" w:type="dxa"/>
          </w:tcPr>
          <w:p>
            <w:pPr>
              <w:pStyle w:val="TableParagraph"/>
              <w:tabs>
                <w:tab w:pos="1815" w:val="left" w:leader="none"/>
              </w:tabs>
              <w:spacing w:line="360" w:lineRule="auto" w:before="0"/>
              <w:ind w:left="103" w:right="100"/>
              <w:jc w:val="both"/>
              <w:rPr>
                <w:sz w:val="18"/>
              </w:rPr>
            </w:pPr>
            <w:r>
              <w:rPr>
                <w:sz w:val="18"/>
              </w:rPr>
              <w:t>Mapa de causalidad estadística</w:t>
              <w:tab/>
              <w:t>de incendios calculado a nivel</w:t>
            </w:r>
            <w:r>
              <w:rPr>
                <w:spacing w:val="-6"/>
                <w:sz w:val="18"/>
              </w:rPr>
              <w:t> </w:t>
            </w:r>
            <w:r>
              <w:rPr>
                <w:sz w:val="18"/>
              </w:rPr>
              <w:t>cuadrantes.</w:t>
            </w:r>
          </w:p>
        </w:tc>
      </w:tr>
      <w:tr>
        <w:trPr>
          <w:trHeight w:val="1872" w:hRule="exact"/>
        </w:trPr>
        <w:tc>
          <w:tcPr>
            <w:tcW w:w="2093" w:type="dxa"/>
          </w:tcPr>
          <w:p>
            <w:pPr>
              <w:pStyle w:val="TableParagraph"/>
              <w:tabs>
                <w:tab w:pos="823" w:val="left" w:leader="none"/>
              </w:tabs>
              <w:spacing w:line="360" w:lineRule="auto" w:before="0"/>
              <w:ind w:left="823" w:right="99" w:hanging="360"/>
              <w:rPr>
                <w:sz w:val="18"/>
              </w:rPr>
            </w:pPr>
            <w:r>
              <w:rPr>
                <w:sz w:val="18"/>
              </w:rPr>
              <w:t>4.</w:t>
              <w:tab/>
              <w:t>Combustible</w:t>
            </w:r>
            <w:r>
              <w:rPr>
                <w:spacing w:val="2"/>
                <w:sz w:val="18"/>
              </w:rPr>
              <w:t> </w:t>
            </w:r>
            <w:r>
              <w:rPr>
                <w:sz w:val="18"/>
              </w:rPr>
              <w:t>o</w:t>
            </w:r>
            <w:r>
              <w:rPr>
                <w:w w:val="99"/>
                <w:sz w:val="18"/>
              </w:rPr>
              <w:t> </w:t>
            </w:r>
            <w:r>
              <w:rPr>
                <w:sz w:val="18"/>
              </w:rPr>
              <w:t>biomasa</w:t>
            </w:r>
          </w:p>
        </w:tc>
        <w:tc>
          <w:tcPr>
            <w:tcW w:w="1702" w:type="dxa"/>
          </w:tcPr>
          <w:p>
            <w:pPr>
              <w:pStyle w:val="TableParagraph"/>
              <w:tabs>
                <w:tab w:pos="1361" w:val="left" w:leader="none"/>
              </w:tabs>
              <w:spacing w:line="360" w:lineRule="auto" w:before="0"/>
              <w:ind w:left="103" w:right="100"/>
              <w:rPr>
                <w:sz w:val="18"/>
              </w:rPr>
            </w:pPr>
            <w:r>
              <w:rPr>
                <w:sz w:val="18"/>
              </w:rPr>
              <w:t>Determinar</w:t>
              <w:tab/>
              <w:t>los combustibles presentes.</w:t>
            </w:r>
          </w:p>
        </w:tc>
        <w:tc>
          <w:tcPr>
            <w:tcW w:w="2552" w:type="dxa"/>
          </w:tcPr>
          <w:p>
            <w:pPr>
              <w:pStyle w:val="TableParagraph"/>
              <w:tabs>
                <w:tab w:pos="1366" w:val="left" w:leader="none"/>
                <w:tab w:pos="2247" w:val="left" w:leader="none"/>
              </w:tabs>
              <w:spacing w:line="360" w:lineRule="auto" w:before="0"/>
              <w:ind w:left="103" w:right="101"/>
              <w:jc w:val="both"/>
              <w:rPr>
                <w:sz w:val="18"/>
              </w:rPr>
            </w:pPr>
            <w:r>
              <w:rPr>
                <w:sz w:val="18"/>
              </w:rPr>
              <w:t>A partir de datos de campo propias y de CONAFOR donde se midió y clasificó el material combustible en función</w:t>
              <w:tab/>
              <w:t>de</w:t>
              <w:tab/>
              <w:t>su combustibilidad.</w:t>
            </w:r>
          </w:p>
        </w:tc>
        <w:tc>
          <w:tcPr>
            <w:tcW w:w="2127" w:type="dxa"/>
          </w:tcPr>
          <w:p>
            <w:pPr>
              <w:pStyle w:val="TableParagraph"/>
              <w:spacing w:line="360" w:lineRule="auto" w:before="0"/>
              <w:ind w:left="103" w:right="102"/>
              <w:jc w:val="both"/>
              <w:rPr>
                <w:sz w:val="18"/>
              </w:rPr>
            </w:pPr>
            <w:r>
              <w:rPr>
                <w:sz w:val="18"/>
              </w:rPr>
              <w:t>Mapa de peligrosidad de los combustibles calculado a nivel cuadrantes.</w:t>
            </w:r>
          </w:p>
        </w:tc>
      </w:tr>
      <w:tr>
        <w:trPr>
          <w:trHeight w:val="1875" w:hRule="exact"/>
        </w:trPr>
        <w:tc>
          <w:tcPr>
            <w:tcW w:w="2093" w:type="dxa"/>
          </w:tcPr>
          <w:p>
            <w:pPr>
              <w:pStyle w:val="TableParagraph"/>
              <w:tabs>
                <w:tab w:pos="823" w:val="left" w:leader="none"/>
              </w:tabs>
              <w:spacing w:line="206" w:lineRule="exact" w:before="0"/>
              <w:ind w:left="463" w:right="100"/>
              <w:rPr>
                <w:sz w:val="18"/>
              </w:rPr>
            </w:pPr>
            <w:r>
              <w:rPr>
                <w:sz w:val="18"/>
              </w:rPr>
              <w:t>5.</w:t>
              <w:tab/>
              <w:t>Pendiente</w:t>
            </w:r>
          </w:p>
        </w:tc>
        <w:tc>
          <w:tcPr>
            <w:tcW w:w="1702" w:type="dxa"/>
          </w:tcPr>
          <w:p>
            <w:pPr>
              <w:pStyle w:val="TableParagraph"/>
              <w:spacing w:line="362" w:lineRule="auto" w:before="0"/>
              <w:ind w:left="103" w:right="123"/>
              <w:rPr>
                <w:sz w:val="18"/>
              </w:rPr>
            </w:pPr>
            <w:r>
              <w:rPr>
                <w:sz w:val="18"/>
              </w:rPr>
              <w:t>Generar un mapa de pendientes</w:t>
            </w:r>
          </w:p>
        </w:tc>
        <w:tc>
          <w:tcPr>
            <w:tcW w:w="2552" w:type="dxa"/>
          </w:tcPr>
          <w:p>
            <w:pPr>
              <w:pStyle w:val="TableParagraph"/>
              <w:spacing w:line="360" w:lineRule="auto" w:before="0"/>
              <w:ind w:left="103" w:right="101"/>
              <w:jc w:val="both"/>
              <w:rPr>
                <w:sz w:val="18"/>
              </w:rPr>
            </w:pPr>
            <w:r>
              <w:rPr>
                <w:sz w:val="18"/>
              </w:rPr>
              <w:t>A partir de un modelo de elevación se obtuvo  un mapa de pendientes, se reclasificó de acuerdo con las categorías de la metodología.</w:t>
            </w:r>
          </w:p>
        </w:tc>
        <w:tc>
          <w:tcPr>
            <w:tcW w:w="2127" w:type="dxa"/>
          </w:tcPr>
          <w:p>
            <w:pPr>
              <w:pStyle w:val="TableParagraph"/>
              <w:spacing w:line="360" w:lineRule="auto" w:before="0"/>
              <w:ind w:left="103" w:right="101"/>
              <w:jc w:val="both"/>
              <w:rPr>
                <w:sz w:val="18"/>
              </w:rPr>
            </w:pPr>
            <w:r>
              <w:rPr>
                <w:sz w:val="18"/>
              </w:rPr>
              <w:t>Mapa de peligrosidad de la fisiografía calculado a nivel cuadrantes.</w:t>
            </w:r>
          </w:p>
        </w:tc>
      </w:tr>
      <w:tr>
        <w:trPr>
          <w:trHeight w:val="1250" w:hRule="exact"/>
        </w:trPr>
        <w:tc>
          <w:tcPr>
            <w:tcW w:w="2093" w:type="dxa"/>
          </w:tcPr>
          <w:p>
            <w:pPr>
              <w:pStyle w:val="TableParagraph"/>
              <w:tabs>
                <w:tab w:pos="823" w:val="left" w:leader="none"/>
              </w:tabs>
              <w:spacing w:line="360" w:lineRule="auto" w:before="0"/>
              <w:ind w:left="823" w:right="226" w:hanging="360"/>
              <w:rPr>
                <w:sz w:val="18"/>
              </w:rPr>
            </w:pPr>
            <w:r>
              <w:rPr>
                <w:sz w:val="18"/>
              </w:rPr>
              <w:t>6.</w:t>
              <w:tab/>
              <w:t>Precipitación y Temperatura</w:t>
            </w:r>
          </w:p>
        </w:tc>
        <w:tc>
          <w:tcPr>
            <w:tcW w:w="1702" w:type="dxa"/>
          </w:tcPr>
          <w:p>
            <w:pPr>
              <w:pStyle w:val="TableParagraph"/>
              <w:tabs>
                <w:tab w:pos="1360" w:val="left" w:leader="none"/>
              </w:tabs>
              <w:spacing w:line="206" w:lineRule="exact" w:before="0"/>
              <w:ind w:left="103"/>
              <w:rPr>
                <w:sz w:val="18"/>
              </w:rPr>
            </w:pPr>
            <w:r>
              <w:rPr>
                <w:sz w:val="18"/>
              </w:rPr>
              <w:t>Calcular</w:t>
              <w:tab/>
              <w:t>las</w:t>
            </w:r>
          </w:p>
          <w:p>
            <w:pPr>
              <w:pStyle w:val="TableParagraph"/>
              <w:tabs>
                <w:tab w:pos="1490" w:val="left" w:leader="none"/>
              </w:tabs>
              <w:spacing w:line="360" w:lineRule="auto" w:before="102"/>
              <w:ind w:left="103" w:right="100"/>
              <w:rPr>
                <w:sz w:val="18"/>
              </w:rPr>
            </w:pPr>
            <w:r>
              <w:rPr>
                <w:sz w:val="18"/>
              </w:rPr>
              <w:t>isoyetas</w:t>
              <w:tab/>
              <w:t>e isotermas</w:t>
            </w:r>
          </w:p>
        </w:tc>
        <w:tc>
          <w:tcPr>
            <w:tcW w:w="2552" w:type="dxa"/>
          </w:tcPr>
          <w:p>
            <w:pPr>
              <w:pStyle w:val="TableParagraph"/>
              <w:spacing w:line="360" w:lineRule="auto" w:before="0"/>
              <w:ind w:left="103" w:right="99"/>
              <w:jc w:val="both"/>
              <w:rPr>
                <w:sz w:val="18"/>
              </w:rPr>
            </w:pPr>
            <w:r>
              <w:rPr>
                <w:sz w:val="18"/>
              </w:rPr>
              <w:t>Con los datos de las normales climatológicas se realizó interpolación y se obtuvieron áreas climáticas.</w:t>
            </w:r>
          </w:p>
        </w:tc>
        <w:tc>
          <w:tcPr>
            <w:tcW w:w="2127" w:type="dxa"/>
          </w:tcPr>
          <w:p>
            <w:pPr>
              <w:pStyle w:val="TableParagraph"/>
              <w:spacing w:line="360" w:lineRule="auto" w:before="0"/>
              <w:ind w:left="103" w:right="100"/>
              <w:jc w:val="both"/>
              <w:rPr>
                <w:sz w:val="18"/>
              </w:rPr>
            </w:pPr>
            <w:r>
              <w:rPr>
                <w:sz w:val="18"/>
              </w:rPr>
              <w:t>Mapa de peligrosidad climática calculado a nivel cuadrantes</w:t>
            </w:r>
          </w:p>
        </w:tc>
      </w:tr>
    </w:tbl>
    <w:p>
      <w:pPr>
        <w:spacing w:after="0" w:line="360" w:lineRule="auto"/>
        <w:jc w:val="both"/>
        <w:rPr>
          <w:sz w:val="18"/>
        </w:rPr>
        <w:sectPr>
          <w:pgSz w:w="12240" w:h="15840"/>
          <w:pgMar w:header="0" w:footer="1003" w:top="1360" w:bottom="1200" w:left="1480" w:right="1580"/>
        </w:sectPr>
      </w:pPr>
    </w:p>
    <w:p>
      <w:pPr>
        <w:pStyle w:val="Heading1"/>
        <w:numPr>
          <w:ilvl w:val="1"/>
          <w:numId w:val="5"/>
        </w:numPr>
        <w:tabs>
          <w:tab w:pos="942" w:val="left" w:leader="none"/>
        </w:tabs>
        <w:spacing w:line="240" w:lineRule="auto" w:before="54" w:after="0"/>
        <w:ind w:left="942" w:right="0" w:hanging="360"/>
        <w:jc w:val="left"/>
      </w:pPr>
      <w:bookmarkStart w:name="_bookmark46" w:id="88"/>
      <w:bookmarkEnd w:id="88"/>
      <w:r>
        <w:rPr>
          <w:b w:val="0"/>
        </w:rPr>
      </w:r>
      <w:bookmarkStart w:name="_bookmark46" w:id="89"/>
      <w:bookmarkEnd w:id="89"/>
      <w:r>
        <w:rPr/>
        <w:t>M</w:t>
      </w:r>
      <w:r>
        <w:rPr/>
        <w:t>ateriales</w:t>
      </w:r>
    </w:p>
    <w:p>
      <w:pPr>
        <w:pStyle w:val="BodyText"/>
        <w:rPr>
          <w:b/>
        </w:rPr>
      </w:pPr>
    </w:p>
    <w:p>
      <w:pPr>
        <w:pStyle w:val="BodyText"/>
        <w:rPr>
          <w:b/>
        </w:rPr>
      </w:pPr>
    </w:p>
    <w:p>
      <w:pPr>
        <w:pStyle w:val="BodyText"/>
        <w:spacing w:line="276" w:lineRule="auto"/>
        <w:ind w:left="222" w:right="225"/>
      </w:pPr>
      <w:r>
        <w:rPr/>
        <w:t>Los materiales que se utilizaron para el presente trabajo se exponen en el cuadro 3.</w:t>
      </w:r>
    </w:p>
    <w:p>
      <w:pPr>
        <w:pStyle w:val="BodyText"/>
        <w:tabs>
          <w:tab w:pos="1227" w:val="left" w:leader="none"/>
          <w:tab w:pos="1645" w:val="left" w:leader="none"/>
          <w:tab w:pos="2764" w:val="left" w:leader="none"/>
          <w:tab w:pos="3100" w:val="left" w:leader="none"/>
          <w:tab w:pos="4429" w:val="left" w:leader="none"/>
          <w:tab w:pos="6021" w:val="left" w:leader="none"/>
          <w:tab w:pos="6719" w:val="left" w:leader="none"/>
          <w:tab w:pos="7122" w:val="left" w:leader="none"/>
          <w:tab w:pos="8389" w:val="left" w:leader="none"/>
          <w:tab w:pos="8873" w:val="left" w:leader="none"/>
        </w:tabs>
        <w:spacing w:before="197"/>
        <w:ind w:left="222" w:right="237"/>
      </w:pPr>
      <w:r>
        <w:rPr/>
        <w:t>Cuadro</w:t>
        <w:tab/>
        <w:t>3.</w:t>
        <w:tab/>
        <w:t>Insumos</w:t>
        <w:tab/>
        <w:t>y</w:t>
        <w:tab/>
        <w:t>materiales</w:t>
        <w:tab/>
        <w:t>cartográficos</w:t>
        <w:tab/>
        <w:t>para</w:t>
        <w:tab/>
        <w:t>el</w:t>
        <w:tab/>
        <w:t>desarrollo</w:t>
        <w:tab/>
        <w:t>de</w:t>
        <w:tab/>
        <w:t>la investigación.</w:t>
      </w: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1"/>
        <w:gridCol w:w="4695"/>
      </w:tblGrid>
      <w:tr>
        <w:trPr>
          <w:trHeight w:val="521" w:hRule="exact"/>
        </w:trPr>
        <w:tc>
          <w:tcPr>
            <w:tcW w:w="4361" w:type="dxa"/>
          </w:tcPr>
          <w:p>
            <w:pPr>
              <w:pStyle w:val="TableParagraph"/>
              <w:spacing w:line="204" w:lineRule="exact" w:before="0"/>
              <w:ind w:left="1568" w:right="1569"/>
              <w:jc w:val="center"/>
              <w:rPr>
                <w:b/>
                <w:sz w:val="18"/>
              </w:rPr>
            </w:pPr>
            <w:r>
              <w:rPr>
                <w:b/>
                <w:sz w:val="18"/>
              </w:rPr>
              <w:t>INSUMOS</w:t>
            </w:r>
          </w:p>
        </w:tc>
        <w:tc>
          <w:tcPr>
            <w:tcW w:w="4695" w:type="dxa"/>
          </w:tcPr>
          <w:p>
            <w:pPr>
              <w:pStyle w:val="TableParagraph"/>
              <w:spacing w:line="204" w:lineRule="exact" w:before="0"/>
              <w:ind w:right="1983"/>
              <w:jc w:val="right"/>
              <w:rPr>
                <w:b/>
                <w:sz w:val="18"/>
              </w:rPr>
            </w:pPr>
            <w:r>
              <w:rPr>
                <w:b/>
                <w:sz w:val="18"/>
              </w:rPr>
              <w:t>FUENTE</w:t>
            </w:r>
          </w:p>
        </w:tc>
      </w:tr>
      <w:tr>
        <w:trPr>
          <w:trHeight w:val="963" w:hRule="exact"/>
        </w:trPr>
        <w:tc>
          <w:tcPr>
            <w:tcW w:w="4361" w:type="dxa"/>
          </w:tcPr>
          <w:p>
            <w:pPr>
              <w:pStyle w:val="TableParagraph"/>
              <w:spacing w:line="360" w:lineRule="auto" w:before="0"/>
              <w:ind w:left="103" w:right="99"/>
              <w:jc w:val="both"/>
              <w:rPr>
                <w:sz w:val="18"/>
              </w:rPr>
            </w:pPr>
            <w:r>
              <w:rPr>
                <w:sz w:val="18"/>
              </w:rPr>
              <w:t>Información estadística de incendios forestales del Suelo de Conservación del Distrito Federal del año 1998 al 2013.</w:t>
            </w:r>
          </w:p>
        </w:tc>
        <w:tc>
          <w:tcPr>
            <w:tcW w:w="4695" w:type="dxa"/>
          </w:tcPr>
          <w:p>
            <w:pPr>
              <w:pStyle w:val="TableParagraph"/>
              <w:spacing w:line="362" w:lineRule="auto" w:before="0"/>
              <w:ind w:left="103" w:right="140"/>
              <w:rPr>
                <w:sz w:val="18"/>
              </w:rPr>
            </w:pPr>
            <w:hyperlink r:id="rId24">
              <w:r>
                <w:rPr>
                  <w:sz w:val="18"/>
                </w:rPr>
                <w:t>http://www.sma.df.gob.mx/corena/conservacion/notadia</w:t>
              </w:r>
            </w:hyperlink>
            <w:r>
              <w:rPr>
                <w:sz w:val="18"/>
              </w:rPr>
              <w:t> ria/</w:t>
            </w:r>
          </w:p>
        </w:tc>
      </w:tr>
      <w:tr>
        <w:trPr>
          <w:trHeight w:val="1452" w:hRule="exact"/>
        </w:trPr>
        <w:tc>
          <w:tcPr>
            <w:tcW w:w="4361" w:type="dxa"/>
          </w:tcPr>
          <w:p>
            <w:pPr>
              <w:pStyle w:val="TableParagraph"/>
              <w:spacing w:line="360" w:lineRule="auto" w:before="0"/>
              <w:ind w:left="103" w:right="100"/>
              <w:jc w:val="both"/>
              <w:rPr>
                <w:sz w:val="18"/>
              </w:rPr>
            </w:pPr>
            <w:r>
              <w:rPr>
                <w:sz w:val="18"/>
              </w:rPr>
              <w:t>Información estadística de normales climatológicas del periodo 1959-2010 de 62 estaciones siendo 44 de ellas del Distrito Federal, 15 del Estado de México y 3 del Estado de Morelos.</w:t>
            </w:r>
          </w:p>
        </w:tc>
        <w:tc>
          <w:tcPr>
            <w:tcW w:w="4695" w:type="dxa"/>
          </w:tcPr>
          <w:p>
            <w:pPr>
              <w:pStyle w:val="TableParagraph"/>
              <w:tabs>
                <w:tab w:pos="3701" w:val="left" w:leader="none"/>
              </w:tabs>
              <w:spacing w:line="360" w:lineRule="auto" w:before="0"/>
              <w:ind w:left="103" w:right="102"/>
              <w:jc w:val="both"/>
              <w:rPr>
                <w:sz w:val="18"/>
              </w:rPr>
            </w:pPr>
            <w:hyperlink r:id="rId25">
              <w:r>
                <w:rPr>
                  <w:sz w:val="18"/>
                </w:rPr>
                <w:t>http://smn.cna.gob.mx/index.php?option=com_content&amp;</w:t>
              </w:r>
            </w:hyperlink>
            <w:r>
              <w:rPr>
                <w:sz w:val="18"/>
              </w:rPr>
              <w:t> view=article&amp;id=42&amp;Itemid=75</w:t>
              <w:tab/>
            </w:r>
            <w:r>
              <w:rPr>
                <w:spacing w:val="-1"/>
                <w:sz w:val="18"/>
              </w:rPr>
              <w:t>Estaciones </w:t>
            </w:r>
            <w:r>
              <w:rPr>
                <w:sz w:val="18"/>
              </w:rPr>
              <w:t>meteorológicas automáticas Servicio Meteorológico Nacional (SMN), (2013).</w:t>
            </w:r>
            <w:r>
              <w:rPr>
                <w:spacing w:val="-16"/>
                <w:sz w:val="18"/>
              </w:rPr>
              <w:t> </w:t>
            </w:r>
            <w:hyperlink r:id="rId26">
              <w:r>
                <w:rPr>
                  <w:sz w:val="18"/>
                </w:rPr>
                <w:t>http://smn.cna.gob.mx/emas/</w:t>
              </w:r>
            </w:hyperlink>
          </w:p>
        </w:tc>
      </w:tr>
      <w:tr>
        <w:trPr>
          <w:trHeight w:val="1140" w:hRule="exact"/>
        </w:trPr>
        <w:tc>
          <w:tcPr>
            <w:tcW w:w="4361" w:type="dxa"/>
          </w:tcPr>
          <w:p>
            <w:pPr>
              <w:pStyle w:val="TableParagraph"/>
              <w:tabs>
                <w:tab w:pos="1093" w:val="left" w:leader="none"/>
                <w:tab w:pos="3679" w:val="left" w:leader="none"/>
              </w:tabs>
              <w:spacing w:line="360" w:lineRule="auto" w:before="0"/>
              <w:ind w:left="103" w:right="102"/>
              <w:rPr>
                <w:sz w:val="18"/>
              </w:rPr>
            </w:pPr>
            <w:r>
              <w:rPr>
                <w:sz w:val="18"/>
              </w:rPr>
              <w:t>Imágenes</w:t>
              <w:tab/>
              <w:t>de    satélite  </w:t>
            </w:r>
            <w:r>
              <w:rPr>
                <w:spacing w:val="42"/>
                <w:sz w:val="18"/>
              </w:rPr>
              <w:t> </w:t>
            </w:r>
            <w:r>
              <w:rPr>
                <w:sz w:val="18"/>
              </w:rPr>
              <w:t>con  </w:t>
            </w:r>
            <w:r>
              <w:rPr>
                <w:spacing w:val="46"/>
                <w:sz w:val="18"/>
              </w:rPr>
              <w:t> </w:t>
            </w:r>
            <w:r>
              <w:rPr>
                <w:sz w:val="18"/>
              </w:rPr>
              <w:t>sensores</w:t>
              <w:tab/>
            </w:r>
            <w:r>
              <w:rPr>
                <w:spacing w:val="-1"/>
                <w:sz w:val="18"/>
              </w:rPr>
              <w:t>ópticos </w:t>
            </w:r>
            <w:r>
              <w:rPr>
                <w:sz w:val="18"/>
              </w:rPr>
              <w:t>(Landsat) de los años 2011 y</w:t>
            </w:r>
            <w:r>
              <w:rPr>
                <w:spacing w:val="-10"/>
                <w:sz w:val="18"/>
              </w:rPr>
              <w:t> </w:t>
            </w:r>
            <w:r>
              <w:rPr>
                <w:sz w:val="18"/>
              </w:rPr>
              <w:t>2014.</w:t>
            </w:r>
          </w:p>
        </w:tc>
        <w:tc>
          <w:tcPr>
            <w:tcW w:w="4695" w:type="dxa"/>
          </w:tcPr>
          <w:p>
            <w:pPr>
              <w:pStyle w:val="TableParagraph"/>
              <w:tabs>
                <w:tab w:pos="1718" w:val="left" w:leader="none"/>
                <w:tab w:pos="4493" w:val="left" w:leader="none"/>
              </w:tabs>
              <w:spacing w:line="360" w:lineRule="auto" w:before="0"/>
              <w:ind w:left="103" w:right="101"/>
              <w:jc w:val="both"/>
              <w:rPr>
                <w:sz w:val="18"/>
              </w:rPr>
            </w:pPr>
            <w:r>
              <w:rPr>
                <w:sz w:val="18"/>
              </w:rPr>
              <w:t>Servicio Geológico de los Estados Unidos (USGS), (2013).</w:t>
              <w:tab/>
            </w:r>
            <w:hyperlink r:id="rId27">
              <w:r>
                <w:rPr>
                  <w:sz w:val="18"/>
                </w:rPr>
                <w:t>http://glovis.usgs.gov/</w:t>
              </w:r>
            </w:hyperlink>
            <w:r>
              <w:rPr>
                <w:sz w:val="18"/>
              </w:rPr>
              <w:tab/>
              <w:t>y </w:t>
            </w:r>
            <w:hyperlink r:id="rId28">
              <w:r>
                <w:rPr>
                  <w:sz w:val="18"/>
                </w:rPr>
                <w:t>http://earthexplorer.usgs.gov/</w:t>
              </w:r>
            </w:hyperlink>
          </w:p>
        </w:tc>
      </w:tr>
      <w:tr>
        <w:trPr>
          <w:trHeight w:val="1143" w:hRule="exact"/>
        </w:trPr>
        <w:tc>
          <w:tcPr>
            <w:tcW w:w="4361" w:type="dxa"/>
          </w:tcPr>
          <w:p>
            <w:pPr>
              <w:pStyle w:val="TableParagraph"/>
              <w:spacing w:line="360" w:lineRule="auto" w:before="1"/>
              <w:ind w:left="103" w:right="100"/>
              <w:jc w:val="both"/>
              <w:rPr>
                <w:sz w:val="18"/>
              </w:rPr>
            </w:pPr>
            <w:r>
              <w:rPr>
                <w:sz w:val="18"/>
              </w:rPr>
              <w:t>Cartografía temática digital, en formato shapefile escala 1:50 000 del Distrito Federal (Poblaciones, vialidades, uso de suelo y vegetación).</w:t>
            </w:r>
          </w:p>
        </w:tc>
        <w:tc>
          <w:tcPr>
            <w:tcW w:w="4695" w:type="dxa"/>
          </w:tcPr>
          <w:p>
            <w:pPr>
              <w:pStyle w:val="TableParagraph"/>
              <w:spacing w:line="360" w:lineRule="auto" w:before="1"/>
              <w:ind w:left="103" w:right="101"/>
              <w:jc w:val="both"/>
              <w:rPr>
                <w:sz w:val="18"/>
              </w:rPr>
            </w:pPr>
            <w:r>
              <w:rPr>
                <w:sz w:val="18"/>
              </w:rPr>
              <w:t>Instituto Nacional de Estadística y Geografía. (INEGI) </w:t>
            </w:r>
            <w:hyperlink r:id="rId29">
              <w:r>
                <w:rPr>
                  <w:sz w:val="18"/>
                </w:rPr>
                <w:t>http://www.inegi.org.mx/geo/contenidos/recnat/default.a</w:t>
              </w:r>
            </w:hyperlink>
            <w:r>
              <w:rPr>
                <w:sz w:val="18"/>
              </w:rPr>
              <w:t> spx, Año 2008.</w:t>
            </w:r>
          </w:p>
        </w:tc>
      </w:tr>
      <w:tr>
        <w:trPr>
          <w:trHeight w:val="521" w:hRule="exact"/>
        </w:trPr>
        <w:tc>
          <w:tcPr>
            <w:tcW w:w="4361" w:type="dxa"/>
          </w:tcPr>
          <w:p>
            <w:pPr>
              <w:pStyle w:val="TableParagraph"/>
              <w:spacing w:line="201" w:lineRule="exact" w:before="0"/>
              <w:ind w:left="1568" w:right="1572"/>
              <w:jc w:val="center"/>
              <w:rPr>
                <w:b/>
                <w:sz w:val="18"/>
              </w:rPr>
            </w:pPr>
            <w:r>
              <w:rPr>
                <w:b/>
                <w:sz w:val="18"/>
              </w:rPr>
              <w:t>MATERIALES</w:t>
            </w:r>
          </w:p>
        </w:tc>
        <w:tc>
          <w:tcPr>
            <w:tcW w:w="4695" w:type="dxa"/>
          </w:tcPr>
          <w:p>
            <w:pPr>
              <w:pStyle w:val="TableParagraph"/>
              <w:spacing w:line="201" w:lineRule="exact" w:before="0"/>
              <w:ind w:right="1983"/>
              <w:jc w:val="right"/>
              <w:rPr>
                <w:b/>
                <w:sz w:val="18"/>
              </w:rPr>
            </w:pPr>
            <w:r>
              <w:rPr>
                <w:b/>
                <w:sz w:val="18"/>
              </w:rPr>
              <w:t>FUENTE</w:t>
            </w:r>
          </w:p>
        </w:tc>
      </w:tr>
      <w:tr>
        <w:trPr>
          <w:trHeight w:val="650" w:hRule="exact"/>
        </w:trPr>
        <w:tc>
          <w:tcPr>
            <w:tcW w:w="4361" w:type="dxa"/>
          </w:tcPr>
          <w:p>
            <w:pPr>
              <w:pStyle w:val="TableParagraph"/>
              <w:spacing w:line="360" w:lineRule="auto" w:before="0"/>
              <w:ind w:left="103" w:right="102"/>
              <w:rPr>
                <w:sz w:val="18"/>
              </w:rPr>
            </w:pPr>
            <w:r>
              <w:rPr>
                <w:sz w:val="18"/>
              </w:rPr>
              <w:t>Software ArcMap 10.1 para procesar la información y realizar los mapas.</w:t>
            </w:r>
          </w:p>
        </w:tc>
        <w:tc>
          <w:tcPr>
            <w:tcW w:w="4695" w:type="dxa"/>
          </w:tcPr>
          <w:p>
            <w:pPr>
              <w:pStyle w:val="TableParagraph"/>
              <w:spacing w:line="206" w:lineRule="exact" w:before="0"/>
              <w:ind w:left="103" w:right="140"/>
              <w:rPr>
                <w:sz w:val="18"/>
              </w:rPr>
            </w:pPr>
            <w:r>
              <w:rPr>
                <w:sz w:val="18"/>
              </w:rPr>
              <w:t>ESRI, año 2012.</w:t>
            </w:r>
          </w:p>
        </w:tc>
      </w:tr>
      <w:tr>
        <w:trPr>
          <w:trHeight w:val="830" w:hRule="exact"/>
        </w:trPr>
        <w:tc>
          <w:tcPr>
            <w:tcW w:w="4361" w:type="dxa"/>
          </w:tcPr>
          <w:p>
            <w:pPr>
              <w:pStyle w:val="TableParagraph"/>
              <w:spacing w:line="362" w:lineRule="auto" w:before="0"/>
              <w:ind w:left="103" w:right="102"/>
              <w:rPr>
                <w:sz w:val="18"/>
              </w:rPr>
            </w:pPr>
            <w:r>
              <w:rPr>
                <w:sz w:val="18"/>
              </w:rPr>
              <w:t>Software Erdas imagine 2011 para el análisis de imágenes de satélite</w:t>
            </w:r>
          </w:p>
        </w:tc>
        <w:tc>
          <w:tcPr>
            <w:tcW w:w="4695" w:type="dxa"/>
          </w:tcPr>
          <w:p>
            <w:pPr>
              <w:pStyle w:val="TableParagraph"/>
              <w:spacing w:line="362" w:lineRule="auto" w:before="0"/>
              <w:ind w:left="103" w:right="140"/>
              <w:rPr>
                <w:sz w:val="18"/>
              </w:rPr>
            </w:pPr>
            <w:r>
              <w:rPr>
                <w:sz w:val="18"/>
              </w:rPr>
              <w:t>ERDAS empresa líder en el mercado de la información geoespacial, año 2011.</w:t>
            </w:r>
          </w:p>
        </w:tc>
      </w:tr>
      <w:tr>
        <w:trPr>
          <w:trHeight w:val="521" w:hRule="exact"/>
        </w:trPr>
        <w:tc>
          <w:tcPr>
            <w:tcW w:w="4361" w:type="dxa"/>
          </w:tcPr>
          <w:p>
            <w:pPr>
              <w:pStyle w:val="TableParagraph"/>
              <w:spacing w:before="1"/>
              <w:ind w:left="103" w:right="102"/>
              <w:rPr>
                <w:sz w:val="18"/>
              </w:rPr>
            </w:pPr>
            <w:r>
              <w:rPr>
                <w:sz w:val="18"/>
              </w:rPr>
              <w:t>Envi 5.1</w:t>
            </w:r>
          </w:p>
        </w:tc>
        <w:tc>
          <w:tcPr>
            <w:tcW w:w="4695" w:type="dxa"/>
          </w:tcPr>
          <w:p>
            <w:pPr>
              <w:pStyle w:val="TableParagraph"/>
              <w:spacing w:before="1"/>
              <w:ind w:left="103" w:right="140"/>
              <w:rPr>
                <w:sz w:val="18"/>
              </w:rPr>
            </w:pPr>
            <w:r>
              <w:rPr>
                <w:sz w:val="18"/>
              </w:rPr>
              <w:t>Exelis, año 2013.</w:t>
            </w:r>
          </w:p>
        </w:tc>
      </w:tr>
      <w:tr>
        <w:trPr>
          <w:trHeight w:val="521" w:hRule="exact"/>
        </w:trPr>
        <w:tc>
          <w:tcPr>
            <w:tcW w:w="4361" w:type="dxa"/>
          </w:tcPr>
          <w:p>
            <w:pPr>
              <w:pStyle w:val="TableParagraph"/>
              <w:spacing w:line="206" w:lineRule="exact" w:before="0"/>
              <w:ind w:left="103" w:right="102"/>
              <w:rPr>
                <w:sz w:val="18"/>
              </w:rPr>
            </w:pPr>
            <w:r>
              <w:rPr>
                <w:sz w:val="18"/>
              </w:rPr>
              <w:t>Excel para las bases de datos</w:t>
            </w:r>
          </w:p>
        </w:tc>
        <w:tc>
          <w:tcPr>
            <w:tcW w:w="4695" w:type="dxa"/>
          </w:tcPr>
          <w:p>
            <w:pPr>
              <w:pStyle w:val="TableParagraph"/>
              <w:spacing w:line="206" w:lineRule="exact" w:before="0"/>
              <w:ind w:left="103" w:right="140"/>
              <w:rPr>
                <w:sz w:val="18"/>
              </w:rPr>
            </w:pPr>
            <w:r>
              <w:rPr>
                <w:sz w:val="18"/>
              </w:rPr>
              <w:t>Microsoft Office, 2010.</w:t>
            </w:r>
          </w:p>
        </w:tc>
      </w:tr>
      <w:tr>
        <w:trPr>
          <w:trHeight w:val="521" w:hRule="exact"/>
        </w:trPr>
        <w:tc>
          <w:tcPr>
            <w:tcW w:w="4361" w:type="dxa"/>
          </w:tcPr>
          <w:p>
            <w:pPr>
              <w:pStyle w:val="TableParagraph"/>
              <w:spacing w:line="206" w:lineRule="exact" w:before="0"/>
              <w:ind w:left="103" w:right="102"/>
              <w:rPr>
                <w:sz w:val="18"/>
              </w:rPr>
            </w:pPr>
            <w:r>
              <w:rPr>
                <w:sz w:val="18"/>
              </w:rPr>
              <w:t>GPS  marca garmin etrex 10.</w:t>
            </w:r>
          </w:p>
        </w:tc>
        <w:tc>
          <w:tcPr>
            <w:tcW w:w="4695" w:type="dxa"/>
          </w:tcPr>
          <w:p>
            <w:pPr/>
          </w:p>
        </w:tc>
      </w:tr>
      <w:tr>
        <w:trPr>
          <w:trHeight w:val="1142" w:hRule="exact"/>
        </w:trPr>
        <w:tc>
          <w:tcPr>
            <w:tcW w:w="4361" w:type="dxa"/>
          </w:tcPr>
          <w:p>
            <w:pPr>
              <w:pStyle w:val="TableParagraph"/>
              <w:spacing w:line="206" w:lineRule="exact" w:before="0"/>
              <w:ind w:left="103" w:right="102"/>
              <w:rPr>
                <w:sz w:val="18"/>
              </w:rPr>
            </w:pPr>
            <w:r>
              <w:rPr>
                <w:sz w:val="18"/>
              </w:rPr>
              <w:t>Formatos de campo</w:t>
            </w:r>
          </w:p>
        </w:tc>
        <w:tc>
          <w:tcPr>
            <w:tcW w:w="4695" w:type="dxa"/>
          </w:tcPr>
          <w:p>
            <w:pPr>
              <w:pStyle w:val="TableParagraph"/>
              <w:spacing w:line="360" w:lineRule="auto" w:before="0"/>
              <w:ind w:left="103" w:right="105"/>
              <w:jc w:val="both"/>
              <w:rPr>
                <w:sz w:val="18"/>
              </w:rPr>
            </w:pPr>
            <w:r>
              <w:rPr>
                <w:sz w:val="18"/>
              </w:rPr>
              <w:t>Elaboración en base a los formatos del inventario nacional de la CONAFOR del apartado de variables de combustibles forestales</w:t>
            </w:r>
          </w:p>
        </w:tc>
      </w:tr>
    </w:tbl>
    <w:p>
      <w:pPr>
        <w:spacing w:after="0" w:line="360" w:lineRule="auto"/>
        <w:jc w:val="both"/>
        <w:rPr>
          <w:sz w:val="18"/>
        </w:rPr>
        <w:sectPr>
          <w:pgSz w:w="12240" w:h="15840"/>
          <w:pgMar w:header="0" w:footer="1003" w:top="1360" w:bottom="1200" w:left="1480" w:right="1460"/>
        </w:sectPr>
      </w:pPr>
    </w:p>
    <w:p>
      <w:pPr>
        <w:pStyle w:val="Heading1"/>
        <w:numPr>
          <w:ilvl w:val="1"/>
          <w:numId w:val="5"/>
        </w:numPr>
        <w:tabs>
          <w:tab w:pos="890" w:val="left" w:leader="none"/>
        </w:tabs>
        <w:spacing w:line="240" w:lineRule="auto" w:before="54" w:after="0"/>
        <w:ind w:left="889" w:right="0" w:hanging="427"/>
        <w:jc w:val="left"/>
      </w:pPr>
      <w:bookmarkStart w:name="_bookmark47" w:id="90"/>
      <w:bookmarkEnd w:id="90"/>
      <w:r>
        <w:rPr/>
        <w:t>M</w:t>
      </w:r>
      <w:r>
        <w:rPr/>
        <w:t>etodología</w:t>
      </w:r>
    </w:p>
    <w:p>
      <w:pPr>
        <w:pStyle w:val="BodyText"/>
        <w:rPr>
          <w:b/>
        </w:rPr>
      </w:pPr>
    </w:p>
    <w:p>
      <w:pPr>
        <w:pStyle w:val="BodyText"/>
        <w:spacing w:line="360" w:lineRule="auto" w:before="180"/>
        <w:ind w:left="102" w:right="125"/>
        <w:jc w:val="both"/>
      </w:pPr>
      <w:r>
        <w:rPr/>
        <w:t>El uso de sistemas de información geográfica (SIG) y la información generada a partir de las imágenes de satélite han sido de gran utilidad para el desarrollo de la cartografía de incendios a escala global, regional y local, logrando una mejor comprensión y predicción de los incendios forestales (Manzo, 2006).</w:t>
      </w:r>
    </w:p>
    <w:p>
      <w:pPr>
        <w:pStyle w:val="BodyText"/>
      </w:pPr>
    </w:p>
    <w:p>
      <w:pPr>
        <w:pStyle w:val="BodyText"/>
      </w:pPr>
    </w:p>
    <w:p>
      <w:pPr>
        <w:pStyle w:val="BodyText"/>
        <w:spacing w:before="11"/>
        <w:rPr>
          <w:sz w:val="22"/>
        </w:rPr>
      </w:pPr>
    </w:p>
    <w:p>
      <w:pPr>
        <w:pStyle w:val="Heading1"/>
        <w:numPr>
          <w:ilvl w:val="2"/>
          <w:numId w:val="5"/>
        </w:numPr>
        <w:tabs>
          <w:tab w:pos="1816" w:val="left" w:leader="none"/>
        </w:tabs>
        <w:spacing w:line="240" w:lineRule="auto" w:before="0" w:after="0"/>
        <w:ind w:left="1815" w:right="0" w:hanging="720"/>
        <w:jc w:val="left"/>
      </w:pPr>
      <w:bookmarkStart w:name="_bookmark48" w:id="91"/>
      <w:bookmarkEnd w:id="91"/>
      <w:r>
        <w:rPr>
          <w:b w:val="0"/>
        </w:rPr>
      </w:r>
      <w:bookmarkStart w:name="_bookmark48" w:id="92"/>
      <w:bookmarkEnd w:id="92"/>
      <w:r>
        <w:rPr/>
        <w:t>C</w:t>
      </w:r>
      <w:r>
        <w:rPr/>
        <w:t>álculo de las variables del mapa de</w:t>
      </w:r>
      <w:r>
        <w:rPr>
          <w:spacing w:val="-10"/>
        </w:rPr>
        <w:t> </w:t>
      </w:r>
      <w:r>
        <w:rPr/>
        <w:t>riesgo.</w:t>
      </w:r>
    </w:p>
    <w:p>
      <w:pPr>
        <w:pStyle w:val="BodyText"/>
        <w:spacing w:before="3"/>
        <w:rPr>
          <w:b/>
          <w:sz w:val="30"/>
        </w:rPr>
      </w:pPr>
    </w:p>
    <w:p>
      <w:pPr>
        <w:pStyle w:val="BodyText"/>
        <w:spacing w:line="360" w:lineRule="auto"/>
        <w:ind w:left="102" w:right="115"/>
        <w:jc w:val="both"/>
      </w:pPr>
      <w:r>
        <w:rPr/>
        <w:t>En este trabajo se siguió y adaptó la metodología propuesta por Copete </w:t>
      </w:r>
      <w:r>
        <w:rPr>
          <w:i/>
        </w:rPr>
        <w:t>et al</w:t>
      </w:r>
      <w:r>
        <w:rPr/>
        <w:t>., (2007). La adaptación se debió a que la metodología está hecha para ecosistemas mediterráneos y el área de estudio tiene ecosistemas templados. Se realizó una integración del análisis de riesgo estadístico y de la peligrosidad del medio de la zona de estudio, con la finalidad de identificar el riesgo de incendios forestales, es decir, cuáles son las áreas en las que es más probable que ocurra un incendio forestal.</w:t>
      </w:r>
    </w:p>
    <w:p>
      <w:pPr>
        <w:pStyle w:val="BodyText"/>
      </w:pPr>
    </w:p>
    <w:p>
      <w:pPr>
        <w:pStyle w:val="BodyText"/>
        <w:spacing w:line="360" w:lineRule="auto" w:before="142"/>
        <w:ind w:left="102" w:right="117"/>
        <w:jc w:val="both"/>
      </w:pPr>
      <w:r>
        <w:rPr/>
        <w:t>A continuación se muestra en la figura 2, un diagrama de flujo con los pasos a seguir para obtener el mapa de riesgo de incendios forestales.</w:t>
      </w:r>
    </w:p>
    <w:p>
      <w:pPr>
        <w:spacing w:after="0" w:line="360" w:lineRule="auto"/>
        <w:jc w:val="both"/>
        <w:sectPr>
          <w:pgSz w:w="12240" w:h="15840"/>
          <w:pgMar w:header="0" w:footer="1003" w:top="1360" w:bottom="1200" w:left="1600" w:right="1580"/>
        </w:sectPr>
      </w:pPr>
    </w:p>
    <w:p>
      <w:pPr>
        <w:pStyle w:val="BodyText"/>
        <w:spacing w:before="54"/>
        <w:ind w:left="102"/>
      </w:pPr>
      <w:r>
        <w:rPr/>
        <w:t>Figura 2: Diagrama de flujo de la metodología.</w:t>
      </w:r>
    </w:p>
    <w:p>
      <w:pPr>
        <w:pStyle w:val="BodyText"/>
        <w:spacing w:before="3"/>
        <w:rPr>
          <w:sz w:val="14"/>
        </w:rPr>
      </w:pPr>
      <w:r>
        <w:rPr/>
        <w:drawing>
          <wp:anchor distT="0" distB="0" distL="0" distR="0" allowOverlap="1" layoutInCell="1" locked="0" behindDoc="0" simplePos="0" relativeHeight="1192">
            <wp:simplePos x="0" y="0"/>
            <wp:positionH relativeFrom="page">
              <wp:posOffset>1080135</wp:posOffset>
            </wp:positionH>
            <wp:positionV relativeFrom="paragraph">
              <wp:posOffset>128994</wp:posOffset>
            </wp:positionV>
            <wp:extent cx="5736590" cy="7187183"/>
            <wp:effectExtent l="0" t="0" r="0" b="0"/>
            <wp:wrapTopAndBottom/>
            <wp:docPr id="15" name="image9.png" descr=""/>
            <wp:cNvGraphicFramePr>
              <a:graphicFrameLocks noChangeAspect="1"/>
            </wp:cNvGraphicFramePr>
            <a:graphic>
              <a:graphicData uri="http://schemas.openxmlformats.org/drawingml/2006/picture">
                <pic:pic>
                  <pic:nvPicPr>
                    <pic:cNvPr id="16" name="image9.png"/>
                    <pic:cNvPicPr/>
                  </pic:nvPicPr>
                  <pic:blipFill>
                    <a:blip r:embed="rId30" cstate="print"/>
                    <a:stretch>
                      <a:fillRect/>
                    </a:stretch>
                  </pic:blipFill>
                  <pic:spPr>
                    <a:xfrm>
                      <a:off x="0" y="0"/>
                      <a:ext cx="5736590" cy="7187183"/>
                    </a:xfrm>
                    <a:prstGeom prst="rect">
                      <a:avLst/>
                    </a:prstGeom>
                  </pic:spPr>
                </pic:pic>
              </a:graphicData>
            </a:graphic>
          </wp:anchor>
        </w:drawing>
      </w:r>
    </w:p>
    <w:p>
      <w:pPr>
        <w:pStyle w:val="BodyText"/>
      </w:pPr>
    </w:p>
    <w:p>
      <w:pPr>
        <w:pStyle w:val="BodyText"/>
        <w:spacing w:before="4"/>
        <w:rPr>
          <w:sz w:val="21"/>
        </w:rPr>
      </w:pPr>
    </w:p>
    <w:p>
      <w:pPr>
        <w:spacing w:before="0"/>
        <w:ind w:left="102" w:right="0" w:firstLine="0"/>
        <w:jc w:val="left"/>
        <w:rPr>
          <w:sz w:val="20"/>
        </w:rPr>
      </w:pPr>
      <w:r>
        <w:rPr>
          <w:sz w:val="20"/>
        </w:rPr>
        <w:t>Fuente: Adaptado de Copete </w:t>
      </w:r>
      <w:r>
        <w:rPr>
          <w:i/>
          <w:sz w:val="20"/>
        </w:rPr>
        <w:t>et al</w:t>
      </w:r>
      <w:r>
        <w:rPr>
          <w:sz w:val="20"/>
        </w:rPr>
        <w:t>., (2007).</w:t>
      </w:r>
    </w:p>
    <w:p>
      <w:pPr>
        <w:spacing w:after="0"/>
        <w:jc w:val="left"/>
        <w:rPr>
          <w:sz w:val="20"/>
        </w:rPr>
        <w:sectPr>
          <w:pgSz w:w="12240" w:h="15840"/>
          <w:pgMar w:header="0" w:footer="1003" w:top="1360" w:bottom="1200" w:left="1600" w:right="1400"/>
        </w:sectPr>
      </w:pPr>
    </w:p>
    <w:p>
      <w:pPr>
        <w:pStyle w:val="Heading1"/>
        <w:numPr>
          <w:ilvl w:val="0"/>
          <w:numId w:val="12"/>
        </w:numPr>
        <w:tabs>
          <w:tab w:pos="822" w:val="left" w:leader="none"/>
        </w:tabs>
        <w:spacing w:line="240" w:lineRule="auto" w:before="54" w:after="0"/>
        <w:ind w:left="822" w:right="0" w:hanging="360"/>
        <w:jc w:val="left"/>
      </w:pPr>
      <w:r>
        <w:rPr/>
        <w:t>Riesgo Estadístico</w:t>
      </w:r>
      <w:r>
        <w:rPr>
          <w:spacing w:val="-6"/>
        </w:rPr>
        <w:t> </w:t>
      </w:r>
      <w:r>
        <w:rPr/>
        <w:t>(RE).</w:t>
      </w:r>
    </w:p>
    <w:p>
      <w:pPr>
        <w:pStyle w:val="BodyText"/>
        <w:spacing w:before="4"/>
        <w:rPr>
          <w:b/>
          <w:sz w:val="29"/>
        </w:rPr>
      </w:pPr>
    </w:p>
    <w:p>
      <w:pPr>
        <w:pStyle w:val="BodyText"/>
        <w:spacing w:line="360" w:lineRule="auto" w:before="1"/>
        <w:ind w:left="102" w:right="118"/>
        <w:jc w:val="both"/>
      </w:pPr>
      <w:r>
        <w:rPr/>
        <w:t>El riesgo estadístico representa la probabilidad de que se produzca un incendio forestal, su gravedad y causas de origen (Copete </w:t>
      </w:r>
      <w:r>
        <w:rPr>
          <w:i/>
        </w:rPr>
        <w:t>et al</w:t>
      </w:r>
      <w:r>
        <w:rPr/>
        <w:t>., 2007). Para obtenerlo se calcularon los índices de frecuencia (F</w:t>
      </w:r>
      <w:r>
        <w:rPr>
          <w:position w:val="-2"/>
          <w:sz w:val="16"/>
        </w:rPr>
        <w:t>i</w:t>
      </w:r>
      <w:r>
        <w:rPr/>
        <w:t>), gravedad (I</w:t>
      </w:r>
      <w:r>
        <w:rPr>
          <w:position w:val="-2"/>
          <w:sz w:val="16"/>
        </w:rPr>
        <w:t>g</w:t>
      </w:r>
      <w:r>
        <w:rPr/>
        <w:t>) y causalidad (C</w:t>
      </w:r>
      <w:r>
        <w:rPr>
          <w:position w:val="-2"/>
          <w:sz w:val="16"/>
        </w:rPr>
        <w:t>i</w:t>
      </w:r>
      <w:r>
        <w:rPr/>
        <w:t>)</w:t>
      </w:r>
    </w:p>
    <w:p>
      <w:pPr>
        <w:pStyle w:val="BodyText"/>
        <w:spacing w:line="360" w:lineRule="auto" w:before="184"/>
        <w:ind w:left="102" w:right="119"/>
        <w:jc w:val="both"/>
      </w:pPr>
      <w:r>
        <w:rPr/>
        <w:t>Se utilizó información estadística de la base de datos de incendios forestales de la DGCORENA del periodo 1998-2012, misma que se encuentra a nivel cuadrante cuya superficie es de 100 hectáreas. A continuación se muestran los procedimientos que se llevaron a cabo para obtener los índices del riesgo estadístico.</w:t>
      </w:r>
    </w:p>
    <w:p>
      <w:pPr>
        <w:pStyle w:val="BodyText"/>
      </w:pPr>
    </w:p>
    <w:p>
      <w:pPr>
        <w:pStyle w:val="BodyText"/>
        <w:spacing w:before="7"/>
        <w:rPr>
          <w:sz w:val="29"/>
        </w:rPr>
      </w:pPr>
    </w:p>
    <w:p>
      <w:pPr>
        <w:pStyle w:val="Heading1"/>
        <w:numPr>
          <w:ilvl w:val="1"/>
          <w:numId w:val="12"/>
        </w:numPr>
        <w:tabs>
          <w:tab w:pos="822" w:val="left" w:leader="none"/>
        </w:tabs>
        <w:spacing w:line="240" w:lineRule="auto" w:before="0" w:after="0"/>
        <w:ind w:left="822" w:right="0" w:hanging="360"/>
        <w:jc w:val="left"/>
        <w:rPr>
          <w:b w:val="0"/>
        </w:rPr>
      </w:pPr>
      <w:r>
        <w:rPr/>
        <w:t>Índice de frecuencia de</w:t>
      </w:r>
      <w:r>
        <w:rPr>
          <w:spacing w:val="-8"/>
        </w:rPr>
        <w:t> </w:t>
      </w:r>
      <w:r>
        <w:rPr/>
        <w:t>incendios</w:t>
      </w:r>
      <w:r>
        <w:rPr>
          <w:b w:val="0"/>
        </w:rPr>
        <w:t>:</w:t>
      </w:r>
    </w:p>
    <w:p>
      <w:pPr>
        <w:pStyle w:val="BodyText"/>
        <w:spacing w:before="4"/>
        <w:rPr>
          <w:sz w:val="29"/>
        </w:rPr>
      </w:pPr>
    </w:p>
    <w:p>
      <w:pPr>
        <w:pStyle w:val="BodyText"/>
        <w:spacing w:line="360" w:lineRule="auto" w:before="1"/>
        <w:ind w:left="102" w:right="115"/>
        <w:jc w:val="both"/>
      </w:pPr>
      <w:r>
        <w:rPr/>
        <w:t>Expresa la frecuencia media anual de incendios, a nivel cuadrante y es un indicador de probabilidad de que ocurra un incendio forestal, en el ámbito de cada cuadrante. Toma en cuenta el número de años del periodo 1998-2012 y el número de incendios de cada año de la serie, referidos a la superficie de cada cuadrante, de acuerdo a la fórmula siguiente:</w:t>
      </w:r>
    </w:p>
    <w:p>
      <w:pPr>
        <w:spacing w:after="0" w:line="360" w:lineRule="auto"/>
        <w:jc w:val="both"/>
        <w:sectPr>
          <w:pgSz w:w="12240" w:h="15840"/>
          <w:pgMar w:header="0" w:footer="1003" w:top="1360" w:bottom="1200" w:left="1600" w:right="1580"/>
        </w:sectPr>
      </w:pPr>
    </w:p>
    <w:p>
      <w:pPr>
        <w:pStyle w:val="BodyText"/>
      </w:pPr>
    </w:p>
    <w:p>
      <w:pPr>
        <w:pStyle w:val="BodyText"/>
      </w:pPr>
    </w:p>
    <w:p>
      <w:pPr>
        <w:pStyle w:val="BodyText"/>
      </w:pPr>
    </w:p>
    <w:p>
      <w:pPr>
        <w:pStyle w:val="BodyText"/>
        <w:spacing w:before="159"/>
        <w:ind w:left="102" w:right="-19"/>
      </w:pPr>
      <w:r>
        <w:rPr/>
        <w:t>Donde:</w:t>
      </w:r>
    </w:p>
    <w:p>
      <w:pPr>
        <w:pStyle w:val="BodyText"/>
        <w:spacing w:before="1"/>
        <w:rPr>
          <w:sz w:val="14"/>
        </w:rPr>
      </w:pPr>
      <w:r>
        <w:rPr/>
        <w:br w:type="column"/>
      </w:r>
      <w:r>
        <w:rPr>
          <w:sz w:val="14"/>
        </w:rPr>
      </w:r>
    </w:p>
    <w:p>
      <w:pPr>
        <w:spacing w:before="0"/>
        <w:ind w:left="205" w:right="0" w:firstLine="0"/>
        <w:jc w:val="left"/>
        <w:rPr>
          <w:rFonts w:ascii="Cambria Math"/>
          <w:sz w:val="17"/>
        </w:rPr>
      </w:pPr>
      <w:r>
        <w:rPr>
          <w:rFonts w:ascii="Cambria Math"/>
          <w:w w:val="284"/>
          <w:sz w:val="17"/>
        </w:rPr>
        <w:t> </w:t>
      </w:r>
    </w:p>
    <w:p>
      <w:pPr>
        <w:pStyle w:val="BodyText"/>
        <w:spacing w:before="91"/>
        <w:ind w:left="102"/>
        <w:rPr>
          <w:rFonts w:ascii="Cambria Math" w:hAnsi="Cambria Math"/>
        </w:rPr>
      </w:pPr>
      <w:r>
        <w:rPr/>
        <w:pict>
          <v:line style="position:absolute;mso-position-horizontal-relative:page;mso-position-vertical-relative:paragraph;z-index:1216" from="299.809998pt,12.532349pt" to="306.769998pt,12.532349pt" stroked="true" strokeweight=".84pt" strokecolor="#000000">
            <w10:wrap type="none"/>
          </v:line>
        </w:pict>
      </w:r>
      <w:r>
        <w:rPr>
          <w:rFonts w:ascii="Cambria Math" w:hAnsi="Cambria Math"/>
          <w:w w:val="185"/>
        </w:rPr>
        <w:t>∑</w:t>
      </w:r>
      <w:r>
        <w:rPr>
          <w:rFonts w:ascii="Cambria Math" w:hAnsi="Cambria Math"/>
        </w:rPr>
        <w:t> </w:t>
      </w:r>
      <w:r>
        <w:rPr>
          <w:rFonts w:ascii="Cambria Math" w:hAnsi="Cambria Math"/>
          <w:w w:val="202"/>
        </w:rPr>
        <w:t>  </w:t>
      </w:r>
    </w:p>
    <w:p>
      <w:pPr>
        <w:spacing w:before="92"/>
        <w:ind w:left="212" w:right="0" w:firstLine="0"/>
        <w:jc w:val="left"/>
        <w:rPr>
          <w:rFonts w:ascii="Cambria Math"/>
          <w:sz w:val="17"/>
        </w:rPr>
      </w:pPr>
      <w:r>
        <w:rPr>
          <w:rFonts w:ascii="Cambria Math"/>
          <w:w w:val="263"/>
          <w:sz w:val="17"/>
        </w:rPr>
        <w:t> </w:t>
      </w:r>
    </w:p>
    <w:p>
      <w:pPr>
        <w:spacing w:after="0"/>
        <w:jc w:val="left"/>
        <w:rPr>
          <w:rFonts w:ascii="Cambria Math"/>
          <w:sz w:val="17"/>
        </w:rPr>
        <w:sectPr>
          <w:type w:val="continuous"/>
          <w:pgSz w:w="12240" w:h="15840"/>
          <w:pgMar w:top="1280" w:bottom="280" w:left="1600" w:right="1580"/>
          <w:cols w:num="2" w:equalWidth="0">
            <w:col w:w="877" w:space="3597"/>
            <w:col w:w="4586"/>
          </w:cols>
        </w:sectPr>
      </w:pPr>
    </w:p>
    <w:p>
      <w:pPr>
        <w:pStyle w:val="BodyText"/>
        <w:spacing w:before="6"/>
        <w:rPr>
          <w:rFonts w:ascii="Cambria Math"/>
          <w:sz w:val="22"/>
        </w:rPr>
      </w:pPr>
    </w:p>
    <w:p>
      <w:pPr>
        <w:pStyle w:val="BodyText"/>
        <w:spacing w:line="283" w:lineRule="exact" w:before="69"/>
        <w:ind w:left="102"/>
      </w:pPr>
      <w:r>
        <w:rPr>
          <w:i/>
        </w:rPr>
        <w:t>F</w:t>
      </w:r>
      <w:r>
        <w:rPr>
          <w:i/>
          <w:position w:val="-2"/>
          <w:sz w:val="16"/>
        </w:rPr>
        <w:t>i </w:t>
      </w:r>
      <w:r>
        <w:rPr>
          <w:i/>
        </w:rPr>
        <w:t>= </w:t>
      </w:r>
      <w:r>
        <w:rPr/>
        <w:t>Frecuencia de incendios</w:t>
      </w:r>
    </w:p>
    <w:p>
      <w:pPr>
        <w:pStyle w:val="BodyText"/>
        <w:spacing w:line="269" w:lineRule="exact"/>
        <w:ind w:left="102"/>
      </w:pPr>
      <w:r>
        <w:rPr>
          <w:i/>
        </w:rPr>
        <w:t>a = </w:t>
      </w:r>
      <w:r>
        <w:rPr/>
        <w:t>Número de años de la serie de datos utilizada que es de 15 años.</w:t>
      </w:r>
    </w:p>
    <w:p>
      <w:pPr>
        <w:pStyle w:val="BodyText"/>
        <w:spacing w:line="278" w:lineRule="exact" w:before="2"/>
        <w:ind w:left="668" w:hanging="567"/>
      </w:pPr>
      <w:r>
        <w:rPr>
          <w:i/>
        </w:rPr>
        <w:t>n</w:t>
      </w:r>
      <w:r>
        <w:rPr>
          <w:i/>
          <w:position w:val="-2"/>
          <w:sz w:val="16"/>
        </w:rPr>
        <w:t>i </w:t>
      </w:r>
      <w:r>
        <w:rPr>
          <w:i/>
        </w:rPr>
        <w:t>= </w:t>
      </w:r>
      <w:r>
        <w:rPr/>
        <w:t>Número de incendios en cada año de la serie referidos a la superficie de los cuadrantes que es de 100 hectáreas.</w:t>
      </w:r>
    </w:p>
    <w:p>
      <w:pPr>
        <w:pStyle w:val="BodyText"/>
        <w:spacing w:before="9"/>
        <w:rPr>
          <w:sz w:val="23"/>
        </w:rPr>
      </w:pPr>
    </w:p>
    <w:p>
      <w:pPr>
        <w:pStyle w:val="BodyText"/>
        <w:spacing w:line="360" w:lineRule="auto" w:before="1"/>
        <w:ind w:left="102" w:right="431"/>
      </w:pPr>
      <w:r>
        <w:rPr/>
        <w:t>Los resultados se clasificaron en seis categorías de frecuencia, tal como se muestra en el cuadro 4:</w:t>
      </w:r>
    </w:p>
    <w:p>
      <w:pPr>
        <w:spacing w:after="0" w:line="360" w:lineRule="auto"/>
        <w:sectPr>
          <w:type w:val="continuous"/>
          <w:pgSz w:w="12240" w:h="15840"/>
          <w:pgMar w:top="1280" w:bottom="280" w:left="1600" w:right="1580"/>
        </w:sectPr>
      </w:pPr>
    </w:p>
    <w:p>
      <w:pPr>
        <w:pStyle w:val="BodyText"/>
        <w:spacing w:before="54"/>
        <w:ind w:left="102"/>
      </w:pPr>
      <w:r>
        <w:rPr/>
        <w:t>Cuadro 4: Clasificación del índice de frecuencia</w:t>
      </w:r>
    </w:p>
    <w:p>
      <w:pPr>
        <w:pStyle w:val="BodyText"/>
        <w:spacing w:before="3"/>
        <w:rPr>
          <w:sz w:val="12"/>
        </w:rPr>
      </w:pPr>
    </w:p>
    <w:tbl>
      <w:tblPr>
        <w:tblW w:w="0" w:type="auto"/>
        <w:jc w:val="left"/>
        <w:tblInd w:w="1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5"/>
        <w:gridCol w:w="2837"/>
        <w:gridCol w:w="1274"/>
      </w:tblGrid>
      <w:tr>
        <w:trPr>
          <w:trHeight w:val="216" w:hRule="exact"/>
        </w:trPr>
        <w:tc>
          <w:tcPr>
            <w:tcW w:w="1525" w:type="dxa"/>
          </w:tcPr>
          <w:p>
            <w:pPr>
              <w:pStyle w:val="TableParagraph"/>
              <w:spacing w:line="201" w:lineRule="exact" w:before="0"/>
              <w:ind w:left="262" w:right="262"/>
              <w:jc w:val="center"/>
              <w:rPr>
                <w:b/>
                <w:sz w:val="18"/>
              </w:rPr>
            </w:pPr>
            <w:r>
              <w:rPr>
                <w:b/>
                <w:sz w:val="18"/>
              </w:rPr>
              <w:t>Frecuencia</w:t>
            </w:r>
          </w:p>
        </w:tc>
        <w:tc>
          <w:tcPr>
            <w:tcW w:w="2837" w:type="dxa"/>
          </w:tcPr>
          <w:p>
            <w:pPr>
              <w:pStyle w:val="TableParagraph"/>
              <w:spacing w:line="208" w:lineRule="exact" w:before="0"/>
              <w:ind w:left="371" w:right="371"/>
              <w:jc w:val="center"/>
              <w:rPr>
                <w:b/>
                <w:sz w:val="18"/>
              </w:rPr>
            </w:pPr>
            <w:r>
              <w:rPr>
                <w:b/>
                <w:position w:val="2"/>
                <w:sz w:val="18"/>
              </w:rPr>
              <w:t>Índice de frecuencia (F</w:t>
            </w:r>
            <w:r>
              <w:rPr>
                <w:b/>
                <w:sz w:val="12"/>
              </w:rPr>
              <w:t>i</w:t>
            </w:r>
            <w:r>
              <w:rPr>
                <w:b/>
                <w:position w:val="2"/>
                <w:sz w:val="18"/>
              </w:rPr>
              <w:t>)</w:t>
            </w:r>
          </w:p>
        </w:tc>
        <w:tc>
          <w:tcPr>
            <w:tcW w:w="1274" w:type="dxa"/>
          </w:tcPr>
          <w:p>
            <w:pPr>
              <w:pStyle w:val="TableParagraph"/>
              <w:spacing w:line="201" w:lineRule="exact" w:before="0"/>
              <w:ind w:left="206" w:right="207"/>
              <w:jc w:val="center"/>
              <w:rPr>
                <w:b/>
                <w:sz w:val="18"/>
              </w:rPr>
            </w:pPr>
            <w:r>
              <w:rPr>
                <w:b/>
                <w:sz w:val="18"/>
              </w:rPr>
              <w:t>Indicador</w:t>
            </w:r>
          </w:p>
        </w:tc>
      </w:tr>
      <w:tr>
        <w:trPr>
          <w:trHeight w:val="218" w:hRule="exact"/>
        </w:trPr>
        <w:tc>
          <w:tcPr>
            <w:tcW w:w="1525" w:type="dxa"/>
          </w:tcPr>
          <w:p>
            <w:pPr>
              <w:pStyle w:val="TableParagraph"/>
              <w:spacing w:line="206" w:lineRule="exact" w:before="0"/>
              <w:ind w:left="262" w:right="262"/>
              <w:jc w:val="center"/>
              <w:rPr>
                <w:sz w:val="18"/>
              </w:rPr>
            </w:pPr>
            <w:r>
              <w:rPr>
                <w:sz w:val="18"/>
              </w:rPr>
              <w:t>Muy baja</w:t>
            </w:r>
          </w:p>
        </w:tc>
        <w:tc>
          <w:tcPr>
            <w:tcW w:w="2837" w:type="dxa"/>
          </w:tcPr>
          <w:p>
            <w:pPr>
              <w:pStyle w:val="TableParagraph"/>
              <w:spacing w:line="206" w:lineRule="exact" w:before="0"/>
              <w:ind w:left="370" w:right="371"/>
              <w:jc w:val="center"/>
              <w:rPr>
                <w:sz w:val="18"/>
              </w:rPr>
            </w:pPr>
            <w:r>
              <w:rPr>
                <w:sz w:val="18"/>
              </w:rPr>
              <w:t>&lt;0.50</w:t>
            </w:r>
          </w:p>
        </w:tc>
        <w:tc>
          <w:tcPr>
            <w:tcW w:w="1274" w:type="dxa"/>
          </w:tcPr>
          <w:p>
            <w:pPr>
              <w:pStyle w:val="TableParagraph"/>
              <w:spacing w:line="206" w:lineRule="exact" w:before="0"/>
              <w:ind w:right="1"/>
              <w:jc w:val="center"/>
              <w:rPr>
                <w:sz w:val="18"/>
              </w:rPr>
            </w:pPr>
            <w:r>
              <w:rPr>
                <w:w w:val="99"/>
                <w:sz w:val="18"/>
              </w:rPr>
              <w:t>1</w:t>
            </w:r>
          </w:p>
        </w:tc>
      </w:tr>
      <w:tr>
        <w:trPr>
          <w:trHeight w:val="216" w:hRule="exact"/>
        </w:trPr>
        <w:tc>
          <w:tcPr>
            <w:tcW w:w="1525" w:type="dxa"/>
          </w:tcPr>
          <w:p>
            <w:pPr>
              <w:pStyle w:val="TableParagraph"/>
              <w:spacing w:line="206" w:lineRule="exact" w:before="0"/>
              <w:ind w:left="261" w:right="262"/>
              <w:jc w:val="center"/>
              <w:rPr>
                <w:sz w:val="18"/>
              </w:rPr>
            </w:pPr>
            <w:r>
              <w:rPr>
                <w:sz w:val="18"/>
              </w:rPr>
              <w:t>Baja</w:t>
            </w:r>
          </w:p>
        </w:tc>
        <w:tc>
          <w:tcPr>
            <w:tcW w:w="2837" w:type="dxa"/>
          </w:tcPr>
          <w:p>
            <w:pPr>
              <w:pStyle w:val="TableParagraph"/>
              <w:spacing w:line="206" w:lineRule="exact" w:before="0"/>
              <w:ind w:left="370" w:right="371"/>
              <w:jc w:val="center"/>
              <w:rPr>
                <w:sz w:val="18"/>
              </w:rPr>
            </w:pPr>
            <w:r>
              <w:rPr>
                <w:sz w:val="18"/>
              </w:rPr>
              <w:t>0.50-0.99</w:t>
            </w:r>
          </w:p>
        </w:tc>
        <w:tc>
          <w:tcPr>
            <w:tcW w:w="1274" w:type="dxa"/>
          </w:tcPr>
          <w:p>
            <w:pPr>
              <w:pStyle w:val="TableParagraph"/>
              <w:spacing w:line="206" w:lineRule="exact" w:before="0"/>
              <w:ind w:right="1"/>
              <w:jc w:val="center"/>
              <w:rPr>
                <w:sz w:val="18"/>
              </w:rPr>
            </w:pPr>
            <w:r>
              <w:rPr>
                <w:w w:val="99"/>
                <w:sz w:val="18"/>
              </w:rPr>
              <w:t>2</w:t>
            </w:r>
          </w:p>
        </w:tc>
      </w:tr>
      <w:tr>
        <w:trPr>
          <w:trHeight w:val="218" w:hRule="exact"/>
        </w:trPr>
        <w:tc>
          <w:tcPr>
            <w:tcW w:w="1525" w:type="dxa"/>
          </w:tcPr>
          <w:p>
            <w:pPr>
              <w:pStyle w:val="TableParagraph"/>
              <w:spacing w:line="206" w:lineRule="exact" w:before="0"/>
              <w:ind w:left="260" w:right="262"/>
              <w:jc w:val="center"/>
              <w:rPr>
                <w:sz w:val="18"/>
              </w:rPr>
            </w:pPr>
            <w:r>
              <w:rPr>
                <w:sz w:val="18"/>
              </w:rPr>
              <w:t>Moderada</w:t>
            </w:r>
          </w:p>
        </w:tc>
        <w:tc>
          <w:tcPr>
            <w:tcW w:w="2837" w:type="dxa"/>
          </w:tcPr>
          <w:p>
            <w:pPr>
              <w:pStyle w:val="TableParagraph"/>
              <w:spacing w:line="206" w:lineRule="exact" w:before="0"/>
              <w:ind w:left="370" w:right="371"/>
              <w:jc w:val="center"/>
              <w:rPr>
                <w:sz w:val="18"/>
              </w:rPr>
            </w:pPr>
            <w:r>
              <w:rPr>
                <w:sz w:val="18"/>
              </w:rPr>
              <w:t>1.00-1.59</w:t>
            </w:r>
          </w:p>
        </w:tc>
        <w:tc>
          <w:tcPr>
            <w:tcW w:w="1274" w:type="dxa"/>
          </w:tcPr>
          <w:p>
            <w:pPr>
              <w:pStyle w:val="TableParagraph"/>
              <w:spacing w:line="206" w:lineRule="exact" w:before="0"/>
              <w:ind w:right="1"/>
              <w:jc w:val="center"/>
              <w:rPr>
                <w:sz w:val="18"/>
              </w:rPr>
            </w:pPr>
            <w:r>
              <w:rPr>
                <w:w w:val="99"/>
                <w:sz w:val="18"/>
              </w:rPr>
              <w:t>3</w:t>
            </w:r>
          </w:p>
        </w:tc>
      </w:tr>
      <w:tr>
        <w:trPr>
          <w:trHeight w:val="216" w:hRule="exact"/>
        </w:trPr>
        <w:tc>
          <w:tcPr>
            <w:tcW w:w="1525" w:type="dxa"/>
          </w:tcPr>
          <w:p>
            <w:pPr>
              <w:pStyle w:val="TableParagraph"/>
              <w:spacing w:line="206" w:lineRule="exact" w:before="0"/>
              <w:ind w:left="262" w:right="262"/>
              <w:jc w:val="center"/>
              <w:rPr>
                <w:sz w:val="18"/>
              </w:rPr>
            </w:pPr>
            <w:r>
              <w:rPr>
                <w:sz w:val="18"/>
              </w:rPr>
              <w:t>Alta</w:t>
            </w:r>
          </w:p>
        </w:tc>
        <w:tc>
          <w:tcPr>
            <w:tcW w:w="2837" w:type="dxa"/>
          </w:tcPr>
          <w:p>
            <w:pPr>
              <w:pStyle w:val="TableParagraph"/>
              <w:spacing w:line="206" w:lineRule="exact" w:before="0"/>
              <w:ind w:left="370" w:right="371"/>
              <w:jc w:val="center"/>
              <w:rPr>
                <w:sz w:val="18"/>
              </w:rPr>
            </w:pPr>
            <w:r>
              <w:rPr>
                <w:sz w:val="18"/>
              </w:rPr>
              <w:t>1.60-2.29</w:t>
            </w:r>
          </w:p>
        </w:tc>
        <w:tc>
          <w:tcPr>
            <w:tcW w:w="1274" w:type="dxa"/>
          </w:tcPr>
          <w:p>
            <w:pPr>
              <w:pStyle w:val="TableParagraph"/>
              <w:spacing w:line="206" w:lineRule="exact" w:before="0"/>
              <w:ind w:right="1"/>
              <w:jc w:val="center"/>
              <w:rPr>
                <w:sz w:val="18"/>
              </w:rPr>
            </w:pPr>
            <w:r>
              <w:rPr>
                <w:w w:val="99"/>
                <w:sz w:val="18"/>
              </w:rPr>
              <w:t>4</w:t>
            </w:r>
          </w:p>
        </w:tc>
      </w:tr>
      <w:tr>
        <w:trPr>
          <w:trHeight w:val="216" w:hRule="exact"/>
        </w:trPr>
        <w:tc>
          <w:tcPr>
            <w:tcW w:w="1525" w:type="dxa"/>
          </w:tcPr>
          <w:p>
            <w:pPr>
              <w:pStyle w:val="TableParagraph"/>
              <w:spacing w:line="206" w:lineRule="exact" w:before="0"/>
              <w:ind w:left="260" w:right="262"/>
              <w:jc w:val="center"/>
              <w:rPr>
                <w:sz w:val="18"/>
              </w:rPr>
            </w:pPr>
            <w:r>
              <w:rPr>
                <w:sz w:val="18"/>
              </w:rPr>
              <w:t>Grave</w:t>
            </w:r>
          </w:p>
        </w:tc>
        <w:tc>
          <w:tcPr>
            <w:tcW w:w="2837" w:type="dxa"/>
          </w:tcPr>
          <w:p>
            <w:pPr>
              <w:pStyle w:val="TableParagraph"/>
              <w:spacing w:line="206" w:lineRule="exact" w:before="0"/>
              <w:ind w:left="370" w:right="371"/>
              <w:jc w:val="center"/>
              <w:rPr>
                <w:sz w:val="18"/>
              </w:rPr>
            </w:pPr>
            <w:r>
              <w:rPr>
                <w:sz w:val="18"/>
              </w:rPr>
              <w:t>2.30-3.99</w:t>
            </w:r>
          </w:p>
        </w:tc>
        <w:tc>
          <w:tcPr>
            <w:tcW w:w="1274" w:type="dxa"/>
          </w:tcPr>
          <w:p>
            <w:pPr>
              <w:pStyle w:val="TableParagraph"/>
              <w:spacing w:line="206" w:lineRule="exact" w:before="0"/>
              <w:ind w:right="1"/>
              <w:jc w:val="center"/>
              <w:rPr>
                <w:sz w:val="18"/>
              </w:rPr>
            </w:pPr>
            <w:r>
              <w:rPr>
                <w:w w:val="99"/>
                <w:sz w:val="18"/>
              </w:rPr>
              <w:t>5</w:t>
            </w:r>
          </w:p>
        </w:tc>
      </w:tr>
      <w:tr>
        <w:trPr>
          <w:trHeight w:val="218" w:hRule="exact"/>
        </w:trPr>
        <w:tc>
          <w:tcPr>
            <w:tcW w:w="1525" w:type="dxa"/>
          </w:tcPr>
          <w:p>
            <w:pPr>
              <w:pStyle w:val="TableParagraph"/>
              <w:spacing w:before="1"/>
              <w:ind w:left="262" w:right="262"/>
              <w:jc w:val="center"/>
              <w:rPr>
                <w:sz w:val="18"/>
              </w:rPr>
            </w:pPr>
            <w:r>
              <w:rPr>
                <w:sz w:val="18"/>
              </w:rPr>
              <w:t>Extrema</w:t>
            </w:r>
          </w:p>
        </w:tc>
        <w:tc>
          <w:tcPr>
            <w:tcW w:w="2837" w:type="dxa"/>
          </w:tcPr>
          <w:p>
            <w:pPr>
              <w:pStyle w:val="TableParagraph"/>
              <w:spacing w:before="1"/>
              <w:ind w:left="370" w:right="371"/>
              <w:jc w:val="center"/>
              <w:rPr>
                <w:sz w:val="18"/>
              </w:rPr>
            </w:pPr>
            <w:r>
              <w:rPr>
                <w:sz w:val="18"/>
              </w:rPr>
              <w:t>≥4.00</w:t>
            </w:r>
          </w:p>
        </w:tc>
        <w:tc>
          <w:tcPr>
            <w:tcW w:w="1274" w:type="dxa"/>
          </w:tcPr>
          <w:p>
            <w:pPr>
              <w:pStyle w:val="TableParagraph"/>
              <w:spacing w:before="1"/>
              <w:ind w:right="1"/>
              <w:jc w:val="center"/>
              <w:rPr>
                <w:sz w:val="18"/>
              </w:rPr>
            </w:pPr>
            <w:r>
              <w:rPr>
                <w:w w:val="99"/>
                <w:sz w:val="18"/>
              </w:rPr>
              <w:t>6</w:t>
            </w:r>
          </w:p>
        </w:tc>
      </w:tr>
    </w:tbl>
    <w:p>
      <w:pPr>
        <w:pStyle w:val="BodyText"/>
        <w:rPr>
          <w:sz w:val="20"/>
        </w:rPr>
      </w:pPr>
    </w:p>
    <w:p>
      <w:pPr>
        <w:pStyle w:val="BodyText"/>
        <w:rPr>
          <w:sz w:val="20"/>
        </w:rPr>
      </w:pPr>
    </w:p>
    <w:p>
      <w:pPr>
        <w:pStyle w:val="BodyText"/>
        <w:spacing w:before="9"/>
        <w:rPr>
          <w:sz w:val="25"/>
        </w:rPr>
      </w:pPr>
    </w:p>
    <w:p>
      <w:pPr>
        <w:pStyle w:val="Heading1"/>
        <w:numPr>
          <w:ilvl w:val="1"/>
          <w:numId w:val="12"/>
        </w:numPr>
        <w:tabs>
          <w:tab w:pos="822" w:val="left" w:leader="none"/>
        </w:tabs>
        <w:spacing w:line="240" w:lineRule="auto" w:before="69" w:after="0"/>
        <w:ind w:left="822" w:right="0" w:hanging="360"/>
        <w:jc w:val="left"/>
        <w:rPr>
          <w:b w:val="0"/>
        </w:rPr>
      </w:pPr>
      <w:r>
        <w:rPr/>
        <w:t>Índice de gravedad de</w:t>
      </w:r>
      <w:r>
        <w:rPr>
          <w:spacing w:val="-6"/>
        </w:rPr>
        <w:t> </w:t>
      </w:r>
      <w:r>
        <w:rPr/>
        <w:t>incendios</w:t>
      </w:r>
      <w:r>
        <w:rPr>
          <w:b w:val="0"/>
        </w:rPr>
        <w:t>:</w:t>
      </w:r>
    </w:p>
    <w:p>
      <w:pPr>
        <w:pStyle w:val="BodyText"/>
        <w:spacing w:before="5"/>
        <w:rPr>
          <w:sz w:val="29"/>
        </w:rPr>
      </w:pPr>
    </w:p>
    <w:p>
      <w:pPr>
        <w:pStyle w:val="BodyText"/>
        <w:spacing w:line="360" w:lineRule="auto"/>
        <w:ind w:left="102" w:right="116"/>
        <w:jc w:val="both"/>
      </w:pPr>
      <w:r>
        <w:rPr/>
        <w:t>Representa el porcentaje anual de la superficie forestal quemada, en relación a la superficie forestal existente a nivel cuadrante. Se obtiene mediante la siguiente fórmula:</w:t>
      </w:r>
    </w:p>
    <w:p>
      <w:pPr>
        <w:pStyle w:val="BodyText"/>
        <w:spacing w:before="5"/>
        <w:rPr>
          <w:sz w:val="14"/>
        </w:rPr>
      </w:pPr>
      <w:r>
        <w:rPr/>
        <w:drawing>
          <wp:anchor distT="0" distB="0" distL="0" distR="0" allowOverlap="1" layoutInCell="1" locked="0" behindDoc="0" simplePos="0" relativeHeight="1240">
            <wp:simplePos x="0" y="0"/>
            <wp:positionH relativeFrom="page">
              <wp:posOffset>3212338</wp:posOffset>
            </wp:positionH>
            <wp:positionV relativeFrom="paragraph">
              <wp:posOffset>130351</wp:posOffset>
            </wp:positionV>
            <wp:extent cx="1204903" cy="458914"/>
            <wp:effectExtent l="0" t="0" r="0" b="0"/>
            <wp:wrapTopAndBottom/>
            <wp:docPr id="17" name="image7.png" descr=""/>
            <wp:cNvGraphicFramePr>
              <a:graphicFrameLocks noChangeAspect="1"/>
            </wp:cNvGraphicFramePr>
            <a:graphic>
              <a:graphicData uri="http://schemas.openxmlformats.org/drawingml/2006/picture">
                <pic:pic>
                  <pic:nvPicPr>
                    <pic:cNvPr id="18" name="image7.png"/>
                    <pic:cNvPicPr/>
                  </pic:nvPicPr>
                  <pic:blipFill>
                    <a:blip r:embed="rId22" cstate="print"/>
                    <a:stretch>
                      <a:fillRect/>
                    </a:stretch>
                  </pic:blipFill>
                  <pic:spPr>
                    <a:xfrm>
                      <a:off x="0" y="0"/>
                      <a:ext cx="1204903" cy="458914"/>
                    </a:xfrm>
                    <a:prstGeom prst="rect">
                      <a:avLst/>
                    </a:prstGeom>
                  </pic:spPr>
                </pic:pic>
              </a:graphicData>
            </a:graphic>
          </wp:anchor>
        </w:drawing>
      </w:r>
    </w:p>
    <w:p>
      <w:pPr>
        <w:pStyle w:val="BodyText"/>
        <w:ind w:left="102"/>
        <w:jc w:val="both"/>
      </w:pPr>
      <w:r>
        <w:rPr/>
        <w:t>Donde:</w:t>
      </w:r>
    </w:p>
    <w:p>
      <w:pPr>
        <w:pStyle w:val="BodyText"/>
      </w:pPr>
    </w:p>
    <w:p>
      <w:pPr>
        <w:pStyle w:val="BodyText"/>
        <w:ind w:left="102"/>
        <w:jc w:val="both"/>
      </w:pPr>
      <w:r>
        <w:rPr/>
        <w:t>a = Número de años de la serie de datos utilizada</w:t>
      </w:r>
    </w:p>
    <w:p>
      <w:pPr>
        <w:pStyle w:val="BodyText"/>
        <w:spacing w:line="276" w:lineRule="exact" w:before="4"/>
        <w:ind w:left="102" w:right="708"/>
      </w:pPr>
      <w:r>
        <w:rPr/>
        <w:t>S</w:t>
      </w:r>
      <w:r>
        <w:rPr>
          <w:position w:val="-2"/>
          <w:sz w:val="16"/>
        </w:rPr>
        <w:t>FQi </w:t>
      </w:r>
      <w:r>
        <w:rPr/>
        <w:t>= Superficie forestal quemada en el periodo (arbolada más no arbolada) S</w:t>
      </w:r>
      <w:r>
        <w:rPr>
          <w:position w:val="-2"/>
          <w:sz w:val="16"/>
        </w:rPr>
        <w:t>FT   </w:t>
      </w:r>
      <w:r>
        <w:rPr/>
        <w:t>= Superficie forestal total del cuadrante de 100 hectáreas.</w:t>
      </w:r>
    </w:p>
    <w:p>
      <w:pPr>
        <w:pStyle w:val="BodyText"/>
        <w:spacing w:before="7"/>
        <w:rPr>
          <w:sz w:val="23"/>
        </w:rPr>
      </w:pPr>
    </w:p>
    <w:p>
      <w:pPr>
        <w:pStyle w:val="BodyText"/>
        <w:spacing w:line="480" w:lineRule="auto" w:after="12"/>
        <w:ind w:left="102" w:right="1986"/>
      </w:pPr>
      <w:r>
        <w:rPr/>
        <w:t>Los resultados se representan en rangos de acuerdo al cuadro 5: Cuadro 5. Clasificación del índice de gravedad.</w:t>
      </w:r>
    </w:p>
    <w:tbl>
      <w:tblPr>
        <w:tblW w:w="0" w:type="auto"/>
        <w:jc w:val="left"/>
        <w:tblInd w:w="1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2835"/>
        <w:gridCol w:w="1275"/>
      </w:tblGrid>
      <w:tr>
        <w:trPr>
          <w:trHeight w:val="216" w:hRule="exact"/>
        </w:trPr>
        <w:tc>
          <w:tcPr>
            <w:tcW w:w="1527" w:type="dxa"/>
          </w:tcPr>
          <w:p>
            <w:pPr>
              <w:pStyle w:val="TableParagraph"/>
              <w:spacing w:line="201" w:lineRule="exact" w:before="0"/>
              <w:ind w:left="255" w:right="259"/>
              <w:jc w:val="center"/>
              <w:rPr>
                <w:b/>
                <w:sz w:val="18"/>
              </w:rPr>
            </w:pPr>
            <w:r>
              <w:rPr>
                <w:b/>
                <w:sz w:val="18"/>
              </w:rPr>
              <w:t>Gravedad</w:t>
            </w:r>
          </w:p>
        </w:tc>
        <w:tc>
          <w:tcPr>
            <w:tcW w:w="2835" w:type="dxa"/>
          </w:tcPr>
          <w:p>
            <w:pPr>
              <w:pStyle w:val="TableParagraph"/>
              <w:spacing w:line="208" w:lineRule="exact" w:before="0"/>
              <w:ind w:left="209" w:right="211"/>
              <w:jc w:val="center"/>
              <w:rPr>
                <w:b/>
                <w:sz w:val="18"/>
              </w:rPr>
            </w:pPr>
            <w:r>
              <w:rPr>
                <w:b/>
                <w:position w:val="2"/>
                <w:sz w:val="18"/>
              </w:rPr>
              <w:t>Índice de gravedad (I</w:t>
            </w:r>
            <w:r>
              <w:rPr>
                <w:b/>
                <w:sz w:val="12"/>
              </w:rPr>
              <w:t>g</w:t>
            </w:r>
            <w:r>
              <w:rPr>
                <w:b/>
                <w:position w:val="2"/>
                <w:sz w:val="18"/>
              </w:rPr>
              <w:t>)</w:t>
            </w:r>
          </w:p>
        </w:tc>
        <w:tc>
          <w:tcPr>
            <w:tcW w:w="1275" w:type="dxa"/>
          </w:tcPr>
          <w:p>
            <w:pPr>
              <w:pStyle w:val="TableParagraph"/>
              <w:spacing w:line="201" w:lineRule="exact" w:before="0"/>
              <w:ind w:left="207" w:right="207"/>
              <w:jc w:val="center"/>
              <w:rPr>
                <w:b/>
                <w:sz w:val="18"/>
              </w:rPr>
            </w:pPr>
            <w:r>
              <w:rPr>
                <w:b/>
                <w:sz w:val="18"/>
              </w:rPr>
              <w:t>Indicador</w:t>
            </w:r>
          </w:p>
        </w:tc>
      </w:tr>
      <w:tr>
        <w:trPr>
          <w:trHeight w:val="218" w:hRule="exact"/>
        </w:trPr>
        <w:tc>
          <w:tcPr>
            <w:tcW w:w="1527" w:type="dxa"/>
          </w:tcPr>
          <w:p>
            <w:pPr>
              <w:pStyle w:val="TableParagraph"/>
              <w:spacing w:line="206" w:lineRule="exact" w:before="0"/>
              <w:ind w:left="257" w:right="259"/>
              <w:jc w:val="center"/>
              <w:rPr>
                <w:sz w:val="18"/>
              </w:rPr>
            </w:pPr>
            <w:r>
              <w:rPr>
                <w:sz w:val="18"/>
              </w:rPr>
              <w:t>Muy baja</w:t>
            </w:r>
          </w:p>
        </w:tc>
        <w:tc>
          <w:tcPr>
            <w:tcW w:w="2835" w:type="dxa"/>
          </w:tcPr>
          <w:p>
            <w:pPr>
              <w:pStyle w:val="TableParagraph"/>
              <w:spacing w:line="206" w:lineRule="exact" w:before="0"/>
              <w:ind w:left="209" w:right="213"/>
              <w:jc w:val="center"/>
              <w:rPr>
                <w:sz w:val="18"/>
              </w:rPr>
            </w:pPr>
            <w:r>
              <w:rPr>
                <w:sz w:val="18"/>
              </w:rPr>
              <w:t>&lt;0.010</w:t>
            </w:r>
          </w:p>
        </w:tc>
        <w:tc>
          <w:tcPr>
            <w:tcW w:w="1275" w:type="dxa"/>
          </w:tcPr>
          <w:p>
            <w:pPr>
              <w:pStyle w:val="TableParagraph"/>
              <w:spacing w:line="206" w:lineRule="exact" w:before="0"/>
              <w:ind w:left="1"/>
              <w:jc w:val="center"/>
              <w:rPr>
                <w:sz w:val="18"/>
              </w:rPr>
            </w:pPr>
            <w:r>
              <w:rPr>
                <w:w w:val="99"/>
                <w:sz w:val="18"/>
              </w:rPr>
              <w:t>1</w:t>
            </w:r>
          </w:p>
        </w:tc>
      </w:tr>
      <w:tr>
        <w:trPr>
          <w:trHeight w:val="216" w:hRule="exact"/>
        </w:trPr>
        <w:tc>
          <w:tcPr>
            <w:tcW w:w="1527" w:type="dxa"/>
          </w:tcPr>
          <w:p>
            <w:pPr>
              <w:pStyle w:val="TableParagraph"/>
              <w:spacing w:line="206" w:lineRule="exact" w:before="0"/>
              <w:ind w:left="257" w:right="257"/>
              <w:jc w:val="center"/>
              <w:rPr>
                <w:sz w:val="18"/>
              </w:rPr>
            </w:pPr>
            <w:r>
              <w:rPr>
                <w:sz w:val="18"/>
              </w:rPr>
              <w:t>Baja</w:t>
            </w:r>
          </w:p>
        </w:tc>
        <w:tc>
          <w:tcPr>
            <w:tcW w:w="2835" w:type="dxa"/>
          </w:tcPr>
          <w:p>
            <w:pPr>
              <w:pStyle w:val="TableParagraph"/>
              <w:spacing w:line="206" w:lineRule="exact" w:before="0"/>
              <w:ind w:left="209" w:right="213"/>
              <w:jc w:val="center"/>
              <w:rPr>
                <w:sz w:val="18"/>
              </w:rPr>
            </w:pPr>
            <w:r>
              <w:rPr>
                <w:sz w:val="18"/>
              </w:rPr>
              <w:t>0.010-0.029</w:t>
            </w:r>
          </w:p>
        </w:tc>
        <w:tc>
          <w:tcPr>
            <w:tcW w:w="1275" w:type="dxa"/>
          </w:tcPr>
          <w:p>
            <w:pPr>
              <w:pStyle w:val="TableParagraph"/>
              <w:spacing w:line="206" w:lineRule="exact" w:before="0"/>
              <w:ind w:left="1"/>
              <w:jc w:val="center"/>
              <w:rPr>
                <w:sz w:val="18"/>
              </w:rPr>
            </w:pPr>
            <w:r>
              <w:rPr>
                <w:w w:val="99"/>
                <w:sz w:val="18"/>
              </w:rPr>
              <w:t>2</w:t>
            </w:r>
          </w:p>
        </w:tc>
      </w:tr>
      <w:tr>
        <w:trPr>
          <w:trHeight w:val="218" w:hRule="exact"/>
        </w:trPr>
        <w:tc>
          <w:tcPr>
            <w:tcW w:w="1527" w:type="dxa"/>
          </w:tcPr>
          <w:p>
            <w:pPr>
              <w:pStyle w:val="TableParagraph"/>
              <w:spacing w:line="206" w:lineRule="exact" w:before="0"/>
              <w:ind w:left="254" w:right="259"/>
              <w:jc w:val="center"/>
              <w:rPr>
                <w:sz w:val="18"/>
              </w:rPr>
            </w:pPr>
            <w:r>
              <w:rPr>
                <w:sz w:val="18"/>
              </w:rPr>
              <w:t>Moderada</w:t>
            </w:r>
          </w:p>
        </w:tc>
        <w:tc>
          <w:tcPr>
            <w:tcW w:w="2835" w:type="dxa"/>
          </w:tcPr>
          <w:p>
            <w:pPr>
              <w:pStyle w:val="TableParagraph"/>
              <w:spacing w:line="206" w:lineRule="exact" w:before="0"/>
              <w:ind w:left="209" w:right="213"/>
              <w:jc w:val="center"/>
              <w:rPr>
                <w:sz w:val="18"/>
              </w:rPr>
            </w:pPr>
            <w:r>
              <w:rPr>
                <w:sz w:val="18"/>
              </w:rPr>
              <w:t>0.030-0.074</w:t>
            </w:r>
          </w:p>
        </w:tc>
        <w:tc>
          <w:tcPr>
            <w:tcW w:w="1275" w:type="dxa"/>
          </w:tcPr>
          <w:p>
            <w:pPr>
              <w:pStyle w:val="TableParagraph"/>
              <w:spacing w:line="206" w:lineRule="exact" w:before="0"/>
              <w:ind w:left="1"/>
              <w:jc w:val="center"/>
              <w:rPr>
                <w:sz w:val="18"/>
              </w:rPr>
            </w:pPr>
            <w:r>
              <w:rPr>
                <w:w w:val="99"/>
                <w:sz w:val="18"/>
              </w:rPr>
              <w:t>3</w:t>
            </w:r>
          </w:p>
        </w:tc>
      </w:tr>
      <w:tr>
        <w:trPr>
          <w:trHeight w:val="216" w:hRule="exact"/>
        </w:trPr>
        <w:tc>
          <w:tcPr>
            <w:tcW w:w="1527" w:type="dxa"/>
          </w:tcPr>
          <w:p>
            <w:pPr>
              <w:pStyle w:val="TableParagraph"/>
              <w:spacing w:line="206" w:lineRule="exact" w:before="0"/>
              <w:ind w:left="257" w:right="257"/>
              <w:jc w:val="center"/>
              <w:rPr>
                <w:sz w:val="18"/>
              </w:rPr>
            </w:pPr>
            <w:r>
              <w:rPr>
                <w:sz w:val="18"/>
              </w:rPr>
              <w:t>Alta</w:t>
            </w:r>
          </w:p>
        </w:tc>
        <w:tc>
          <w:tcPr>
            <w:tcW w:w="2835" w:type="dxa"/>
          </w:tcPr>
          <w:p>
            <w:pPr>
              <w:pStyle w:val="TableParagraph"/>
              <w:spacing w:line="206" w:lineRule="exact" w:before="0"/>
              <w:ind w:left="209" w:right="213"/>
              <w:jc w:val="center"/>
              <w:rPr>
                <w:sz w:val="18"/>
              </w:rPr>
            </w:pPr>
            <w:r>
              <w:rPr>
                <w:sz w:val="18"/>
              </w:rPr>
              <w:t>0.075-0.249</w:t>
            </w:r>
          </w:p>
        </w:tc>
        <w:tc>
          <w:tcPr>
            <w:tcW w:w="1275" w:type="dxa"/>
          </w:tcPr>
          <w:p>
            <w:pPr>
              <w:pStyle w:val="TableParagraph"/>
              <w:spacing w:line="206" w:lineRule="exact" w:before="0"/>
              <w:ind w:left="1"/>
              <w:jc w:val="center"/>
              <w:rPr>
                <w:sz w:val="18"/>
              </w:rPr>
            </w:pPr>
            <w:r>
              <w:rPr>
                <w:w w:val="99"/>
                <w:sz w:val="18"/>
              </w:rPr>
              <w:t>4</w:t>
            </w:r>
          </w:p>
        </w:tc>
      </w:tr>
      <w:tr>
        <w:trPr>
          <w:trHeight w:val="216" w:hRule="exact"/>
        </w:trPr>
        <w:tc>
          <w:tcPr>
            <w:tcW w:w="1527" w:type="dxa"/>
          </w:tcPr>
          <w:p>
            <w:pPr>
              <w:pStyle w:val="TableParagraph"/>
              <w:spacing w:line="206" w:lineRule="exact" w:before="0"/>
              <w:ind w:left="256" w:right="259"/>
              <w:jc w:val="center"/>
              <w:rPr>
                <w:sz w:val="18"/>
              </w:rPr>
            </w:pPr>
            <w:r>
              <w:rPr>
                <w:sz w:val="18"/>
              </w:rPr>
              <w:t>Grave</w:t>
            </w:r>
          </w:p>
        </w:tc>
        <w:tc>
          <w:tcPr>
            <w:tcW w:w="2835" w:type="dxa"/>
          </w:tcPr>
          <w:p>
            <w:pPr>
              <w:pStyle w:val="TableParagraph"/>
              <w:spacing w:line="206" w:lineRule="exact" w:before="0"/>
              <w:ind w:left="209" w:right="213"/>
              <w:jc w:val="center"/>
              <w:rPr>
                <w:sz w:val="18"/>
              </w:rPr>
            </w:pPr>
            <w:r>
              <w:rPr>
                <w:sz w:val="18"/>
              </w:rPr>
              <w:t>0.250-0.749</w:t>
            </w:r>
          </w:p>
        </w:tc>
        <w:tc>
          <w:tcPr>
            <w:tcW w:w="1275" w:type="dxa"/>
          </w:tcPr>
          <w:p>
            <w:pPr>
              <w:pStyle w:val="TableParagraph"/>
              <w:spacing w:line="206" w:lineRule="exact" w:before="0"/>
              <w:ind w:left="1"/>
              <w:jc w:val="center"/>
              <w:rPr>
                <w:sz w:val="18"/>
              </w:rPr>
            </w:pPr>
            <w:r>
              <w:rPr>
                <w:w w:val="99"/>
                <w:sz w:val="18"/>
              </w:rPr>
              <w:t>5</w:t>
            </w:r>
          </w:p>
        </w:tc>
      </w:tr>
      <w:tr>
        <w:trPr>
          <w:trHeight w:val="218" w:hRule="exact"/>
        </w:trPr>
        <w:tc>
          <w:tcPr>
            <w:tcW w:w="1527" w:type="dxa"/>
          </w:tcPr>
          <w:p>
            <w:pPr>
              <w:pStyle w:val="TableParagraph"/>
              <w:spacing w:before="1"/>
              <w:ind w:left="257" w:right="258"/>
              <w:jc w:val="center"/>
              <w:rPr>
                <w:sz w:val="18"/>
              </w:rPr>
            </w:pPr>
            <w:r>
              <w:rPr>
                <w:sz w:val="18"/>
              </w:rPr>
              <w:t>Extrema</w:t>
            </w:r>
          </w:p>
        </w:tc>
        <w:tc>
          <w:tcPr>
            <w:tcW w:w="2835" w:type="dxa"/>
          </w:tcPr>
          <w:p>
            <w:pPr>
              <w:pStyle w:val="TableParagraph"/>
              <w:spacing w:before="1"/>
              <w:ind w:left="209" w:right="210"/>
              <w:jc w:val="center"/>
              <w:rPr>
                <w:sz w:val="18"/>
              </w:rPr>
            </w:pPr>
            <w:r>
              <w:rPr>
                <w:sz w:val="18"/>
              </w:rPr>
              <w:t>≥0.75</w:t>
            </w:r>
          </w:p>
        </w:tc>
        <w:tc>
          <w:tcPr>
            <w:tcW w:w="1275" w:type="dxa"/>
          </w:tcPr>
          <w:p>
            <w:pPr>
              <w:pStyle w:val="TableParagraph"/>
              <w:spacing w:before="1"/>
              <w:ind w:left="1"/>
              <w:jc w:val="center"/>
              <w:rPr>
                <w:sz w:val="18"/>
              </w:rPr>
            </w:pPr>
            <w:r>
              <w:rPr>
                <w:w w:val="99"/>
                <w:sz w:val="18"/>
              </w:rPr>
              <w:t>6</w:t>
            </w:r>
          </w:p>
        </w:tc>
      </w:tr>
    </w:tbl>
    <w:p>
      <w:pPr>
        <w:pStyle w:val="BodyText"/>
        <w:rPr>
          <w:sz w:val="20"/>
        </w:rPr>
      </w:pPr>
    </w:p>
    <w:p>
      <w:pPr>
        <w:pStyle w:val="BodyText"/>
        <w:spacing w:before="3"/>
        <w:rPr>
          <w:sz w:val="27"/>
        </w:rPr>
      </w:pPr>
    </w:p>
    <w:p>
      <w:pPr>
        <w:pStyle w:val="Heading1"/>
        <w:numPr>
          <w:ilvl w:val="1"/>
          <w:numId w:val="12"/>
        </w:numPr>
        <w:tabs>
          <w:tab w:pos="822" w:val="left" w:leader="none"/>
        </w:tabs>
        <w:spacing w:line="240" w:lineRule="auto" w:before="69" w:after="0"/>
        <w:ind w:left="822" w:right="0" w:hanging="360"/>
        <w:jc w:val="left"/>
      </w:pPr>
      <w:r>
        <w:rPr/>
        <w:t>Índice de causalidad de</w:t>
      </w:r>
      <w:r>
        <w:rPr>
          <w:spacing w:val="-13"/>
        </w:rPr>
        <w:t> </w:t>
      </w:r>
      <w:r>
        <w:rPr/>
        <w:t>incendios</w:t>
      </w:r>
    </w:p>
    <w:p>
      <w:pPr>
        <w:pStyle w:val="BodyText"/>
        <w:spacing w:before="4"/>
        <w:rPr>
          <w:b/>
          <w:sz w:val="29"/>
        </w:rPr>
      </w:pPr>
    </w:p>
    <w:p>
      <w:pPr>
        <w:pStyle w:val="BodyText"/>
        <w:spacing w:line="360" w:lineRule="auto" w:before="1"/>
        <w:ind w:left="102" w:right="118"/>
        <w:jc w:val="both"/>
      </w:pPr>
      <w:r>
        <w:rPr/>
        <w:t>Indica la probabilidad de que un incendio originado por una causa determinada, se convierta en un incendio de grandes dimensiones. Está en función del coeficiente de peligrosidad específica de cada causa, así como del número de incendios por causa por año, calculado a nivel cuadrante.</w:t>
      </w:r>
    </w:p>
    <w:p>
      <w:pPr>
        <w:spacing w:after="0" w:line="360" w:lineRule="auto"/>
        <w:jc w:val="both"/>
        <w:sectPr>
          <w:pgSz w:w="12240" w:h="15840"/>
          <w:pgMar w:header="0" w:footer="1003" w:top="1360" w:bottom="1200" w:left="1600" w:right="1580"/>
        </w:sectPr>
      </w:pPr>
    </w:p>
    <w:p>
      <w:pPr>
        <w:pStyle w:val="BodyText"/>
        <w:spacing w:before="54"/>
        <w:ind w:left="102"/>
        <w:jc w:val="both"/>
      </w:pPr>
      <w:r>
        <w:rPr/>
        <w:t>La fórmula  para obtenerlo es la siguiente:</w:t>
      </w:r>
    </w:p>
    <w:p>
      <w:pPr>
        <w:pStyle w:val="BodyText"/>
        <w:spacing w:before="2"/>
        <w:rPr>
          <w:sz w:val="26"/>
        </w:rPr>
      </w:pPr>
      <w:r>
        <w:rPr/>
        <w:drawing>
          <wp:anchor distT="0" distB="0" distL="0" distR="0" allowOverlap="1" layoutInCell="1" locked="0" behindDoc="0" simplePos="0" relativeHeight="1264">
            <wp:simplePos x="0" y="0"/>
            <wp:positionH relativeFrom="page">
              <wp:posOffset>3290823</wp:posOffset>
            </wp:positionH>
            <wp:positionV relativeFrom="paragraph">
              <wp:posOffset>216243</wp:posOffset>
            </wp:positionV>
            <wp:extent cx="1186502" cy="571785"/>
            <wp:effectExtent l="0" t="0" r="0" b="0"/>
            <wp:wrapTopAndBottom/>
            <wp:docPr id="19" name="image8.png" descr=""/>
            <wp:cNvGraphicFramePr>
              <a:graphicFrameLocks noChangeAspect="1"/>
            </wp:cNvGraphicFramePr>
            <a:graphic>
              <a:graphicData uri="http://schemas.openxmlformats.org/drawingml/2006/picture">
                <pic:pic>
                  <pic:nvPicPr>
                    <pic:cNvPr id="20" name="image8.png"/>
                    <pic:cNvPicPr/>
                  </pic:nvPicPr>
                  <pic:blipFill>
                    <a:blip r:embed="rId23" cstate="print"/>
                    <a:stretch>
                      <a:fillRect/>
                    </a:stretch>
                  </pic:blipFill>
                  <pic:spPr>
                    <a:xfrm>
                      <a:off x="0" y="0"/>
                      <a:ext cx="1186502" cy="571785"/>
                    </a:xfrm>
                    <a:prstGeom prst="rect">
                      <a:avLst/>
                    </a:prstGeom>
                  </pic:spPr>
                </pic:pic>
              </a:graphicData>
            </a:graphic>
          </wp:anchor>
        </w:drawing>
      </w:r>
    </w:p>
    <w:p>
      <w:pPr>
        <w:pStyle w:val="BodyText"/>
        <w:spacing w:before="10"/>
        <w:rPr>
          <w:sz w:val="26"/>
        </w:rPr>
      </w:pPr>
    </w:p>
    <w:p>
      <w:pPr>
        <w:pStyle w:val="BodyText"/>
        <w:ind w:left="102"/>
        <w:jc w:val="both"/>
      </w:pPr>
      <w:r>
        <w:rPr/>
        <w:t>Donde:</w:t>
      </w:r>
    </w:p>
    <w:p>
      <w:pPr>
        <w:pStyle w:val="BodyText"/>
        <w:rPr>
          <w:sz w:val="29"/>
        </w:rPr>
      </w:pPr>
    </w:p>
    <w:p>
      <w:pPr>
        <w:spacing w:line="283" w:lineRule="exact" w:before="0"/>
        <w:ind w:left="102" w:right="0" w:firstLine="0"/>
        <w:jc w:val="both"/>
        <w:rPr>
          <w:i/>
          <w:sz w:val="24"/>
        </w:rPr>
      </w:pPr>
      <w:r>
        <w:rPr>
          <w:i/>
          <w:sz w:val="24"/>
        </w:rPr>
        <w:t>C</w:t>
      </w:r>
      <w:r>
        <w:rPr>
          <w:i/>
          <w:position w:val="-2"/>
          <w:sz w:val="16"/>
        </w:rPr>
        <w:t>i </w:t>
      </w:r>
      <w:r>
        <w:rPr>
          <w:i/>
          <w:sz w:val="24"/>
        </w:rPr>
        <w:t>= Índice de causalidad</w:t>
      </w:r>
    </w:p>
    <w:p>
      <w:pPr>
        <w:spacing w:line="269" w:lineRule="exact" w:before="0"/>
        <w:ind w:left="102" w:right="0" w:firstLine="0"/>
        <w:jc w:val="both"/>
        <w:rPr>
          <w:i/>
          <w:sz w:val="24"/>
        </w:rPr>
      </w:pPr>
      <w:r>
        <w:rPr>
          <w:i/>
          <w:sz w:val="24"/>
        </w:rPr>
        <w:t>a = Número de años de la serie de datos utilizada</w:t>
      </w:r>
    </w:p>
    <w:p>
      <w:pPr>
        <w:spacing w:before="0"/>
        <w:ind w:left="102" w:right="2874" w:firstLine="0"/>
        <w:jc w:val="left"/>
        <w:rPr>
          <w:i/>
          <w:sz w:val="24"/>
        </w:rPr>
      </w:pPr>
      <w:r>
        <w:rPr>
          <w:i/>
          <w:sz w:val="24"/>
        </w:rPr>
        <w:t>c = Coeficiente de peligrosidad específica de cada causa </w:t>
      </w:r>
      <w:r>
        <w:rPr>
          <w:i/>
          <w:sz w:val="24"/>
        </w:rPr>
        <w:t>n</w:t>
      </w:r>
      <w:r>
        <w:rPr>
          <w:i/>
          <w:position w:val="-2"/>
          <w:sz w:val="16"/>
        </w:rPr>
        <w:t>ic </w:t>
      </w:r>
      <w:r>
        <w:rPr>
          <w:i/>
          <w:sz w:val="24"/>
        </w:rPr>
        <w:t>= Número de incendios de cada causa en cada año</w:t>
      </w:r>
    </w:p>
    <w:p>
      <w:pPr>
        <w:spacing w:line="263" w:lineRule="exact" w:before="0"/>
        <w:ind w:left="102" w:right="0" w:firstLine="0"/>
        <w:jc w:val="both"/>
        <w:rPr>
          <w:i/>
          <w:sz w:val="24"/>
        </w:rPr>
      </w:pPr>
      <w:r>
        <w:rPr>
          <w:i/>
          <w:sz w:val="24"/>
        </w:rPr>
        <w:t>ni = Número de incendios de cada año</w:t>
      </w:r>
    </w:p>
    <w:p>
      <w:pPr>
        <w:pStyle w:val="BodyText"/>
        <w:rPr>
          <w:i/>
        </w:rPr>
      </w:pPr>
    </w:p>
    <w:p>
      <w:pPr>
        <w:pStyle w:val="BodyText"/>
        <w:spacing w:before="9"/>
        <w:rPr>
          <w:i/>
          <w:sz w:val="29"/>
        </w:rPr>
      </w:pPr>
    </w:p>
    <w:p>
      <w:pPr>
        <w:pStyle w:val="BodyText"/>
        <w:spacing w:line="360" w:lineRule="auto"/>
        <w:ind w:left="102" w:right="116"/>
        <w:jc w:val="both"/>
      </w:pPr>
      <w:r>
        <w:rPr/>
        <w:t>Para el coeficiente de peligrosidad específica, se asignaron valores que oscilan de 1 a 10, siendo el 1 el valor más bajo y 10 el valor más alto. El cuadro 6 muestra  los coeficientes</w:t>
      </w:r>
      <w:r>
        <w:rPr>
          <w:spacing w:val="-9"/>
        </w:rPr>
        <w:t> </w:t>
      </w:r>
      <w:r>
        <w:rPr/>
        <w:t>asignados.</w:t>
      </w:r>
    </w:p>
    <w:p>
      <w:pPr>
        <w:pStyle w:val="BodyText"/>
        <w:spacing w:before="204"/>
        <w:ind w:left="169"/>
        <w:jc w:val="both"/>
      </w:pPr>
      <w:r>
        <w:rPr/>
        <w:t>Cuadro 6. Coeficiente “C” por centro regional para cada grupo de causas.</w:t>
      </w:r>
    </w:p>
    <w:p>
      <w:pPr>
        <w:pStyle w:val="BodyText"/>
        <w:spacing w:before="5" w:after="1"/>
        <w:rPr>
          <w:sz w:val="29"/>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03"/>
        <w:gridCol w:w="819"/>
        <w:gridCol w:w="789"/>
        <w:gridCol w:w="789"/>
        <w:gridCol w:w="789"/>
        <w:gridCol w:w="838"/>
        <w:gridCol w:w="937"/>
        <w:gridCol w:w="789"/>
        <w:gridCol w:w="1168"/>
      </w:tblGrid>
      <w:tr>
        <w:trPr>
          <w:trHeight w:val="202" w:hRule="exact"/>
        </w:trPr>
        <w:tc>
          <w:tcPr>
            <w:tcW w:w="1903" w:type="dxa"/>
            <w:vMerge w:val="restart"/>
            <w:tcBorders>
              <w:left w:val="single" w:sz="4" w:space="0" w:color="000000"/>
              <w:right w:val="single" w:sz="8" w:space="0" w:color="000000"/>
            </w:tcBorders>
          </w:tcPr>
          <w:p>
            <w:pPr>
              <w:pStyle w:val="TableParagraph"/>
              <w:spacing w:before="11"/>
              <w:rPr>
                <w:sz w:val="15"/>
              </w:rPr>
            </w:pPr>
          </w:p>
          <w:p>
            <w:pPr>
              <w:pStyle w:val="TableParagraph"/>
              <w:spacing w:before="0"/>
              <w:ind w:left="692" w:right="693"/>
              <w:jc w:val="center"/>
              <w:rPr>
                <w:b/>
                <w:sz w:val="13"/>
              </w:rPr>
            </w:pPr>
            <w:r>
              <w:rPr>
                <w:b/>
                <w:sz w:val="13"/>
              </w:rPr>
              <w:t>CAUSA</w:t>
            </w:r>
          </w:p>
        </w:tc>
        <w:tc>
          <w:tcPr>
            <w:tcW w:w="3185" w:type="dxa"/>
            <w:gridSpan w:val="4"/>
            <w:tcBorders>
              <w:left w:val="single" w:sz="8" w:space="0" w:color="000000"/>
              <w:bottom w:val="single" w:sz="8" w:space="0" w:color="000000"/>
              <w:right w:val="single" w:sz="8" w:space="0" w:color="000000"/>
            </w:tcBorders>
          </w:tcPr>
          <w:p>
            <w:pPr>
              <w:pStyle w:val="TableParagraph"/>
              <w:spacing w:before="16"/>
              <w:ind w:left="862"/>
              <w:rPr>
                <w:b/>
                <w:sz w:val="14"/>
              </w:rPr>
            </w:pPr>
            <w:r>
              <w:rPr>
                <w:b/>
                <w:w w:val="105"/>
                <w:sz w:val="14"/>
              </w:rPr>
              <w:t>CENTRO REGIONAL</w:t>
            </w:r>
          </w:p>
        </w:tc>
        <w:tc>
          <w:tcPr>
            <w:tcW w:w="1775" w:type="dxa"/>
            <w:gridSpan w:val="2"/>
            <w:tcBorders>
              <w:left w:val="single" w:sz="8" w:space="0" w:color="000000"/>
              <w:bottom w:val="single" w:sz="4" w:space="0" w:color="000000"/>
              <w:right w:val="single" w:sz="8" w:space="0" w:color="000000"/>
            </w:tcBorders>
          </w:tcPr>
          <w:p>
            <w:pPr>
              <w:pStyle w:val="TableParagraph"/>
              <w:spacing w:before="16"/>
              <w:ind w:left="567"/>
              <w:rPr>
                <w:b/>
                <w:sz w:val="14"/>
              </w:rPr>
            </w:pPr>
            <w:r>
              <w:rPr>
                <w:b/>
                <w:w w:val="105"/>
                <w:sz w:val="14"/>
              </w:rPr>
              <w:t>SIERRA</w:t>
            </w:r>
          </w:p>
        </w:tc>
        <w:tc>
          <w:tcPr>
            <w:tcW w:w="789" w:type="dxa"/>
            <w:vMerge w:val="restart"/>
            <w:tcBorders>
              <w:left w:val="single" w:sz="8" w:space="0" w:color="000000"/>
              <w:right w:val="single" w:sz="8" w:space="0" w:color="000000"/>
            </w:tcBorders>
          </w:tcPr>
          <w:p>
            <w:pPr>
              <w:pStyle w:val="TableParagraph"/>
              <w:spacing w:line="268" w:lineRule="auto" w:before="16"/>
              <w:ind w:left="83" w:right="88" w:firstLine="12"/>
              <w:jc w:val="center"/>
              <w:rPr>
                <w:b/>
                <w:sz w:val="13"/>
              </w:rPr>
            </w:pPr>
            <w:r>
              <w:rPr>
                <w:b/>
                <w:w w:val="95"/>
                <w:sz w:val="13"/>
              </w:rPr>
              <w:t>BOSQUE </w:t>
            </w:r>
            <w:r>
              <w:rPr>
                <w:b/>
                <w:sz w:val="13"/>
              </w:rPr>
              <w:t>DE </w:t>
            </w:r>
            <w:r>
              <w:rPr>
                <w:b/>
                <w:w w:val="95"/>
                <w:sz w:val="13"/>
              </w:rPr>
              <w:t>TLALPAN</w:t>
            </w:r>
          </w:p>
        </w:tc>
        <w:tc>
          <w:tcPr>
            <w:tcW w:w="1168" w:type="dxa"/>
            <w:vMerge w:val="restart"/>
            <w:tcBorders>
              <w:left w:val="single" w:sz="8" w:space="0" w:color="000000"/>
              <w:right w:val="single" w:sz="8" w:space="0" w:color="000000"/>
            </w:tcBorders>
          </w:tcPr>
          <w:p>
            <w:pPr>
              <w:pStyle w:val="TableParagraph"/>
              <w:spacing w:line="268" w:lineRule="auto" w:before="16"/>
              <w:ind w:left="63" w:right="61" w:firstLine="11"/>
              <w:jc w:val="center"/>
              <w:rPr>
                <w:b/>
                <w:sz w:val="13"/>
              </w:rPr>
            </w:pPr>
            <w:r>
              <w:rPr>
                <w:b/>
                <w:sz w:val="13"/>
              </w:rPr>
              <w:t>PARQUE </w:t>
            </w:r>
            <w:r>
              <w:rPr>
                <w:b/>
                <w:w w:val="95"/>
                <w:sz w:val="13"/>
              </w:rPr>
              <w:t>ECOLÓGICO CD. </w:t>
            </w:r>
            <w:r>
              <w:rPr>
                <w:b/>
                <w:sz w:val="13"/>
              </w:rPr>
              <w:t>DE MÉXICO</w:t>
            </w:r>
          </w:p>
        </w:tc>
      </w:tr>
      <w:tr>
        <w:trPr>
          <w:trHeight w:val="345" w:hRule="exact"/>
        </w:trPr>
        <w:tc>
          <w:tcPr>
            <w:tcW w:w="1903" w:type="dxa"/>
            <w:vMerge/>
            <w:tcBorders>
              <w:left w:val="single" w:sz="4" w:space="0" w:color="000000"/>
              <w:bottom w:val="single" w:sz="8" w:space="0" w:color="000000"/>
              <w:right w:val="single" w:sz="8" w:space="0" w:color="000000"/>
            </w:tcBorders>
          </w:tcPr>
          <w:p>
            <w:pPr/>
          </w:p>
        </w:tc>
        <w:tc>
          <w:tcPr>
            <w:tcW w:w="819" w:type="dxa"/>
            <w:tcBorders>
              <w:top w:val="single" w:sz="8" w:space="0" w:color="000000"/>
              <w:left w:val="single" w:sz="8" w:space="0" w:color="000000"/>
              <w:bottom w:val="single" w:sz="8" w:space="0" w:color="000000"/>
              <w:right w:val="single" w:sz="8" w:space="0" w:color="000000"/>
            </w:tcBorders>
          </w:tcPr>
          <w:p>
            <w:pPr>
              <w:pStyle w:val="TableParagraph"/>
              <w:spacing w:before="85"/>
              <w:ind w:right="5"/>
              <w:jc w:val="center"/>
              <w:rPr>
                <w:b/>
                <w:sz w:val="13"/>
              </w:rPr>
            </w:pPr>
            <w:r>
              <w:rPr>
                <w:b/>
                <w:w w:val="98"/>
                <w:sz w:val="13"/>
              </w:rPr>
              <w:t>1</w:t>
            </w:r>
          </w:p>
        </w:tc>
        <w:tc>
          <w:tcPr>
            <w:tcW w:w="789" w:type="dxa"/>
            <w:tcBorders>
              <w:top w:val="single" w:sz="8" w:space="0" w:color="000000"/>
              <w:left w:val="single" w:sz="8" w:space="0" w:color="000000"/>
              <w:bottom w:val="single" w:sz="8" w:space="0" w:color="000000"/>
              <w:right w:val="single" w:sz="8" w:space="0" w:color="000000"/>
            </w:tcBorders>
          </w:tcPr>
          <w:p>
            <w:pPr>
              <w:pStyle w:val="TableParagraph"/>
              <w:spacing w:before="85"/>
              <w:ind w:left="2"/>
              <w:jc w:val="center"/>
              <w:rPr>
                <w:b/>
                <w:sz w:val="13"/>
              </w:rPr>
            </w:pPr>
            <w:r>
              <w:rPr>
                <w:b/>
                <w:w w:val="98"/>
                <w:sz w:val="13"/>
              </w:rPr>
              <w:t>2</w:t>
            </w:r>
          </w:p>
        </w:tc>
        <w:tc>
          <w:tcPr>
            <w:tcW w:w="789" w:type="dxa"/>
            <w:tcBorders>
              <w:top w:val="single" w:sz="8" w:space="0" w:color="000000"/>
              <w:left w:val="single" w:sz="8" w:space="0" w:color="000000"/>
              <w:bottom w:val="single" w:sz="8" w:space="0" w:color="000000"/>
              <w:right w:val="single" w:sz="8" w:space="0" w:color="000000"/>
            </w:tcBorders>
          </w:tcPr>
          <w:p>
            <w:pPr>
              <w:pStyle w:val="TableParagraph"/>
              <w:spacing w:before="85"/>
              <w:ind w:left="2"/>
              <w:jc w:val="center"/>
              <w:rPr>
                <w:b/>
                <w:sz w:val="13"/>
              </w:rPr>
            </w:pPr>
            <w:r>
              <w:rPr>
                <w:b/>
                <w:w w:val="98"/>
                <w:sz w:val="13"/>
              </w:rPr>
              <w:t>3</w:t>
            </w:r>
          </w:p>
        </w:tc>
        <w:tc>
          <w:tcPr>
            <w:tcW w:w="789" w:type="dxa"/>
            <w:tcBorders>
              <w:top w:val="single" w:sz="8" w:space="0" w:color="000000"/>
              <w:left w:val="single" w:sz="8" w:space="0" w:color="000000"/>
              <w:bottom w:val="single" w:sz="8" w:space="0" w:color="000000"/>
              <w:right w:val="single" w:sz="8" w:space="0" w:color="000000"/>
            </w:tcBorders>
          </w:tcPr>
          <w:p>
            <w:pPr>
              <w:pStyle w:val="TableParagraph"/>
              <w:spacing w:before="85"/>
              <w:ind w:left="350"/>
              <w:rPr>
                <w:b/>
                <w:sz w:val="13"/>
              </w:rPr>
            </w:pPr>
            <w:r>
              <w:rPr>
                <w:b/>
                <w:w w:val="98"/>
                <w:sz w:val="13"/>
              </w:rPr>
              <w:t>4</w:t>
            </w:r>
          </w:p>
        </w:tc>
        <w:tc>
          <w:tcPr>
            <w:tcW w:w="838" w:type="dxa"/>
            <w:tcBorders>
              <w:top w:val="single" w:sz="4" w:space="0" w:color="000000"/>
              <w:left w:val="single" w:sz="8" w:space="0" w:color="000000"/>
              <w:bottom w:val="single" w:sz="8" w:space="0" w:color="000000"/>
              <w:right w:val="single" w:sz="4" w:space="0" w:color="000000"/>
            </w:tcBorders>
          </w:tcPr>
          <w:p>
            <w:pPr>
              <w:pStyle w:val="TableParagraph"/>
              <w:spacing w:before="90"/>
              <w:jc w:val="center"/>
              <w:rPr>
                <w:b/>
                <w:sz w:val="13"/>
              </w:rPr>
            </w:pPr>
            <w:r>
              <w:rPr>
                <w:b/>
                <w:sz w:val="13"/>
              </w:rPr>
              <w:t>GUADALUPE</w:t>
            </w:r>
          </w:p>
        </w:tc>
        <w:tc>
          <w:tcPr>
            <w:tcW w:w="937" w:type="dxa"/>
            <w:tcBorders>
              <w:top w:val="single" w:sz="4" w:space="0" w:color="000000"/>
              <w:left w:val="single" w:sz="4" w:space="0" w:color="000000"/>
              <w:bottom w:val="single" w:sz="8" w:space="0" w:color="000000"/>
              <w:right w:val="single" w:sz="8" w:space="0" w:color="000000"/>
            </w:tcBorders>
          </w:tcPr>
          <w:p>
            <w:pPr>
              <w:pStyle w:val="TableParagraph"/>
              <w:spacing w:line="268" w:lineRule="auto" w:before="1"/>
              <w:ind w:left="137" w:firstLine="108"/>
              <w:rPr>
                <w:b/>
                <w:sz w:val="13"/>
              </w:rPr>
            </w:pPr>
            <w:r>
              <w:rPr>
                <w:b/>
                <w:sz w:val="13"/>
              </w:rPr>
              <w:t>SANTA CATARINA</w:t>
            </w:r>
          </w:p>
        </w:tc>
        <w:tc>
          <w:tcPr>
            <w:tcW w:w="789" w:type="dxa"/>
            <w:vMerge/>
            <w:tcBorders>
              <w:left w:val="single" w:sz="8" w:space="0" w:color="000000"/>
              <w:bottom w:val="single" w:sz="8" w:space="0" w:color="000000"/>
              <w:right w:val="single" w:sz="8" w:space="0" w:color="000000"/>
            </w:tcBorders>
          </w:tcPr>
          <w:p>
            <w:pPr/>
          </w:p>
        </w:tc>
        <w:tc>
          <w:tcPr>
            <w:tcW w:w="1168" w:type="dxa"/>
            <w:vMerge/>
            <w:tcBorders>
              <w:left w:val="single" w:sz="8" w:space="0" w:color="000000"/>
              <w:bottom w:val="single" w:sz="8" w:space="0" w:color="000000"/>
              <w:right w:val="single" w:sz="8" w:space="0" w:color="000000"/>
            </w:tcBorders>
          </w:tcPr>
          <w:p>
            <w:pPr/>
          </w:p>
        </w:tc>
      </w:tr>
      <w:tr>
        <w:trPr>
          <w:trHeight w:val="262" w:hRule="exact"/>
        </w:trPr>
        <w:tc>
          <w:tcPr>
            <w:tcW w:w="1903" w:type="dxa"/>
            <w:tcBorders>
              <w:top w:val="single" w:sz="8" w:space="0" w:color="000000"/>
              <w:left w:val="single" w:sz="4" w:space="0" w:color="000000"/>
              <w:bottom w:val="single" w:sz="4" w:space="0" w:color="000000"/>
              <w:right w:val="single" w:sz="4" w:space="0" w:color="000000"/>
            </w:tcBorders>
          </w:tcPr>
          <w:p>
            <w:pPr>
              <w:pStyle w:val="TableParagraph"/>
              <w:spacing w:before="36"/>
              <w:ind w:left="19" w:right="127"/>
              <w:rPr>
                <w:sz w:val="13"/>
              </w:rPr>
            </w:pPr>
            <w:r>
              <w:rPr>
                <w:sz w:val="13"/>
              </w:rPr>
              <w:t>Pastoreo [PST]</w:t>
            </w:r>
          </w:p>
        </w:tc>
        <w:tc>
          <w:tcPr>
            <w:tcW w:w="819" w:type="dxa"/>
            <w:tcBorders>
              <w:top w:val="single" w:sz="8" w:space="0" w:color="000000"/>
              <w:left w:val="single" w:sz="4" w:space="0" w:color="000000"/>
              <w:bottom w:val="single" w:sz="4" w:space="0" w:color="000000"/>
              <w:right w:val="single" w:sz="4" w:space="0" w:color="000000"/>
            </w:tcBorders>
          </w:tcPr>
          <w:p>
            <w:pPr>
              <w:pStyle w:val="TableParagraph"/>
              <w:spacing w:before="36"/>
              <w:ind w:right="5"/>
              <w:jc w:val="center"/>
              <w:rPr>
                <w:sz w:val="13"/>
              </w:rPr>
            </w:pPr>
            <w:r>
              <w:rPr>
                <w:w w:val="98"/>
                <w:sz w:val="13"/>
              </w:rPr>
              <w:t>8</w:t>
            </w:r>
          </w:p>
        </w:tc>
        <w:tc>
          <w:tcPr>
            <w:tcW w:w="789" w:type="dxa"/>
            <w:tcBorders>
              <w:top w:val="single" w:sz="8" w:space="0" w:color="000000"/>
              <w:left w:val="single" w:sz="4" w:space="0" w:color="000000"/>
              <w:bottom w:val="single" w:sz="4" w:space="0" w:color="000000"/>
              <w:right w:val="single" w:sz="4" w:space="0" w:color="000000"/>
            </w:tcBorders>
          </w:tcPr>
          <w:p>
            <w:pPr>
              <w:pStyle w:val="TableParagraph"/>
              <w:spacing w:before="36"/>
              <w:ind w:left="2"/>
              <w:jc w:val="center"/>
              <w:rPr>
                <w:sz w:val="13"/>
              </w:rPr>
            </w:pPr>
            <w:r>
              <w:rPr>
                <w:w w:val="98"/>
                <w:sz w:val="13"/>
              </w:rPr>
              <w:t>9</w:t>
            </w:r>
          </w:p>
        </w:tc>
        <w:tc>
          <w:tcPr>
            <w:tcW w:w="789" w:type="dxa"/>
            <w:tcBorders>
              <w:top w:val="single" w:sz="8" w:space="0" w:color="000000"/>
              <w:left w:val="single" w:sz="4" w:space="0" w:color="000000"/>
              <w:bottom w:val="single" w:sz="4" w:space="0" w:color="000000"/>
              <w:right w:val="single" w:sz="4" w:space="0" w:color="000000"/>
            </w:tcBorders>
          </w:tcPr>
          <w:p>
            <w:pPr>
              <w:pStyle w:val="TableParagraph"/>
              <w:spacing w:before="36"/>
              <w:ind w:left="2"/>
              <w:jc w:val="center"/>
              <w:rPr>
                <w:sz w:val="13"/>
              </w:rPr>
            </w:pPr>
            <w:r>
              <w:rPr>
                <w:w w:val="98"/>
                <w:sz w:val="13"/>
              </w:rPr>
              <w:t>6</w:t>
            </w:r>
          </w:p>
        </w:tc>
        <w:tc>
          <w:tcPr>
            <w:tcW w:w="789" w:type="dxa"/>
            <w:tcBorders>
              <w:top w:val="single" w:sz="8" w:space="0" w:color="000000"/>
              <w:left w:val="single" w:sz="4" w:space="0" w:color="000000"/>
              <w:bottom w:val="single" w:sz="4" w:space="0" w:color="000000"/>
              <w:right w:val="single" w:sz="4" w:space="0" w:color="000000"/>
            </w:tcBorders>
          </w:tcPr>
          <w:p>
            <w:pPr>
              <w:pStyle w:val="TableParagraph"/>
              <w:spacing w:before="36"/>
              <w:ind w:left="355"/>
              <w:rPr>
                <w:sz w:val="13"/>
              </w:rPr>
            </w:pPr>
            <w:r>
              <w:rPr>
                <w:w w:val="98"/>
                <w:sz w:val="13"/>
              </w:rPr>
              <w:t>1</w:t>
            </w:r>
          </w:p>
        </w:tc>
        <w:tc>
          <w:tcPr>
            <w:tcW w:w="838" w:type="dxa"/>
            <w:tcBorders>
              <w:top w:val="single" w:sz="8" w:space="0" w:color="000000"/>
              <w:left w:val="single" w:sz="4" w:space="0" w:color="000000"/>
              <w:bottom w:val="single" w:sz="4" w:space="0" w:color="000000"/>
              <w:right w:val="single" w:sz="4" w:space="0" w:color="000000"/>
            </w:tcBorders>
          </w:tcPr>
          <w:p>
            <w:pPr>
              <w:pStyle w:val="TableParagraph"/>
              <w:spacing w:before="36"/>
              <w:ind w:right="5"/>
              <w:jc w:val="center"/>
              <w:rPr>
                <w:sz w:val="13"/>
              </w:rPr>
            </w:pPr>
            <w:r>
              <w:rPr>
                <w:w w:val="98"/>
                <w:sz w:val="13"/>
              </w:rPr>
              <w:t>1</w:t>
            </w:r>
          </w:p>
        </w:tc>
        <w:tc>
          <w:tcPr>
            <w:tcW w:w="937" w:type="dxa"/>
            <w:tcBorders>
              <w:top w:val="single" w:sz="8" w:space="0" w:color="000000"/>
              <w:left w:val="single" w:sz="4" w:space="0" w:color="000000"/>
              <w:bottom w:val="single" w:sz="4" w:space="0" w:color="000000"/>
              <w:right w:val="single" w:sz="4" w:space="0" w:color="000000"/>
            </w:tcBorders>
          </w:tcPr>
          <w:p>
            <w:pPr>
              <w:pStyle w:val="TableParagraph"/>
              <w:spacing w:before="36"/>
              <w:ind w:right="429"/>
              <w:jc w:val="right"/>
              <w:rPr>
                <w:sz w:val="13"/>
              </w:rPr>
            </w:pPr>
            <w:r>
              <w:rPr>
                <w:w w:val="98"/>
                <w:sz w:val="13"/>
              </w:rPr>
              <w:t>1</w:t>
            </w:r>
          </w:p>
        </w:tc>
        <w:tc>
          <w:tcPr>
            <w:tcW w:w="789" w:type="dxa"/>
            <w:tcBorders>
              <w:top w:val="single" w:sz="8" w:space="0" w:color="000000"/>
              <w:left w:val="single" w:sz="4" w:space="0" w:color="000000"/>
              <w:bottom w:val="single" w:sz="4" w:space="0" w:color="000000"/>
              <w:right w:val="single" w:sz="4" w:space="0" w:color="000000"/>
            </w:tcBorders>
          </w:tcPr>
          <w:p>
            <w:pPr>
              <w:pStyle w:val="TableParagraph"/>
              <w:spacing w:before="36"/>
              <w:ind w:left="2"/>
              <w:jc w:val="center"/>
              <w:rPr>
                <w:sz w:val="13"/>
              </w:rPr>
            </w:pPr>
            <w:r>
              <w:rPr>
                <w:w w:val="98"/>
                <w:sz w:val="13"/>
              </w:rPr>
              <w:t>1</w:t>
            </w:r>
          </w:p>
        </w:tc>
        <w:tc>
          <w:tcPr>
            <w:tcW w:w="1168" w:type="dxa"/>
            <w:tcBorders>
              <w:top w:val="single" w:sz="8" w:space="0" w:color="000000"/>
              <w:left w:val="single" w:sz="4" w:space="0" w:color="000000"/>
              <w:bottom w:val="single" w:sz="4" w:space="0" w:color="000000"/>
              <w:right w:val="single" w:sz="8" w:space="0" w:color="000000"/>
            </w:tcBorders>
          </w:tcPr>
          <w:p>
            <w:pPr>
              <w:pStyle w:val="TableParagraph"/>
              <w:spacing w:before="36"/>
              <w:ind w:left="541"/>
              <w:rPr>
                <w:sz w:val="13"/>
              </w:rPr>
            </w:pPr>
            <w:r>
              <w:rPr>
                <w:w w:val="98"/>
                <w:sz w:val="13"/>
              </w:rPr>
              <w:t>1</w:t>
            </w:r>
          </w:p>
        </w:tc>
      </w:tr>
      <w:tr>
        <w:trPr>
          <w:trHeight w:val="434" w:hRule="exact"/>
        </w:trPr>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45"/>
              <w:ind w:left="19" w:right="127"/>
              <w:rPr>
                <w:sz w:val="13"/>
              </w:rPr>
            </w:pPr>
            <w:r>
              <w:rPr>
                <w:sz w:val="13"/>
              </w:rPr>
              <w:t>Intencional [INT]: (Intencional, vandalismo e incendiarios)</w:t>
            </w:r>
          </w:p>
        </w:tc>
        <w:tc>
          <w:tcPr>
            <w:tcW w:w="819"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312" w:right="312"/>
              <w:jc w:val="center"/>
              <w:rPr>
                <w:sz w:val="13"/>
              </w:rPr>
            </w:pPr>
            <w:r>
              <w:rPr>
                <w:sz w:val="13"/>
              </w:rPr>
              <w:t>10</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293" w:right="301"/>
              <w:jc w:val="center"/>
              <w:rPr>
                <w:sz w:val="13"/>
              </w:rPr>
            </w:pPr>
            <w:r>
              <w:rPr>
                <w:sz w:val="13"/>
              </w:rPr>
              <w:t>10</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293" w:right="300"/>
              <w:jc w:val="center"/>
              <w:rPr>
                <w:sz w:val="13"/>
              </w:rPr>
            </w:pPr>
            <w:r>
              <w:rPr>
                <w:sz w:val="13"/>
              </w:rPr>
              <w:t>10</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315"/>
              <w:rPr>
                <w:sz w:val="13"/>
              </w:rPr>
            </w:pPr>
            <w:r>
              <w:rPr>
                <w:sz w:val="13"/>
              </w:rPr>
              <w:t>10</w:t>
            </w:r>
          </w:p>
        </w:tc>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321" w:right="321"/>
              <w:jc w:val="center"/>
              <w:rPr>
                <w:sz w:val="13"/>
              </w:rPr>
            </w:pPr>
            <w:r>
              <w:rPr>
                <w:sz w:val="13"/>
              </w:rPr>
              <w:t>10</w:t>
            </w:r>
          </w:p>
        </w:tc>
        <w:tc>
          <w:tcPr>
            <w:tcW w:w="937"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right="429"/>
              <w:jc w:val="right"/>
              <w:rPr>
                <w:sz w:val="13"/>
              </w:rPr>
            </w:pPr>
            <w:r>
              <w:rPr>
                <w:w w:val="98"/>
                <w:sz w:val="13"/>
              </w:rPr>
              <w:t>7</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9"/>
              <w:rPr>
                <w:sz w:val="10"/>
              </w:rPr>
            </w:pPr>
          </w:p>
          <w:p>
            <w:pPr>
              <w:pStyle w:val="TableParagraph"/>
              <w:spacing w:before="0"/>
              <w:ind w:left="293" w:right="301"/>
              <w:jc w:val="center"/>
              <w:rPr>
                <w:sz w:val="13"/>
              </w:rPr>
            </w:pPr>
            <w:r>
              <w:rPr>
                <w:sz w:val="13"/>
              </w:rPr>
              <w:t>10</w:t>
            </w:r>
          </w:p>
        </w:tc>
        <w:tc>
          <w:tcPr>
            <w:tcW w:w="1168" w:type="dxa"/>
            <w:tcBorders>
              <w:top w:val="single" w:sz="4" w:space="0" w:color="000000"/>
              <w:left w:val="single" w:sz="4" w:space="0" w:color="000000"/>
              <w:bottom w:val="single" w:sz="4" w:space="0" w:color="000000"/>
              <w:right w:val="single" w:sz="8" w:space="0" w:color="000000"/>
            </w:tcBorders>
          </w:tcPr>
          <w:p>
            <w:pPr>
              <w:pStyle w:val="TableParagraph"/>
              <w:spacing w:before="9"/>
              <w:rPr>
                <w:sz w:val="10"/>
              </w:rPr>
            </w:pPr>
          </w:p>
          <w:p>
            <w:pPr>
              <w:pStyle w:val="TableParagraph"/>
              <w:spacing w:before="0"/>
              <w:ind w:left="512"/>
              <w:rPr>
                <w:sz w:val="13"/>
              </w:rPr>
            </w:pPr>
            <w:r>
              <w:rPr>
                <w:sz w:val="13"/>
              </w:rPr>
              <w:t>10</w:t>
            </w:r>
          </w:p>
        </w:tc>
      </w:tr>
      <w:tr>
        <w:trPr>
          <w:trHeight w:val="582" w:hRule="exact"/>
        </w:trPr>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35"/>
              <w:ind w:left="19" w:right="127"/>
              <w:rPr>
                <w:sz w:val="13"/>
              </w:rPr>
            </w:pPr>
            <w:r>
              <w:rPr>
                <w:sz w:val="13"/>
              </w:rPr>
              <w:t>Actividades agrícolas [AGR]: (Cambio de uso de suelo, </w:t>
            </w:r>
            <w:r>
              <w:rPr>
                <w:w w:val="95"/>
                <w:sz w:val="13"/>
              </w:rPr>
              <w:t>quema agrícola, agricultura).</w:t>
            </w:r>
          </w:p>
        </w:tc>
        <w:tc>
          <w:tcPr>
            <w:tcW w:w="81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right="5"/>
              <w:jc w:val="center"/>
              <w:rPr>
                <w:sz w:val="13"/>
              </w:rPr>
            </w:pPr>
            <w:r>
              <w:rPr>
                <w:w w:val="98"/>
                <w:sz w:val="13"/>
              </w:rPr>
              <w:t>6</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left="2"/>
              <w:jc w:val="center"/>
              <w:rPr>
                <w:sz w:val="13"/>
              </w:rPr>
            </w:pPr>
            <w:r>
              <w:rPr>
                <w:w w:val="98"/>
                <w:sz w:val="13"/>
              </w:rPr>
              <w:t>4</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left="2"/>
              <w:jc w:val="center"/>
              <w:rPr>
                <w:sz w:val="13"/>
              </w:rPr>
            </w:pPr>
            <w:r>
              <w:rPr>
                <w:w w:val="98"/>
                <w:sz w:val="13"/>
              </w:rPr>
              <w:t>6</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left="355"/>
              <w:rPr>
                <w:sz w:val="13"/>
              </w:rPr>
            </w:pPr>
            <w:r>
              <w:rPr>
                <w:w w:val="98"/>
                <w:sz w:val="13"/>
              </w:rPr>
              <w:t>7</w:t>
            </w:r>
          </w:p>
        </w:tc>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right="5"/>
              <w:jc w:val="center"/>
              <w:rPr>
                <w:sz w:val="13"/>
              </w:rPr>
            </w:pPr>
            <w:r>
              <w:rPr>
                <w:w w:val="98"/>
                <w:sz w:val="13"/>
              </w:rPr>
              <w:t>5</w:t>
            </w:r>
          </w:p>
        </w:tc>
        <w:tc>
          <w:tcPr>
            <w:tcW w:w="937"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right="429"/>
              <w:jc w:val="right"/>
              <w:rPr>
                <w:sz w:val="13"/>
              </w:rPr>
            </w:pPr>
            <w:r>
              <w:rPr>
                <w:w w:val="98"/>
                <w:sz w:val="13"/>
              </w:rPr>
              <w:t>1</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spacing w:before="1"/>
              <w:ind w:left="2"/>
              <w:jc w:val="center"/>
              <w:rPr>
                <w:sz w:val="13"/>
              </w:rPr>
            </w:pPr>
            <w:r>
              <w:rPr>
                <w:w w:val="98"/>
                <w:sz w:val="13"/>
              </w:rPr>
              <w:t>1</w:t>
            </w:r>
          </w:p>
        </w:tc>
        <w:tc>
          <w:tcPr>
            <w:tcW w:w="1168" w:type="dxa"/>
            <w:tcBorders>
              <w:top w:val="single" w:sz="4" w:space="0" w:color="000000"/>
              <w:left w:val="single" w:sz="4" w:space="0" w:color="000000"/>
              <w:bottom w:val="single" w:sz="4" w:space="0" w:color="000000"/>
              <w:right w:val="single" w:sz="8" w:space="0" w:color="000000"/>
            </w:tcBorders>
          </w:tcPr>
          <w:p>
            <w:pPr>
              <w:pStyle w:val="TableParagraph"/>
              <w:spacing w:before="7"/>
              <w:rPr>
                <w:sz w:val="17"/>
              </w:rPr>
            </w:pPr>
          </w:p>
          <w:p>
            <w:pPr>
              <w:pStyle w:val="TableParagraph"/>
              <w:spacing w:before="1"/>
              <w:ind w:left="541"/>
              <w:rPr>
                <w:sz w:val="13"/>
              </w:rPr>
            </w:pPr>
            <w:r>
              <w:rPr>
                <w:w w:val="98"/>
                <w:sz w:val="13"/>
              </w:rPr>
              <w:t>8</w:t>
            </w:r>
          </w:p>
        </w:tc>
      </w:tr>
      <w:tr>
        <w:trPr>
          <w:trHeight w:val="463" w:hRule="exact"/>
        </w:trPr>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68" w:lineRule="auto" w:before="55"/>
              <w:ind w:left="19" w:right="127"/>
              <w:rPr>
                <w:sz w:val="13"/>
              </w:rPr>
            </w:pPr>
            <w:r>
              <w:rPr>
                <w:sz w:val="13"/>
              </w:rPr>
              <w:t>Visitantes [VST]: (Chalmeros, </w:t>
            </w:r>
            <w:r>
              <w:rPr>
                <w:w w:val="95"/>
                <w:sz w:val="13"/>
              </w:rPr>
              <w:t>fogatas, paseantes)</w:t>
            </w:r>
          </w:p>
        </w:tc>
        <w:tc>
          <w:tcPr>
            <w:tcW w:w="81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right="5"/>
              <w:jc w:val="center"/>
              <w:rPr>
                <w:sz w:val="13"/>
              </w:rPr>
            </w:pPr>
            <w:r>
              <w:rPr>
                <w:w w:val="98"/>
                <w:sz w:val="13"/>
              </w:rPr>
              <w:t>2</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left="2"/>
              <w:jc w:val="center"/>
              <w:rPr>
                <w:sz w:val="13"/>
              </w:rPr>
            </w:pPr>
            <w:r>
              <w:rPr>
                <w:w w:val="98"/>
                <w:sz w:val="13"/>
              </w:rPr>
              <w:t>5</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left="2"/>
              <w:jc w:val="center"/>
              <w:rPr>
                <w:sz w:val="13"/>
              </w:rPr>
            </w:pPr>
            <w:r>
              <w:rPr>
                <w:w w:val="98"/>
                <w:sz w:val="13"/>
              </w:rPr>
              <w:t>3</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left="355"/>
              <w:rPr>
                <w:sz w:val="13"/>
              </w:rPr>
            </w:pPr>
            <w:r>
              <w:rPr>
                <w:w w:val="98"/>
                <w:sz w:val="13"/>
              </w:rPr>
              <w:t>2</w:t>
            </w:r>
          </w:p>
        </w:tc>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left="321" w:right="321"/>
              <w:jc w:val="center"/>
              <w:rPr>
                <w:sz w:val="13"/>
              </w:rPr>
            </w:pPr>
            <w:r>
              <w:rPr>
                <w:sz w:val="13"/>
              </w:rPr>
              <w:t>10</w:t>
            </w:r>
          </w:p>
        </w:tc>
        <w:tc>
          <w:tcPr>
            <w:tcW w:w="937"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right="429"/>
              <w:jc w:val="right"/>
              <w:rPr>
                <w:sz w:val="13"/>
              </w:rPr>
            </w:pPr>
            <w:r>
              <w:rPr>
                <w:w w:val="98"/>
                <w:sz w:val="13"/>
              </w:rPr>
              <w:t>1</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2"/>
              </w:rPr>
            </w:pPr>
          </w:p>
          <w:p>
            <w:pPr>
              <w:pStyle w:val="TableParagraph"/>
              <w:spacing w:before="0"/>
              <w:ind w:left="2"/>
              <w:jc w:val="center"/>
              <w:rPr>
                <w:sz w:val="13"/>
              </w:rPr>
            </w:pPr>
            <w:r>
              <w:rPr>
                <w:w w:val="98"/>
                <w:sz w:val="13"/>
              </w:rPr>
              <w:t>1</w:t>
            </w:r>
          </w:p>
        </w:tc>
        <w:tc>
          <w:tcPr>
            <w:tcW w:w="1168" w:type="dxa"/>
            <w:tcBorders>
              <w:top w:val="single" w:sz="4" w:space="0" w:color="000000"/>
              <w:left w:val="single" w:sz="4" w:space="0" w:color="000000"/>
              <w:bottom w:val="single" w:sz="4" w:space="0" w:color="000000"/>
              <w:right w:val="single" w:sz="8" w:space="0" w:color="000000"/>
            </w:tcBorders>
          </w:tcPr>
          <w:p>
            <w:pPr>
              <w:pStyle w:val="TableParagraph"/>
              <w:spacing w:before="6"/>
              <w:rPr>
                <w:sz w:val="12"/>
              </w:rPr>
            </w:pPr>
          </w:p>
          <w:p>
            <w:pPr>
              <w:pStyle w:val="TableParagraph"/>
              <w:spacing w:before="0"/>
              <w:ind w:left="541"/>
              <w:rPr>
                <w:sz w:val="13"/>
              </w:rPr>
            </w:pPr>
            <w:r>
              <w:rPr>
                <w:w w:val="98"/>
                <w:sz w:val="13"/>
              </w:rPr>
              <w:t>5</w:t>
            </w:r>
          </w:p>
        </w:tc>
      </w:tr>
      <w:tr>
        <w:trPr>
          <w:trHeight w:val="237" w:hRule="exact"/>
        </w:trPr>
        <w:tc>
          <w:tcPr>
            <w:tcW w:w="1903" w:type="dxa"/>
            <w:tcBorders>
              <w:top w:val="single" w:sz="4" w:space="0" w:color="000000"/>
              <w:left w:val="single" w:sz="4" w:space="0" w:color="000000"/>
              <w:bottom w:val="single" w:sz="4" w:space="0" w:color="000000"/>
              <w:right w:val="single" w:sz="4" w:space="0" w:color="000000"/>
            </w:tcBorders>
          </w:tcPr>
          <w:p>
            <w:pPr>
              <w:pStyle w:val="TableParagraph"/>
              <w:spacing w:before="26"/>
              <w:ind w:left="19" w:right="127"/>
              <w:rPr>
                <w:sz w:val="13"/>
              </w:rPr>
            </w:pPr>
            <w:r>
              <w:rPr>
                <w:w w:val="95"/>
                <w:sz w:val="13"/>
              </w:rPr>
              <w:t>Cacería [CCR]</w:t>
            </w:r>
          </w:p>
        </w:tc>
        <w:tc>
          <w:tcPr>
            <w:tcW w:w="819" w:type="dxa"/>
            <w:tcBorders>
              <w:top w:val="single" w:sz="4" w:space="0" w:color="000000"/>
              <w:left w:val="single" w:sz="4" w:space="0" w:color="000000"/>
              <w:bottom w:val="single" w:sz="4" w:space="0" w:color="000000"/>
              <w:right w:val="single" w:sz="4" w:space="0" w:color="000000"/>
            </w:tcBorders>
          </w:tcPr>
          <w:p>
            <w:pPr>
              <w:pStyle w:val="TableParagraph"/>
              <w:spacing w:before="26"/>
              <w:ind w:right="5"/>
              <w:jc w:val="center"/>
              <w:rPr>
                <w:sz w:val="13"/>
              </w:rPr>
            </w:pPr>
            <w:r>
              <w:rPr>
                <w:w w:val="98"/>
                <w:sz w:val="13"/>
              </w:rPr>
              <w:t>2</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26"/>
              <w:ind w:left="2"/>
              <w:jc w:val="center"/>
              <w:rPr>
                <w:sz w:val="13"/>
              </w:rPr>
            </w:pPr>
            <w:r>
              <w:rPr>
                <w:w w:val="98"/>
                <w:sz w:val="13"/>
              </w:rPr>
              <w:t>1</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26"/>
              <w:ind w:left="2"/>
              <w:jc w:val="center"/>
              <w:rPr>
                <w:sz w:val="13"/>
              </w:rPr>
            </w:pPr>
            <w:r>
              <w:rPr>
                <w:w w:val="98"/>
                <w:sz w:val="13"/>
              </w:rPr>
              <w:t>4</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26"/>
              <w:ind w:left="355"/>
              <w:rPr>
                <w:sz w:val="13"/>
              </w:rPr>
            </w:pPr>
            <w:r>
              <w:rPr>
                <w:w w:val="98"/>
                <w:sz w:val="13"/>
              </w:rPr>
              <w:t>1</w:t>
            </w:r>
          </w:p>
        </w:tc>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26"/>
              <w:ind w:right="5"/>
              <w:jc w:val="center"/>
              <w:rPr>
                <w:sz w:val="13"/>
              </w:rPr>
            </w:pPr>
            <w:r>
              <w:rPr>
                <w:w w:val="98"/>
                <w:sz w:val="13"/>
              </w:rPr>
              <w:t>1</w:t>
            </w:r>
          </w:p>
        </w:tc>
        <w:tc>
          <w:tcPr>
            <w:tcW w:w="937" w:type="dxa"/>
            <w:tcBorders>
              <w:top w:val="single" w:sz="4" w:space="0" w:color="000000"/>
              <w:left w:val="single" w:sz="4" w:space="0" w:color="000000"/>
              <w:bottom w:val="single" w:sz="4" w:space="0" w:color="000000"/>
              <w:right w:val="single" w:sz="4" w:space="0" w:color="000000"/>
            </w:tcBorders>
          </w:tcPr>
          <w:p>
            <w:pPr>
              <w:pStyle w:val="TableParagraph"/>
              <w:spacing w:before="26"/>
              <w:ind w:right="429"/>
              <w:jc w:val="right"/>
              <w:rPr>
                <w:sz w:val="13"/>
              </w:rPr>
            </w:pPr>
            <w:r>
              <w:rPr>
                <w:w w:val="98"/>
                <w:sz w:val="13"/>
              </w:rPr>
              <w:t>1</w:t>
            </w:r>
          </w:p>
        </w:tc>
        <w:tc>
          <w:tcPr>
            <w:tcW w:w="789" w:type="dxa"/>
            <w:tcBorders>
              <w:top w:val="single" w:sz="4" w:space="0" w:color="000000"/>
              <w:left w:val="single" w:sz="4" w:space="0" w:color="000000"/>
              <w:bottom w:val="single" w:sz="4" w:space="0" w:color="000000"/>
              <w:right w:val="single" w:sz="4" w:space="0" w:color="000000"/>
            </w:tcBorders>
          </w:tcPr>
          <w:p>
            <w:pPr>
              <w:pStyle w:val="TableParagraph"/>
              <w:spacing w:before="26"/>
              <w:ind w:left="2"/>
              <w:jc w:val="center"/>
              <w:rPr>
                <w:sz w:val="13"/>
              </w:rPr>
            </w:pPr>
            <w:r>
              <w:rPr>
                <w:w w:val="98"/>
                <w:sz w:val="13"/>
              </w:rPr>
              <w:t>1</w:t>
            </w:r>
          </w:p>
        </w:tc>
        <w:tc>
          <w:tcPr>
            <w:tcW w:w="1168" w:type="dxa"/>
            <w:tcBorders>
              <w:top w:val="single" w:sz="4" w:space="0" w:color="000000"/>
              <w:left w:val="single" w:sz="4" w:space="0" w:color="000000"/>
              <w:bottom w:val="single" w:sz="4" w:space="0" w:color="000000"/>
              <w:right w:val="single" w:sz="8" w:space="0" w:color="000000"/>
            </w:tcBorders>
          </w:tcPr>
          <w:p>
            <w:pPr>
              <w:pStyle w:val="TableParagraph"/>
              <w:spacing w:before="26"/>
              <w:ind w:left="541"/>
              <w:rPr>
                <w:sz w:val="13"/>
              </w:rPr>
            </w:pPr>
            <w:r>
              <w:rPr>
                <w:w w:val="98"/>
                <w:sz w:val="13"/>
              </w:rPr>
              <w:t>1</w:t>
            </w:r>
          </w:p>
        </w:tc>
      </w:tr>
      <w:tr>
        <w:trPr>
          <w:trHeight w:val="656" w:hRule="exact"/>
        </w:trPr>
        <w:tc>
          <w:tcPr>
            <w:tcW w:w="1903" w:type="dxa"/>
            <w:tcBorders>
              <w:top w:val="single" w:sz="4" w:space="0" w:color="000000"/>
              <w:left w:val="single" w:sz="4" w:space="0" w:color="000000"/>
              <w:bottom w:val="single" w:sz="8" w:space="0" w:color="000000"/>
              <w:right w:val="single" w:sz="4" w:space="0" w:color="000000"/>
            </w:tcBorders>
          </w:tcPr>
          <w:p>
            <w:pPr>
              <w:pStyle w:val="TableParagraph"/>
              <w:spacing w:line="268" w:lineRule="auto" w:before="75"/>
              <w:ind w:left="19" w:right="127"/>
              <w:rPr>
                <w:sz w:val="13"/>
              </w:rPr>
            </w:pPr>
            <w:r>
              <w:rPr>
                <w:sz w:val="13"/>
              </w:rPr>
              <w:t>Otros: (pirotecnia, quema controlada,escoberos, </w:t>
            </w:r>
            <w:r>
              <w:rPr>
                <w:w w:val="95"/>
                <w:sz w:val="13"/>
              </w:rPr>
              <w:t>leñadores, tierreros)</w:t>
            </w:r>
          </w:p>
        </w:tc>
        <w:tc>
          <w:tcPr>
            <w:tcW w:w="819"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right="5"/>
              <w:jc w:val="center"/>
              <w:rPr>
                <w:sz w:val="13"/>
              </w:rPr>
            </w:pPr>
            <w:r>
              <w:rPr>
                <w:w w:val="98"/>
                <w:sz w:val="13"/>
              </w:rPr>
              <w:t>3</w:t>
            </w:r>
          </w:p>
        </w:tc>
        <w:tc>
          <w:tcPr>
            <w:tcW w:w="789"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left="2"/>
              <w:jc w:val="center"/>
              <w:rPr>
                <w:sz w:val="13"/>
              </w:rPr>
            </w:pPr>
            <w:r>
              <w:rPr>
                <w:w w:val="98"/>
                <w:sz w:val="13"/>
              </w:rPr>
              <w:t>3</w:t>
            </w:r>
          </w:p>
        </w:tc>
        <w:tc>
          <w:tcPr>
            <w:tcW w:w="789"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left="2"/>
              <w:jc w:val="center"/>
              <w:rPr>
                <w:sz w:val="13"/>
              </w:rPr>
            </w:pPr>
            <w:r>
              <w:rPr>
                <w:w w:val="98"/>
                <w:sz w:val="13"/>
              </w:rPr>
              <w:t>3</w:t>
            </w:r>
          </w:p>
        </w:tc>
        <w:tc>
          <w:tcPr>
            <w:tcW w:w="789"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left="355"/>
              <w:rPr>
                <w:sz w:val="13"/>
              </w:rPr>
            </w:pPr>
            <w:r>
              <w:rPr>
                <w:w w:val="98"/>
                <w:sz w:val="13"/>
              </w:rPr>
              <w:t>2</w:t>
            </w:r>
          </w:p>
        </w:tc>
        <w:tc>
          <w:tcPr>
            <w:tcW w:w="838"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right="5"/>
              <w:jc w:val="center"/>
              <w:rPr>
                <w:sz w:val="13"/>
              </w:rPr>
            </w:pPr>
            <w:r>
              <w:rPr>
                <w:w w:val="98"/>
                <w:sz w:val="13"/>
              </w:rPr>
              <w:t>5</w:t>
            </w:r>
          </w:p>
        </w:tc>
        <w:tc>
          <w:tcPr>
            <w:tcW w:w="937"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right="429"/>
              <w:jc w:val="right"/>
              <w:rPr>
                <w:sz w:val="13"/>
              </w:rPr>
            </w:pPr>
            <w:r>
              <w:rPr>
                <w:w w:val="98"/>
                <w:sz w:val="13"/>
              </w:rPr>
              <w:t>1</w:t>
            </w:r>
          </w:p>
        </w:tc>
        <w:tc>
          <w:tcPr>
            <w:tcW w:w="789" w:type="dxa"/>
            <w:tcBorders>
              <w:top w:val="single" w:sz="4" w:space="0" w:color="000000"/>
              <w:left w:val="single" w:sz="4" w:space="0" w:color="000000"/>
              <w:bottom w:val="single" w:sz="8" w:space="0" w:color="000000"/>
              <w:right w:val="single" w:sz="4" w:space="0" w:color="000000"/>
            </w:tcBorders>
          </w:tcPr>
          <w:p>
            <w:pPr>
              <w:pStyle w:val="TableParagraph"/>
              <w:spacing w:before="0"/>
              <w:rPr>
                <w:sz w:val="12"/>
              </w:rPr>
            </w:pPr>
          </w:p>
          <w:p>
            <w:pPr>
              <w:pStyle w:val="TableParagraph"/>
              <w:spacing w:before="105"/>
              <w:ind w:left="2"/>
              <w:jc w:val="center"/>
              <w:rPr>
                <w:sz w:val="13"/>
              </w:rPr>
            </w:pPr>
            <w:r>
              <w:rPr>
                <w:w w:val="98"/>
                <w:sz w:val="13"/>
              </w:rPr>
              <w:t>3</w:t>
            </w:r>
          </w:p>
        </w:tc>
        <w:tc>
          <w:tcPr>
            <w:tcW w:w="1168" w:type="dxa"/>
            <w:tcBorders>
              <w:top w:val="single" w:sz="4" w:space="0" w:color="000000"/>
              <w:left w:val="single" w:sz="4" w:space="0" w:color="000000"/>
              <w:bottom w:val="single" w:sz="8" w:space="0" w:color="000000"/>
              <w:right w:val="single" w:sz="8" w:space="0" w:color="000000"/>
            </w:tcBorders>
          </w:tcPr>
          <w:p>
            <w:pPr>
              <w:pStyle w:val="TableParagraph"/>
              <w:spacing w:before="0"/>
              <w:rPr>
                <w:sz w:val="12"/>
              </w:rPr>
            </w:pPr>
          </w:p>
          <w:p>
            <w:pPr>
              <w:pStyle w:val="TableParagraph"/>
              <w:spacing w:before="105"/>
              <w:ind w:left="541"/>
              <w:rPr>
                <w:sz w:val="13"/>
              </w:rPr>
            </w:pPr>
            <w:r>
              <w:rPr>
                <w:w w:val="98"/>
                <w:sz w:val="13"/>
              </w:rPr>
              <w:t>6</w:t>
            </w:r>
          </w:p>
        </w:tc>
      </w:tr>
    </w:tbl>
    <w:p>
      <w:pPr>
        <w:pStyle w:val="BodyText"/>
      </w:pPr>
    </w:p>
    <w:p>
      <w:pPr>
        <w:pStyle w:val="BodyText"/>
      </w:pPr>
    </w:p>
    <w:p>
      <w:pPr>
        <w:pStyle w:val="BodyText"/>
      </w:pPr>
    </w:p>
    <w:p>
      <w:pPr>
        <w:pStyle w:val="BodyText"/>
        <w:spacing w:line="360" w:lineRule="auto" w:before="140"/>
        <w:ind w:left="102" w:right="165"/>
      </w:pPr>
      <w:r>
        <w:rPr/>
        <w:t>El resultado del índice de causalidad de incendios se clasificó en los rangos que  se muestran en la cuadro</w:t>
      </w:r>
      <w:r>
        <w:rPr>
          <w:spacing w:val="-5"/>
        </w:rPr>
        <w:t> </w:t>
      </w:r>
      <w:r>
        <w:rPr/>
        <w:t>7:</w:t>
      </w:r>
    </w:p>
    <w:p>
      <w:pPr>
        <w:spacing w:after="0" w:line="360" w:lineRule="auto"/>
        <w:sectPr>
          <w:pgSz w:w="12240" w:h="15840"/>
          <w:pgMar w:header="0" w:footer="1003" w:top="1360" w:bottom="1200" w:left="1600" w:right="1580"/>
        </w:sectPr>
      </w:pPr>
    </w:p>
    <w:p>
      <w:pPr>
        <w:pStyle w:val="BodyText"/>
        <w:spacing w:before="54"/>
        <w:ind w:left="102"/>
      </w:pPr>
      <w:r>
        <w:rPr/>
        <w:t>Cuadro 7. Clasificación del índice de causalidad.</w:t>
      </w:r>
    </w:p>
    <w:p>
      <w:pPr>
        <w:pStyle w:val="BodyText"/>
        <w:spacing w:before="3"/>
        <w:rPr>
          <w:sz w:val="12"/>
        </w:rPr>
      </w:pPr>
    </w:p>
    <w:tbl>
      <w:tblPr>
        <w:tblW w:w="0" w:type="auto"/>
        <w:jc w:val="left"/>
        <w:tblInd w:w="1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2835"/>
        <w:gridCol w:w="1275"/>
      </w:tblGrid>
      <w:tr>
        <w:trPr>
          <w:trHeight w:val="216" w:hRule="exact"/>
        </w:trPr>
        <w:tc>
          <w:tcPr>
            <w:tcW w:w="1527" w:type="dxa"/>
          </w:tcPr>
          <w:p>
            <w:pPr>
              <w:pStyle w:val="TableParagraph"/>
              <w:spacing w:line="201" w:lineRule="exact" w:before="0"/>
              <w:ind w:left="257" w:right="259"/>
              <w:jc w:val="center"/>
              <w:rPr>
                <w:b/>
                <w:sz w:val="18"/>
              </w:rPr>
            </w:pPr>
            <w:r>
              <w:rPr>
                <w:b/>
                <w:sz w:val="18"/>
              </w:rPr>
              <w:t>Causalidad</w:t>
            </w:r>
          </w:p>
        </w:tc>
        <w:tc>
          <w:tcPr>
            <w:tcW w:w="2835" w:type="dxa"/>
          </w:tcPr>
          <w:p>
            <w:pPr>
              <w:pStyle w:val="TableParagraph"/>
              <w:spacing w:line="208" w:lineRule="exact" w:before="0"/>
              <w:ind w:left="209" w:right="211"/>
              <w:jc w:val="center"/>
              <w:rPr>
                <w:b/>
                <w:sz w:val="18"/>
              </w:rPr>
            </w:pPr>
            <w:r>
              <w:rPr>
                <w:b/>
                <w:position w:val="2"/>
                <w:sz w:val="18"/>
              </w:rPr>
              <w:t>Índice de causalidad (C</w:t>
            </w:r>
            <w:r>
              <w:rPr>
                <w:b/>
                <w:sz w:val="12"/>
              </w:rPr>
              <w:t>i</w:t>
            </w:r>
            <w:r>
              <w:rPr>
                <w:b/>
                <w:position w:val="2"/>
                <w:sz w:val="18"/>
              </w:rPr>
              <w:t>)</w:t>
            </w:r>
          </w:p>
        </w:tc>
        <w:tc>
          <w:tcPr>
            <w:tcW w:w="1275" w:type="dxa"/>
          </w:tcPr>
          <w:p>
            <w:pPr>
              <w:pStyle w:val="TableParagraph"/>
              <w:spacing w:line="201" w:lineRule="exact" w:before="0"/>
              <w:ind w:left="207" w:right="207"/>
              <w:jc w:val="center"/>
              <w:rPr>
                <w:b/>
                <w:sz w:val="18"/>
              </w:rPr>
            </w:pPr>
            <w:r>
              <w:rPr>
                <w:b/>
                <w:sz w:val="18"/>
              </w:rPr>
              <w:t>Indicador</w:t>
            </w:r>
          </w:p>
        </w:tc>
      </w:tr>
      <w:tr>
        <w:trPr>
          <w:trHeight w:val="218" w:hRule="exact"/>
        </w:trPr>
        <w:tc>
          <w:tcPr>
            <w:tcW w:w="1527" w:type="dxa"/>
          </w:tcPr>
          <w:p>
            <w:pPr>
              <w:pStyle w:val="TableParagraph"/>
              <w:spacing w:line="206" w:lineRule="exact" w:before="0"/>
              <w:ind w:left="257" w:right="259"/>
              <w:jc w:val="center"/>
              <w:rPr>
                <w:sz w:val="18"/>
              </w:rPr>
            </w:pPr>
            <w:r>
              <w:rPr>
                <w:sz w:val="18"/>
              </w:rPr>
              <w:t>Muy baja</w:t>
            </w:r>
          </w:p>
        </w:tc>
        <w:tc>
          <w:tcPr>
            <w:tcW w:w="2835" w:type="dxa"/>
          </w:tcPr>
          <w:p>
            <w:pPr>
              <w:pStyle w:val="TableParagraph"/>
              <w:spacing w:line="206" w:lineRule="exact" w:before="0"/>
              <w:ind w:left="209" w:right="213"/>
              <w:jc w:val="center"/>
              <w:rPr>
                <w:sz w:val="18"/>
              </w:rPr>
            </w:pPr>
            <w:r>
              <w:rPr>
                <w:sz w:val="18"/>
              </w:rPr>
              <w:t>&lt;2.0</w:t>
            </w:r>
          </w:p>
        </w:tc>
        <w:tc>
          <w:tcPr>
            <w:tcW w:w="1275" w:type="dxa"/>
          </w:tcPr>
          <w:p>
            <w:pPr>
              <w:pStyle w:val="TableParagraph"/>
              <w:spacing w:line="206" w:lineRule="exact" w:before="0"/>
              <w:ind w:left="1"/>
              <w:jc w:val="center"/>
              <w:rPr>
                <w:sz w:val="18"/>
              </w:rPr>
            </w:pPr>
            <w:r>
              <w:rPr>
                <w:w w:val="99"/>
                <w:sz w:val="18"/>
              </w:rPr>
              <w:t>1</w:t>
            </w:r>
          </w:p>
        </w:tc>
      </w:tr>
      <w:tr>
        <w:trPr>
          <w:trHeight w:val="216" w:hRule="exact"/>
        </w:trPr>
        <w:tc>
          <w:tcPr>
            <w:tcW w:w="1527" w:type="dxa"/>
          </w:tcPr>
          <w:p>
            <w:pPr>
              <w:pStyle w:val="TableParagraph"/>
              <w:spacing w:line="206" w:lineRule="exact" w:before="0"/>
              <w:ind w:left="257" w:right="257"/>
              <w:jc w:val="center"/>
              <w:rPr>
                <w:sz w:val="18"/>
              </w:rPr>
            </w:pPr>
            <w:r>
              <w:rPr>
                <w:sz w:val="18"/>
              </w:rPr>
              <w:t>Baja</w:t>
            </w:r>
          </w:p>
        </w:tc>
        <w:tc>
          <w:tcPr>
            <w:tcW w:w="2835" w:type="dxa"/>
          </w:tcPr>
          <w:p>
            <w:pPr>
              <w:pStyle w:val="TableParagraph"/>
              <w:spacing w:line="206" w:lineRule="exact" w:before="0"/>
              <w:ind w:left="209" w:right="213"/>
              <w:jc w:val="center"/>
              <w:rPr>
                <w:sz w:val="18"/>
              </w:rPr>
            </w:pPr>
            <w:r>
              <w:rPr>
                <w:sz w:val="18"/>
              </w:rPr>
              <w:t>2.0-2.9</w:t>
            </w:r>
          </w:p>
        </w:tc>
        <w:tc>
          <w:tcPr>
            <w:tcW w:w="1275" w:type="dxa"/>
          </w:tcPr>
          <w:p>
            <w:pPr>
              <w:pStyle w:val="TableParagraph"/>
              <w:spacing w:line="206" w:lineRule="exact" w:before="0"/>
              <w:ind w:left="1"/>
              <w:jc w:val="center"/>
              <w:rPr>
                <w:sz w:val="18"/>
              </w:rPr>
            </w:pPr>
            <w:r>
              <w:rPr>
                <w:w w:val="99"/>
                <w:sz w:val="18"/>
              </w:rPr>
              <w:t>2</w:t>
            </w:r>
          </w:p>
        </w:tc>
      </w:tr>
      <w:tr>
        <w:trPr>
          <w:trHeight w:val="218" w:hRule="exact"/>
        </w:trPr>
        <w:tc>
          <w:tcPr>
            <w:tcW w:w="1527" w:type="dxa"/>
          </w:tcPr>
          <w:p>
            <w:pPr>
              <w:pStyle w:val="TableParagraph"/>
              <w:spacing w:line="206" w:lineRule="exact" w:before="0"/>
              <w:ind w:left="254" w:right="259"/>
              <w:jc w:val="center"/>
              <w:rPr>
                <w:sz w:val="18"/>
              </w:rPr>
            </w:pPr>
            <w:r>
              <w:rPr>
                <w:sz w:val="18"/>
              </w:rPr>
              <w:t>Moderada</w:t>
            </w:r>
          </w:p>
        </w:tc>
        <w:tc>
          <w:tcPr>
            <w:tcW w:w="2835" w:type="dxa"/>
          </w:tcPr>
          <w:p>
            <w:pPr>
              <w:pStyle w:val="TableParagraph"/>
              <w:spacing w:line="206" w:lineRule="exact" w:before="0"/>
              <w:ind w:left="209" w:right="213"/>
              <w:jc w:val="center"/>
              <w:rPr>
                <w:sz w:val="18"/>
              </w:rPr>
            </w:pPr>
            <w:r>
              <w:rPr>
                <w:sz w:val="18"/>
              </w:rPr>
              <w:t>3.0-3.9</w:t>
            </w:r>
          </w:p>
        </w:tc>
        <w:tc>
          <w:tcPr>
            <w:tcW w:w="1275" w:type="dxa"/>
          </w:tcPr>
          <w:p>
            <w:pPr>
              <w:pStyle w:val="TableParagraph"/>
              <w:spacing w:line="206" w:lineRule="exact" w:before="0"/>
              <w:ind w:left="1"/>
              <w:jc w:val="center"/>
              <w:rPr>
                <w:sz w:val="18"/>
              </w:rPr>
            </w:pPr>
            <w:r>
              <w:rPr>
                <w:w w:val="99"/>
                <w:sz w:val="18"/>
              </w:rPr>
              <w:t>3</w:t>
            </w:r>
          </w:p>
        </w:tc>
      </w:tr>
      <w:tr>
        <w:trPr>
          <w:trHeight w:val="216" w:hRule="exact"/>
        </w:trPr>
        <w:tc>
          <w:tcPr>
            <w:tcW w:w="1527" w:type="dxa"/>
          </w:tcPr>
          <w:p>
            <w:pPr>
              <w:pStyle w:val="TableParagraph"/>
              <w:spacing w:line="206" w:lineRule="exact" w:before="0"/>
              <w:ind w:left="257" w:right="257"/>
              <w:jc w:val="center"/>
              <w:rPr>
                <w:sz w:val="18"/>
              </w:rPr>
            </w:pPr>
            <w:r>
              <w:rPr>
                <w:sz w:val="18"/>
              </w:rPr>
              <w:t>Alta</w:t>
            </w:r>
          </w:p>
        </w:tc>
        <w:tc>
          <w:tcPr>
            <w:tcW w:w="2835" w:type="dxa"/>
          </w:tcPr>
          <w:p>
            <w:pPr>
              <w:pStyle w:val="TableParagraph"/>
              <w:spacing w:line="206" w:lineRule="exact" w:before="0"/>
              <w:ind w:left="209" w:right="213"/>
              <w:jc w:val="center"/>
              <w:rPr>
                <w:sz w:val="18"/>
              </w:rPr>
            </w:pPr>
            <w:r>
              <w:rPr>
                <w:sz w:val="18"/>
              </w:rPr>
              <w:t>4.0-4.9</w:t>
            </w:r>
          </w:p>
        </w:tc>
        <w:tc>
          <w:tcPr>
            <w:tcW w:w="1275" w:type="dxa"/>
          </w:tcPr>
          <w:p>
            <w:pPr>
              <w:pStyle w:val="TableParagraph"/>
              <w:spacing w:line="206" w:lineRule="exact" w:before="0"/>
              <w:ind w:left="1"/>
              <w:jc w:val="center"/>
              <w:rPr>
                <w:sz w:val="18"/>
              </w:rPr>
            </w:pPr>
            <w:r>
              <w:rPr>
                <w:w w:val="99"/>
                <w:sz w:val="18"/>
              </w:rPr>
              <w:t>4</w:t>
            </w:r>
          </w:p>
        </w:tc>
      </w:tr>
      <w:tr>
        <w:trPr>
          <w:trHeight w:val="216" w:hRule="exact"/>
        </w:trPr>
        <w:tc>
          <w:tcPr>
            <w:tcW w:w="1527" w:type="dxa"/>
          </w:tcPr>
          <w:p>
            <w:pPr>
              <w:pStyle w:val="TableParagraph"/>
              <w:spacing w:line="206" w:lineRule="exact" w:before="0"/>
              <w:ind w:left="256" w:right="259"/>
              <w:jc w:val="center"/>
              <w:rPr>
                <w:sz w:val="18"/>
              </w:rPr>
            </w:pPr>
            <w:r>
              <w:rPr>
                <w:sz w:val="18"/>
              </w:rPr>
              <w:t>Grave</w:t>
            </w:r>
          </w:p>
        </w:tc>
        <w:tc>
          <w:tcPr>
            <w:tcW w:w="2835" w:type="dxa"/>
          </w:tcPr>
          <w:p>
            <w:pPr>
              <w:pStyle w:val="TableParagraph"/>
              <w:spacing w:line="206" w:lineRule="exact" w:before="0"/>
              <w:ind w:left="209" w:right="213"/>
              <w:jc w:val="center"/>
              <w:rPr>
                <w:sz w:val="18"/>
              </w:rPr>
            </w:pPr>
            <w:r>
              <w:rPr>
                <w:sz w:val="18"/>
              </w:rPr>
              <w:t>5.0-5.9</w:t>
            </w:r>
          </w:p>
        </w:tc>
        <w:tc>
          <w:tcPr>
            <w:tcW w:w="1275" w:type="dxa"/>
          </w:tcPr>
          <w:p>
            <w:pPr>
              <w:pStyle w:val="TableParagraph"/>
              <w:spacing w:line="206" w:lineRule="exact" w:before="0"/>
              <w:ind w:left="1"/>
              <w:jc w:val="center"/>
              <w:rPr>
                <w:sz w:val="18"/>
              </w:rPr>
            </w:pPr>
            <w:r>
              <w:rPr>
                <w:w w:val="99"/>
                <w:sz w:val="18"/>
              </w:rPr>
              <w:t>5</w:t>
            </w:r>
          </w:p>
        </w:tc>
      </w:tr>
      <w:tr>
        <w:trPr>
          <w:trHeight w:val="218" w:hRule="exact"/>
        </w:trPr>
        <w:tc>
          <w:tcPr>
            <w:tcW w:w="1527" w:type="dxa"/>
          </w:tcPr>
          <w:p>
            <w:pPr>
              <w:pStyle w:val="TableParagraph"/>
              <w:spacing w:before="1"/>
              <w:ind w:left="257" w:right="258"/>
              <w:jc w:val="center"/>
              <w:rPr>
                <w:sz w:val="18"/>
              </w:rPr>
            </w:pPr>
            <w:r>
              <w:rPr>
                <w:sz w:val="18"/>
              </w:rPr>
              <w:t>Extrema</w:t>
            </w:r>
          </w:p>
        </w:tc>
        <w:tc>
          <w:tcPr>
            <w:tcW w:w="2835" w:type="dxa"/>
          </w:tcPr>
          <w:p>
            <w:pPr>
              <w:pStyle w:val="TableParagraph"/>
              <w:spacing w:before="1"/>
              <w:ind w:left="209" w:right="210"/>
              <w:jc w:val="center"/>
              <w:rPr>
                <w:sz w:val="18"/>
              </w:rPr>
            </w:pPr>
            <w:r>
              <w:rPr>
                <w:sz w:val="18"/>
              </w:rPr>
              <w:t>≥6.0</w:t>
            </w:r>
          </w:p>
        </w:tc>
        <w:tc>
          <w:tcPr>
            <w:tcW w:w="1275" w:type="dxa"/>
          </w:tcPr>
          <w:p>
            <w:pPr>
              <w:pStyle w:val="TableParagraph"/>
              <w:spacing w:before="1"/>
              <w:ind w:left="1"/>
              <w:jc w:val="center"/>
              <w:rPr>
                <w:sz w:val="18"/>
              </w:rPr>
            </w:pPr>
            <w:r>
              <w:rPr>
                <w:w w:val="99"/>
                <w:sz w:val="18"/>
              </w:rPr>
              <w:t>6</w:t>
            </w:r>
          </w:p>
        </w:tc>
      </w:tr>
    </w:tbl>
    <w:p>
      <w:pPr>
        <w:pStyle w:val="BodyText"/>
        <w:rPr>
          <w:sz w:val="20"/>
        </w:rPr>
      </w:pPr>
    </w:p>
    <w:p>
      <w:pPr>
        <w:pStyle w:val="BodyText"/>
        <w:spacing w:before="2"/>
        <w:rPr>
          <w:sz w:val="27"/>
        </w:rPr>
      </w:pPr>
    </w:p>
    <w:p>
      <w:pPr>
        <w:pStyle w:val="Heading1"/>
        <w:spacing w:before="70"/>
        <w:ind w:firstLine="0"/>
        <w:jc w:val="both"/>
      </w:pPr>
      <w:r>
        <w:rPr/>
        <w:t>Análisis del riesgo estadístico.</w:t>
      </w:r>
    </w:p>
    <w:p>
      <w:pPr>
        <w:pStyle w:val="BodyText"/>
        <w:spacing w:before="2"/>
        <w:rPr>
          <w:b/>
          <w:sz w:val="29"/>
        </w:rPr>
      </w:pPr>
    </w:p>
    <w:p>
      <w:pPr>
        <w:pStyle w:val="BodyText"/>
        <w:spacing w:line="360" w:lineRule="auto"/>
        <w:ind w:left="102" w:right="116"/>
        <w:jc w:val="both"/>
      </w:pPr>
      <w:r>
        <w:rPr/>
        <w:t>Copete </w:t>
      </w:r>
      <w:r>
        <w:rPr>
          <w:i/>
        </w:rPr>
        <w:t>et al</w:t>
      </w:r>
      <w:r>
        <w:rPr/>
        <w:t>., (2007), menciona que el índice de riesgo estadístico, es un indicador que representa la probabilidad de que se produzca un incendio forestal, su gravedad relativa en términos de superficie y la peligrosidad específica de la causa que lo origina.</w:t>
      </w:r>
    </w:p>
    <w:p>
      <w:pPr>
        <w:pStyle w:val="BodyText"/>
        <w:spacing w:line="360" w:lineRule="auto" w:before="204"/>
        <w:ind w:left="102" w:right="119"/>
        <w:jc w:val="both"/>
      </w:pPr>
      <w:r>
        <w:rPr/>
        <w:t>Una vez que se obtuvo el índice de frecuencia, el índice de gravedad y el índice de causalidad, se procedió a obtener el riesgo estadístico de acuerdo a la siguiente fórmula:</w:t>
      </w:r>
    </w:p>
    <w:p>
      <w:pPr>
        <w:spacing w:before="204"/>
        <w:ind w:left="3313" w:right="3328" w:firstLine="0"/>
        <w:jc w:val="center"/>
        <w:rPr>
          <w:sz w:val="16"/>
        </w:rPr>
      </w:pPr>
      <w:r>
        <w:rPr>
          <w:sz w:val="24"/>
        </w:rPr>
        <w:t>R</w:t>
      </w:r>
      <w:r>
        <w:rPr>
          <w:position w:val="-2"/>
          <w:sz w:val="16"/>
        </w:rPr>
        <w:t>E  </w:t>
      </w:r>
      <w:r>
        <w:rPr>
          <w:sz w:val="24"/>
        </w:rPr>
        <w:t>= F</w:t>
      </w:r>
      <w:r>
        <w:rPr>
          <w:position w:val="-2"/>
          <w:sz w:val="16"/>
        </w:rPr>
        <w:t>i  </w:t>
      </w:r>
      <w:r>
        <w:rPr>
          <w:sz w:val="24"/>
        </w:rPr>
        <w:t>* I</w:t>
      </w:r>
      <w:r>
        <w:rPr>
          <w:position w:val="-2"/>
          <w:sz w:val="16"/>
        </w:rPr>
        <w:t>g </w:t>
      </w:r>
      <w:r>
        <w:rPr>
          <w:sz w:val="24"/>
        </w:rPr>
        <w:t>* C</w:t>
      </w:r>
      <w:r>
        <w:rPr>
          <w:position w:val="-2"/>
          <w:sz w:val="16"/>
        </w:rPr>
        <w:t>i</w:t>
      </w:r>
    </w:p>
    <w:p>
      <w:pPr>
        <w:pStyle w:val="BodyText"/>
        <w:spacing w:before="1"/>
        <w:rPr>
          <w:sz w:val="28"/>
        </w:rPr>
      </w:pPr>
    </w:p>
    <w:p>
      <w:pPr>
        <w:pStyle w:val="BodyText"/>
        <w:ind w:left="102"/>
        <w:jc w:val="both"/>
      </w:pPr>
      <w:r>
        <w:rPr/>
        <w:t>Donde:</w:t>
      </w:r>
    </w:p>
    <w:p>
      <w:pPr>
        <w:pStyle w:val="BodyText"/>
        <w:spacing w:before="4"/>
        <w:rPr>
          <w:sz w:val="29"/>
        </w:rPr>
      </w:pPr>
    </w:p>
    <w:p>
      <w:pPr>
        <w:spacing w:line="276" w:lineRule="exact" w:before="0"/>
        <w:ind w:left="102" w:right="5031" w:firstLine="0"/>
        <w:jc w:val="left"/>
        <w:rPr>
          <w:i/>
          <w:sz w:val="24"/>
        </w:rPr>
      </w:pPr>
      <w:r>
        <w:rPr>
          <w:i/>
          <w:sz w:val="24"/>
        </w:rPr>
        <w:t>R</w:t>
      </w:r>
      <w:r>
        <w:rPr>
          <w:i/>
          <w:position w:val="-2"/>
          <w:sz w:val="16"/>
        </w:rPr>
        <w:t>E </w:t>
      </w:r>
      <w:r>
        <w:rPr>
          <w:i/>
          <w:sz w:val="24"/>
        </w:rPr>
        <w:t>= Riesgo estadístico de incendios </w:t>
      </w:r>
      <w:r>
        <w:rPr>
          <w:i/>
          <w:sz w:val="24"/>
        </w:rPr>
        <w:t>F</w:t>
      </w:r>
      <w:r>
        <w:rPr>
          <w:i/>
          <w:position w:val="-2"/>
          <w:sz w:val="16"/>
        </w:rPr>
        <w:t>i </w:t>
      </w:r>
      <w:r>
        <w:rPr>
          <w:i/>
          <w:sz w:val="24"/>
        </w:rPr>
        <w:t>= Índice de frecuencia</w:t>
      </w:r>
    </w:p>
    <w:p>
      <w:pPr>
        <w:spacing w:line="276" w:lineRule="exact" w:before="0"/>
        <w:ind w:left="102" w:right="6285" w:firstLine="0"/>
        <w:jc w:val="left"/>
        <w:rPr>
          <w:i/>
          <w:sz w:val="24"/>
        </w:rPr>
      </w:pPr>
      <w:r>
        <w:rPr>
          <w:i/>
          <w:sz w:val="24"/>
        </w:rPr>
        <w:t>I</w:t>
      </w:r>
      <w:r>
        <w:rPr>
          <w:i/>
          <w:position w:val="-2"/>
          <w:sz w:val="16"/>
        </w:rPr>
        <w:t>g </w:t>
      </w:r>
      <w:r>
        <w:rPr>
          <w:i/>
          <w:sz w:val="24"/>
        </w:rPr>
        <w:t>= Índice de gravedad </w:t>
      </w:r>
      <w:r>
        <w:rPr>
          <w:i/>
          <w:sz w:val="24"/>
        </w:rPr>
        <w:t>C</w:t>
      </w:r>
      <w:r>
        <w:rPr>
          <w:i/>
          <w:position w:val="-2"/>
          <w:sz w:val="16"/>
        </w:rPr>
        <w:t>i </w:t>
      </w:r>
      <w:r>
        <w:rPr>
          <w:i/>
          <w:sz w:val="24"/>
        </w:rPr>
        <w:t>= Índice de</w:t>
      </w:r>
      <w:r>
        <w:rPr>
          <w:i/>
          <w:spacing w:val="13"/>
          <w:sz w:val="24"/>
        </w:rPr>
        <w:t> </w:t>
      </w:r>
      <w:r>
        <w:rPr>
          <w:i/>
          <w:sz w:val="24"/>
        </w:rPr>
        <w:t>causalidad</w:t>
      </w:r>
    </w:p>
    <w:p>
      <w:pPr>
        <w:pStyle w:val="BodyText"/>
        <w:rPr>
          <w:i/>
          <w:sz w:val="26"/>
        </w:rPr>
      </w:pPr>
    </w:p>
    <w:p>
      <w:pPr>
        <w:pStyle w:val="BodyText"/>
        <w:spacing w:before="5"/>
        <w:rPr>
          <w:i/>
          <w:sz w:val="27"/>
        </w:rPr>
      </w:pPr>
    </w:p>
    <w:p>
      <w:pPr>
        <w:pStyle w:val="BodyText"/>
        <w:spacing w:line="360" w:lineRule="auto"/>
        <w:ind w:left="102" w:right="119"/>
        <w:jc w:val="both"/>
      </w:pPr>
      <w:r>
        <w:rPr/>
        <w:t>Los valores resultantes de riesgo estadístico se clasificaron en seis categorías (ver cuadro 8).</w:t>
      </w:r>
    </w:p>
    <w:p>
      <w:pPr>
        <w:pStyle w:val="BodyText"/>
        <w:spacing w:before="202"/>
        <w:ind w:left="102"/>
        <w:jc w:val="both"/>
      </w:pPr>
      <w:r>
        <w:rPr/>
        <w:t>Cuadro 8. Clasificación del índice de riesgo estadístico.</w:t>
      </w:r>
    </w:p>
    <w:p>
      <w:pPr>
        <w:pStyle w:val="BodyText"/>
        <w:spacing w:before="6" w:after="1"/>
        <w:rPr>
          <w:sz w:val="29"/>
        </w:rPr>
      </w:pPr>
    </w:p>
    <w:tbl>
      <w:tblPr>
        <w:tblW w:w="0" w:type="auto"/>
        <w:jc w:val="left"/>
        <w:tblInd w:w="1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2835"/>
        <w:gridCol w:w="1275"/>
      </w:tblGrid>
      <w:tr>
        <w:trPr>
          <w:trHeight w:val="425" w:hRule="exact"/>
        </w:trPr>
        <w:tc>
          <w:tcPr>
            <w:tcW w:w="1527" w:type="dxa"/>
          </w:tcPr>
          <w:p>
            <w:pPr>
              <w:pStyle w:val="TableParagraph"/>
              <w:spacing w:line="242" w:lineRule="auto" w:before="0"/>
              <w:ind w:left="285" w:right="272" w:firstLine="171"/>
              <w:rPr>
                <w:b/>
                <w:sz w:val="18"/>
              </w:rPr>
            </w:pPr>
            <w:r>
              <w:rPr>
                <w:b/>
                <w:sz w:val="18"/>
              </w:rPr>
              <w:t>Riesgo estadístico</w:t>
            </w:r>
          </w:p>
        </w:tc>
        <w:tc>
          <w:tcPr>
            <w:tcW w:w="2835" w:type="dxa"/>
          </w:tcPr>
          <w:p>
            <w:pPr>
              <w:pStyle w:val="TableParagraph"/>
              <w:spacing w:line="201" w:lineRule="exact" w:before="0"/>
              <w:ind w:left="209" w:right="214"/>
              <w:jc w:val="center"/>
              <w:rPr>
                <w:b/>
                <w:sz w:val="18"/>
              </w:rPr>
            </w:pPr>
            <w:r>
              <w:rPr>
                <w:b/>
                <w:sz w:val="18"/>
              </w:rPr>
              <w:t>Índice de riesgo estadístico</w:t>
            </w:r>
          </w:p>
        </w:tc>
        <w:tc>
          <w:tcPr>
            <w:tcW w:w="1275" w:type="dxa"/>
          </w:tcPr>
          <w:p>
            <w:pPr>
              <w:pStyle w:val="TableParagraph"/>
              <w:spacing w:line="201" w:lineRule="exact" w:before="0"/>
              <w:ind w:left="207" w:right="207"/>
              <w:jc w:val="center"/>
              <w:rPr>
                <w:b/>
                <w:sz w:val="18"/>
              </w:rPr>
            </w:pPr>
            <w:r>
              <w:rPr>
                <w:b/>
                <w:sz w:val="18"/>
              </w:rPr>
              <w:t>Indicador</w:t>
            </w:r>
          </w:p>
        </w:tc>
      </w:tr>
      <w:tr>
        <w:trPr>
          <w:trHeight w:val="216" w:hRule="exact"/>
        </w:trPr>
        <w:tc>
          <w:tcPr>
            <w:tcW w:w="1527" w:type="dxa"/>
          </w:tcPr>
          <w:p>
            <w:pPr>
              <w:pStyle w:val="TableParagraph"/>
              <w:spacing w:line="206" w:lineRule="exact" w:before="0"/>
              <w:ind w:left="257" w:right="259"/>
              <w:jc w:val="center"/>
              <w:rPr>
                <w:sz w:val="18"/>
              </w:rPr>
            </w:pPr>
            <w:r>
              <w:rPr>
                <w:sz w:val="18"/>
              </w:rPr>
              <w:t>Muy baja</w:t>
            </w:r>
          </w:p>
        </w:tc>
        <w:tc>
          <w:tcPr>
            <w:tcW w:w="2835" w:type="dxa"/>
          </w:tcPr>
          <w:p>
            <w:pPr>
              <w:pStyle w:val="TableParagraph"/>
              <w:spacing w:line="206" w:lineRule="exact" w:before="0"/>
              <w:ind w:left="209" w:right="213"/>
              <w:jc w:val="center"/>
              <w:rPr>
                <w:sz w:val="18"/>
              </w:rPr>
            </w:pPr>
            <w:r>
              <w:rPr>
                <w:sz w:val="18"/>
              </w:rPr>
              <w:t>&lt;6.0</w:t>
            </w:r>
          </w:p>
        </w:tc>
        <w:tc>
          <w:tcPr>
            <w:tcW w:w="1275" w:type="dxa"/>
          </w:tcPr>
          <w:p>
            <w:pPr>
              <w:pStyle w:val="TableParagraph"/>
              <w:spacing w:line="206" w:lineRule="exact" w:before="0"/>
              <w:ind w:left="1"/>
              <w:jc w:val="center"/>
              <w:rPr>
                <w:sz w:val="18"/>
              </w:rPr>
            </w:pPr>
            <w:r>
              <w:rPr>
                <w:w w:val="99"/>
                <w:sz w:val="18"/>
              </w:rPr>
              <w:t>1</w:t>
            </w:r>
          </w:p>
        </w:tc>
      </w:tr>
      <w:tr>
        <w:trPr>
          <w:trHeight w:val="218" w:hRule="exact"/>
        </w:trPr>
        <w:tc>
          <w:tcPr>
            <w:tcW w:w="1527" w:type="dxa"/>
          </w:tcPr>
          <w:p>
            <w:pPr>
              <w:pStyle w:val="TableParagraph"/>
              <w:spacing w:line="206" w:lineRule="exact" w:before="0"/>
              <w:ind w:left="257" w:right="257"/>
              <w:jc w:val="center"/>
              <w:rPr>
                <w:sz w:val="18"/>
              </w:rPr>
            </w:pPr>
            <w:r>
              <w:rPr>
                <w:sz w:val="18"/>
              </w:rPr>
              <w:t>Bajo</w:t>
            </w:r>
          </w:p>
        </w:tc>
        <w:tc>
          <w:tcPr>
            <w:tcW w:w="2835" w:type="dxa"/>
          </w:tcPr>
          <w:p>
            <w:pPr>
              <w:pStyle w:val="TableParagraph"/>
              <w:spacing w:line="206" w:lineRule="exact" w:before="0"/>
              <w:ind w:left="209" w:right="210"/>
              <w:jc w:val="center"/>
              <w:rPr>
                <w:sz w:val="18"/>
              </w:rPr>
            </w:pPr>
            <w:r>
              <w:rPr>
                <w:sz w:val="18"/>
              </w:rPr>
              <w:t>6.0-11.9</w:t>
            </w:r>
          </w:p>
        </w:tc>
        <w:tc>
          <w:tcPr>
            <w:tcW w:w="1275" w:type="dxa"/>
          </w:tcPr>
          <w:p>
            <w:pPr>
              <w:pStyle w:val="TableParagraph"/>
              <w:spacing w:line="206" w:lineRule="exact" w:before="0"/>
              <w:ind w:left="1"/>
              <w:jc w:val="center"/>
              <w:rPr>
                <w:sz w:val="18"/>
              </w:rPr>
            </w:pPr>
            <w:r>
              <w:rPr>
                <w:w w:val="99"/>
                <w:sz w:val="18"/>
              </w:rPr>
              <w:t>2</w:t>
            </w:r>
          </w:p>
        </w:tc>
      </w:tr>
      <w:tr>
        <w:trPr>
          <w:trHeight w:val="216" w:hRule="exact"/>
        </w:trPr>
        <w:tc>
          <w:tcPr>
            <w:tcW w:w="1527" w:type="dxa"/>
          </w:tcPr>
          <w:p>
            <w:pPr>
              <w:pStyle w:val="TableParagraph"/>
              <w:spacing w:line="206" w:lineRule="exact" w:before="0"/>
              <w:ind w:left="254" w:right="259"/>
              <w:jc w:val="center"/>
              <w:rPr>
                <w:sz w:val="18"/>
              </w:rPr>
            </w:pPr>
            <w:r>
              <w:rPr>
                <w:sz w:val="18"/>
              </w:rPr>
              <w:t>Moderado</w:t>
            </w:r>
          </w:p>
        </w:tc>
        <w:tc>
          <w:tcPr>
            <w:tcW w:w="2835" w:type="dxa"/>
          </w:tcPr>
          <w:p>
            <w:pPr>
              <w:pStyle w:val="TableParagraph"/>
              <w:spacing w:line="206" w:lineRule="exact" w:before="0"/>
              <w:ind w:left="209" w:right="212"/>
              <w:jc w:val="center"/>
              <w:rPr>
                <w:sz w:val="18"/>
              </w:rPr>
            </w:pPr>
            <w:r>
              <w:rPr>
                <w:sz w:val="18"/>
              </w:rPr>
              <w:t>12.0-23.9</w:t>
            </w:r>
          </w:p>
        </w:tc>
        <w:tc>
          <w:tcPr>
            <w:tcW w:w="1275" w:type="dxa"/>
          </w:tcPr>
          <w:p>
            <w:pPr>
              <w:pStyle w:val="TableParagraph"/>
              <w:spacing w:line="206" w:lineRule="exact" w:before="0"/>
              <w:ind w:left="1"/>
              <w:jc w:val="center"/>
              <w:rPr>
                <w:sz w:val="18"/>
              </w:rPr>
            </w:pPr>
            <w:r>
              <w:rPr>
                <w:w w:val="99"/>
                <w:sz w:val="18"/>
              </w:rPr>
              <w:t>3</w:t>
            </w:r>
          </w:p>
        </w:tc>
      </w:tr>
      <w:tr>
        <w:trPr>
          <w:trHeight w:val="216" w:hRule="exact"/>
        </w:trPr>
        <w:tc>
          <w:tcPr>
            <w:tcW w:w="1527" w:type="dxa"/>
          </w:tcPr>
          <w:p>
            <w:pPr>
              <w:pStyle w:val="TableParagraph"/>
              <w:spacing w:line="206" w:lineRule="exact" w:before="0"/>
              <w:ind w:left="257" w:right="257"/>
              <w:jc w:val="center"/>
              <w:rPr>
                <w:sz w:val="18"/>
              </w:rPr>
            </w:pPr>
            <w:r>
              <w:rPr>
                <w:sz w:val="18"/>
              </w:rPr>
              <w:t>Alto</w:t>
            </w:r>
          </w:p>
        </w:tc>
        <w:tc>
          <w:tcPr>
            <w:tcW w:w="2835" w:type="dxa"/>
          </w:tcPr>
          <w:p>
            <w:pPr>
              <w:pStyle w:val="TableParagraph"/>
              <w:spacing w:line="206" w:lineRule="exact" w:before="0"/>
              <w:ind w:left="209" w:right="212"/>
              <w:jc w:val="center"/>
              <w:rPr>
                <w:sz w:val="18"/>
              </w:rPr>
            </w:pPr>
            <w:r>
              <w:rPr>
                <w:sz w:val="18"/>
              </w:rPr>
              <w:t>24.0-39.9</w:t>
            </w:r>
          </w:p>
        </w:tc>
        <w:tc>
          <w:tcPr>
            <w:tcW w:w="1275" w:type="dxa"/>
          </w:tcPr>
          <w:p>
            <w:pPr>
              <w:pStyle w:val="TableParagraph"/>
              <w:spacing w:line="206" w:lineRule="exact" w:before="0"/>
              <w:ind w:left="1"/>
              <w:jc w:val="center"/>
              <w:rPr>
                <w:sz w:val="18"/>
              </w:rPr>
            </w:pPr>
            <w:r>
              <w:rPr>
                <w:w w:val="99"/>
                <w:sz w:val="18"/>
              </w:rPr>
              <w:t>4</w:t>
            </w:r>
          </w:p>
        </w:tc>
      </w:tr>
      <w:tr>
        <w:trPr>
          <w:trHeight w:val="218" w:hRule="exact"/>
        </w:trPr>
        <w:tc>
          <w:tcPr>
            <w:tcW w:w="1527" w:type="dxa"/>
          </w:tcPr>
          <w:p>
            <w:pPr>
              <w:pStyle w:val="TableParagraph"/>
              <w:spacing w:before="1"/>
              <w:ind w:left="256" w:right="259"/>
              <w:jc w:val="center"/>
              <w:rPr>
                <w:sz w:val="18"/>
              </w:rPr>
            </w:pPr>
            <w:r>
              <w:rPr>
                <w:sz w:val="18"/>
              </w:rPr>
              <w:t>Grave</w:t>
            </w:r>
          </w:p>
        </w:tc>
        <w:tc>
          <w:tcPr>
            <w:tcW w:w="2835" w:type="dxa"/>
          </w:tcPr>
          <w:p>
            <w:pPr>
              <w:pStyle w:val="TableParagraph"/>
              <w:spacing w:before="1"/>
              <w:ind w:left="209" w:right="212"/>
              <w:jc w:val="center"/>
              <w:rPr>
                <w:sz w:val="18"/>
              </w:rPr>
            </w:pPr>
            <w:r>
              <w:rPr>
                <w:sz w:val="18"/>
              </w:rPr>
              <w:t>40.0-71.9</w:t>
            </w:r>
          </w:p>
        </w:tc>
        <w:tc>
          <w:tcPr>
            <w:tcW w:w="1275" w:type="dxa"/>
          </w:tcPr>
          <w:p>
            <w:pPr>
              <w:pStyle w:val="TableParagraph"/>
              <w:spacing w:before="1"/>
              <w:ind w:left="1"/>
              <w:jc w:val="center"/>
              <w:rPr>
                <w:sz w:val="18"/>
              </w:rPr>
            </w:pPr>
            <w:r>
              <w:rPr>
                <w:w w:val="99"/>
                <w:sz w:val="18"/>
              </w:rPr>
              <w:t>5</w:t>
            </w:r>
          </w:p>
        </w:tc>
      </w:tr>
      <w:tr>
        <w:trPr>
          <w:trHeight w:val="216" w:hRule="exact"/>
        </w:trPr>
        <w:tc>
          <w:tcPr>
            <w:tcW w:w="1527" w:type="dxa"/>
          </w:tcPr>
          <w:p>
            <w:pPr>
              <w:pStyle w:val="TableParagraph"/>
              <w:spacing w:line="206" w:lineRule="exact" w:before="0"/>
              <w:ind w:left="257" w:right="258"/>
              <w:jc w:val="center"/>
              <w:rPr>
                <w:sz w:val="18"/>
              </w:rPr>
            </w:pPr>
            <w:r>
              <w:rPr>
                <w:sz w:val="18"/>
              </w:rPr>
              <w:t>Extremo</w:t>
            </w:r>
          </w:p>
        </w:tc>
        <w:tc>
          <w:tcPr>
            <w:tcW w:w="2835" w:type="dxa"/>
          </w:tcPr>
          <w:p>
            <w:pPr>
              <w:pStyle w:val="TableParagraph"/>
              <w:spacing w:line="206" w:lineRule="exact" w:before="0"/>
              <w:ind w:left="209" w:right="212"/>
              <w:jc w:val="center"/>
              <w:rPr>
                <w:sz w:val="18"/>
              </w:rPr>
            </w:pPr>
            <w:r>
              <w:rPr>
                <w:sz w:val="18"/>
              </w:rPr>
              <w:t>≥72.0</w:t>
            </w:r>
          </w:p>
        </w:tc>
        <w:tc>
          <w:tcPr>
            <w:tcW w:w="1275" w:type="dxa"/>
          </w:tcPr>
          <w:p>
            <w:pPr>
              <w:pStyle w:val="TableParagraph"/>
              <w:spacing w:line="206" w:lineRule="exact" w:before="0"/>
              <w:ind w:left="1"/>
              <w:jc w:val="center"/>
              <w:rPr>
                <w:sz w:val="18"/>
              </w:rPr>
            </w:pPr>
            <w:r>
              <w:rPr>
                <w:w w:val="99"/>
                <w:sz w:val="18"/>
              </w:rPr>
              <w:t>6</w:t>
            </w:r>
          </w:p>
        </w:tc>
      </w:tr>
    </w:tbl>
    <w:p>
      <w:pPr>
        <w:spacing w:after="0" w:line="206" w:lineRule="exact"/>
        <w:jc w:val="center"/>
        <w:rPr>
          <w:sz w:val="18"/>
        </w:rPr>
        <w:sectPr>
          <w:footerReference w:type="default" r:id="rId31"/>
          <w:pgSz w:w="12240" w:h="15840"/>
          <w:pgMar w:footer="1003" w:header="0" w:top="1360" w:bottom="1200" w:left="1600" w:right="1580"/>
        </w:sectPr>
      </w:pPr>
    </w:p>
    <w:p>
      <w:pPr>
        <w:pStyle w:val="Heading1"/>
        <w:numPr>
          <w:ilvl w:val="0"/>
          <w:numId w:val="12"/>
        </w:numPr>
        <w:tabs>
          <w:tab w:pos="822" w:val="left" w:leader="none"/>
        </w:tabs>
        <w:spacing w:line="240" w:lineRule="auto" w:before="54" w:after="0"/>
        <w:ind w:left="822" w:right="0" w:hanging="360"/>
        <w:jc w:val="left"/>
        <w:rPr>
          <w:b w:val="0"/>
        </w:rPr>
      </w:pPr>
      <w:r>
        <w:rPr/>
        <w:t>Peligrosidad del</w:t>
      </w:r>
      <w:r>
        <w:rPr>
          <w:spacing w:val="-5"/>
        </w:rPr>
        <w:t> </w:t>
      </w:r>
      <w:r>
        <w:rPr/>
        <w:t>medio</w:t>
      </w:r>
      <w:r>
        <w:rPr>
          <w:b w:val="0"/>
        </w:rPr>
        <w:t>.</w:t>
      </w:r>
    </w:p>
    <w:p>
      <w:pPr>
        <w:pStyle w:val="BodyText"/>
        <w:spacing w:before="2"/>
        <w:rPr>
          <w:sz w:val="29"/>
        </w:rPr>
      </w:pPr>
    </w:p>
    <w:p>
      <w:pPr>
        <w:pStyle w:val="BodyText"/>
        <w:spacing w:line="360" w:lineRule="auto"/>
        <w:ind w:left="102" w:right="116"/>
        <w:jc w:val="both"/>
      </w:pPr>
      <w:r>
        <w:rPr/>
        <w:t>De acuerdo a Copete </w:t>
      </w:r>
      <w:r>
        <w:rPr>
          <w:i/>
        </w:rPr>
        <w:t>et al</w:t>
      </w:r>
      <w:r>
        <w:rPr/>
        <w:t>., (2007), la peligrosidad del medio, surge de la integración de factores de carácter casi permanente en el monte y da una idea sobre la gravedad y dificultad de extinción, ante un incendio forestal y en un lugar determinado. Se estimó la peligrosidad del medio a partir de la combustibilidad ligada a la vegetación, el relieve o la fisiografía y la climatología. La peligrosidad del medio se calculó a través de los siguientes pasos:</w:t>
      </w:r>
    </w:p>
    <w:p>
      <w:pPr>
        <w:pStyle w:val="BodyText"/>
      </w:pPr>
    </w:p>
    <w:p>
      <w:pPr>
        <w:pStyle w:val="BodyText"/>
        <w:spacing w:before="8"/>
        <w:rPr>
          <w:sz w:val="29"/>
        </w:rPr>
      </w:pPr>
    </w:p>
    <w:p>
      <w:pPr>
        <w:pStyle w:val="Heading1"/>
        <w:numPr>
          <w:ilvl w:val="0"/>
          <w:numId w:val="13"/>
        </w:numPr>
        <w:tabs>
          <w:tab w:pos="822" w:val="left" w:leader="none"/>
        </w:tabs>
        <w:spacing w:line="240" w:lineRule="auto" w:before="0" w:after="0"/>
        <w:ind w:left="822" w:right="0" w:hanging="360"/>
        <w:jc w:val="left"/>
        <w:rPr>
          <w:b w:val="0"/>
        </w:rPr>
      </w:pPr>
      <w:r>
        <w:rPr/>
        <w:t>Peligrosidad de los combustibles</w:t>
      </w:r>
      <w:r>
        <w:rPr>
          <w:spacing w:val="-7"/>
        </w:rPr>
        <w:t> </w:t>
      </w:r>
      <w:r>
        <w:rPr>
          <w:b w:val="0"/>
        </w:rPr>
        <w:t>(P</w:t>
      </w:r>
      <w:r>
        <w:rPr>
          <w:b w:val="0"/>
          <w:position w:val="-2"/>
          <w:sz w:val="16"/>
        </w:rPr>
        <w:t>CB</w:t>
      </w:r>
      <w:r>
        <w:rPr>
          <w:b w:val="0"/>
        </w:rPr>
        <w:t>):</w:t>
      </w:r>
    </w:p>
    <w:p>
      <w:pPr>
        <w:pStyle w:val="BodyText"/>
        <w:spacing w:before="3"/>
        <w:rPr>
          <w:sz w:val="28"/>
        </w:rPr>
      </w:pPr>
    </w:p>
    <w:p>
      <w:pPr>
        <w:pStyle w:val="BodyText"/>
        <w:spacing w:line="360" w:lineRule="auto"/>
        <w:ind w:left="102" w:right="116"/>
        <w:jc w:val="both"/>
      </w:pPr>
      <w:r>
        <w:rPr/>
        <w:t>Es la facilidad que tiene un área para propagar el fuego y depende de la inflamabilidad y combustibilidad de la vegetación los cuales están en función del tipo y cantidad de biomasa presentes. Para obtener la peligrosidad de los combustibles se realizó lo siguiente:</w:t>
      </w:r>
    </w:p>
    <w:p>
      <w:pPr>
        <w:pStyle w:val="ListParagraph"/>
        <w:numPr>
          <w:ilvl w:val="0"/>
          <w:numId w:val="14"/>
        </w:numPr>
        <w:tabs>
          <w:tab w:pos="530" w:val="left" w:leader="none"/>
        </w:tabs>
        <w:spacing w:line="357" w:lineRule="auto" w:before="205" w:after="0"/>
        <w:ind w:left="529" w:right="114" w:hanging="360"/>
        <w:jc w:val="both"/>
        <w:rPr>
          <w:sz w:val="24"/>
        </w:rPr>
      </w:pPr>
      <w:r>
        <w:rPr>
          <w:sz w:val="24"/>
        </w:rPr>
        <w:t>La Comisión Nacional Forestal (CONAFOR), proporcionó información de los combustibles forestales del Inventario Nacional Forestal y de Suelos del periodo 2009-2012. Los datos corresponden al combustible presente a nivel conglomerado distribuidos cada 5 km, con un tiempo de retardación de 1, 10 y 100</w:t>
      </w:r>
      <w:r>
        <w:rPr>
          <w:spacing w:val="-3"/>
          <w:sz w:val="24"/>
        </w:rPr>
        <w:t> </w:t>
      </w:r>
      <w:r>
        <w:rPr>
          <w:sz w:val="24"/>
        </w:rPr>
        <w:t>horas.</w:t>
      </w:r>
    </w:p>
    <w:p>
      <w:pPr>
        <w:pStyle w:val="ListParagraph"/>
        <w:numPr>
          <w:ilvl w:val="0"/>
          <w:numId w:val="14"/>
        </w:numPr>
        <w:tabs>
          <w:tab w:pos="530" w:val="left" w:leader="none"/>
        </w:tabs>
        <w:spacing w:line="350" w:lineRule="auto" w:before="207" w:after="0"/>
        <w:ind w:left="529" w:right="114" w:hanging="360"/>
        <w:jc w:val="both"/>
        <w:rPr>
          <w:sz w:val="24"/>
        </w:rPr>
      </w:pPr>
      <w:r>
        <w:rPr>
          <w:sz w:val="24"/>
        </w:rPr>
        <w:t>Se realizaron recorridos de campo para verificar la información del  combustible presente en el sitio, para ello se visitaron 11 sitios (ver</w:t>
      </w:r>
      <w:r>
        <w:rPr>
          <w:spacing w:val="-19"/>
          <w:sz w:val="24"/>
        </w:rPr>
        <w:t> </w:t>
      </w:r>
      <w:r>
        <w:rPr>
          <w:sz w:val="24"/>
        </w:rPr>
        <w:t>anexos).</w:t>
      </w:r>
    </w:p>
    <w:p>
      <w:pPr>
        <w:pStyle w:val="ListParagraph"/>
        <w:numPr>
          <w:ilvl w:val="0"/>
          <w:numId w:val="14"/>
        </w:numPr>
        <w:tabs>
          <w:tab w:pos="530" w:val="left" w:leader="none"/>
        </w:tabs>
        <w:spacing w:line="355" w:lineRule="auto" w:before="215" w:after="0"/>
        <w:ind w:left="529" w:right="120" w:hanging="360"/>
        <w:jc w:val="both"/>
        <w:rPr>
          <w:sz w:val="24"/>
        </w:rPr>
      </w:pPr>
      <w:r>
        <w:rPr>
          <w:sz w:val="24"/>
        </w:rPr>
        <w:t>En la figura 3, se aprecia en color azul los puntos visitados por la Comisión Nacional Forestal (CONAFOR) correspondientes a combustibles menores y en color amarillo, los sitios donde se verificó la</w:t>
      </w:r>
      <w:r>
        <w:rPr>
          <w:spacing w:val="-15"/>
          <w:sz w:val="24"/>
        </w:rPr>
        <w:t> </w:t>
      </w:r>
      <w:r>
        <w:rPr>
          <w:sz w:val="24"/>
        </w:rPr>
        <w:t>información.</w:t>
      </w:r>
    </w:p>
    <w:p>
      <w:pPr>
        <w:spacing w:after="0" w:line="355" w:lineRule="auto"/>
        <w:jc w:val="both"/>
        <w:rPr>
          <w:sz w:val="24"/>
        </w:rPr>
        <w:sectPr>
          <w:footerReference w:type="default" r:id="rId32"/>
          <w:pgSz w:w="12240" w:h="15840"/>
          <w:pgMar w:footer="1003" w:header="0" w:top="1360" w:bottom="1200" w:left="1600" w:right="1580"/>
          <w:pgNumType w:start="51"/>
        </w:sectPr>
      </w:pPr>
    </w:p>
    <w:p>
      <w:pPr>
        <w:pStyle w:val="BodyText"/>
        <w:spacing w:before="54"/>
        <w:ind w:left="102"/>
      </w:pPr>
      <w:r>
        <w:rPr/>
        <w:t>Figura 3. Puntos de muestreo.</w:t>
      </w:r>
    </w:p>
    <w:p>
      <w:pPr>
        <w:pStyle w:val="BodyText"/>
        <w:spacing w:before="3"/>
        <w:rPr>
          <w:sz w:val="14"/>
        </w:rPr>
      </w:pPr>
      <w:r>
        <w:rPr/>
        <w:drawing>
          <wp:anchor distT="0" distB="0" distL="0" distR="0" allowOverlap="1" layoutInCell="1" locked="0" behindDoc="0" simplePos="0" relativeHeight="1288">
            <wp:simplePos x="0" y="0"/>
            <wp:positionH relativeFrom="page">
              <wp:posOffset>1369694</wp:posOffset>
            </wp:positionH>
            <wp:positionV relativeFrom="paragraph">
              <wp:posOffset>128994</wp:posOffset>
            </wp:positionV>
            <wp:extent cx="5200911" cy="7800975"/>
            <wp:effectExtent l="0" t="0" r="0" b="0"/>
            <wp:wrapTopAndBottom/>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33" cstate="print"/>
                    <a:stretch>
                      <a:fillRect/>
                    </a:stretch>
                  </pic:blipFill>
                  <pic:spPr>
                    <a:xfrm>
                      <a:off x="0" y="0"/>
                      <a:ext cx="5200911" cy="7800975"/>
                    </a:xfrm>
                    <a:prstGeom prst="rect">
                      <a:avLst/>
                    </a:prstGeom>
                  </pic:spPr>
                </pic:pic>
              </a:graphicData>
            </a:graphic>
          </wp:anchor>
        </w:drawing>
      </w:r>
    </w:p>
    <w:p>
      <w:pPr>
        <w:spacing w:after="0"/>
        <w:rPr>
          <w:sz w:val="14"/>
        </w:rPr>
        <w:sectPr>
          <w:pgSz w:w="12240" w:h="15840"/>
          <w:pgMar w:header="0" w:footer="1003" w:top="1360" w:bottom="1200" w:left="1600" w:right="1580"/>
        </w:sectPr>
      </w:pPr>
    </w:p>
    <w:p>
      <w:pPr>
        <w:pStyle w:val="ListParagraph"/>
        <w:numPr>
          <w:ilvl w:val="1"/>
          <w:numId w:val="14"/>
        </w:numPr>
        <w:tabs>
          <w:tab w:pos="822" w:val="left" w:leader="none"/>
        </w:tabs>
        <w:spacing w:line="360" w:lineRule="auto" w:before="54" w:after="0"/>
        <w:ind w:left="822" w:right="116" w:hanging="360"/>
        <w:jc w:val="both"/>
        <w:rPr>
          <w:rFonts w:ascii="Symbol" w:hAnsi="Symbol"/>
          <w:sz w:val="22"/>
        </w:rPr>
      </w:pPr>
      <w:r>
        <w:rPr>
          <w:sz w:val="24"/>
        </w:rPr>
        <w:t>En el programa ArcMap se interpolaron los datos de combustibles del Inventario Nacional de la CONAFOR y combustibles forestales observados en el campo, por medio de la herramienta IDW de la caja de herramientas Interpolation ubicada en Geostatistical Analyst Tools y posteriormente, se asignó un coeficiente de</w:t>
      </w:r>
      <w:r>
        <w:rPr>
          <w:spacing w:val="-13"/>
          <w:sz w:val="24"/>
        </w:rPr>
        <w:t> </w:t>
      </w:r>
      <w:r>
        <w:rPr>
          <w:sz w:val="24"/>
        </w:rPr>
        <w:t>peligrosidad.</w:t>
      </w:r>
    </w:p>
    <w:p>
      <w:pPr>
        <w:pStyle w:val="BodyText"/>
      </w:pPr>
    </w:p>
    <w:p>
      <w:pPr>
        <w:pStyle w:val="BodyText"/>
      </w:pPr>
    </w:p>
    <w:p>
      <w:pPr>
        <w:pStyle w:val="BodyText"/>
        <w:spacing w:before="1"/>
        <w:rPr>
          <w:sz w:val="22"/>
        </w:rPr>
      </w:pPr>
    </w:p>
    <w:p>
      <w:pPr>
        <w:pStyle w:val="Heading1"/>
        <w:numPr>
          <w:ilvl w:val="0"/>
          <w:numId w:val="13"/>
        </w:numPr>
        <w:tabs>
          <w:tab w:pos="822" w:val="left" w:leader="none"/>
        </w:tabs>
        <w:spacing w:line="240" w:lineRule="auto" w:before="1" w:after="0"/>
        <w:ind w:left="822" w:right="0" w:hanging="360"/>
        <w:jc w:val="left"/>
      </w:pPr>
      <w:r>
        <w:rPr/>
        <w:t>Peligrosidad de la fisiografía</w:t>
      </w:r>
      <w:r>
        <w:rPr>
          <w:spacing w:val="-10"/>
        </w:rPr>
        <w:t> </w:t>
      </w:r>
      <w:r>
        <w:rPr/>
        <w:t>(P</w:t>
      </w:r>
      <w:r>
        <w:rPr>
          <w:position w:val="-2"/>
          <w:sz w:val="16"/>
        </w:rPr>
        <w:t>F</w:t>
      </w:r>
      <w:r>
        <w:rPr/>
        <w:t>):</w:t>
      </w:r>
    </w:p>
    <w:p>
      <w:pPr>
        <w:pStyle w:val="BodyText"/>
        <w:spacing w:before="1"/>
        <w:rPr>
          <w:b/>
          <w:sz w:val="28"/>
        </w:rPr>
      </w:pPr>
    </w:p>
    <w:p>
      <w:pPr>
        <w:pStyle w:val="BodyText"/>
        <w:spacing w:line="360" w:lineRule="auto"/>
        <w:ind w:left="102" w:right="122"/>
        <w:jc w:val="both"/>
      </w:pPr>
      <w:r>
        <w:rPr/>
        <w:t>Copete </w:t>
      </w:r>
      <w:r>
        <w:rPr>
          <w:i/>
        </w:rPr>
        <w:t>et al., </w:t>
      </w:r>
      <w:r>
        <w:rPr/>
        <w:t>(2007), menciona que la pendiente es el factor topográfico de mayor influencia en la velocidad de propagación del fuego, ya que cuanto mayor es ésta, mayor es la ocurrencia de fenómenos de radiación y convección en la  zona situada ladera arriba de las llamas, y por tanto, más importantes son los fenómenos de desecación y precalentamiento del combustible, además, agrega que la pendiente favorece la continuidad horizontal y vertical de los combustibles.</w:t>
      </w:r>
    </w:p>
    <w:p>
      <w:pPr>
        <w:pStyle w:val="ListParagraph"/>
        <w:numPr>
          <w:ilvl w:val="1"/>
          <w:numId w:val="14"/>
        </w:numPr>
        <w:tabs>
          <w:tab w:pos="822" w:val="left" w:leader="none"/>
        </w:tabs>
        <w:spacing w:line="352" w:lineRule="auto" w:before="202" w:after="0"/>
        <w:ind w:left="822" w:right="121" w:hanging="360"/>
        <w:jc w:val="both"/>
        <w:rPr>
          <w:rFonts w:ascii="Symbol" w:hAnsi="Symbol"/>
          <w:sz w:val="24"/>
        </w:rPr>
      </w:pPr>
      <w:r>
        <w:rPr>
          <w:sz w:val="24"/>
        </w:rPr>
        <w:t>Se descargó del sitio de INEGI el modelo de elevación digital para el Distrito Federal.</w:t>
      </w:r>
    </w:p>
    <w:p>
      <w:pPr>
        <w:pStyle w:val="ListParagraph"/>
        <w:numPr>
          <w:ilvl w:val="1"/>
          <w:numId w:val="14"/>
        </w:numPr>
        <w:tabs>
          <w:tab w:pos="822" w:val="left" w:leader="none"/>
        </w:tabs>
        <w:spacing w:line="350" w:lineRule="auto" w:before="12" w:after="0"/>
        <w:ind w:left="822" w:right="124" w:hanging="360"/>
        <w:jc w:val="both"/>
        <w:rPr>
          <w:rFonts w:ascii="Symbol" w:hAnsi="Symbol"/>
          <w:sz w:val="24"/>
        </w:rPr>
      </w:pPr>
      <w:r>
        <w:rPr>
          <w:sz w:val="24"/>
        </w:rPr>
        <w:t>En el Software ArcGIS se obtuvieron curvas de nivel cada 20 m y a partir de estas se construyó un TIN, para después crear otro</w:t>
      </w:r>
      <w:r>
        <w:rPr>
          <w:spacing w:val="-20"/>
          <w:sz w:val="24"/>
        </w:rPr>
        <w:t> </w:t>
      </w:r>
      <w:r>
        <w:rPr>
          <w:sz w:val="24"/>
        </w:rPr>
        <w:t>raster.</w:t>
      </w:r>
    </w:p>
    <w:p>
      <w:pPr>
        <w:pStyle w:val="ListParagraph"/>
        <w:numPr>
          <w:ilvl w:val="1"/>
          <w:numId w:val="14"/>
        </w:numPr>
        <w:tabs>
          <w:tab w:pos="821" w:val="left" w:leader="none"/>
          <w:tab w:pos="822" w:val="left" w:leader="none"/>
        </w:tabs>
        <w:spacing w:line="240" w:lineRule="auto" w:before="16" w:after="0"/>
        <w:ind w:left="822" w:right="0" w:hanging="360"/>
        <w:jc w:val="left"/>
        <w:rPr>
          <w:rFonts w:ascii="Symbol"/>
          <w:sz w:val="24"/>
        </w:rPr>
      </w:pPr>
      <w:r>
        <w:rPr>
          <w:sz w:val="24"/>
        </w:rPr>
        <w:t>A partir de este raster se determinaron las pendientes en</w:t>
      </w:r>
      <w:r>
        <w:rPr>
          <w:spacing w:val="-17"/>
          <w:sz w:val="24"/>
        </w:rPr>
        <w:t> </w:t>
      </w:r>
      <w:r>
        <w:rPr>
          <w:sz w:val="24"/>
        </w:rPr>
        <w:t>porcentaje.</w:t>
      </w:r>
    </w:p>
    <w:p>
      <w:pPr>
        <w:pStyle w:val="ListParagraph"/>
        <w:numPr>
          <w:ilvl w:val="1"/>
          <w:numId w:val="14"/>
        </w:numPr>
        <w:tabs>
          <w:tab w:pos="822" w:val="left" w:leader="none"/>
        </w:tabs>
        <w:spacing w:line="357" w:lineRule="auto" w:before="135" w:after="0"/>
        <w:ind w:left="822" w:right="119" w:hanging="360"/>
        <w:jc w:val="both"/>
        <w:rPr>
          <w:rFonts w:ascii="Symbol" w:hAnsi="Symbol"/>
          <w:sz w:val="24"/>
        </w:rPr>
      </w:pPr>
      <w:r>
        <w:rPr>
          <w:sz w:val="24"/>
        </w:rPr>
        <w:t>Se reclasificó la pendiente en cuatro rangos, en función del comportamiento del fuego, es decir, de la velocidad de propagación y en función a la dificultad de acceso para los medios de extinción, es por ello que por arriba del 35% se asigna el valor máximo de riesgo (ver cuadro</w:t>
      </w:r>
      <w:r>
        <w:rPr>
          <w:spacing w:val="-17"/>
          <w:sz w:val="24"/>
        </w:rPr>
        <w:t> </w:t>
      </w:r>
      <w:r>
        <w:rPr>
          <w:sz w:val="24"/>
        </w:rPr>
        <w:t>9):</w:t>
      </w:r>
    </w:p>
    <w:p>
      <w:pPr>
        <w:pStyle w:val="BodyText"/>
      </w:pPr>
    </w:p>
    <w:p>
      <w:pPr>
        <w:pStyle w:val="BodyText"/>
        <w:spacing w:before="145"/>
        <w:ind w:left="821"/>
      </w:pPr>
      <w:r>
        <w:rPr/>
        <w:t>Cuadro 9. Clasificación del rango de pendiente.</w:t>
      </w:r>
    </w:p>
    <w:p>
      <w:pPr>
        <w:pStyle w:val="BodyText"/>
        <w:spacing w:before="3"/>
        <w:rPr>
          <w:sz w:val="12"/>
        </w:rPr>
      </w:pPr>
    </w:p>
    <w:tbl>
      <w:tblPr>
        <w:tblW w:w="0" w:type="auto"/>
        <w:jc w:val="left"/>
        <w:tblInd w:w="10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1"/>
        <w:gridCol w:w="2554"/>
        <w:gridCol w:w="1292"/>
      </w:tblGrid>
      <w:tr>
        <w:trPr>
          <w:trHeight w:val="322" w:hRule="exact"/>
        </w:trPr>
        <w:tc>
          <w:tcPr>
            <w:tcW w:w="3051" w:type="dxa"/>
          </w:tcPr>
          <w:p>
            <w:pPr>
              <w:pStyle w:val="TableParagraph"/>
              <w:spacing w:line="201" w:lineRule="exact" w:before="0"/>
              <w:ind w:left="279" w:right="280"/>
              <w:jc w:val="center"/>
              <w:rPr>
                <w:b/>
                <w:sz w:val="18"/>
              </w:rPr>
            </w:pPr>
            <w:r>
              <w:rPr>
                <w:b/>
                <w:sz w:val="18"/>
              </w:rPr>
              <w:t>Peligrosidad de la pendiente</w:t>
            </w:r>
          </w:p>
        </w:tc>
        <w:tc>
          <w:tcPr>
            <w:tcW w:w="2554" w:type="dxa"/>
          </w:tcPr>
          <w:p>
            <w:pPr>
              <w:pStyle w:val="TableParagraph"/>
              <w:spacing w:line="201" w:lineRule="exact" w:before="0"/>
              <w:ind w:left="173" w:right="180"/>
              <w:jc w:val="center"/>
              <w:rPr>
                <w:b/>
                <w:sz w:val="18"/>
              </w:rPr>
            </w:pPr>
            <w:r>
              <w:rPr>
                <w:b/>
                <w:sz w:val="18"/>
              </w:rPr>
              <w:t>Rango de pendientes (%)</w:t>
            </w:r>
          </w:p>
        </w:tc>
        <w:tc>
          <w:tcPr>
            <w:tcW w:w="1292" w:type="dxa"/>
          </w:tcPr>
          <w:p>
            <w:pPr>
              <w:pStyle w:val="TableParagraph"/>
              <w:spacing w:line="201" w:lineRule="exact" w:before="0"/>
              <w:ind w:left="214" w:right="218"/>
              <w:jc w:val="center"/>
              <w:rPr>
                <w:b/>
                <w:sz w:val="18"/>
              </w:rPr>
            </w:pPr>
            <w:r>
              <w:rPr>
                <w:b/>
                <w:sz w:val="18"/>
              </w:rPr>
              <w:t>Indicador</w:t>
            </w:r>
          </w:p>
        </w:tc>
      </w:tr>
      <w:tr>
        <w:trPr>
          <w:trHeight w:val="319" w:hRule="exact"/>
        </w:trPr>
        <w:tc>
          <w:tcPr>
            <w:tcW w:w="3051" w:type="dxa"/>
          </w:tcPr>
          <w:p>
            <w:pPr>
              <w:pStyle w:val="TableParagraph"/>
              <w:spacing w:line="206" w:lineRule="exact" w:before="0"/>
              <w:ind w:left="279" w:right="279"/>
              <w:jc w:val="center"/>
              <w:rPr>
                <w:sz w:val="18"/>
              </w:rPr>
            </w:pPr>
            <w:r>
              <w:rPr>
                <w:sz w:val="18"/>
              </w:rPr>
              <w:t>Baja</w:t>
            </w:r>
          </w:p>
        </w:tc>
        <w:tc>
          <w:tcPr>
            <w:tcW w:w="2554" w:type="dxa"/>
          </w:tcPr>
          <w:p>
            <w:pPr>
              <w:pStyle w:val="TableParagraph"/>
              <w:spacing w:line="206" w:lineRule="exact" w:before="0"/>
              <w:ind w:left="173" w:right="173"/>
              <w:jc w:val="center"/>
              <w:rPr>
                <w:sz w:val="18"/>
              </w:rPr>
            </w:pPr>
            <w:r>
              <w:rPr>
                <w:sz w:val="18"/>
              </w:rPr>
              <w:t>0-4.9</w:t>
            </w:r>
          </w:p>
        </w:tc>
        <w:tc>
          <w:tcPr>
            <w:tcW w:w="1292" w:type="dxa"/>
          </w:tcPr>
          <w:p>
            <w:pPr>
              <w:pStyle w:val="TableParagraph"/>
              <w:spacing w:line="206" w:lineRule="exact" w:before="0"/>
              <w:ind w:right="2"/>
              <w:jc w:val="center"/>
              <w:rPr>
                <w:sz w:val="18"/>
              </w:rPr>
            </w:pPr>
            <w:r>
              <w:rPr>
                <w:w w:val="99"/>
                <w:sz w:val="18"/>
              </w:rPr>
              <w:t>3</w:t>
            </w:r>
          </w:p>
        </w:tc>
      </w:tr>
      <w:tr>
        <w:trPr>
          <w:trHeight w:val="322" w:hRule="exact"/>
        </w:trPr>
        <w:tc>
          <w:tcPr>
            <w:tcW w:w="3051" w:type="dxa"/>
          </w:tcPr>
          <w:p>
            <w:pPr>
              <w:pStyle w:val="TableParagraph"/>
              <w:spacing w:line="206" w:lineRule="exact" w:before="0"/>
              <w:ind w:left="279" w:right="280"/>
              <w:jc w:val="center"/>
              <w:rPr>
                <w:sz w:val="18"/>
              </w:rPr>
            </w:pPr>
            <w:r>
              <w:rPr>
                <w:sz w:val="18"/>
              </w:rPr>
              <w:t>Moderada</w:t>
            </w:r>
          </w:p>
        </w:tc>
        <w:tc>
          <w:tcPr>
            <w:tcW w:w="2554" w:type="dxa"/>
          </w:tcPr>
          <w:p>
            <w:pPr>
              <w:pStyle w:val="TableParagraph"/>
              <w:spacing w:line="206" w:lineRule="exact" w:before="0"/>
              <w:ind w:left="173" w:right="174"/>
              <w:jc w:val="center"/>
              <w:rPr>
                <w:sz w:val="18"/>
              </w:rPr>
            </w:pPr>
            <w:r>
              <w:rPr>
                <w:sz w:val="18"/>
              </w:rPr>
              <w:t>5-14.9</w:t>
            </w:r>
          </w:p>
        </w:tc>
        <w:tc>
          <w:tcPr>
            <w:tcW w:w="1292" w:type="dxa"/>
          </w:tcPr>
          <w:p>
            <w:pPr>
              <w:pStyle w:val="TableParagraph"/>
              <w:spacing w:line="206" w:lineRule="exact" w:before="0"/>
              <w:ind w:right="2"/>
              <w:jc w:val="center"/>
              <w:rPr>
                <w:sz w:val="18"/>
              </w:rPr>
            </w:pPr>
            <w:r>
              <w:rPr>
                <w:w w:val="99"/>
                <w:sz w:val="18"/>
              </w:rPr>
              <w:t>5</w:t>
            </w:r>
          </w:p>
        </w:tc>
      </w:tr>
      <w:tr>
        <w:trPr>
          <w:trHeight w:val="319" w:hRule="exact"/>
        </w:trPr>
        <w:tc>
          <w:tcPr>
            <w:tcW w:w="3051" w:type="dxa"/>
          </w:tcPr>
          <w:p>
            <w:pPr>
              <w:pStyle w:val="TableParagraph"/>
              <w:spacing w:line="206" w:lineRule="exact" w:before="0"/>
              <w:ind w:left="279" w:right="278"/>
              <w:jc w:val="center"/>
              <w:rPr>
                <w:sz w:val="18"/>
              </w:rPr>
            </w:pPr>
            <w:r>
              <w:rPr>
                <w:sz w:val="18"/>
              </w:rPr>
              <w:t>Alta</w:t>
            </w:r>
          </w:p>
        </w:tc>
        <w:tc>
          <w:tcPr>
            <w:tcW w:w="2554" w:type="dxa"/>
          </w:tcPr>
          <w:p>
            <w:pPr>
              <w:pStyle w:val="TableParagraph"/>
              <w:spacing w:line="206" w:lineRule="exact" w:before="0"/>
              <w:ind w:left="173" w:right="174"/>
              <w:jc w:val="center"/>
              <w:rPr>
                <w:sz w:val="18"/>
              </w:rPr>
            </w:pPr>
            <w:r>
              <w:rPr>
                <w:sz w:val="18"/>
              </w:rPr>
              <w:t>15-34.9</w:t>
            </w:r>
          </w:p>
        </w:tc>
        <w:tc>
          <w:tcPr>
            <w:tcW w:w="1292" w:type="dxa"/>
          </w:tcPr>
          <w:p>
            <w:pPr>
              <w:pStyle w:val="TableParagraph"/>
              <w:spacing w:line="206" w:lineRule="exact" w:before="0"/>
              <w:ind w:right="2"/>
              <w:jc w:val="center"/>
              <w:rPr>
                <w:sz w:val="18"/>
              </w:rPr>
            </w:pPr>
            <w:r>
              <w:rPr>
                <w:w w:val="99"/>
                <w:sz w:val="18"/>
              </w:rPr>
              <w:t>8</w:t>
            </w:r>
          </w:p>
        </w:tc>
      </w:tr>
      <w:tr>
        <w:trPr>
          <w:trHeight w:val="322" w:hRule="exact"/>
        </w:trPr>
        <w:tc>
          <w:tcPr>
            <w:tcW w:w="3051" w:type="dxa"/>
          </w:tcPr>
          <w:p>
            <w:pPr>
              <w:pStyle w:val="TableParagraph"/>
              <w:spacing w:before="1"/>
              <w:ind w:left="279" w:right="278"/>
              <w:jc w:val="center"/>
              <w:rPr>
                <w:sz w:val="18"/>
              </w:rPr>
            </w:pPr>
            <w:r>
              <w:rPr>
                <w:sz w:val="18"/>
              </w:rPr>
              <w:t>Muy alta</w:t>
            </w:r>
          </w:p>
        </w:tc>
        <w:tc>
          <w:tcPr>
            <w:tcW w:w="2554" w:type="dxa"/>
          </w:tcPr>
          <w:p>
            <w:pPr>
              <w:pStyle w:val="TableParagraph"/>
              <w:spacing w:before="1"/>
              <w:ind w:left="173" w:right="173"/>
              <w:jc w:val="center"/>
              <w:rPr>
                <w:sz w:val="18"/>
              </w:rPr>
            </w:pPr>
            <w:r>
              <w:rPr>
                <w:sz w:val="18"/>
              </w:rPr>
              <w:t>≥ 35</w:t>
            </w:r>
          </w:p>
        </w:tc>
        <w:tc>
          <w:tcPr>
            <w:tcW w:w="1292" w:type="dxa"/>
          </w:tcPr>
          <w:p>
            <w:pPr>
              <w:pStyle w:val="TableParagraph"/>
              <w:spacing w:before="1"/>
              <w:ind w:left="214" w:right="217"/>
              <w:jc w:val="center"/>
              <w:rPr>
                <w:sz w:val="18"/>
              </w:rPr>
            </w:pPr>
            <w:r>
              <w:rPr>
                <w:sz w:val="18"/>
              </w:rPr>
              <w:t>10</w:t>
            </w:r>
          </w:p>
        </w:tc>
      </w:tr>
    </w:tbl>
    <w:p>
      <w:pPr>
        <w:spacing w:after="0"/>
        <w:jc w:val="center"/>
        <w:rPr>
          <w:sz w:val="18"/>
        </w:rPr>
        <w:sectPr>
          <w:pgSz w:w="12240" w:h="15840"/>
          <w:pgMar w:header="0" w:footer="1003" w:top="1360" w:bottom="1200" w:left="1600" w:right="1580"/>
        </w:sectPr>
      </w:pPr>
    </w:p>
    <w:p>
      <w:pPr>
        <w:pStyle w:val="Heading1"/>
        <w:numPr>
          <w:ilvl w:val="0"/>
          <w:numId w:val="13"/>
        </w:numPr>
        <w:tabs>
          <w:tab w:pos="822" w:val="left" w:leader="none"/>
        </w:tabs>
        <w:spacing w:line="240" w:lineRule="auto" w:before="54" w:after="0"/>
        <w:ind w:left="822" w:right="0" w:hanging="360"/>
        <w:jc w:val="left"/>
      </w:pPr>
      <w:r>
        <w:rPr/>
        <w:t>Peligrosidad climática</w:t>
      </w:r>
      <w:r>
        <w:rPr>
          <w:spacing w:val="60"/>
        </w:rPr>
        <w:t> </w:t>
      </w:r>
      <w:r>
        <w:rPr/>
        <w:t>(P</w:t>
      </w:r>
      <w:r>
        <w:rPr>
          <w:position w:val="-2"/>
          <w:sz w:val="16"/>
        </w:rPr>
        <w:t>CL</w:t>
      </w:r>
      <w:r>
        <w:rPr/>
        <w:t>):</w:t>
      </w:r>
    </w:p>
    <w:p>
      <w:pPr>
        <w:pStyle w:val="BodyText"/>
        <w:spacing w:before="3"/>
        <w:rPr>
          <w:b/>
          <w:sz w:val="28"/>
        </w:rPr>
      </w:pPr>
    </w:p>
    <w:p>
      <w:pPr>
        <w:pStyle w:val="BodyText"/>
        <w:spacing w:line="360" w:lineRule="auto"/>
        <w:ind w:left="102" w:right="126"/>
        <w:jc w:val="both"/>
      </w:pPr>
      <w:r>
        <w:rPr/>
        <w:t>Se refiere a la adversidad del clima donde los climas más peligrosos son los más secos y cálidos, quienes deben llevar los valores de índices más altos, contrario a los climas más fríos y húmedos.</w:t>
      </w:r>
    </w:p>
    <w:p>
      <w:pPr>
        <w:pStyle w:val="ListParagraph"/>
        <w:numPr>
          <w:ilvl w:val="1"/>
          <w:numId w:val="14"/>
        </w:numPr>
        <w:tabs>
          <w:tab w:pos="822" w:val="left" w:leader="none"/>
        </w:tabs>
        <w:spacing w:line="355" w:lineRule="auto" w:before="205" w:after="0"/>
        <w:ind w:left="822" w:right="122" w:hanging="360"/>
        <w:jc w:val="both"/>
        <w:rPr>
          <w:rFonts w:ascii="Symbol" w:hAnsi="Symbol"/>
          <w:sz w:val="24"/>
        </w:rPr>
      </w:pPr>
      <w:r>
        <w:rPr>
          <w:sz w:val="24"/>
        </w:rPr>
        <w:t>Se descargó del Servicio Meteorológico Nacional las Normales climatológicas de temperatura y precipitación de todas las estaciones del Distrito Federal y zonas aledañas (ver figura</w:t>
      </w:r>
      <w:r>
        <w:rPr>
          <w:spacing w:val="-15"/>
          <w:sz w:val="24"/>
        </w:rPr>
        <w:t> </w:t>
      </w:r>
      <w:r>
        <w:rPr>
          <w:sz w:val="24"/>
        </w:rPr>
        <w:t>4).</w:t>
      </w:r>
    </w:p>
    <w:p>
      <w:pPr>
        <w:pStyle w:val="ListParagraph"/>
        <w:numPr>
          <w:ilvl w:val="1"/>
          <w:numId w:val="14"/>
        </w:numPr>
        <w:tabs>
          <w:tab w:pos="821" w:val="left" w:leader="none"/>
          <w:tab w:pos="822" w:val="left" w:leader="none"/>
        </w:tabs>
        <w:spacing w:line="240" w:lineRule="auto" w:before="9" w:after="0"/>
        <w:ind w:left="822" w:right="0" w:hanging="360"/>
        <w:jc w:val="left"/>
        <w:rPr>
          <w:rFonts w:ascii="Symbol" w:hAnsi="Symbol"/>
          <w:sz w:val="24"/>
        </w:rPr>
      </w:pPr>
      <w:r>
        <w:rPr>
          <w:sz w:val="24"/>
        </w:rPr>
        <w:t>Se calculó la temperatura y precipitación media para cada</w:t>
      </w:r>
      <w:r>
        <w:rPr>
          <w:spacing w:val="-24"/>
          <w:sz w:val="24"/>
        </w:rPr>
        <w:t> </w:t>
      </w:r>
      <w:r>
        <w:rPr>
          <w:sz w:val="24"/>
        </w:rPr>
        <w:t>estación.</w:t>
      </w:r>
    </w:p>
    <w:p>
      <w:pPr>
        <w:pStyle w:val="ListParagraph"/>
        <w:numPr>
          <w:ilvl w:val="1"/>
          <w:numId w:val="14"/>
        </w:numPr>
        <w:tabs>
          <w:tab w:pos="822" w:val="left" w:leader="none"/>
        </w:tabs>
        <w:spacing w:line="352" w:lineRule="auto" w:before="135" w:after="0"/>
        <w:ind w:left="822" w:right="122" w:hanging="360"/>
        <w:jc w:val="both"/>
        <w:rPr>
          <w:rFonts w:ascii="Symbol" w:hAnsi="Symbol"/>
          <w:sz w:val="24"/>
        </w:rPr>
      </w:pPr>
      <w:r>
        <w:rPr>
          <w:sz w:val="24"/>
        </w:rPr>
        <w:t>Para obtener el mapa de isoyetas, se siguió la metodología de Gómez et  al.,</w:t>
      </w:r>
      <w:r>
        <w:rPr>
          <w:spacing w:val="-2"/>
          <w:sz w:val="24"/>
        </w:rPr>
        <w:t> </w:t>
      </w:r>
      <w:r>
        <w:rPr>
          <w:sz w:val="24"/>
        </w:rPr>
        <w:t>(2008).</w:t>
      </w:r>
    </w:p>
    <w:p>
      <w:pPr>
        <w:pStyle w:val="ListParagraph"/>
        <w:numPr>
          <w:ilvl w:val="1"/>
          <w:numId w:val="14"/>
        </w:numPr>
        <w:tabs>
          <w:tab w:pos="821" w:val="left" w:leader="none"/>
          <w:tab w:pos="822" w:val="left" w:leader="none"/>
        </w:tabs>
        <w:spacing w:line="240" w:lineRule="auto" w:before="11" w:after="0"/>
        <w:ind w:left="822" w:right="0" w:hanging="360"/>
        <w:jc w:val="left"/>
        <w:rPr>
          <w:rFonts w:ascii="Symbol" w:hAnsi="Symbol"/>
          <w:sz w:val="24"/>
        </w:rPr>
      </w:pPr>
      <w:r>
        <w:rPr>
          <w:sz w:val="24"/>
        </w:rPr>
        <w:t>Para el mapa de isotermas se siguió la metodología de Fries et al.,</w:t>
      </w:r>
      <w:r>
        <w:rPr>
          <w:spacing w:val="-23"/>
          <w:sz w:val="24"/>
        </w:rPr>
        <w:t> </w:t>
      </w:r>
      <w:r>
        <w:rPr>
          <w:sz w:val="24"/>
        </w:rPr>
        <w:t>(2012).</w:t>
      </w:r>
    </w:p>
    <w:p>
      <w:pPr>
        <w:pStyle w:val="ListParagraph"/>
        <w:numPr>
          <w:ilvl w:val="1"/>
          <w:numId w:val="14"/>
        </w:numPr>
        <w:tabs>
          <w:tab w:pos="822" w:val="left" w:leader="none"/>
        </w:tabs>
        <w:spacing w:line="355" w:lineRule="auto" w:before="135" w:after="0"/>
        <w:ind w:left="822" w:right="123" w:hanging="360"/>
        <w:jc w:val="both"/>
        <w:rPr>
          <w:rFonts w:ascii="Symbol" w:hAnsi="Symbol"/>
          <w:sz w:val="24"/>
        </w:rPr>
      </w:pPr>
      <w:r>
        <w:rPr>
          <w:sz w:val="24"/>
        </w:rPr>
        <w:t>Se intersectaron los vectoriales de temperatura y precipitación para obtener regiones climáticas, a las cuales se les asignó un indicador de adversidad del</w:t>
      </w:r>
      <w:r>
        <w:rPr>
          <w:spacing w:val="-3"/>
          <w:sz w:val="24"/>
        </w:rPr>
        <w:t> </w:t>
      </w:r>
      <w:r>
        <w:rPr>
          <w:sz w:val="24"/>
        </w:rPr>
        <w:t>clima.</w:t>
      </w:r>
    </w:p>
    <w:p>
      <w:pPr>
        <w:spacing w:after="0" w:line="355" w:lineRule="auto"/>
        <w:jc w:val="both"/>
        <w:rPr>
          <w:rFonts w:ascii="Symbol" w:hAnsi="Symbol"/>
          <w:sz w:val="24"/>
        </w:rPr>
        <w:sectPr>
          <w:pgSz w:w="12240" w:h="15840"/>
          <w:pgMar w:header="0" w:footer="1003" w:top="1360" w:bottom="1200" w:left="1600" w:right="1580"/>
        </w:sectPr>
      </w:pPr>
    </w:p>
    <w:p>
      <w:pPr>
        <w:pStyle w:val="BodyText"/>
        <w:spacing w:before="54"/>
        <w:ind w:left="701"/>
      </w:pPr>
      <w:r>
        <w:rPr/>
        <w:t>Figura 4. Estaciones de normales climatológicas.</w:t>
      </w:r>
    </w:p>
    <w:p>
      <w:pPr>
        <w:pStyle w:val="BodyText"/>
        <w:spacing w:before="9"/>
        <w:rPr>
          <w:sz w:val="8"/>
        </w:rPr>
      </w:pPr>
      <w:r>
        <w:rPr/>
        <w:drawing>
          <wp:anchor distT="0" distB="0" distL="0" distR="0" allowOverlap="1" layoutInCell="1" locked="0" behindDoc="0" simplePos="0" relativeHeight="1312">
            <wp:simplePos x="0" y="0"/>
            <wp:positionH relativeFrom="page">
              <wp:posOffset>1315085</wp:posOffset>
            </wp:positionH>
            <wp:positionV relativeFrom="paragraph">
              <wp:posOffset>89370</wp:posOffset>
            </wp:positionV>
            <wp:extent cx="5121503" cy="7682103"/>
            <wp:effectExtent l="0" t="0" r="0" b="0"/>
            <wp:wrapTopAndBottom/>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34" cstate="print"/>
                    <a:stretch>
                      <a:fillRect/>
                    </a:stretch>
                  </pic:blipFill>
                  <pic:spPr>
                    <a:xfrm>
                      <a:off x="0" y="0"/>
                      <a:ext cx="5121503" cy="7682103"/>
                    </a:xfrm>
                    <a:prstGeom prst="rect">
                      <a:avLst/>
                    </a:prstGeom>
                  </pic:spPr>
                </pic:pic>
              </a:graphicData>
            </a:graphic>
          </wp:anchor>
        </w:drawing>
      </w:r>
    </w:p>
    <w:p>
      <w:pPr>
        <w:spacing w:after="0"/>
        <w:rPr>
          <w:sz w:val="8"/>
        </w:rPr>
        <w:sectPr>
          <w:pgSz w:w="12240" w:h="15840"/>
          <w:pgMar w:header="0" w:footer="1003" w:top="1360" w:bottom="1200" w:left="1720" w:right="1580"/>
        </w:sectPr>
      </w:pPr>
    </w:p>
    <w:p>
      <w:pPr>
        <w:pStyle w:val="BodyText"/>
        <w:spacing w:before="54"/>
        <w:ind w:left="102"/>
      </w:pPr>
      <w:r>
        <w:rPr/>
        <w:t>Cuadro 10: Estaciones de normales climatológicas.</w:t>
      </w:r>
    </w:p>
    <w:p>
      <w:pPr>
        <w:pStyle w:val="BodyText"/>
        <w:spacing w:before="3"/>
        <w:rPr>
          <w:sz w:val="12"/>
        </w:rPr>
      </w:pPr>
    </w:p>
    <w:tbl>
      <w:tblPr>
        <w:tblW w:w="0" w:type="auto"/>
        <w:jc w:val="left"/>
        <w:tblInd w:w="10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74"/>
        <w:gridCol w:w="796"/>
        <w:gridCol w:w="1057"/>
        <w:gridCol w:w="2990"/>
        <w:gridCol w:w="1044"/>
        <w:gridCol w:w="1175"/>
        <w:gridCol w:w="1181"/>
      </w:tblGrid>
      <w:tr>
        <w:trPr>
          <w:trHeight w:val="588" w:hRule="exact"/>
        </w:trPr>
        <w:tc>
          <w:tcPr>
            <w:tcW w:w="574" w:type="dxa"/>
          </w:tcPr>
          <w:p>
            <w:pPr>
              <w:pStyle w:val="TableParagraph"/>
              <w:spacing w:before="171"/>
              <w:ind w:left="16" w:right="16"/>
              <w:jc w:val="center"/>
              <w:rPr>
                <w:rFonts w:ascii="Calibri" w:hAnsi="Calibri"/>
                <w:b/>
                <w:sz w:val="19"/>
              </w:rPr>
            </w:pPr>
            <w:r>
              <w:rPr>
                <w:rFonts w:ascii="Calibri" w:hAnsi="Calibri"/>
                <w:b/>
                <w:w w:val="105"/>
                <w:sz w:val="19"/>
              </w:rPr>
              <w:t>NÚM.</w:t>
            </w:r>
          </w:p>
        </w:tc>
        <w:tc>
          <w:tcPr>
            <w:tcW w:w="796" w:type="dxa"/>
          </w:tcPr>
          <w:p>
            <w:pPr>
              <w:pStyle w:val="TableParagraph"/>
              <w:spacing w:before="171"/>
              <w:ind w:left="78"/>
              <w:rPr>
                <w:rFonts w:ascii="Calibri"/>
                <w:b/>
                <w:sz w:val="19"/>
              </w:rPr>
            </w:pPr>
            <w:r>
              <w:rPr>
                <w:rFonts w:ascii="Calibri"/>
                <w:b/>
                <w:w w:val="105"/>
                <w:sz w:val="19"/>
              </w:rPr>
              <w:t>ESTADO</w:t>
            </w:r>
          </w:p>
        </w:tc>
        <w:tc>
          <w:tcPr>
            <w:tcW w:w="1057" w:type="dxa"/>
          </w:tcPr>
          <w:p>
            <w:pPr>
              <w:pStyle w:val="TableParagraph"/>
              <w:spacing w:line="268" w:lineRule="auto" w:before="41"/>
              <w:ind w:left="117" w:right="9" w:hanging="92"/>
              <w:rPr>
                <w:rFonts w:ascii="Calibri" w:hAnsi="Calibri"/>
                <w:b/>
                <w:sz w:val="19"/>
              </w:rPr>
            </w:pPr>
            <w:r>
              <w:rPr>
                <w:rFonts w:ascii="Calibri" w:hAnsi="Calibri"/>
                <w:b/>
                <w:w w:val="105"/>
                <w:sz w:val="19"/>
              </w:rPr>
              <w:t>CLAVE</w:t>
            </w:r>
            <w:r>
              <w:rPr>
                <w:rFonts w:ascii="Calibri" w:hAnsi="Calibri"/>
                <w:b/>
                <w:spacing w:val="-37"/>
                <w:w w:val="105"/>
                <w:sz w:val="19"/>
              </w:rPr>
              <w:t> </w:t>
            </w:r>
            <w:r>
              <w:rPr>
                <w:rFonts w:ascii="Calibri" w:hAnsi="Calibri"/>
                <w:b/>
                <w:spacing w:val="-4"/>
                <w:w w:val="105"/>
                <w:sz w:val="19"/>
              </w:rPr>
              <w:t>DE </w:t>
            </w:r>
            <w:r>
              <w:rPr>
                <w:rFonts w:ascii="Calibri" w:hAnsi="Calibri"/>
                <w:b/>
                <w:spacing w:val="-3"/>
                <w:w w:val="105"/>
                <w:sz w:val="19"/>
              </w:rPr>
              <w:t>LA ESTACIÓN</w:t>
            </w:r>
          </w:p>
        </w:tc>
        <w:tc>
          <w:tcPr>
            <w:tcW w:w="2990" w:type="dxa"/>
          </w:tcPr>
          <w:p>
            <w:pPr>
              <w:pStyle w:val="TableParagraph"/>
              <w:spacing w:before="171"/>
              <w:ind w:left="1088" w:right="1085"/>
              <w:jc w:val="center"/>
              <w:rPr>
                <w:rFonts w:ascii="Calibri"/>
                <w:b/>
                <w:sz w:val="19"/>
              </w:rPr>
            </w:pPr>
            <w:r>
              <w:rPr>
                <w:rFonts w:ascii="Calibri"/>
                <w:b/>
                <w:w w:val="105"/>
                <w:sz w:val="19"/>
              </w:rPr>
              <w:t>NOMBRE</w:t>
            </w:r>
          </w:p>
        </w:tc>
        <w:tc>
          <w:tcPr>
            <w:tcW w:w="1044" w:type="dxa"/>
          </w:tcPr>
          <w:p>
            <w:pPr>
              <w:pStyle w:val="TableParagraph"/>
              <w:spacing w:before="171"/>
              <w:ind w:left="182"/>
              <w:rPr>
                <w:rFonts w:ascii="Calibri"/>
                <w:b/>
                <w:sz w:val="19"/>
              </w:rPr>
            </w:pPr>
            <w:r>
              <w:rPr>
                <w:rFonts w:ascii="Calibri"/>
                <w:b/>
                <w:w w:val="105"/>
                <w:sz w:val="19"/>
              </w:rPr>
              <w:t>LATITUD</w:t>
            </w:r>
          </w:p>
        </w:tc>
        <w:tc>
          <w:tcPr>
            <w:tcW w:w="1175" w:type="dxa"/>
          </w:tcPr>
          <w:p>
            <w:pPr>
              <w:pStyle w:val="TableParagraph"/>
              <w:spacing w:before="171"/>
              <w:ind w:left="156"/>
              <w:rPr>
                <w:rFonts w:ascii="Calibri"/>
                <w:b/>
                <w:sz w:val="19"/>
              </w:rPr>
            </w:pPr>
            <w:r>
              <w:rPr>
                <w:rFonts w:ascii="Calibri"/>
                <w:b/>
                <w:w w:val="105"/>
                <w:sz w:val="19"/>
              </w:rPr>
              <w:t>LONGITUD</w:t>
            </w:r>
          </w:p>
        </w:tc>
        <w:tc>
          <w:tcPr>
            <w:tcW w:w="1181" w:type="dxa"/>
            <w:tcBorders>
              <w:right w:val="single" w:sz="10" w:space="0" w:color="000000"/>
            </w:tcBorders>
          </w:tcPr>
          <w:p>
            <w:pPr>
              <w:pStyle w:val="TableParagraph"/>
              <w:spacing w:before="171"/>
              <w:ind w:right="13"/>
              <w:jc w:val="right"/>
              <w:rPr>
                <w:rFonts w:ascii="Calibri"/>
                <w:b/>
                <w:sz w:val="19"/>
              </w:rPr>
            </w:pPr>
            <w:r>
              <w:rPr>
                <w:rFonts w:ascii="Calibri"/>
                <w:b/>
                <w:sz w:val="19"/>
              </w:rPr>
              <w:t>ALTURA_MSN</w:t>
            </w:r>
          </w:p>
        </w:tc>
      </w:tr>
      <w:tr>
        <w:trPr>
          <w:trHeight w:val="261" w:hRule="exact"/>
        </w:trPr>
        <w:tc>
          <w:tcPr>
            <w:tcW w:w="574" w:type="dxa"/>
          </w:tcPr>
          <w:p>
            <w:pPr>
              <w:pStyle w:val="TableParagraph"/>
              <w:ind w:left="8"/>
              <w:jc w:val="center"/>
              <w:rPr>
                <w:rFonts w:ascii="Calibri"/>
                <w:sz w:val="19"/>
              </w:rPr>
            </w:pPr>
            <w:r>
              <w:rPr>
                <w:rFonts w:ascii="Calibri"/>
                <w:w w:val="103"/>
                <w:sz w:val="19"/>
              </w:rPr>
              <w:t>1</w:t>
            </w:r>
          </w:p>
        </w:tc>
        <w:tc>
          <w:tcPr>
            <w:tcW w:w="796" w:type="dxa"/>
          </w:tcPr>
          <w:p>
            <w:pPr>
              <w:pStyle w:val="TableParagraph"/>
              <w:ind w:left="26"/>
              <w:rPr>
                <w:rFonts w:ascii="Calibri"/>
                <w:sz w:val="19"/>
              </w:rPr>
            </w:pPr>
            <w:r>
              <w:rPr>
                <w:rFonts w:ascii="Calibri"/>
                <w:w w:val="105"/>
                <w:sz w:val="19"/>
              </w:rPr>
              <w:t>Morelos</w:t>
            </w:r>
          </w:p>
        </w:tc>
        <w:tc>
          <w:tcPr>
            <w:tcW w:w="1057" w:type="dxa"/>
          </w:tcPr>
          <w:p>
            <w:pPr>
              <w:pStyle w:val="TableParagraph"/>
              <w:ind w:right="24"/>
              <w:jc w:val="right"/>
              <w:rPr>
                <w:rFonts w:ascii="Calibri"/>
                <w:sz w:val="19"/>
              </w:rPr>
            </w:pPr>
            <w:r>
              <w:rPr>
                <w:rFonts w:ascii="Calibri"/>
                <w:sz w:val="19"/>
              </w:rPr>
              <w:t>17066</w:t>
            </w:r>
          </w:p>
        </w:tc>
        <w:tc>
          <w:tcPr>
            <w:tcW w:w="2990" w:type="dxa"/>
          </w:tcPr>
          <w:p>
            <w:pPr>
              <w:pStyle w:val="TableParagraph"/>
              <w:ind w:left="26"/>
              <w:rPr>
                <w:rFonts w:ascii="Calibri"/>
                <w:sz w:val="19"/>
              </w:rPr>
            </w:pPr>
            <w:r>
              <w:rPr>
                <w:rFonts w:ascii="Calibri"/>
                <w:w w:val="105"/>
                <w:sz w:val="19"/>
              </w:rPr>
              <w:t>EL VIGIA</w:t>
            </w:r>
          </w:p>
        </w:tc>
        <w:tc>
          <w:tcPr>
            <w:tcW w:w="1044" w:type="dxa"/>
          </w:tcPr>
          <w:p>
            <w:pPr>
              <w:pStyle w:val="TableParagraph"/>
              <w:ind w:left="221"/>
              <w:rPr>
                <w:rFonts w:ascii="Calibri"/>
                <w:sz w:val="19"/>
              </w:rPr>
            </w:pPr>
            <w:r>
              <w:rPr>
                <w:rFonts w:ascii="Calibri"/>
                <w:spacing w:val="-6"/>
                <w:sz w:val="19"/>
              </w:rPr>
              <w:t>19.010000</w:t>
            </w:r>
          </w:p>
        </w:tc>
        <w:tc>
          <w:tcPr>
            <w:tcW w:w="1175" w:type="dxa"/>
          </w:tcPr>
          <w:p>
            <w:pPr>
              <w:pStyle w:val="TableParagraph"/>
              <w:ind w:right="18"/>
              <w:jc w:val="right"/>
              <w:rPr>
                <w:rFonts w:ascii="Calibri"/>
                <w:sz w:val="19"/>
              </w:rPr>
            </w:pPr>
            <w:r>
              <w:rPr>
                <w:rFonts w:ascii="Calibri"/>
                <w:sz w:val="19"/>
              </w:rPr>
              <w:t>-98.960000</w:t>
            </w:r>
          </w:p>
        </w:tc>
        <w:tc>
          <w:tcPr>
            <w:tcW w:w="1181" w:type="dxa"/>
            <w:tcBorders>
              <w:right w:val="single" w:sz="10" w:space="0" w:color="000000"/>
            </w:tcBorders>
          </w:tcPr>
          <w:p>
            <w:pPr>
              <w:pStyle w:val="TableParagraph"/>
              <w:ind w:right="11"/>
              <w:jc w:val="right"/>
              <w:rPr>
                <w:rFonts w:ascii="Calibri"/>
                <w:sz w:val="19"/>
              </w:rPr>
            </w:pPr>
            <w:r>
              <w:rPr>
                <w:rFonts w:ascii="Calibri"/>
                <w:sz w:val="19"/>
              </w:rPr>
              <w:t>2160</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2</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9052</w:t>
            </w:r>
          </w:p>
        </w:tc>
        <w:tc>
          <w:tcPr>
            <w:tcW w:w="2990" w:type="dxa"/>
          </w:tcPr>
          <w:p>
            <w:pPr>
              <w:pStyle w:val="TableParagraph"/>
              <w:spacing w:before="15"/>
              <w:ind w:left="26"/>
              <w:rPr>
                <w:rFonts w:ascii="Calibri"/>
                <w:sz w:val="19"/>
              </w:rPr>
            </w:pPr>
            <w:r>
              <w:rPr>
                <w:rFonts w:ascii="Calibri"/>
                <w:sz w:val="19"/>
              </w:rPr>
              <w:t>UNIDAD MODELO</w:t>
            </w:r>
          </w:p>
        </w:tc>
        <w:tc>
          <w:tcPr>
            <w:tcW w:w="1044" w:type="dxa"/>
          </w:tcPr>
          <w:p>
            <w:pPr>
              <w:pStyle w:val="TableParagraph"/>
              <w:spacing w:before="15"/>
              <w:ind w:left="221"/>
              <w:rPr>
                <w:rFonts w:ascii="Calibri"/>
                <w:sz w:val="19"/>
              </w:rPr>
            </w:pPr>
            <w:r>
              <w:rPr>
                <w:rFonts w:ascii="Calibri"/>
                <w:spacing w:val="-6"/>
                <w:sz w:val="19"/>
              </w:rPr>
              <w:t>19.366667</w:t>
            </w:r>
          </w:p>
        </w:tc>
        <w:tc>
          <w:tcPr>
            <w:tcW w:w="1175" w:type="dxa"/>
          </w:tcPr>
          <w:p>
            <w:pPr>
              <w:pStyle w:val="TableParagraph"/>
              <w:spacing w:before="15"/>
              <w:ind w:right="18"/>
              <w:jc w:val="right"/>
              <w:rPr>
                <w:rFonts w:ascii="Calibri"/>
                <w:sz w:val="19"/>
              </w:rPr>
            </w:pPr>
            <w:r>
              <w:rPr>
                <w:rFonts w:ascii="Calibri"/>
                <w:sz w:val="19"/>
              </w:rPr>
              <w:t>-99.116667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2229</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3</w:t>
            </w:r>
          </w:p>
        </w:tc>
        <w:tc>
          <w:tcPr>
            <w:tcW w:w="796" w:type="dxa"/>
          </w:tcPr>
          <w:p>
            <w:pPr>
              <w:pStyle w:val="TableParagraph"/>
              <w:spacing w:before="15"/>
              <w:ind w:left="26"/>
              <w:rPr>
                <w:rFonts w:ascii="Calibri" w:hAnsi="Calibri"/>
                <w:sz w:val="19"/>
              </w:rPr>
            </w:pPr>
            <w:r>
              <w:rPr>
                <w:rFonts w:ascii="Calibri" w:hAnsi="Calibri"/>
                <w:w w:val="105"/>
                <w:sz w:val="19"/>
              </w:rPr>
              <w:t>México</w:t>
            </w:r>
          </w:p>
        </w:tc>
        <w:tc>
          <w:tcPr>
            <w:tcW w:w="1057" w:type="dxa"/>
          </w:tcPr>
          <w:p>
            <w:pPr>
              <w:pStyle w:val="TableParagraph"/>
              <w:spacing w:before="15"/>
              <w:ind w:right="24"/>
              <w:jc w:val="right"/>
              <w:rPr>
                <w:rFonts w:ascii="Calibri"/>
                <w:sz w:val="19"/>
              </w:rPr>
            </w:pPr>
            <w:r>
              <w:rPr>
                <w:rFonts w:ascii="Calibri"/>
                <w:sz w:val="19"/>
              </w:rPr>
              <w:t>15045</w:t>
            </w:r>
          </w:p>
        </w:tc>
        <w:tc>
          <w:tcPr>
            <w:tcW w:w="2990" w:type="dxa"/>
          </w:tcPr>
          <w:p>
            <w:pPr>
              <w:pStyle w:val="TableParagraph"/>
              <w:spacing w:before="15"/>
              <w:ind w:left="26"/>
              <w:rPr>
                <w:rFonts w:ascii="Calibri"/>
                <w:sz w:val="19"/>
              </w:rPr>
            </w:pPr>
            <w:r>
              <w:rPr>
                <w:rFonts w:ascii="Calibri"/>
                <w:w w:val="105"/>
                <w:sz w:val="19"/>
              </w:rPr>
              <w:t>LA MARQUESA</w:t>
            </w:r>
          </w:p>
        </w:tc>
        <w:tc>
          <w:tcPr>
            <w:tcW w:w="1044" w:type="dxa"/>
          </w:tcPr>
          <w:p>
            <w:pPr>
              <w:pStyle w:val="TableParagraph"/>
              <w:spacing w:before="15"/>
              <w:ind w:left="221"/>
              <w:rPr>
                <w:rFonts w:ascii="Calibri"/>
                <w:sz w:val="19"/>
              </w:rPr>
            </w:pPr>
            <w:r>
              <w:rPr>
                <w:rFonts w:ascii="Calibri"/>
                <w:spacing w:val="-6"/>
                <w:sz w:val="19"/>
              </w:rPr>
              <w:t>19.298611</w:t>
            </w:r>
          </w:p>
        </w:tc>
        <w:tc>
          <w:tcPr>
            <w:tcW w:w="1175" w:type="dxa"/>
          </w:tcPr>
          <w:p>
            <w:pPr>
              <w:pStyle w:val="TableParagraph"/>
              <w:spacing w:before="15"/>
              <w:ind w:right="18"/>
              <w:jc w:val="right"/>
              <w:rPr>
                <w:rFonts w:ascii="Calibri"/>
                <w:sz w:val="19"/>
              </w:rPr>
            </w:pPr>
            <w:r>
              <w:rPr>
                <w:rFonts w:ascii="Calibri"/>
                <w:sz w:val="19"/>
              </w:rPr>
              <w:t>-99.368611</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2230</w:t>
            </w:r>
          </w:p>
        </w:tc>
      </w:tr>
      <w:tr>
        <w:trPr>
          <w:trHeight w:val="261" w:hRule="exact"/>
        </w:trPr>
        <w:tc>
          <w:tcPr>
            <w:tcW w:w="574" w:type="dxa"/>
          </w:tcPr>
          <w:p>
            <w:pPr>
              <w:pStyle w:val="TableParagraph"/>
              <w:ind w:left="8"/>
              <w:jc w:val="center"/>
              <w:rPr>
                <w:rFonts w:ascii="Calibri"/>
                <w:sz w:val="19"/>
              </w:rPr>
            </w:pPr>
            <w:r>
              <w:rPr>
                <w:rFonts w:ascii="Calibri"/>
                <w:w w:val="103"/>
                <w:sz w:val="19"/>
              </w:rPr>
              <w:t>4</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9068</w:t>
            </w:r>
          </w:p>
        </w:tc>
        <w:tc>
          <w:tcPr>
            <w:tcW w:w="2990" w:type="dxa"/>
          </w:tcPr>
          <w:p>
            <w:pPr>
              <w:pStyle w:val="TableParagraph"/>
              <w:ind w:left="26"/>
              <w:rPr>
                <w:rFonts w:ascii="Calibri"/>
                <w:sz w:val="19"/>
              </w:rPr>
            </w:pPr>
            <w:r>
              <w:rPr>
                <w:rFonts w:ascii="Calibri"/>
                <w:w w:val="105"/>
                <w:sz w:val="19"/>
              </w:rPr>
              <w:t>PUENTE LA LLAVE</w:t>
            </w:r>
          </w:p>
        </w:tc>
        <w:tc>
          <w:tcPr>
            <w:tcW w:w="1044" w:type="dxa"/>
          </w:tcPr>
          <w:p>
            <w:pPr>
              <w:pStyle w:val="TableParagraph"/>
              <w:ind w:left="221"/>
              <w:rPr>
                <w:rFonts w:ascii="Calibri"/>
                <w:sz w:val="19"/>
              </w:rPr>
            </w:pPr>
            <w:r>
              <w:rPr>
                <w:rFonts w:ascii="Calibri"/>
                <w:spacing w:val="-6"/>
                <w:sz w:val="19"/>
              </w:rPr>
              <w:t>19.429167</w:t>
            </w:r>
          </w:p>
        </w:tc>
        <w:tc>
          <w:tcPr>
            <w:tcW w:w="1175" w:type="dxa"/>
          </w:tcPr>
          <w:p>
            <w:pPr>
              <w:pStyle w:val="TableParagraph"/>
              <w:ind w:right="18"/>
              <w:jc w:val="right"/>
              <w:rPr>
                <w:rFonts w:ascii="Calibri"/>
                <w:sz w:val="19"/>
              </w:rPr>
            </w:pPr>
            <w:r>
              <w:rPr>
                <w:rFonts w:ascii="Calibri"/>
                <w:sz w:val="19"/>
              </w:rPr>
              <w:t>-99.052778</w:t>
            </w:r>
          </w:p>
        </w:tc>
        <w:tc>
          <w:tcPr>
            <w:tcW w:w="1181" w:type="dxa"/>
            <w:tcBorders>
              <w:right w:val="single" w:sz="10" w:space="0" w:color="000000"/>
            </w:tcBorders>
          </w:tcPr>
          <w:p>
            <w:pPr>
              <w:pStyle w:val="TableParagraph"/>
              <w:ind w:right="11"/>
              <w:jc w:val="right"/>
              <w:rPr>
                <w:rFonts w:ascii="Calibri"/>
                <w:sz w:val="19"/>
              </w:rPr>
            </w:pPr>
            <w:r>
              <w:rPr>
                <w:rFonts w:ascii="Calibri"/>
                <w:sz w:val="19"/>
              </w:rPr>
              <w:t>2234</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5</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9009</w:t>
            </w:r>
          </w:p>
        </w:tc>
        <w:tc>
          <w:tcPr>
            <w:tcW w:w="2990" w:type="dxa"/>
          </w:tcPr>
          <w:p>
            <w:pPr>
              <w:pStyle w:val="TableParagraph"/>
              <w:spacing w:before="15"/>
              <w:ind w:left="26"/>
              <w:rPr>
                <w:rFonts w:ascii="Calibri"/>
                <w:sz w:val="19"/>
              </w:rPr>
            </w:pPr>
            <w:r>
              <w:rPr>
                <w:rFonts w:ascii="Calibri"/>
                <w:sz w:val="19"/>
              </w:rPr>
              <w:t>COLONIA  AGRICOLA ORIENTAL</w:t>
            </w:r>
          </w:p>
        </w:tc>
        <w:tc>
          <w:tcPr>
            <w:tcW w:w="1044" w:type="dxa"/>
          </w:tcPr>
          <w:p>
            <w:pPr>
              <w:pStyle w:val="TableParagraph"/>
              <w:spacing w:before="15"/>
              <w:ind w:left="221"/>
              <w:rPr>
                <w:rFonts w:ascii="Calibri"/>
                <w:sz w:val="19"/>
              </w:rPr>
            </w:pPr>
            <w:r>
              <w:rPr>
                <w:rFonts w:ascii="Calibri"/>
                <w:spacing w:val="-6"/>
                <w:sz w:val="19"/>
              </w:rPr>
              <w:t>19.399444</w:t>
            </w:r>
          </w:p>
        </w:tc>
        <w:tc>
          <w:tcPr>
            <w:tcW w:w="1175" w:type="dxa"/>
          </w:tcPr>
          <w:p>
            <w:pPr>
              <w:pStyle w:val="TableParagraph"/>
              <w:spacing w:before="15"/>
              <w:ind w:right="18"/>
              <w:jc w:val="right"/>
              <w:rPr>
                <w:rFonts w:ascii="Calibri"/>
                <w:sz w:val="19"/>
              </w:rPr>
            </w:pPr>
            <w:r>
              <w:rPr>
                <w:rFonts w:ascii="Calibri"/>
                <w:sz w:val="19"/>
              </w:rPr>
              <w:t>-99.075000</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2235</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6</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9013</w:t>
            </w:r>
          </w:p>
        </w:tc>
        <w:tc>
          <w:tcPr>
            <w:tcW w:w="2990" w:type="dxa"/>
          </w:tcPr>
          <w:p>
            <w:pPr>
              <w:pStyle w:val="TableParagraph"/>
              <w:spacing w:before="15"/>
              <w:ind w:left="26"/>
              <w:rPr>
                <w:rFonts w:ascii="Calibri"/>
                <w:sz w:val="19"/>
              </w:rPr>
            </w:pPr>
            <w:r>
              <w:rPr>
                <w:rFonts w:ascii="Calibri"/>
                <w:sz w:val="19"/>
              </w:rPr>
              <w:t>COLONIA  MOCTEZUMA</w:t>
            </w:r>
          </w:p>
        </w:tc>
        <w:tc>
          <w:tcPr>
            <w:tcW w:w="1044" w:type="dxa"/>
          </w:tcPr>
          <w:p>
            <w:pPr>
              <w:pStyle w:val="TableParagraph"/>
              <w:spacing w:before="15"/>
              <w:ind w:left="221"/>
              <w:rPr>
                <w:rFonts w:ascii="Calibri"/>
                <w:sz w:val="19"/>
              </w:rPr>
            </w:pPr>
            <w:r>
              <w:rPr>
                <w:rFonts w:ascii="Calibri"/>
                <w:spacing w:val="-6"/>
                <w:sz w:val="19"/>
              </w:rPr>
              <w:t>19.427778</w:t>
            </w:r>
          </w:p>
        </w:tc>
        <w:tc>
          <w:tcPr>
            <w:tcW w:w="1175" w:type="dxa"/>
          </w:tcPr>
          <w:p>
            <w:pPr>
              <w:pStyle w:val="TableParagraph"/>
              <w:spacing w:before="15"/>
              <w:ind w:right="18"/>
              <w:jc w:val="right"/>
              <w:rPr>
                <w:rFonts w:ascii="Calibri"/>
                <w:sz w:val="19"/>
              </w:rPr>
            </w:pPr>
            <w:r>
              <w:rPr>
                <w:rFonts w:ascii="Calibri"/>
                <w:sz w:val="19"/>
              </w:rPr>
              <w:t>-99.105556</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2235</w:t>
            </w:r>
          </w:p>
        </w:tc>
      </w:tr>
      <w:tr>
        <w:trPr>
          <w:trHeight w:val="261" w:hRule="exact"/>
        </w:trPr>
        <w:tc>
          <w:tcPr>
            <w:tcW w:w="574" w:type="dxa"/>
          </w:tcPr>
          <w:p>
            <w:pPr>
              <w:pStyle w:val="TableParagraph"/>
              <w:ind w:left="8"/>
              <w:jc w:val="center"/>
              <w:rPr>
                <w:rFonts w:ascii="Calibri"/>
                <w:sz w:val="19"/>
              </w:rPr>
            </w:pPr>
            <w:r>
              <w:rPr>
                <w:rFonts w:ascii="Calibri"/>
                <w:w w:val="103"/>
                <w:sz w:val="19"/>
              </w:rPr>
              <w:t>7</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9056</w:t>
            </w:r>
          </w:p>
        </w:tc>
        <w:tc>
          <w:tcPr>
            <w:tcW w:w="2990" w:type="dxa"/>
          </w:tcPr>
          <w:p>
            <w:pPr>
              <w:pStyle w:val="TableParagraph"/>
              <w:ind w:left="26"/>
              <w:rPr>
                <w:rFonts w:ascii="Calibri"/>
                <w:sz w:val="19"/>
              </w:rPr>
            </w:pPr>
            <w:r>
              <w:rPr>
                <w:rFonts w:ascii="Calibri"/>
                <w:w w:val="105"/>
                <w:sz w:val="19"/>
              </w:rPr>
              <w:t>IXTACALCO</w:t>
            </w:r>
          </w:p>
        </w:tc>
        <w:tc>
          <w:tcPr>
            <w:tcW w:w="1044" w:type="dxa"/>
          </w:tcPr>
          <w:p>
            <w:pPr>
              <w:pStyle w:val="TableParagraph"/>
              <w:ind w:left="221"/>
              <w:rPr>
                <w:rFonts w:ascii="Calibri"/>
                <w:sz w:val="19"/>
              </w:rPr>
            </w:pPr>
            <w:r>
              <w:rPr>
                <w:rFonts w:ascii="Calibri"/>
                <w:spacing w:val="-6"/>
                <w:sz w:val="19"/>
              </w:rPr>
              <w:t>19.377500</w:t>
            </w:r>
          </w:p>
        </w:tc>
        <w:tc>
          <w:tcPr>
            <w:tcW w:w="1175" w:type="dxa"/>
          </w:tcPr>
          <w:p>
            <w:pPr>
              <w:pStyle w:val="TableParagraph"/>
              <w:ind w:right="18"/>
              <w:jc w:val="right"/>
              <w:rPr>
                <w:rFonts w:ascii="Calibri"/>
                <w:sz w:val="19"/>
              </w:rPr>
            </w:pPr>
            <w:r>
              <w:rPr>
                <w:rFonts w:ascii="Calibri"/>
                <w:sz w:val="19"/>
              </w:rPr>
              <w:t>-99.128333</w:t>
            </w:r>
          </w:p>
        </w:tc>
        <w:tc>
          <w:tcPr>
            <w:tcW w:w="1181" w:type="dxa"/>
            <w:tcBorders>
              <w:right w:val="single" w:sz="10" w:space="0" w:color="000000"/>
            </w:tcBorders>
          </w:tcPr>
          <w:p>
            <w:pPr>
              <w:pStyle w:val="TableParagraph"/>
              <w:ind w:right="11"/>
              <w:jc w:val="right"/>
              <w:rPr>
                <w:rFonts w:ascii="Calibri"/>
                <w:sz w:val="19"/>
              </w:rPr>
            </w:pPr>
            <w:r>
              <w:rPr>
                <w:rFonts w:ascii="Calibri"/>
                <w:sz w:val="19"/>
              </w:rPr>
              <w:t>2235</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8</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9036</w:t>
            </w:r>
          </w:p>
        </w:tc>
        <w:tc>
          <w:tcPr>
            <w:tcW w:w="2990" w:type="dxa"/>
          </w:tcPr>
          <w:p>
            <w:pPr>
              <w:pStyle w:val="TableParagraph"/>
              <w:spacing w:before="15"/>
              <w:ind w:left="26"/>
              <w:rPr>
                <w:rFonts w:ascii="Calibri"/>
                <w:sz w:val="19"/>
              </w:rPr>
            </w:pPr>
            <w:r>
              <w:rPr>
                <w:rFonts w:ascii="Calibri"/>
                <w:w w:val="105"/>
                <w:sz w:val="19"/>
              </w:rPr>
              <w:t>PLAYA </w:t>
            </w:r>
            <w:r>
              <w:rPr>
                <w:rFonts w:ascii="Calibri"/>
                <w:spacing w:val="-3"/>
                <w:w w:val="105"/>
                <w:sz w:val="19"/>
              </w:rPr>
              <w:t>CALETA </w:t>
            </w:r>
            <w:r>
              <w:rPr>
                <w:rFonts w:ascii="Calibri"/>
                <w:spacing w:val="-6"/>
                <w:w w:val="105"/>
                <w:sz w:val="19"/>
              </w:rPr>
              <w:t>454 </w:t>
            </w:r>
            <w:r>
              <w:rPr>
                <w:rFonts w:ascii="Calibri"/>
                <w:w w:val="105"/>
                <w:sz w:val="19"/>
              </w:rPr>
              <w:t>COLONIA </w:t>
            </w:r>
            <w:r>
              <w:rPr>
                <w:rFonts w:ascii="Calibri"/>
                <w:spacing w:val="-4"/>
                <w:w w:val="105"/>
                <w:sz w:val="19"/>
              </w:rPr>
              <w:t>MARTE</w:t>
            </w:r>
          </w:p>
        </w:tc>
        <w:tc>
          <w:tcPr>
            <w:tcW w:w="1044" w:type="dxa"/>
          </w:tcPr>
          <w:p>
            <w:pPr>
              <w:pStyle w:val="TableParagraph"/>
              <w:spacing w:before="15"/>
              <w:ind w:left="221"/>
              <w:rPr>
                <w:rFonts w:ascii="Calibri"/>
                <w:sz w:val="19"/>
              </w:rPr>
            </w:pPr>
            <w:r>
              <w:rPr>
                <w:rFonts w:ascii="Calibri"/>
                <w:spacing w:val="-6"/>
                <w:sz w:val="19"/>
              </w:rPr>
              <w:t>19.395278</w:t>
            </w:r>
          </w:p>
        </w:tc>
        <w:tc>
          <w:tcPr>
            <w:tcW w:w="1175" w:type="dxa"/>
          </w:tcPr>
          <w:p>
            <w:pPr>
              <w:pStyle w:val="TableParagraph"/>
              <w:spacing w:before="15"/>
              <w:ind w:right="18"/>
              <w:jc w:val="right"/>
              <w:rPr>
                <w:rFonts w:ascii="Calibri"/>
                <w:sz w:val="19"/>
              </w:rPr>
            </w:pPr>
            <w:r>
              <w:rPr>
                <w:rFonts w:ascii="Calibri"/>
                <w:sz w:val="19"/>
              </w:rPr>
              <w:t>-99.097778</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2235</w:t>
            </w:r>
          </w:p>
        </w:tc>
      </w:tr>
      <w:tr>
        <w:trPr>
          <w:trHeight w:val="261" w:hRule="exact"/>
        </w:trPr>
        <w:tc>
          <w:tcPr>
            <w:tcW w:w="574" w:type="dxa"/>
          </w:tcPr>
          <w:p>
            <w:pPr>
              <w:pStyle w:val="TableParagraph"/>
              <w:spacing w:before="15"/>
              <w:ind w:left="8"/>
              <w:jc w:val="center"/>
              <w:rPr>
                <w:rFonts w:ascii="Calibri"/>
                <w:sz w:val="19"/>
              </w:rPr>
            </w:pPr>
            <w:r>
              <w:rPr>
                <w:rFonts w:ascii="Calibri"/>
                <w:w w:val="103"/>
                <w:sz w:val="19"/>
              </w:rPr>
              <w:t>9</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9029</w:t>
            </w:r>
          </w:p>
        </w:tc>
        <w:tc>
          <w:tcPr>
            <w:tcW w:w="2990" w:type="dxa"/>
          </w:tcPr>
          <w:p>
            <w:pPr>
              <w:pStyle w:val="TableParagraph"/>
              <w:spacing w:before="15"/>
              <w:ind w:left="26"/>
              <w:rPr>
                <w:rFonts w:ascii="Calibri"/>
                <w:sz w:val="19"/>
              </w:rPr>
            </w:pPr>
            <w:r>
              <w:rPr>
                <w:rFonts w:ascii="Calibri"/>
                <w:w w:val="105"/>
                <w:sz w:val="19"/>
              </w:rPr>
              <w:t>GRAN CANAL KM. 06+250</w:t>
            </w:r>
          </w:p>
        </w:tc>
        <w:tc>
          <w:tcPr>
            <w:tcW w:w="1044" w:type="dxa"/>
          </w:tcPr>
          <w:p>
            <w:pPr>
              <w:pStyle w:val="TableParagraph"/>
              <w:spacing w:before="15"/>
              <w:ind w:left="221"/>
              <w:rPr>
                <w:rFonts w:ascii="Calibri"/>
                <w:sz w:val="19"/>
              </w:rPr>
            </w:pPr>
            <w:r>
              <w:rPr>
                <w:rFonts w:ascii="Calibri"/>
                <w:spacing w:val="-6"/>
                <w:sz w:val="19"/>
              </w:rPr>
              <w:t>19.476667</w:t>
            </w:r>
          </w:p>
        </w:tc>
        <w:tc>
          <w:tcPr>
            <w:tcW w:w="1175" w:type="dxa"/>
          </w:tcPr>
          <w:p>
            <w:pPr>
              <w:pStyle w:val="TableParagraph"/>
              <w:spacing w:before="15"/>
              <w:ind w:right="18"/>
              <w:jc w:val="right"/>
              <w:rPr>
                <w:rFonts w:ascii="Calibri"/>
                <w:sz w:val="19"/>
              </w:rPr>
            </w:pPr>
            <w:r>
              <w:rPr>
                <w:rFonts w:ascii="Calibri"/>
                <w:sz w:val="19"/>
              </w:rPr>
              <w:t>-99.091389</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2239</w:t>
            </w:r>
          </w:p>
        </w:tc>
      </w:tr>
      <w:tr>
        <w:trPr>
          <w:trHeight w:val="261" w:hRule="exact"/>
        </w:trPr>
        <w:tc>
          <w:tcPr>
            <w:tcW w:w="574" w:type="dxa"/>
          </w:tcPr>
          <w:p>
            <w:pPr>
              <w:pStyle w:val="TableParagraph"/>
              <w:ind w:left="16" w:right="3"/>
              <w:jc w:val="center"/>
              <w:rPr>
                <w:rFonts w:ascii="Calibri"/>
                <w:sz w:val="19"/>
              </w:rPr>
            </w:pPr>
            <w:r>
              <w:rPr>
                <w:rFonts w:ascii="Calibri"/>
                <w:w w:val="105"/>
                <w:sz w:val="19"/>
              </w:rPr>
              <w:t>10</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9025</w:t>
            </w:r>
          </w:p>
        </w:tc>
        <w:tc>
          <w:tcPr>
            <w:tcW w:w="2990" w:type="dxa"/>
          </w:tcPr>
          <w:p>
            <w:pPr>
              <w:pStyle w:val="TableParagraph"/>
              <w:ind w:left="26"/>
              <w:rPr>
                <w:rFonts w:ascii="Calibri"/>
                <w:sz w:val="19"/>
              </w:rPr>
            </w:pPr>
            <w:r>
              <w:rPr>
                <w:rFonts w:ascii="Calibri"/>
                <w:w w:val="105"/>
                <w:sz w:val="19"/>
              </w:rPr>
              <w:t>HACIENDA LA PATERA</w:t>
            </w:r>
          </w:p>
        </w:tc>
        <w:tc>
          <w:tcPr>
            <w:tcW w:w="1044" w:type="dxa"/>
          </w:tcPr>
          <w:p>
            <w:pPr>
              <w:pStyle w:val="TableParagraph"/>
              <w:ind w:left="221"/>
              <w:rPr>
                <w:rFonts w:ascii="Calibri"/>
                <w:sz w:val="19"/>
              </w:rPr>
            </w:pPr>
            <w:r>
              <w:rPr>
                <w:rFonts w:ascii="Calibri"/>
                <w:spacing w:val="-6"/>
                <w:sz w:val="19"/>
              </w:rPr>
              <w:t>19.512778</w:t>
            </w:r>
          </w:p>
        </w:tc>
        <w:tc>
          <w:tcPr>
            <w:tcW w:w="1175" w:type="dxa"/>
          </w:tcPr>
          <w:p>
            <w:pPr>
              <w:pStyle w:val="TableParagraph"/>
              <w:ind w:right="18"/>
              <w:jc w:val="right"/>
              <w:rPr>
                <w:rFonts w:ascii="Calibri"/>
                <w:sz w:val="19"/>
              </w:rPr>
            </w:pPr>
            <w:r>
              <w:rPr>
                <w:rFonts w:ascii="Calibri"/>
                <w:sz w:val="19"/>
              </w:rPr>
              <w:t>-99.158333</w:t>
            </w:r>
          </w:p>
        </w:tc>
        <w:tc>
          <w:tcPr>
            <w:tcW w:w="1181" w:type="dxa"/>
            <w:tcBorders>
              <w:right w:val="single" w:sz="10" w:space="0" w:color="000000"/>
            </w:tcBorders>
          </w:tcPr>
          <w:p>
            <w:pPr>
              <w:pStyle w:val="TableParagraph"/>
              <w:ind w:right="11"/>
              <w:jc w:val="right"/>
              <w:rPr>
                <w:rFonts w:ascii="Calibri"/>
                <w:sz w:val="19"/>
              </w:rPr>
            </w:pPr>
            <w:r>
              <w:rPr>
                <w:rFonts w:ascii="Calibri"/>
                <w:sz w:val="19"/>
              </w:rPr>
              <w:t>2240</w:t>
            </w:r>
          </w:p>
        </w:tc>
      </w:tr>
      <w:tr>
        <w:trPr>
          <w:trHeight w:val="261" w:hRule="exact"/>
        </w:trPr>
        <w:tc>
          <w:tcPr>
            <w:tcW w:w="574" w:type="dxa"/>
          </w:tcPr>
          <w:p>
            <w:pPr>
              <w:pStyle w:val="TableParagraph"/>
              <w:ind w:left="16" w:right="3"/>
              <w:jc w:val="center"/>
              <w:rPr>
                <w:rFonts w:ascii="Calibri"/>
                <w:sz w:val="19"/>
              </w:rPr>
            </w:pPr>
            <w:r>
              <w:rPr>
                <w:rFonts w:ascii="Calibri"/>
                <w:w w:val="105"/>
                <w:sz w:val="19"/>
              </w:rPr>
              <w:t>11</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9026</w:t>
            </w:r>
          </w:p>
        </w:tc>
        <w:tc>
          <w:tcPr>
            <w:tcW w:w="2990" w:type="dxa"/>
          </w:tcPr>
          <w:p>
            <w:pPr>
              <w:pStyle w:val="TableParagraph"/>
              <w:ind w:left="26"/>
              <w:rPr>
                <w:rFonts w:ascii="Calibri"/>
                <w:sz w:val="19"/>
              </w:rPr>
            </w:pPr>
            <w:r>
              <w:rPr>
                <w:rFonts w:ascii="Calibri"/>
                <w:w w:val="105"/>
                <w:sz w:val="19"/>
              </w:rPr>
              <w:t>MORELOS 77</w:t>
            </w:r>
          </w:p>
        </w:tc>
        <w:tc>
          <w:tcPr>
            <w:tcW w:w="1044" w:type="dxa"/>
          </w:tcPr>
          <w:p>
            <w:pPr>
              <w:pStyle w:val="TableParagraph"/>
              <w:ind w:left="221"/>
              <w:rPr>
                <w:rFonts w:ascii="Calibri"/>
                <w:sz w:val="19"/>
              </w:rPr>
            </w:pPr>
            <w:r>
              <w:rPr>
                <w:rFonts w:ascii="Calibri"/>
                <w:spacing w:val="-6"/>
                <w:sz w:val="19"/>
              </w:rPr>
              <w:t>19.366667</w:t>
            </w:r>
          </w:p>
        </w:tc>
        <w:tc>
          <w:tcPr>
            <w:tcW w:w="1175" w:type="dxa"/>
          </w:tcPr>
          <w:p>
            <w:pPr>
              <w:pStyle w:val="TableParagraph"/>
              <w:ind w:right="18"/>
              <w:jc w:val="right"/>
              <w:rPr>
                <w:rFonts w:ascii="Calibri"/>
                <w:sz w:val="19"/>
              </w:rPr>
            </w:pPr>
            <w:r>
              <w:rPr>
                <w:rFonts w:ascii="Calibri"/>
                <w:sz w:val="19"/>
              </w:rPr>
              <w:t>-99.083333</w:t>
            </w:r>
          </w:p>
        </w:tc>
        <w:tc>
          <w:tcPr>
            <w:tcW w:w="1181" w:type="dxa"/>
            <w:tcBorders>
              <w:right w:val="single" w:sz="10" w:space="0" w:color="000000"/>
            </w:tcBorders>
          </w:tcPr>
          <w:p>
            <w:pPr>
              <w:pStyle w:val="TableParagraph"/>
              <w:ind w:right="11"/>
              <w:jc w:val="right"/>
              <w:rPr>
                <w:rFonts w:ascii="Calibri"/>
                <w:sz w:val="19"/>
              </w:rPr>
            </w:pPr>
            <w:r>
              <w:rPr>
                <w:rFonts w:ascii="Calibri"/>
                <w:sz w:val="19"/>
              </w:rPr>
              <w:t>2240</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12</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9043</w:t>
            </w:r>
          </w:p>
        </w:tc>
        <w:tc>
          <w:tcPr>
            <w:tcW w:w="2990" w:type="dxa"/>
          </w:tcPr>
          <w:p>
            <w:pPr>
              <w:pStyle w:val="TableParagraph"/>
              <w:spacing w:before="15"/>
              <w:ind w:left="26"/>
              <w:rPr>
                <w:rFonts w:ascii="Calibri"/>
                <w:sz w:val="19"/>
              </w:rPr>
            </w:pPr>
            <w:r>
              <w:rPr>
                <w:rFonts w:ascii="Calibri"/>
                <w:w w:val="105"/>
                <w:sz w:val="19"/>
              </w:rPr>
              <w:t>SAN JUAN DE ARAGON</w:t>
            </w:r>
          </w:p>
        </w:tc>
        <w:tc>
          <w:tcPr>
            <w:tcW w:w="1044" w:type="dxa"/>
          </w:tcPr>
          <w:p>
            <w:pPr>
              <w:pStyle w:val="TableParagraph"/>
              <w:spacing w:before="15"/>
              <w:ind w:left="221"/>
              <w:rPr>
                <w:rFonts w:ascii="Calibri"/>
                <w:sz w:val="19"/>
              </w:rPr>
            </w:pPr>
            <w:r>
              <w:rPr>
                <w:rFonts w:ascii="Calibri"/>
                <w:spacing w:val="-6"/>
                <w:sz w:val="19"/>
              </w:rPr>
              <w:t>19.465278</w:t>
            </w:r>
          </w:p>
        </w:tc>
        <w:tc>
          <w:tcPr>
            <w:tcW w:w="1175" w:type="dxa"/>
          </w:tcPr>
          <w:p>
            <w:pPr>
              <w:pStyle w:val="TableParagraph"/>
              <w:spacing w:before="15"/>
              <w:ind w:right="18"/>
              <w:jc w:val="right"/>
              <w:rPr>
                <w:rFonts w:ascii="Calibri"/>
                <w:sz w:val="19"/>
              </w:rPr>
            </w:pPr>
            <w:r>
              <w:rPr>
                <w:rFonts w:ascii="Calibri"/>
                <w:sz w:val="19"/>
              </w:rPr>
              <w:t>-99.079167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2240</w:t>
            </w:r>
          </w:p>
        </w:tc>
      </w:tr>
      <w:tr>
        <w:trPr>
          <w:trHeight w:val="261" w:hRule="exact"/>
        </w:trPr>
        <w:tc>
          <w:tcPr>
            <w:tcW w:w="574" w:type="dxa"/>
          </w:tcPr>
          <w:p>
            <w:pPr>
              <w:pStyle w:val="TableParagraph"/>
              <w:ind w:left="16" w:right="3"/>
              <w:jc w:val="center"/>
              <w:rPr>
                <w:rFonts w:ascii="Calibri"/>
                <w:sz w:val="19"/>
              </w:rPr>
            </w:pPr>
            <w:r>
              <w:rPr>
                <w:rFonts w:ascii="Calibri"/>
                <w:w w:val="105"/>
                <w:sz w:val="19"/>
              </w:rPr>
              <w:t>13</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9051</w:t>
            </w:r>
          </w:p>
        </w:tc>
        <w:tc>
          <w:tcPr>
            <w:tcW w:w="2990" w:type="dxa"/>
          </w:tcPr>
          <w:p>
            <w:pPr>
              <w:pStyle w:val="TableParagraph"/>
              <w:ind w:left="26"/>
              <w:rPr>
                <w:rFonts w:ascii="Calibri"/>
                <w:sz w:val="19"/>
              </w:rPr>
            </w:pPr>
            <w:r>
              <w:rPr>
                <w:rFonts w:ascii="Calibri"/>
                <w:w w:val="105"/>
                <w:sz w:val="19"/>
              </w:rPr>
              <w:t>TLAHUAC</w:t>
            </w:r>
          </w:p>
        </w:tc>
        <w:tc>
          <w:tcPr>
            <w:tcW w:w="1044" w:type="dxa"/>
          </w:tcPr>
          <w:p>
            <w:pPr>
              <w:pStyle w:val="TableParagraph"/>
              <w:ind w:left="221"/>
              <w:rPr>
                <w:rFonts w:ascii="Calibri"/>
                <w:sz w:val="19"/>
              </w:rPr>
            </w:pPr>
            <w:r>
              <w:rPr>
                <w:rFonts w:ascii="Calibri"/>
                <w:spacing w:val="-6"/>
                <w:sz w:val="19"/>
              </w:rPr>
              <w:t>19.262778</w:t>
            </w:r>
          </w:p>
        </w:tc>
        <w:tc>
          <w:tcPr>
            <w:tcW w:w="1175" w:type="dxa"/>
          </w:tcPr>
          <w:p>
            <w:pPr>
              <w:pStyle w:val="TableParagraph"/>
              <w:ind w:right="18"/>
              <w:jc w:val="right"/>
              <w:rPr>
                <w:rFonts w:ascii="Calibri"/>
                <w:sz w:val="19"/>
              </w:rPr>
            </w:pPr>
            <w:r>
              <w:rPr>
                <w:rFonts w:ascii="Calibri"/>
                <w:sz w:val="19"/>
              </w:rPr>
              <w:t>-99.003611</w:t>
            </w:r>
          </w:p>
        </w:tc>
        <w:tc>
          <w:tcPr>
            <w:tcW w:w="1181" w:type="dxa"/>
            <w:tcBorders>
              <w:right w:val="single" w:sz="10" w:space="0" w:color="000000"/>
            </w:tcBorders>
          </w:tcPr>
          <w:p>
            <w:pPr>
              <w:pStyle w:val="TableParagraph"/>
              <w:ind w:right="11"/>
              <w:jc w:val="right"/>
              <w:rPr>
                <w:rFonts w:ascii="Calibri"/>
                <w:sz w:val="19"/>
              </w:rPr>
            </w:pPr>
            <w:r>
              <w:rPr>
                <w:rFonts w:ascii="Calibri"/>
                <w:sz w:val="19"/>
              </w:rPr>
              <w:t>2240</w:t>
            </w:r>
          </w:p>
        </w:tc>
      </w:tr>
      <w:tr>
        <w:trPr>
          <w:trHeight w:val="261" w:hRule="exact"/>
        </w:trPr>
        <w:tc>
          <w:tcPr>
            <w:tcW w:w="574" w:type="dxa"/>
          </w:tcPr>
          <w:p>
            <w:pPr>
              <w:pStyle w:val="TableParagraph"/>
              <w:ind w:left="16" w:right="3"/>
              <w:jc w:val="center"/>
              <w:rPr>
                <w:rFonts w:ascii="Calibri"/>
                <w:sz w:val="19"/>
              </w:rPr>
            </w:pPr>
            <w:r>
              <w:rPr>
                <w:rFonts w:ascii="Calibri"/>
                <w:w w:val="105"/>
                <w:sz w:val="19"/>
              </w:rPr>
              <w:t>14</w:t>
            </w:r>
          </w:p>
        </w:tc>
        <w:tc>
          <w:tcPr>
            <w:tcW w:w="796" w:type="dxa"/>
          </w:tcPr>
          <w:p>
            <w:pPr>
              <w:pStyle w:val="TableParagraph"/>
              <w:ind w:left="26"/>
              <w:rPr>
                <w:rFonts w:ascii="Calibri" w:hAnsi="Calibri"/>
                <w:sz w:val="19"/>
              </w:rPr>
            </w:pPr>
            <w:r>
              <w:rPr>
                <w:rFonts w:ascii="Calibri" w:hAnsi="Calibri"/>
                <w:w w:val="105"/>
                <w:sz w:val="19"/>
              </w:rPr>
              <w:t>México</w:t>
            </w:r>
          </w:p>
        </w:tc>
        <w:tc>
          <w:tcPr>
            <w:tcW w:w="1057" w:type="dxa"/>
          </w:tcPr>
          <w:p>
            <w:pPr>
              <w:pStyle w:val="TableParagraph"/>
              <w:ind w:right="24"/>
              <w:jc w:val="right"/>
              <w:rPr>
                <w:rFonts w:ascii="Calibri"/>
                <w:sz w:val="19"/>
              </w:rPr>
            </w:pPr>
            <w:r>
              <w:rPr>
                <w:rFonts w:ascii="Calibri"/>
                <w:sz w:val="19"/>
              </w:rPr>
              <w:t>15020</w:t>
            </w:r>
          </w:p>
        </w:tc>
        <w:tc>
          <w:tcPr>
            <w:tcW w:w="2990" w:type="dxa"/>
          </w:tcPr>
          <w:p>
            <w:pPr>
              <w:pStyle w:val="TableParagraph"/>
              <w:ind w:left="26"/>
              <w:rPr>
                <w:rFonts w:ascii="Calibri"/>
                <w:sz w:val="19"/>
              </w:rPr>
            </w:pPr>
            <w:r>
              <w:rPr>
                <w:rFonts w:ascii="Calibri"/>
                <w:w w:val="105"/>
                <w:sz w:val="19"/>
              </w:rPr>
              <w:t>CHALCO -SAN LUCAS</w:t>
            </w:r>
          </w:p>
        </w:tc>
        <w:tc>
          <w:tcPr>
            <w:tcW w:w="1044" w:type="dxa"/>
          </w:tcPr>
          <w:p>
            <w:pPr>
              <w:pStyle w:val="TableParagraph"/>
              <w:ind w:left="221"/>
              <w:rPr>
                <w:rFonts w:ascii="Calibri"/>
                <w:sz w:val="19"/>
              </w:rPr>
            </w:pPr>
            <w:r>
              <w:rPr>
                <w:rFonts w:ascii="Calibri"/>
                <w:spacing w:val="-6"/>
                <w:sz w:val="19"/>
              </w:rPr>
              <w:t>19.258333</w:t>
            </w:r>
          </w:p>
        </w:tc>
        <w:tc>
          <w:tcPr>
            <w:tcW w:w="1175" w:type="dxa"/>
          </w:tcPr>
          <w:p>
            <w:pPr>
              <w:pStyle w:val="TableParagraph"/>
              <w:ind w:right="18"/>
              <w:jc w:val="right"/>
              <w:rPr>
                <w:rFonts w:ascii="Calibri"/>
                <w:sz w:val="19"/>
              </w:rPr>
            </w:pPr>
            <w:r>
              <w:rPr>
                <w:rFonts w:ascii="Calibri"/>
                <w:sz w:val="19"/>
              </w:rPr>
              <w:t>-98.895833</w:t>
            </w:r>
          </w:p>
        </w:tc>
        <w:tc>
          <w:tcPr>
            <w:tcW w:w="1181" w:type="dxa"/>
            <w:tcBorders>
              <w:right w:val="single" w:sz="10" w:space="0" w:color="000000"/>
            </w:tcBorders>
          </w:tcPr>
          <w:p>
            <w:pPr>
              <w:pStyle w:val="TableParagraph"/>
              <w:ind w:right="11"/>
              <w:jc w:val="right"/>
              <w:rPr>
                <w:rFonts w:ascii="Calibri"/>
                <w:sz w:val="19"/>
              </w:rPr>
            </w:pPr>
            <w:r>
              <w:rPr>
                <w:rFonts w:ascii="Calibri"/>
                <w:sz w:val="19"/>
              </w:rPr>
              <w:t>2240</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15</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9011</w:t>
            </w:r>
          </w:p>
        </w:tc>
        <w:tc>
          <w:tcPr>
            <w:tcW w:w="2990" w:type="dxa"/>
          </w:tcPr>
          <w:p>
            <w:pPr>
              <w:pStyle w:val="TableParagraph"/>
              <w:spacing w:before="15"/>
              <w:ind w:left="26"/>
              <w:rPr>
                <w:rFonts w:ascii="Calibri"/>
                <w:sz w:val="19"/>
              </w:rPr>
            </w:pPr>
            <w:r>
              <w:rPr>
                <w:rFonts w:ascii="Calibri"/>
                <w:w w:val="105"/>
                <w:sz w:val="19"/>
              </w:rPr>
              <w:t>COLONIA DEL VALLE</w:t>
            </w:r>
          </w:p>
        </w:tc>
        <w:tc>
          <w:tcPr>
            <w:tcW w:w="1044" w:type="dxa"/>
          </w:tcPr>
          <w:p>
            <w:pPr>
              <w:pStyle w:val="TableParagraph"/>
              <w:spacing w:before="15"/>
              <w:ind w:left="221"/>
              <w:rPr>
                <w:rFonts w:ascii="Calibri"/>
                <w:sz w:val="19"/>
              </w:rPr>
            </w:pPr>
            <w:r>
              <w:rPr>
                <w:rFonts w:ascii="Calibri"/>
                <w:spacing w:val="-6"/>
                <w:sz w:val="19"/>
              </w:rPr>
              <w:t>19.397778</w:t>
            </w:r>
          </w:p>
        </w:tc>
        <w:tc>
          <w:tcPr>
            <w:tcW w:w="1175" w:type="dxa"/>
          </w:tcPr>
          <w:p>
            <w:pPr>
              <w:pStyle w:val="TableParagraph"/>
              <w:spacing w:before="15"/>
              <w:ind w:right="18"/>
              <w:jc w:val="right"/>
              <w:rPr>
                <w:rFonts w:ascii="Calibri"/>
                <w:sz w:val="19"/>
              </w:rPr>
            </w:pPr>
            <w:r>
              <w:rPr>
                <w:rFonts w:ascii="Calibri"/>
                <w:sz w:val="19"/>
              </w:rPr>
              <w:t>-99.166667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2245</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16</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9012</w:t>
            </w:r>
          </w:p>
        </w:tc>
        <w:tc>
          <w:tcPr>
            <w:tcW w:w="2990" w:type="dxa"/>
          </w:tcPr>
          <w:p>
            <w:pPr>
              <w:pStyle w:val="TableParagraph"/>
              <w:spacing w:before="15"/>
              <w:ind w:left="26"/>
              <w:rPr>
                <w:rFonts w:ascii="Calibri"/>
                <w:sz w:val="19"/>
              </w:rPr>
            </w:pPr>
            <w:r>
              <w:rPr>
                <w:rFonts w:ascii="Calibri"/>
                <w:sz w:val="19"/>
              </w:rPr>
              <w:t>COLONIA  ESCANDON</w:t>
            </w:r>
          </w:p>
        </w:tc>
        <w:tc>
          <w:tcPr>
            <w:tcW w:w="1044" w:type="dxa"/>
          </w:tcPr>
          <w:p>
            <w:pPr>
              <w:pStyle w:val="TableParagraph"/>
              <w:spacing w:before="15"/>
              <w:ind w:left="221"/>
              <w:rPr>
                <w:rFonts w:ascii="Calibri"/>
                <w:sz w:val="19"/>
              </w:rPr>
            </w:pPr>
            <w:r>
              <w:rPr>
                <w:rFonts w:ascii="Calibri"/>
                <w:spacing w:val="-6"/>
                <w:sz w:val="19"/>
              </w:rPr>
              <w:t>19.401389</w:t>
            </w:r>
          </w:p>
        </w:tc>
        <w:tc>
          <w:tcPr>
            <w:tcW w:w="1175" w:type="dxa"/>
          </w:tcPr>
          <w:p>
            <w:pPr>
              <w:pStyle w:val="TableParagraph"/>
              <w:spacing w:before="15"/>
              <w:ind w:right="18"/>
              <w:jc w:val="right"/>
              <w:rPr>
                <w:rFonts w:ascii="Calibri"/>
                <w:sz w:val="19"/>
              </w:rPr>
            </w:pPr>
            <w:r>
              <w:rPr>
                <w:rFonts w:ascii="Calibri"/>
                <w:sz w:val="19"/>
              </w:rPr>
              <w:t>-99.177222</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2245</w:t>
            </w:r>
          </w:p>
        </w:tc>
      </w:tr>
      <w:tr>
        <w:trPr>
          <w:trHeight w:val="261" w:hRule="exact"/>
        </w:trPr>
        <w:tc>
          <w:tcPr>
            <w:tcW w:w="574" w:type="dxa"/>
          </w:tcPr>
          <w:p>
            <w:pPr>
              <w:pStyle w:val="TableParagraph"/>
              <w:ind w:left="16" w:right="3"/>
              <w:jc w:val="center"/>
              <w:rPr>
                <w:rFonts w:ascii="Calibri"/>
                <w:sz w:val="19"/>
              </w:rPr>
            </w:pPr>
            <w:r>
              <w:rPr>
                <w:rFonts w:ascii="Calibri"/>
                <w:w w:val="105"/>
                <w:sz w:val="19"/>
              </w:rPr>
              <w:t>17</w:t>
            </w:r>
          </w:p>
        </w:tc>
        <w:tc>
          <w:tcPr>
            <w:tcW w:w="796" w:type="dxa"/>
          </w:tcPr>
          <w:p>
            <w:pPr>
              <w:pStyle w:val="TableParagraph"/>
              <w:ind w:left="26"/>
              <w:rPr>
                <w:rFonts w:ascii="Calibri" w:hAnsi="Calibri"/>
                <w:sz w:val="19"/>
              </w:rPr>
            </w:pPr>
            <w:r>
              <w:rPr>
                <w:rFonts w:ascii="Calibri" w:hAnsi="Calibri"/>
                <w:w w:val="105"/>
                <w:sz w:val="19"/>
              </w:rPr>
              <w:t>México</w:t>
            </w:r>
          </w:p>
        </w:tc>
        <w:tc>
          <w:tcPr>
            <w:tcW w:w="1057" w:type="dxa"/>
          </w:tcPr>
          <w:p>
            <w:pPr>
              <w:pStyle w:val="TableParagraph"/>
              <w:ind w:right="24"/>
              <w:jc w:val="right"/>
              <w:rPr>
                <w:rFonts w:ascii="Calibri"/>
                <w:sz w:val="19"/>
              </w:rPr>
            </w:pPr>
            <w:r>
              <w:rPr>
                <w:rFonts w:ascii="Calibri"/>
                <w:sz w:val="19"/>
              </w:rPr>
              <w:t>15129</w:t>
            </w:r>
          </w:p>
        </w:tc>
        <w:tc>
          <w:tcPr>
            <w:tcW w:w="2990" w:type="dxa"/>
          </w:tcPr>
          <w:p>
            <w:pPr>
              <w:pStyle w:val="TableParagraph"/>
              <w:ind w:left="26"/>
              <w:rPr>
                <w:rFonts w:ascii="Calibri"/>
                <w:sz w:val="19"/>
              </w:rPr>
            </w:pPr>
            <w:r>
              <w:rPr>
                <w:rFonts w:ascii="Calibri"/>
                <w:w w:val="105"/>
                <w:sz w:val="19"/>
              </w:rPr>
              <w:t>TULTEPEC</w:t>
            </w:r>
          </w:p>
        </w:tc>
        <w:tc>
          <w:tcPr>
            <w:tcW w:w="1044" w:type="dxa"/>
          </w:tcPr>
          <w:p>
            <w:pPr>
              <w:pStyle w:val="TableParagraph"/>
              <w:ind w:left="221"/>
              <w:rPr>
                <w:rFonts w:ascii="Calibri"/>
                <w:sz w:val="19"/>
              </w:rPr>
            </w:pPr>
            <w:r>
              <w:rPr>
                <w:rFonts w:ascii="Calibri"/>
                <w:spacing w:val="-6"/>
                <w:sz w:val="19"/>
              </w:rPr>
              <w:t>19.684167</w:t>
            </w:r>
          </w:p>
        </w:tc>
        <w:tc>
          <w:tcPr>
            <w:tcW w:w="1175" w:type="dxa"/>
          </w:tcPr>
          <w:p>
            <w:pPr>
              <w:pStyle w:val="TableParagraph"/>
              <w:ind w:right="18"/>
              <w:jc w:val="right"/>
              <w:rPr>
                <w:rFonts w:ascii="Calibri"/>
                <w:sz w:val="19"/>
              </w:rPr>
            </w:pPr>
            <w:r>
              <w:rPr>
                <w:rFonts w:ascii="Calibri"/>
                <w:sz w:val="19"/>
              </w:rPr>
              <w:t>-99.126667</w:t>
            </w:r>
          </w:p>
        </w:tc>
        <w:tc>
          <w:tcPr>
            <w:tcW w:w="1181" w:type="dxa"/>
            <w:tcBorders>
              <w:right w:val="single" w:sz="10" w:space="0" w:color="000000"/>
            </w:tcBorders>
          </w:tcPr>
          <w:p>
            <w:pPr>
              <w:pStyle w:val="TableParagraph"/>
              <w:ind w:right="11"/>
              <w:jc w:val="right"/>
              <w:rPr>
                <w:rFonts w:ascii="Calibri"/>
                <w:sz w:val="19"/>
              </w:rPr>
            </w:pPr>
            <w:r>
              <w:rPr>
                <w:rFonts w:ascii="Calibri"/>
                <w:sz w:val="19"/>
              </w:rPr>
              <w:t>2245</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18</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9006</w:t>
            </w:r>
          </w:p>
        </w:tc>
        <w:tc>
          <w:tcPr>
            <w:tcW w:w="2990" w:type="dxa"/>
          </w:tcPr>
          <w:p>
            <w:pPr>
              <w:pStyle w:val="TableParagraph"/>
              <w:spacing w:before="15"/>
              <w:ind w:left="26"/>
              <w:rPr>
                <w:rFonts w:ascii="Calibri"/>
                <w:sz w:val="19"/>
              </w:rPr>
            </w:pPr>
            <w:r>
              <w:rPr>
                <w:rFonts w:ascii="Calibri"/>
                <w:w w:val="105"/>
                <w:sz w:val="19"/>
              </w:rPr>
              <w:t>TACUBA 7</w:t>
            </w:r>
          </w:p>
        </w:tc>
        <w:tc>
          <w:tcPr>
            <w:tcW w:w="1044" w:type="dxa"/>
          </w:tcPr>
          <w:p>
            <w:pPr>
              <w:pStyle w:val="TableParagraph"/>
              <w:spacing w:before="15"/>
              <w:ind w:left="221"/>
              <w:rPr>
                <w:rFonts w:ascii="Calibri"/>
                <w:sz w:val="19"/>
              </w:rPr>
            </w:pPr>
            <w:r>
              <w:rPr>
                <w:rFonts w:ascii="Calibri"/>
                <w:spacing w:val="-6"/>
                <w:sz w:val="19"/>
              </w:rPr>
              <w:t>19.435833</w:t>
            </w:r>
          </w:p>
        </w:tc>
        <w:tc>
          <w:tcPr>
            <w:tcW w:w="1175" w:type="dxa"/>
          </w:tcPr>
          <w:p>
            <w:pPr>
              <w:pStyle w:val="TableParagraph"/>
              <w:spacing w:before="15"/>
              <w:ind w:right="18"/>
              <w:jc w:val="right"/>
              <w:rPr>
                <w:rFonts w:ascii="Calibri"/>
                <w:sz w:val="19"/>
              </w:rPr>
            </w:pPr>
            <w:r>
              <w:rPr>
                <w:rFonts w:ascii="Calibri"/>
                <w:sz w:val="19"/>
              </w:rPr>
              <w:t>-99.138889</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2247</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19</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9021</w:t>
            </w:r>
          </w:p>
        </w:tc>
        <w:tc>
          <w:tcPr>
            <w:tcW w:w="2990" w:type="dxa"/>
          </w:tcPr>
          <w:p>
            <w:pPr>
              <w:pStyle w:val="TableParagraph"/>
              <w:spacing w:before="15"/>
              <w:ind w:left="26"/>
              <w:rPr>
                <w:rFonts w:ascii="Calibri"/>
                <w:sz w:val="19"/>
              </w:rPr>
            </w:pPr>
            <w:r>
              <w:rPr>
                <w:rFonts w:ascii="Calibri"/>
                <w:w w:val="105"/>
                <w:sz w:val="19"/>
              </w:rPr>
              <w:t>EGIPTO 7</w:t>
            </w:r>
          </w:p>
        </w:tc>
        <w:tc>
          <w:tcPr>
            <w:tcW w:w="1044" w:type="dxa"/>
          </w:tcPr>
          <w:p>
            <w:pPr>
              <w:pStyle w:val="TableParagraph"/>
              <w:spacing w:before="15"/>
              <w:ind w:left="221"/>
              <w:rPr>
                <w:rFonts w:ascii="Calibri"/>
                <w:sz w:val="19"/>
              </w:rPr>
            </w:pPr>
            <w:r>
              <w:rPr>
                <w:rFonts w:ascii="Calibri"/>
                <w:spacing w:val="-6"/>
                <w:sz w:val="19"/>
              </w:rPr>
              <w:t>19.475000</w:t>
            </w:r>
          </w:p>
        </w:tc>
        <w:tc>
          <w:tcPr>
            <w:tcW w:w="1175" w:type="dxa"/>
          </w:tcPr>
          <w:p>
            <w:pPr>
              <w:pStyle w:val="TableParagraph"/>
              <w:spacing w:before="15"/>
              <w:ind w:right="18"/>
              <w:jc w:val="right"/>
              <w:rPr>
                <w:rFonts w:ascii="Calibri"/>
                <w:sz w:val="19"/>
              </w:rPr>
            </w:pPr>
            <w:r>
              <w:rPr>
                <w:rFonts w:ascii="Calibri"/>
                <w:sz w:val="19"/>
              </w:rPr>
              <w:t>-99.186111</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2248</w:t>
            </w:r>
          </w:p>
        </w:tc>
      </w:tr>
      <w:tr>
        <w:trPr>
          <w:trHeight w:val="261" w:hRule="exact"/>
        </w:trPr>
        <w:tc>
          <w:tcPr>
            <w:tcW w:w="574" w:type="dxa"/>
            <w:tcBorders>
              <w:bottom w:val="single" w:sz="5" w:space="0" w:color="000000"/>
            </w:tcBorders>
          </w:tcPr>
          <w:p>
            <w:pPr>
              <w:pStyle w:val="TableParagraph"/>
              <w:ind w:left="16" w:right="3"/>
              <w:jc w:val="center"/>
              <w:rPr>
                <w:rFonts w:ascii="Calibri"/>
                <w:sz w:val="19"/>
              </w:rPr>
            </w:pPr>
            <w:r>
              <w:rPr>
                <w:rFonts w:ascii="Calibri"/>
                <w:w w:val="105"/>
                <w:sz w:val="19"/>
              </w:rPr>
              <w:t>20</w:t>
            </w:r>
          </w:p>
        </w:tc>
        <w:tc>
          <w:tcPr>
            <w:tcW w:w="796" w:type="dxa"/>
            <w:tcBorders>
              <w:bottom w:val="single" w:sz="5" w:space="0" w:color="000000"/>
            </w:tcBorders>
          </w:tcPr>
          <w:p>
            <w:pPr>
              <w:pStyle w:val="TableParagraph"/>
              <w:ind w:left="26"/>
              <w:rPr>
                <w:rFonts w:ascii="Calibri"/>
                <w:sz w:val="19"/>
              </w:rPr>
            </w:pPr>
            <w:r>
              <w:rPr>
                <w:rFonts w:ascii="Calibri"/>
                <w:w w:val="105"/>
                <w:sz w:val="19"/>
              </w:rPr>
              <w:t>DF</w:t>
            </w:r>
          </w:p>
        </w:tc>
        <w:tc>
          <w:tcPr>
            <w:tcW w:w="1057" w:type="dxa"/>
            <w:tcBorders>
              <w:bottom w:val="single" w:sz="5" w:space="0" w:color="000000"/>
            </w:tcBorders>
          </w:tcPr>
          <w:p>
            <w:pPr>
              <w:pStyle w:val="TableParagraph"/>
              <w:ind w:right="24"/>
              <w:jc w:val="right"/>
              <w:rPr>
                <w:rFonts w:ascii="Calibri"/>
                <w:sz w:val="19"/>
              </w:rPr>
            </w:pPr>
            <w:r>
              <w:rPr>
                <w:rFonts w:ascii="Calibri"/>
                <w:sz w:val="19"/>
              </w:rPr>
              <w:t>9071</w:t>
            </w:r>
          </w:p>
        </w:tc>
        <w:tc>
          <w:tcPr>
            <w:tcW w:w="2990" w:type="dxa"/>
            <w:tcBorders>
              <w:bottom w:val="single" w:sz="5" w:space="0" w:color="000000"/>
            </w:tcBorders>
          </w:tcPr>
          <w:p>
            <w:pPr>
              <w:pStyle w:val="TableParagraph"/>
              <w:ind w:left="26"/>
              <w:rPr>
                <w:rFonts w:ascii="Calibri"/>
                <w:sz w:val="19"/>
              </w:rPr>
            </w:pPr>
            <w:r>
              <w:rPr>
                <w:rFonts w:ascii="Calibri"/>
                <w:sz w:val="19"/>
              </w:rPr>
              <w:t>COLONIA EDUCACION</w:t>
            </w:r>
          </w:p>
        </w:tc>
        <w:tc>
          <w:tcPr>
            <w:tcW w:w="1044" w:type="dxa"/>
            <w:tcBorders>
              <w:bottom w:val="single" w:sz="5" w:space="0" w:color="000000"/>
            </w:tcBorders>
          </w:tcPr>
          <w:p>
            <w:pPr>
              <w:pStyle w:val="TableParagraph"/>
              <w:ind w:left="221"/>
              <w:rPr>
                <w:rFonts w:ascii="Calibri"/>
                <w:sz w:val="19"/>
              </w:rPr>
            </w:pPr>
            <w:r>
              <w:rPr>
                <w:rFonts w:ascii="Calibri"/>
                <w:spacing w:val="-6"/>
                <w:sz w:val="19"/>
              </w:rPr>
              <w:t>19.333889</w:t>
            </w:r>
          </w:p>
        </w:tc>
        <w:tc>
          <w:tcPr>
            <w:tcW w:w="1175" w:type="dxa"/>
            <w:tcBorders>
              <w:bottom w:val="single" w:sz="5" w:space="0" w:color="000000"/>
            </w:tcBorders>
          </w:tcPr>
          <w:p>
            <w:pPr>
              <w:pStyle w:val="TableParagraph"/>
              <w:ind w:right="18"/>
              <w:jc w:val="right"/>
              <w:rPr>
                <w:rFonts w:ascii="Calibri"/>
                <w:sz w:val="19"/>
              </w:rPr>
            </w:pPr>
            <w:r>
              <w:rPr>
                <w:rFonts w:ascii="Calibri"/>
                <w:sz w:val="19"/>
              </w:rPr>
              <w:t>-99.132222</w:t>
            </w:r>
          </w:p>
        </w:tc>
        <w:tc>
          <w:tcPr>
            <w:tcW w:w="1181" w:type="dxa"/>
            <w:tcBorders>
              <w:bottom w:val="single" w:sz="5" w:space="0" w:color="000000"/>
              <w:right w:val="single" w:sz="10" w:space="0" w:color="000000"/>
            </w:tcBorders>
          </w:tcPr>
          <w:p>
            <w:pPr>
              <w:pStyle w:val="TableParagraph"/>
              <w:ind w:right="11"/>
              <w:jc w:val="right"/>
              <w:rPr>
                <w:rFonts w:ascii="Calibri"/>
                <w:sz w:val="19"/>
              </w:rPr>
            </w:pPr>
            <w:r>
              <w:rPr>
                <w:rFonts w:ascii="Calibri"/>
                <w:sz w:val="19"/>
              </w:rPr>
              <w:t>2250</w:t>
            </w:r>
          </w:p>
        </w:tc>
      </w:tr>
      <w:tr>
        <w:trPr>
          <w:trHeight w:val="261" w:hRule="exact"/>
        </w:trPr>
        <w:tc>
          <w:tcPr>
            <w:tcW w:w="574" w:type="dxa"/>
            <w:tcBorders>
              <w:top w:val="single" w:sz="5" w:space="0" w:color="000000"/>
            </w:tcBorders>
          </w:tcPr>
          <w:p>
            <w:pPr>
              <w:pStyle w:val="TableParagraph"/>
              <w:ind w:left="16" w:right="3"/>
              <w:jc w:val="center"/>
              <w:rPr>
                <w:rFonts w:ascii="Calibri"/>
                <w:sz w:val="19"/>
              </w:rPr>
            </w:pPr>
            <w:r>
              <w:rPr>
                <w:rFonts w:ascii="Calibri"/>
                <w:w w:val="105"/>
                <w:sz w:val="19"/>
              </w:rPr>
              <w:t>21</w:t>
            </w:r>
          </w:p>
        </w:tc>
        <w:tc>
          <w:tcPr>
            <w:tcW w:w="796" w:type="dxa"/>
            <w:tcBorders>
              <w:top w:val="single" w:sz="5" w:space="0" w:color="000000"/>
            </w:tcBorders>
          </w:tcPr>
          <w:p>
            <w:pPr>
              <w:pStyle w:val="TableParagraph"/>
              <w:ind w:left="26"/>
              <w:rPr>
                <w:rFonts w:ascii="Calibri"/>
                <w:sz w:val="19"/>
              </w:rPr>
            </w:pPr>
            <w:r>
              <w:rPr>
                <w:rFonts w:ascii="Calibri"/>
                <w:w w:val="105"/>
                <w:sz w:val="19"/>
              </w:rPr>
              <w:t>DF</w:t>
            </w:r>
          </w:p>
        </w:tc>
        <w:tc>
          <w:tcPr>
            <w:tcW w:w="1057" w:type="dxa"/>
            <w:tcBorders>
              <w:top w:val="single" w:sz="5" w:space="0" w:color="000000"/>
            </w:tcBorders>
          </w:tcPr>
          <w:p>
            <w:pPr>
              <w:pStyle w:val="TableParagraph"/>
              <w:ind w:right="24"/>
              <w:jc w:val="right"/>
              <w:rPr>
                <w:rFonts w:ascii="Calibri"/>
                <w:sz w:val="19"/>
              </w:rPr>
            </w:pPr>
            <w:r>
              <w:rPr>
                <w:rFonts w:ascii="Calibri"/>
                <w:sz w:val="19"/>
              </w:rPr>
              <w:t>9015</w:t>
            </w:r>
          </w:p>
        </w:tc>
        <w:tc>
          <w:tcPr>
            <w:tcW w:w="2990" w:type="dxa"/>
            <w:tcBorders>
              <w:top w:val="single" w:sz="5" w:space="0" w:color="000000"/>
            </w:tcBorders>
          </w:tcPr>
          <w:p>
            <w:pPr>
              <w:pStyle w:val="TableParagraph"/>
              <w:ind w:left="26"/>
              <w:rPr>
                <w:rFonts w:ascii="Calibri"/>
                <w:sz w:val="19"/>
              </w:rPr>
            </w:pPr>
            <w:r>
              <w:rPr>
                <w:rFonts w:ascii="Calibri"/>
                <w:w w:val="105"/>
                <w:sz w:val="19"/>
              </w:rPr>
              <w:t>RODANO 14 (CFE)</w:t>
            </w:r>
          </w:p>
        </w:tc>
        <w:tc>
          <w:tcPr>
            <w:tcW w:w="1044" w:type="dxa"/>
            <w:tcBorders>
              <w:top w:val="single" w:sz="5" w:space="0" w:color="000000"/>
            </w:tcBorders>
          </w:tcPr>
          <w:p>
            <w:pPr>
              <w:pStyle w:val="TableParagraph"/>
              <w:ind w:left="221"/>
              <w:rPr>
                <w:rFonts w:ascii="Calibri"/>
                <w:sz w:val="19"/>
              </w:rPr>
            </w:pPr>
            <w:r>
              <w:rPr>
                <w:rFonts w:ascii="Calibri"/>
                <w:spacing w:val="-6"/>
                <w:sz w:val="19"/>
              </w:rPr>
              <w:t>19.425000</w:t>
            </w:r>
          </w:p>
        </w:tc>
        <w:tc>
          <w:tcPr>
            <w:tcW w:w="1175" w:type="dxa"/>
            <w:tcBorders>
              <w:top w:val="single" w:sz="5" w:space="0" w:color="000000"/>
            </w:tcBorders>
          </w:tcPr>
          <w:p>
            <w:pPr>
              <w:pStyle w:val="TableParagraph"/>
              <w:ind w:right="18"/>
              <w:jc w:val="right"/>
              <w:rPr>
                <w:rFonts w:ascii="Calibri"/>
                <w:sz w:val="19"/>
              </w:rPr>
            </w:pPr>
            <w:r>
              <w:rPr>
                <w:rFonts w:ascii="Calibri"/>
                <w:sz w:val="19"/>
              </w:rPr>
              <w:t>-99.173611</w:t>
            </w:r>
          </w:p>
        </w:tc>
        <w:tc>
          <w:tcPr>
            <w:tcW w:w="1181" w:type="dxa"/>
            <w:tcBorders>
              <w:top w:val="single" w:sz="5" w:space="0" w:color="000000"/>
              <w:right w:val="single" w:sz="10" w:space="0" w:color="000000"/>
            </w:tcBorders>
          </w:tcPr>
          <w:p>
            <w:pPr>
              <w:pStyle w:val="TableParagraph"/>
              <w:ind w:right="11"/>
              <w:jc w:val="right"/>
              <w:rPr>
                <w:rFonts w:ascii="Calibri"/>
                <w:sz w:val="19"/>
              </w:rPr>
            </w:pPr>
            <w:r>
              <w:rPr>
                <w:rFonts w:ascii="Calibri"/>
                <w:sz w:val="19"/>
              </w:rPr>
              <w:t>2250</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22</w:t>
            </w:r>
          </w:p>
        </w:tc>
        <w:tc>
          <w:tcPr>
            <w:tcW w:w="796" w:type="dxa"/>
          </w:tcPr>
          <w:p>
            <w:pPr>
              <w:pStyle w:val="TableParagraph"/>
              <w:spacing w:before="15"/>
              <w:ind w:left="26"/>
              <w:rPr>
                <w:rFonts w:ascii="Calibri" w:hAnsi="Calibri"/>
                <w:sz w:val="19"/>
              </w:rPr>
            </w:pPr>
            <w:r>
              <w:rPr>
                <w:rFonts w:ascii="Calibri" w:hAnsi="Calibri"/>
                <w:w w:val="105"/>
                <w:sz w:val="19"/>
              </w:rPr>
              <w:t>México</w:t>
            </w:r>
          </w:p>
        </w:tc>
        <w:tc>
          <w:tcPr>
            <w:tcW w:w="1057" w:type="dxa"/>
          </w:tcPr>
          <w:p>
            <w:pPr>
              <w:pStyle w:val="TableParagraph"/>
              <w:spacing w:before="15"/>
              <w:ind w:right="24"/>
              <w:jc w:val="right"/>
              <w:rPr>
                <w:rFonts w:ascii="Calibri"/>
                <w:sz w:val="19"/>
              </w:rPr>
            </w:pPr>
            <w:r>
              <w:rPr>
                <w:rFonts w:ascii="Calibri"/>
                <w:sz w:val="19"/>
              </w:rPr>
              <w:t>15044</w:t>
            </w:r>
          </w:p>
        </w:tc>
        <w:tc>
          <w:tcPr>
            <w:tcW w:w="2990" w:type="dxa"/>
          </w:tcPr>
          <w:p>
            <w:pPr>
              <w:pStyle w:val="TableParagraph"/>
              <w:spacing w:before="15"/>
              <w:ind w:left="26"/>
              <w:rPr>
                <w:rFonts w:ascii="Calibri"/>
                <w:sz w:val="19"/>
              </w:rPr>
            </w:pPr>
            <w:r>
              <w:rPr>
                <w:rFonts w:ascii="Calibri"/>
                <w:w w:val="105"/>
                <w:sz w:val="19"/>
              </w:rPr>
              <w:t>LA GRANDE</w:t>
            </w:r>
          </w:p>
        </w:tc>
        <w:tc>
          <w:tcPr>
            <w:tcW w:w="1044" w:type="dxa"/>
          </w:tcPr>
          <w:p>
            <w:pPr>
              <w:pStyle w:val="TableParagraph"/>
              <w:spacing w:before="15"/>
              <w:ind w:left="221"/>
              <w:rPr>
                <w:rFonts w:ascii="Calibri"/>
                <w:sz w:val="19"/>
              </w:rPr>
            </w:pPr>
            <w:r>
              <w:rPr>
                <w:rFonts w:ascii="Calibri"/>
                <w:spacing w:val="-6"/>
                <w:sz w:val="19"/>
              </w:rPr>
              <w:t>19.576111</w:t>
            </w:r>
          </w:p>
        </w:tc>
        <w:tc>
          <w:tcPr>
            <w:tcW w:w="1175" w:type="dxa"/>
          </w:tcPr>
          <w:p>
            <w:pPr>
              <w:pStyle w:val="TableParagraph"/>
              <w:spacing w:before="15"/>
              <w:ind w:right="18"/>
              <w:jc w:val="right"/>
              <w:rPr>
                <w:rFonts w:ascii="Calibri"/>
                <w:sz w:val="19"/>
              </w:rPr>
            </w:pPr>
            <w:r>
              <w:rPr>
                <w:rFonts w:ascii="Calibri"/>
                <w:sz w:val="19"/>
              </w:rPr>
              <w:t>-98.913889</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2250</w:t>
            </w:r>
          </w:p>
        </w:tc>
      </w:tr>
      <w:tr>
        <w:trPr>
          <w:trHeight w:val="261" w:hRule="exact"/>
        </w:trPr>
        <w:tc>
          <w:tcPr>
            <w:tcW w:w="574" w:type="dxa"/>
          </w:tcPr>
          <w:p>
            <w:pPr>
              <w:pStyle w:val="TableParagraph"/>
              <w:ind w:left="16" w:right="3"/>
              <w:jc w:val="center"/>
              <w:rPr>
                <w:rFonts w:ascii="Calibri"/>
                <w:sz w:val="19"/>
              </w:rPr>
            </w:pPr>
            <w:r>
              <w:rPr>
                <w:rFonts w:ascii="Calibri"/>
                <w:w w:val="105"/>
                <w:sz w:val="19"/>
              </w:rPr>
              <w:t>23</w:t>
            </w:r>
          </w:p>
        </w:tc>
        <w:tc>
          <w:tcPr>
            <w:tcW w:w="796" w:type="dxa"/>
          </w:tcPr>
          <w:p>
            <w:pPr>
              <w:pStyle w:val="TableParagraph"/>
              <w:ind w:left="26"/>
              <w:rPr>
                <w:rFonts w:ascii="Calibri" w:hAnsi="Calibri"/>
                <w:sz w:val="19"/>
              </w:rPr>
            </w:pPr>
            <w:r>
              <w:rPr>
                <w:rFonts w:ascii="Calibri" w:hAnsi="Calibri"/>
                <w:w w:val="105"/>
                <w:sz w:val="19"/>
              </w:rPr>
              <w:t>México</w:t>
            </w:r>
          </w:p>
        </w:tc>
        <w:tc>
          <w:tcPr>
            <w:tcW w:w="1057" w:type="dxa"/>
          </w:tcPr>
          <w:p>
            <w:pPr>
              <w:pStyle w:val="TableParagraph"/>
              <w:ind w:right="24"/>
              <w:jc w:val="right"/>
              <w:rPr>
                <w:rFonts w:ascii="Calibri"/>
                <w:sz w:val="19"/>
              </w:rPr>
            </w:pPr>
            <w:r>
              <w:rPr>
                <w:rFonts w:ascii="Calibri"/>
                <w:sz w:val="19"/>
              </w:rPr>
              <w:t>15268</w:t>
            </w:r>
          </w:p>
        </w:tc>
        <w:tc>
          <w:tcPr>
            <w:tcW w:w="2990" w:type="dxa"/>
          </w:tcPr>
          <w:p>
            <w:pPr>
              <w:pStyle w:val="TableParagraph"/>
              <w:ind w:left="26"/>
              <w:rPr>
                <w:rFonts w:ascii="Calibri"/>
                <w:sz w:val="19"/>
              </w:rPr>
            </w:pPr>
            <w:r>
              <w:rPr>
                <w:rFonts w:ascii="Calibri"/>
                <w:w w:val="105"/>
                <w:sz w:val="19"/>
              </w:rPr>
              <w:t>IXTAPALUCA</w:t>
            </w:r>
          </w:p>
        </w:tc>
        <w:tc>
          <w:tcPr>
            <w:tcW w:w="1044" w:type="dxa"/>
          </w:tcPr>
          <w:p>
            <w:pPr>
              <w:pStyle w:val="TableParagraph"/>
              <w:ind w:left="221"/>
              <w:rPr>
                <w:rFonts w:ascii="Calibri"/>
                <w:sz w:val="19"/>
              </w:rPr>
            </w:pPr>
            <w:r>
              <w:rPr>
                <w:rFonts w:ascii="Calibri"/>
                <w:spacing w:val="-6"/>
                <w:sz w:val="19"/>
              </w:rPr>
              <w:t>19.317222</w:t>
            </w:r>
          </w:p>
        </w:tc>
        <w:tc>
          <w:tcPr>
            <w:tcW w:w="1175" w:type="dxa"/>
          </w:tcPr>
          <w:p>
            <w:pPr>
              <w:pStyle w:val="TableParagraph"/>
              <w:ind w:right="18"/>
              <w:jc w:val="right"/>
              <w:rPr>
                <w:rFonts w:ascii="Calibri"/>
                <w:sz w:val="19"/>
              </w:rPr>
            </w:pPr>
            <w:r>
              <w:rPr>
                <w:rFonts w:ascii="Calibri"/>
                <w:sz w:val="19"/>
              </w:rPr>
              <w:t>-98.882222</w:t>
            </w:r>
          </w:p>
        </w:tc>
        <w:tc>
          <w:tcPr>
            <w:tcW w:w="1181" w:type="dxa"/>
            <w:tcBorders>
              <w:right w:val="single" w:sz="10" w:space="0" w:color="000000"/>
            </w:tcBorders>
          </w:tcPr>
          <w:p>
            <w:pPr>
              <w:pStyle w:val="TableParagraph"/>
              <w:ind w:right="11"/>
              <w:jc w:val="right"/>
              <w:rPr>
                <w:rFonts w:ascii="Calibri"/>
                <w:sz w:val="19"/>
              </w:rPr>
            </w:pPr>
            <w:r>
              <w:rPr>
                <w:rFonts w:ascii="Calibri"/>
                <w:sz w:val="19"/>
              </w:rPr>
              <w:t>2250</w:t>
            </w:r>
          </w:p>
        </w:tc>
      </w:tr>
      <w:tr>
        <w:trPr>
          <w:trHeight w:val="261" w:hRule="exact"/>
        </w:trPr>
        <w:tc>
          <w:tcPr>
            <w:tcW w:w="574" w:type="dxa"/>
          </w:tcPr>
          <w:p>
            <w:pPr>
              <w:pStyle w:val="TableParagraph"/>
              <w:ind w:left="16" w:right="3"/>
              <w:jc w:val="center"/>
              <w:rPr>
                <w:rFonts w:ascii="Calibri"/>
                <w:sz w:val="19"/>
              </w:rPr>
            </w:pPr>
            <w:r>
              <w:rPr>
                <w:rFonts w:ascii="Calibri"/>
                <w:w w:val="105"/>
                <w:sz w:val="19"/>
              </w:rPr>
              <w:t>24</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9003</w:t>
            </w:r>
          </w:p>
        </w:tc>
        <w:tc>
          <w:tcPr>
            <w:tcW w:w="2990" w:type="dxa"/>
          </w:tcPr>
          <w:p>
            <w:pPr>
              <w:pStyle w:val="TableParagraph"/>
              <w:ind w:left="26"/>
              <w:rPr>
                <w:rFonts w:ascii="Calibri"/>
                <w:sz w:val="19"/>
              </w:rPr>
            </w:pPr>
            <w:r>
              <w:rPr>
                <w:rFonts w:ascii="Calibri"/>
                <w:w w:val="105"/>
                <w:sz w:val="19"/>
              </w:rPr>
              <w:t>AQUILES SERDAN 46</w:t>
            </w:r>
          </w:p>
        </w:tc>
        <w:tc>
          <w:tcPr>
            <w:tcW w:w="1044" w:type="dxa"/>
          </w:tcPr>
          <w:p>
            <w:pPr>
              <w:pStyle w:val="TableParagraph"/>
              <w:ind w:left="221"/>
              <w:rPr>
                <w:rFonts w:ascii="Calibri"/>
                <w:sz w:val="19"/>
              </w:rPr>
            </w:pPr>
            <w:r>
              <w:rPr>
                <w:rFonts w:ascii="Calibri"/>
                <w:spacing w:val="-6"/>
                <w:sz w:val="19"/>
              </w:rPr>
              <w:t>19.469444</w:t>
            </w:r>
          </w:p>
        </w:tc>
        <w:tc>
          <w:tcPr>
            <w:tcW w:w="1175" w:type="dxa"/>
          </w:tcPr>
          <w:p>
            <w:pPr>
              <w:pStyle w:val="TableParagraph"/>
              <w:ind w:right="18"/>
              <w:jc w:val="right"/>
              <w:rPr>
                <w:rFonts w:ascii="Calibri"/>
                <w:sz w:val="19"/>
              </w:rPr>
            </w:pPr>
            <w:r>
              <w:rPr>
                <w:rFonts w:ascii="Calibri"/>
                <w:sz w:val="19"/>
              </w:rPr>
              <w:t>-99.190000</w:t>
            </w:r>
          </w:p>
        </w:tc>
        <w:tc>
          <w:tcPr>
            <w:tcW w:w="1181" w:type="dxa"/>
            <w:tcBorders>
              <w:right w:val="single" w:sz="10" w:space="0" w:color="000000"/>
            </w:tcBorders>
          </w:tcPr>
          <w:p>
            <w:pPr>
              <w:pStyle w:val="TableParagraph"/>
              <w:ind w:right="11"/>
              <w:jc w:val="right"/>
              <w:rPr>
                <w:rFonts w:ascii="Calibri"/>
                <w:sz w:val="19"/>
              </w:rPr>
            </w:pPr>
            <w:r>
              <w:rPr>
                <w:rFonts w:ascii="Calibri"/>
                <w:sz w:val="19"/>
              </w:rPr>
              <w:t>2255</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25</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9047</w:t>
            </w:r>
          </w:p>
        </w:tc>
        <w:tc>
          <w:tcPr>
            <w:tcW w:w="2990" w:type="dxa"/>
          </w:tcPr>
          <w:p>
            <w:pPr>
              <w:pStyle w:val="TableParagraph"/>
              <w:spacing w:before="15"/>
              <w:ind w:left="26"/>
              <w:rPr>
                <w:rFonts w:ascii="Calibri"/>
                <w:sz w:val="19"/>
              </w:rPr>
            </w:pPr>
            <w:r>
              <w:rPr>
                <w:rFonts w:ascii="Calibri"/>
                <w:w w:val="105"/>
                <w:sz w:val="19"/>
              </w:rPr>
              <w:t>COLONIA TACUBA</w:t>
            </w:r>
          </w:p>
        </w:tc>
        <w:tc>
          <w:tcPr>
            <w:tcW w:w="1044" w:type="dxa"/>
          </w:tcPr>
          <w:p>
            <w:pPr>
              <w:pStyle w:val="TableParagraph"/>
              <w:spacing w:before="15"/>
              <w:ind w:left="221"/>
              <w:rPr>
                <w:rFonts w:ascii="Calibri"/>
                <w:sz w:val="19"/>
              </w:rPr>
            </w:pPr>
            <w:r>
              <w:rPr>
                <w:rFonts w:ascii="Calibri"/>
                <w:spacing w:val="-6"/>
                <w:sz w:val="19"/>
              </w:rPr>
              <w:t>19.459722</w:t>
            </w:r>
          </w:p>
        </w:tc>
        <w:tc>
          <w:tcPr>
            <w:tcW w:w="1175" w:type="dxa"/>
          </w:tcPr>
          <w:p>
            <w:pPr>
              <w:pStyle w:val="TableParagraph"/>
              <w:spacing w:before="15"/>
              <w:ind w:right="18"/>
              <w:jc w:val="right"/>
              <w:rPr>
                <w:rFonts w:ascii="Calibri"/>
                <w:sz w:val="19"/>
              </w:rPr>
            </w:pPr>
            <w:r>
              <w:rPr>
                <w:rFonts w:ascii="Calibri"/>
                <w:sz w:val="19"/>
              </w:rPr>
              <w:t>-99.189444</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2255</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26</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9014</w:t>
            </w:r>
          </w:p>
        </w:tc>
        <w:tc>
          <w:tcPr>
            <w:tcW w:w="2990" w:type="dxa"/>
          </w:tcPr>
          <w:p>
            <w:pPr>
              <w:pStyle w:val="TableParagraph"/>
              <w:spacing w:before="15"/>
              <w:ind w:left="26"/>
              <w:rPr>
                <w:rFonts w:ascii="Calibri"/>
                <w:sz w:val="19"/>
              </w:rPr>
            </w:pPr>
            <w:r>
              <w:rPr>
                <w:rFonts w:ascii="Calibri"/>
                <w:w w:val="105"/>
                <w:sz w:val="19"/>
              </w:rPr>
              <w:t>COLONIA SANTA URSULA COAPA</w:t>
            </w:r>
          </w:p>
        </w:tc>
        <w:tc>
          <w:tcPr>
            <w:tcW w:w="1044" w:type="dxa"/>
          </w:tcPr>
          <w:p>
            <w:pPr>
              <w:pStyle w:val="TableParagraph"/>
              <w:spacing w:before="15"/>
              <w:ind w:left="221"/>
              <w:rPr>
                <w:rFonts w:ascii="Calibri"/>
                <w:sz w:val="19"/>
              </w:rPr>
            </w:pPr>
            <w:r>
              <w:rPr>
                <w:rFonts w:ascii="Calibri"/>
                <w:spacing w:val="-6"/>
                <w:sz w:val="19"/>
              </w:rPr>
              <w:t>19.303333</w:t>
            </w:r>
          </w:p>
        </w:tc>
        <w:tc>
          <w:tcPr>
            <w:tcW w:w="1175" w:type="dxa"/>
          </w:tcPr>
          <w:p>
            <w:pPr>
              <w:pStyle w:val="TableParagraph"/>
              <w:spacing w:before="15"/>
              <w:ind w:right="18"/>
              <w:jc w:val="right"/>
              <w:rPr>
                <w:rFonts w:ascii="Calibri"/>
                <w:sz w:val="19"/>
              </w:rPr>
            </w:pPr>
            <w:r>
              <w:rPr>
                <w:rFonts w:ascii="Calibri"/>
                <w:sz w:val="19"/>
              </w:rPr>
              <w:t>-99.148056</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2256</w:t>
            </w:r>
          </w:p>
        </w:tc>
      </w:tr>
      <w:tr>
        <w:trPr>
          <w:trHeight w:val="261" w:hRule="exact"/>
        </w:trPr>
        <w:tc>
          <w:tcPr>
            <w:tcW w:w="574" w:type="dxa"/>
          </w:tcPr>
          <w:p>
            <w:pPr>
              <w:pStyle w:val="TableParagraph"/>
              <w:ind w:left="16" w:right="3"/>
              <w:jc w:val="center"/>
              <w:rPr>
                <w:rFonts w:ascii="Calibri"/>
                <w:sz w:val="19"/>
              </w:rPr>
            </w:pPr>
            <w:r>
              <w:rPr>
                <w:rFonts w:ascii="Calibri"/>
                <w:w w:val="105"/>
                <w:sz w:val="19"/>
              </w:rPr>
              <w:t>27</w:t>
            </w:r>
          </w:p>
        </w:tc>
        <w:tc>
          <w:tcPr>
            <w:tcW w:w="796" w:type="dxa"/>
          </w:tcPr>
          <w:p>
            <w:pPr>
              <w:pStyle w:val="TableParagraph"/>
              <w:ind w:left="26"/>
              <w:rPr>
                <w:rFonts w:ascii="Calibri" w:hAnsi="Calibri"/>
                <w:sz w:val="19"/>
              </w:rPr>
            </w:pPr>
            <w:r>
              <w:rPr>
                <w:rFonts w:ascii="Calibri" w:hAnsi="Calibri"/>
                <w:w w:val="105"/>
                <w:sz w:val="19"/>
              </w:rPr>
              <w:t>México</w:t>
            </w:r>
          </w:p>
        </w:tc>
        <w:tc>
          <w:tcPr>
            <w:tcW w:w="1057" w:type="dxa"/>
          </w:tcPr>
          <w:p>
            <w:pPr>
              <w:pStyle w:val="TableParagraph"/>
              <w:ind w:right="24"/>
              <w:jc w:val="right"/>
              <w:rPr>
                <w:rFonts w:ascii="Calibri"/>
                <w:sz w:val="19"/>
              </w:rPr>
            </w:pPr>
            <w:r>
              <w:rPr>
                <w:rFonts w:ascii="Calibri"/>
                <w:sz w:val="19"/>
              </w:rPr>
              <w:t>15167</w:t>
            </w:r>
          </w:p>
        </w:tc>
        <w:tc>
          <w:tcPr>
            <w:tcW w:w="2990" w:type="dxa"/>
          </w:tcPr>
          <w:p>
            <w:pPr>
              <w:pStyle w:val="TableParagraph"/>
              <w:ind w:left="26"/>
              <w:rPr>
                <w:rFonts w:ascii="Calibri"/>
                <w:sz w:val="19"/>
              </w:rPr>
            </w:pPr>
            <w:r>
              <w:rPr>
                <w:rFonts w:ascii="Calibri"/>
                <w:sz w:val="19"/>
              </w:rPr>
              <w:t>EL TEJOCOTE</w:t>
            </w:r>
          </w:p>
        </w:tc>
        <w:tc>
          <w:tcPr>
            <w:tcW w:w="1044" w:type="dxa"/>
          </w:tcPr>
          <w:p>
            <w:pPr>
              <w:pStyle w:val="TableParagraph"/>
              <w:ind w:left="221"/>
              <w:rPr>
                <w:rFonts w:ascii="Calibri"/>
                <w:sz w:val="19"/>
              </w:rPr>
            </w:pPr>
            <w:r>
              <w:rPr>
                <w:rFonts w:ascii="Calibri"/>
                <w:spacing w:val="-6"/>
                <w:sz w:val="19"/>
              </w:rPr>
              <w:t>19.443333</w:t>
            </w:r>
          </w:p>
        </w:tc>
        <w:tc>
          <w:tcPr>
            <w:tcW w:w="1175" w:type="dxa"/>
          </w:tcPr>
          <w:p>
            <w:pPr>
              <w:pStyle w:val="TableParagraph"/>
              <w:ind w:right="18"/>
              <w:jc w:val="right"/>
              <w:rPr>
                <w:rFonts w:ascii="Calibri"/>
                <w:sz w:val="19"/>
              </w:rPr>
            </w:pPr>
            <w:r>
              <w:rPr>
                <w:rFonts w:ascii="Calibri"/>
                <w:sz w:val="19"/>
              </w:rPr>
              <w:t>-98.902778</w:t>
            </w:r>
          </w:p>
        </w:tc>
        <w:tc>
          <w:tcPr>
            <w:tcW w:w="1181" w:type="dxa"/>
            <w:tcBorders>
              <w:right w:val="single" w:sz="10" w:space="0" w:color="000000"/>
            </w:tcBorders>
          </w:tcPr>
          <w:p>
            <w:pPr>
              <w:pStyle w:val="TableParagraph"/>
              <w:ind w:right="11"/>
              <w:jc w:val="right"/>
              <w:rPr>
                <w:rFonts w:ascii="Calibri"/>
                <w:sz w:val="19"/>
              </w:rPr>
            </w:pPr>
            <w:r>
              <w:rPr>
                <w:rFonts w:ascii="Calibri"/>
                <w:sz w:val="19"/>
              </w:rPr>
              <w:t>2256</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28</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9070</w:t>
            </w:r>
          </w:p>
        </w:tc>
        <w:tc>
          <w:tcPr>
            <w:tcW w:w="2990" w:type="dxa"/>
          </w:tcPr>
          <w:p>
            <w:pPr>
              <w:pStyle w:val="TableParagraph"/>
              <w:spacing w:before="15"/>
              <w:ind w:left="26"/>
              <w:rPr>
                <w:rFonts w:ascii="Calibri"/>
                <w:sz w:val="19"/>
              </w:rPr>
            </w:pPr>
            <w:r>
              <w:rPr>
                <w:rFonts w:ascii="Calibri"/>
                <w:sz w:val="19"/>
              </w:rPr>
              <w:t>CAMPO  EXPERIMENTAL COYOACAN</w:t>
            </w:r>
          </w:p>
        </w:tc>
        <w:tc>
          <w:tcPr>
            <w:tcW w:w="1044" w:type="dxa"/>
          </w:tcPr>
          <w:p>
            <w:pPr>
              <w:pStyle w:val="TableParagraph"/>
              <w:spacing w:before="15"/>
              <w:ind w:left="221"/>
              <w:rPr>
                <w:rFonts w:ascii="Calibri"/>
                <w:sz w:val="19"/>
              </w:rPr>
            </w:pPr>
            <w:r>
              <w:rPr>
                <w:rFonts w:ascii="Calibri"/>
                <w:spacing w:val="-6"/>
                <w:sz w:val="19"/>
              </w:rPr>
              <w:t>19.351389</w:t>
            </w:r>
          </w:p>
        </w:tc>
        <w:tc>
          <w:tcPr>
            <w:tcW w:w="1175" w:type="dxa"/>
          </w:tcPr>
          <w:p>
            <w:pPr>
              <w:pStyle w:val="TableParagraph"/>
              <w:spacing w:before="15"/>
              <w:ind w:right="18"/>
              <w:jc w:val="right"/>
              <w:rPr>
                <w:rFonts w:ascii="Calibri"/>
                <w:sz w:val="19"/>
              </w:rPr>
            </w:pPr>
            <w:r>
              <w:rPr>
                <w:rFonts w:ascii="Calibri"/>
                <w:sz w:val="19"/>
              </w:rPr>
              <w:t>-99.172222</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2260</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29</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9034</w:t>
            </w:r>
          </w:p>
        </w:tc>
        <w:tc>
          <w:tcPr>
            <w:tcW w:w="2990" w:type="dxa"/>
          </w:tcPr>
          <w:p>
            <w:pPr>
              <w:pStyle w:val="TableParagraph"/>
              <w:spacing w:before="15"/>
              <w:ind w:left="26"/>
              <w:rPr>
                <w:rFonts w:ascii="Calibri"/>
                <w:sz w:val="19"/>
              </w:rPr>
            </w:pPr>
            <w:r>
              <w:rPr>
                <w:rFonts w:ascii="Calibri"/>
                <w:w w:val="105"/>
                <w:sz w:val="19"/>
              </w:rPr>
              <w:t>MOYOGUARDA</w:t>
            </w:r>
          </w:p>
        </w:tc>
        <w:tc>
          <w:tcPr>
            <w:tcW w:w="1044" w:type="dxa"/>
          </w:tcPr>
          <w:p>
            <w:pPr>
              <w:pStyle w:val="TableParagraph"/>
              <w:spacing w:before="15"/>
              <w:ind w:left="221"/>
              <w:rPr>
                <w:rFonts w:ascii="Calibri"/>
                <w:sz w:val="19"/>
              </w:rPr>
            </w:pPr>
            <w:r>
              <w:rPr>
                <w:rFonts w:ascii="Calibri"/>
                <w:spacing w:val="-6"/>
                <w:sz w:val="19"/>
              </w:rPr>
              <w:t>19.250000</w:t>
            </w:r>
          </w:p>
        </w:tc>
        <w:tc>
          <w:tcPr>
            <w:tcW w:w="1175" w:type="dxa"/>
          </w:tcPr>
          <w:p>
            <w:pPr>
              <w:pStyle w:val="TableParagraph"/>
              <w:spacing w:before="15"/>
              <w:ind w:right="18"/>
              <w:jc w:val="right"/>
              <w:rPr>
                <w:rFonts w:ascii="Calibri"/>
                <w:sz w:val="19"/>
              </w:rPr>
            </w:pPr>
            <w:r>
              <w:rPr>
                <w:rFonts w:ascii="Calibri"/>
                <w:sz w:val="19"/>
              </w:rPr>
              <w:t>-99.100000</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2260</w:t>
            </w:r>
          </w:p>
        </w:tc>
      </w:tr>
      <w:tr>
        <w:trPr>
          <w:trHeight w:val="261" w:hRule="exact"/>
        </w:trPr>
        <w:tc>
          <w:tcPr>
            <w:tcW w:w="574" w:type="dxa"/>
          </w:tcPr>
          <w:p>
            <w:pPr>
              <w:pStyle w:val="TableParagraph"/>
              <w:ind w:left="16" w:right="3"/>
              <w:jc w:val="center"/>
              <w:rPr>
                <w:rFonts w:ascii="Calibri"/>
                <w:sz w:val="19"/>
              </w:rPr>
            </w:pPr>
            <w:r>
              <w:rPr>
                <w:rFonts w:ascii="Calibri"/>
                <w:w w:val="105"/>
                <w:sz w:val="19"/>
              </w:rPr>
              <w:t>30</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9023</w:t>
            </w:r>
          </w:p>
        </w:tc>
        <w:tc>
          <w:tcPr>
            <w:tcW w:w="2990" w:type="dxa"/>
          </w:tcPr>
          <w:p>
            <w:pPr>
              <w:pStyle w:val="TableParagraph"/>
              <w:ind w:left="26"/>
              <w:rPr>
                <w:rFonts w:ascii="Calibri"/>
                <w:sz w:val="19"/>
              </w:rPr>
            </w:pPr>
            <w:r>
              <w:rPr>
                <w:rFonts w:ascii="Calibri"/>
                <w:w w:val="105"/>
                <w:sz w:val="19"/>
              </w:rPr>
              <w:t>GUADALUPE INN</w:t>
            </w:r>
          </w:p>
        </w:tc>
        <w:tc>
          <w:tcPr>
            <w:tcW w:w="1044" w:type="dxa"/>
          </w:tcPr>
          <w:p>
            <w:pPr>
              <w:pStyle w:val="TableParagraph"/>
              <w:ind w:left="221"/>
              <w:rPr>
                <w:rFonts w:ascii="Calibri"/>
                <w:sz w:val="19"/>
              </w:rPr>
            </w:pPr>
            <w:r>
              <w:rPr>
                <w:rFonts w:ascii="Calibri"/>
                <w:spacing w:val="-6"/>
                <w:sz w:val="19"/>
              </w:rPr>
              <w:t>19.351389</w:t>
            </w:r>
          </w:p>
        </w:tc>
        <w:tc>
          <w:tcPr>
            <w:tcW w:w="1175" w:type="dxa"/>
          </w:tcPr>
          <w:p>
            <w:pPr>
              <w:pStyle w:val="TableParagraph"/>
              <w:ind w:right="18"/>
              <w:jc w:val="right"/>
              <w:rPr>
                <w:rFonts w:ascii="Calibri"/>
                <w:sz w:val="19"/>
              </w:rPr>
            </w:pPr>
            <w:r>
              <w:rPr>
                <w:rFonts w:ascii="Calibri"/>
                <w:sz w:val="19"/>
              </w:rPr>
              <w:t>-99.186111</w:t>
            </w:r>
          </w:p>
        </w:tc>
        <w:tc>
          <w:tcPr>
            <w:tcW w:w="1181" w:type="dxa"/>
            <w:tcBorders>
              <w:right w:val="single" w:sz="10" w:space="0" w:color="000000"/>
            </w:tcBorders>
          </w:tcPr>
          <w:p>
            <w:pPr>
              <w:pStyle w:val="TableParagraph"/>
              <w:ind w:right="11"/>
              <w:jc w:val="right"/>
              <w:rPr>
                <w:rFonts w:ascii="Calibri"/>
                <w:sz w:val="19"/>
              </w:rPr>
            </w:pPr>
            <w:r>
              <w:rPr>
                <w:rFonts w:ascii="Calibri"/>
                <w:sz w:val="19"/>
              </w:rPr>
              <w:t>2270</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31</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9010</w:t>
            </w:r>
          </w:p>
        </w:tc>
        <w:tc>
          <w:tcPr>
            <w:tcW w:w="2990" w:type="dxa"/>
          </w:tcPr>
          <w:p>
            <w:pPr>
              <w:pStyle w:val="TableParagraph"/>
              <w:spacing w:before="15"/>
              <w:ind w:left="26"/>
              <w:rPr>
                <w:rFonts w:ascii="Calibri"/>
                <w:sz w:val="19"/>
              </w:rPr>
            </w:pPr>
            <w:r>
              <w:rPr>
                <w:rFonts w:ascii="Calibri"/>
                <w:w w:val="105"/>
                <w:sz w:val="19"/>
              </w:rPr>
              <w:t>COLONIA AMERICA</w:t>
            </w:r>
          </w:p>
        </w:tc>
        <w:tc>
          <w:tcPr>
            <w:tcW w:w="1044" w:type="dxa"/>
          </w:tcPr>
          <w:p>
            <w:pPr>
              <w:pStyle w:val="TableParagraph"/>
              <w:spacing w:before="15"/>
              <w:ind w:left="221"/>
              <w:rPr>
                <w:rFonts w:ascii="Calibri"/>
                <w:sz w:val="19"/>
              </w:rPr>
            </w:pPr>
            <w:r>
              <w:rPr>
                <w:rFonts w:ascii="Calibri"/>
                <w:spacing w:val="-6"/>
                <w:sz w:val="19"/>
              </w:rPr>
              <w:t>19.412500</w:t>
            </w:r>
          </w:p>
        </w:tc>
        <w:tc>
          <w:tcPr>
            <w:tcW w:w="1175" w:type="dxa"/>
          </w:tcPr>
          <w:p>
            <w:pPr>
              <w:pStyle w:val="TableParagraph"/>
              <w:spacing w:before="15"/>
              <w:ind w:right="18"/>
              <w:jc w:val="right"/>
              <w:rPr>
                <w:rFonts w:ascii="Calibri"/>
                <w:sz w:val="19"/>
              </w:rPr>
            </w:pPr>
            <w:r>
              <w:rPr>
                <w:rFonts w:ascii="Calibri"/>
                <w:sz w:val="19"/>
              </w:rPr>
              <w:t>-99.201667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2271</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32</w:t>
            </w:r>
          </w:p>
        </w:tc>
        <w:tc>
          <w:tcPr>
            <w:tcW w:w="796" w:type="dxa"/>
          </w:tcPr>
          <w:p>
            <w:pPr>
              <w:pStyle w:val="TableParagraph"/>
              <w:spacing w:before="15"/>
              <w:ind w:left="26"/>
              <w:rPr>
                <w:rFonts w:ascii="Calibri" w:hAnsi="Calibri"/>
                <w:sz w:val="19"/>
              </w:rPr>
            </w:pPr>
            <w:r>
              <w:rPr>
                <w:rFonts w:ascii="Calibri" w:hAnsi="Calibri"/>
                <w:w w:val="105"/>
                <w:sz w:val="19"/>
              </w:rPr>
              <w:t>México</w:t>
            </w:r>
          </w:p>
        </w:tc>
        <w:tc>
          <w:tcPr>
            <w:tcW w:w="1057" w:type="dxa"/>
          </w:tcPr>
          <w:p>
            <w:pPr>
              <w:pStyle w:val="TableParagraph"/>
              <w:spacing w:before="15"/>
              <w:ind w:right="24"/>
              <w:jc w:val="right"/>
              <w:rPr>
                <w:rFonts w:ascii="Calibri"/>
                <w:sz w:val="19"/>
              </w:rPr>
            </w:pPr>
            <w:r>
              <w:rPr>
                <w:rFonts w:ascii="Calibri"/>
                <w:sz w:val="19"/>
              </w:rPr>
              <w:t>15094</w:t>
            </w:r>
          </w:p>
        </w:tc>
        <w:tc>
          <w:tcPr>
            <w:tcW w:w="2990" w:type="dxa"/>
          </w:tcPr>
          <w:p>
            <w:pPr>
              <w:pStyle w:val="TableParagraph"/>
              <w:spacing w:before="15"/>
              <w:ind w:left="26"/>
              <w:rPr>
                <w:rFonts w:ascii="Calibri"/>
                <w:sz w:val="19"/>
              </w:rPr>
            </w:pPr>
            <w:r>
              <w:rPr>
                <w:rFonts w:ascii="Calibri"/>
                <w:w w:val="105"/>
                <w:sz w:val="19"/>
              </w:rPr>
              <w:t>SAN LUIS AMECA</w:t>
            </w:r>
          </w:p>
        </w:tc>
        <w:tc>
          <w:tcPr>
            <w:tcW w:w="1044" w:type="dxa"/>
          </w:tcPr>
          <w:p>
            <w:pPr>
              <w:pStyle w:val="TableParagraph"/>
              <w:spacing w:before="15"/>
              <w:ind w:left="221"/>
              <w:rPr>
                <w:rFonts w:ascii="Calibri"/>
                <w:sz w:val="19"/>
              </w:rPr>
            </w:pPr>
            <w:r>
              <w:rPr>
                <w:rFonts w:ascii="Calibri"/>
                <w:spacing w:val="-6"/>
                <w:sz w:val="19"/>
              </w:rPr>
              <w:t>19.190278</w:t>
            </w:r>
          </w:p>
        </w:tc>
        <w:tc>
          <w:tcPr>
            <w:tcW w:w="1175" w:type="dxa"/>
          </w:tcPr>
          <w:p>
            <w:pPr>
              <w:pStyle w:val="TableParagraph"/>
              <w:spacing w:before="15"/>
              <w:ind w:right="18"/>
              <w:jc w:val="right"/>
              <w:rPr>
                <w:rFonts w:ascii="Calibri"/>
                <w:sz w:val="19"/>
              </w:rPr>
            </w:pPr>
            <w:r>
              <w:rPr>
                <w:rFonts w:ascii="Calibri"/>
                <w:sz w:val="19"/>
              </w:rPr>
              <w:t>-98.870833</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2285</w:t>
            </w:r>
          </w:p>
        </w:tc>
      </w:tr>
      <w:tr>
        <w:trPr>
          <w:trHeight w:val="261" w:hRule="exact"/>
        </w:trPr>
        <w:tc>
          <w:tcPr>
            <w:tcW w:w="574" w:type="dxa"/>
          </w:tcPr>
          <w:p>
            <w:pPr>
              <w:pStyle w:val="TableParagraph"/>
              <w:ind w:left="16" w:right="3"/>
              <w:jc w:val="center"/>
              <w:rPr>
                <w:rFonts w:ascii="Calibri"/>
                <w:sz w:val="19"/>
              </w:rPr>
            </w:pPr>
            <w:r>
              <w:rPr>
                <w:rFonts w:ascii="Calibri"/>
                <w:w w:val="105"/>
                <w:sz w:val="19"/>
              </w:rPr>
              <w:t>33</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9024</w:t>
            </w:r>
          </w:p>
        </w:tc>
        <w:tc>
          <w:tcPr>
            <w:tcW w:w="2990" w:type="dxa"/>
          </w:tcPr>
          <w:p>
            <w:pPr>
              <w:pStyle w:val="TableParagraph"/>
              <w:ind w:left="26"/>
              <w:rPr>
                <w:rFonts w:ascii="Calibri" w:hAnsi="Calibri"/>
                <w:sz w:val="19"/>
              </w:rPr>
            </w:pPr>
            <w:r>
              <w:rPr>
                <w:rFonts w:ascii="Calibri" w:hAnsi="Calibri"/>
                <w:w w:val="105"/>
                <w:sz w:val="19"/>
              </w:rPr>
              <w:t>HACIENDA PEÐA POBRE</w:t>
            </w:r>
          </w:p>
        </w:tc>
        <w:tc>
          <w:tcPr>
            <w:tcW w:w="1044" w:type="dxa"/>
          </w:tcPr>
          <w:p>
            <w:pPr>
              <w:pStyle w:val="TableParagraph"/>
              <w:ind w:left="221"/>
              <w:rPr>
                <w:rFonts w:ascii="Calibri"/>
                <w:sz w:val="19"/>
              </w:rPr>
            </w:pPr>
            <w:r>
              <w:rPr>
                <w:rFonts w:ascii="Calibri"/>
                <w:spacing w:val="-6"/>
                <w:sz w:val="19"/>
              </w:rPr>
              <w:t>19.300000</w:t>
            </w:r>
          </w:p>
        </w:tc>
        <w:tc>
          <w:tcPr>
            <w:tcW w:w="1175" w:type="dxa"/>
          </w:tcPr>
          <w:p>
            <w:pPr>
              <w:pStyle w:val="TableParagraph"/>
              <w:ind w:right="18"/>
              <w:jc w:val="right"/>
              <w:rPr>
                <w:rFonts w:ascii="Calibri"/>
                <w:sz w:val="19"/>
              </w:rPr>
            </w:pPr>
            <w:r>
              <w:rPr>
                <w:rFonts w:ascii="Calibri"/>
                <w:sz w:val="19"/>
              </w:rPr>
              <w:t>-99.183333</w:t>
            </w:r>
          </w:p>
        </w:tc>
        <w:tc>
          <w:tcPr>
            <w:tcW w:w="1181" w:type="dxa"/>
            <w:tcBorders>
              <w:right w:val="single" w:sz="10" w:space="0" w:color="000000"/>
            </w:tcBorders>
          </w:tcPr>
          <w:p>
            <w:pPr>
              <w:pStyle w:val="TableParagraph"/>
              <w:ind w:right="11"/>
              <w:jc w:val="right"/>
              <w:rPr>
                <w:rFonts w:ascii="Calibri"/>
                <w:sz w:val="19"/>
              </w:rPr>
            </w:pPr>
            <w:r>
              <w:rPr>
                <w:rFonts w:ascii="Calibri"/>
                <w:sz w:val="19"/>
              </w:rPr>
              <w:t>2290</w:t>
            </w:r>
          </w:p>
        </w:tc>
      </w:tr>
      <w:tr>
        <w:trPr>
          <w:trHeight w:val="261" w:hRule="exact"/>
        </w:trPr>
        <w:tc>
          <w:tcPr>
            <w:tcW w:w="574" w:type="dxa"/>
          </w:tcPr>
          <w:p>
            <w:pPr>
              <w:pStyle w:val="TableParagraph"/>
              <w:ind w:left="16" w:right="3"/>
              <w:jc w:val="center"/>
              <w:rPr>
                <w:rFonts w:ascii="Calibri"/>
                <w:sz w:val="19"/>
              </w:rPr>
            </w:pPr>
            <w:r>
              <w:rPr>
                <w:rFonts w:ascii="Calibri"/>
                <w:w w:val="105"/>
                <w:sz w:val="19"/>
              </w:rPr>
              <w:t>34</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9020</w:t>
            </w:r>
          </w:p>
        </w:tc>
        <w:tc>
          <w:tcPr>
            <w:tcW w:w="2990" w:type="dxa"/>
          </w:tcPr>
          <w:p>
            <w:pPr>
              <w:pStyle w:val="TableParagraph"/>
              <w:ind w:left="26"/>
              <w:rPr>
                <w:rFonts w:ascii="Calibri"/>
                <w:sz w:val="19"/>
              </w:rPr>
            </w:pPr>
            <w:r>
              <w:rPr>
                <w:rFonts w:ascii="Calibri"/>
                <w:w w:val="105"/>
                <w:sz w:val="19"/>
              </w:rPr>
              <w:t>DESVIACION ALTA AL PEDREGAL</w:t>
            </w:r>
          </w:p>
        </w:tc>
        <w:tc>
          <w:tcPr>
            <w:tcW w:w="1044" w:type="dxa"/>
          </w:tcPr>
          <w:p>
            <w:pPr>
              <w:pStyle w:val="TableParagraph"/>
              <w:ind w:left="221"/>
              <w:rPr>
                <w:rFonts w:ascii="Calibri"/>
                <w:sz w:val="19"/>
              </w:rPr>
            </w:pPr>
            <w:r>
              <w:rPr>
                <w:rFonts w:ascii="Calibri"/>
                <w:spacing w:val="-6"/>
                <w:sz w:val="19"/>
              </w:rPr>
              <w:t>19.296944</w:t>
            </w:r>
          </w:p>
        </w:tc>
        <w:tc>
          <w:tcPr>
            <w:tcW w:w="1175" w:type="dxa"/>
          </w:tcPr>
          <w:p>
            <w:pPr>
              <w:pStyle w:val="TableParagraph"/>
              <w:ind w:right="18"/>
              <w:jc w:val="right"/>
              <w:rPr>
                <w:rFonts w:ascii="Calibri"/>
                <w:sz w:val="19"/>
              </w:rPr>
            </w:pPr>
            <w:r>
              <w:rPr>
                <w:rFonts w:ascii="Calibri"/>
                <w:sz w:val="19"/>
              </w:rPr>
              <w:t>-99.182222</w:t>
            </w:r>
          </w:p>
        </w:tc>
        <w:tc>
          <w:tcPr>
            <w:tcW w:w="1181" w:type="dxa"/>
            <w:tcBorders>
              <w:right w:val="single" w:sz="10" w:space="0" w:color="000000"/>
            </w:tcBorders>
          </w:tcPr>
          <w:p>
            <w:pPr>
              <w:pStyle w:val="TableParagraph"/>
              <w:ind w:right="11"/>
              <w:jc w:val="right"/>
              <w:rPr>
                <w:rFonts w:ascii="Calibri"/>
                <w:sz w:val="19"/>
              </w:rPr>
            </w:pPr>
            <w:r>
              <w:rPr>
                <w:rFonts w:ascii="Calibri"/>
                <w:sz w:val="19"/>
              </w:rPr>
              <w:t>2296</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35</w:t>
            </w:r>
          </w:p>
        </w:tc>
        <w:tc>
          <w:tcPr>
            <w:tcW w:w="796" w:type="dxa"/>
          </w:tcPr>
          <w:p>
            <w:pPr>
              <w:pStyle w:val="TableParagraph"/>
              <w:spacing w:before="15"/>
              <w:ind w:left="26"/>
              <w:rPr>
                <w:rFonts w:ascii="Calibri" w:hAnsi="Calibri"/>
                <w:sz w:val="19"/>
              </w:rPr>
            </w:pPr>
            <w:r>
              <w:rPr>
                <w:rFonts w:ascii="Calibri" w:hAnsi="Calibri"/>
                <w:w w:val="105"/>
                <w:sz w:val="19"/>
              </w:rPr>
              <w:t>México</w:t>
            </w:r>
          </w:p>
        </w:tc>
        <w:tc>
          <w:tcPr>
            <w:tcW w:w="1057" w:type="dxa"/>
          </w:tcPr>
          <w:p>
            <w:pPr>
              <w:pStyle w:val="TableParagraph"/>
              <w:spacing w:before="15"/>
              <w:ind w:right="24"/>
              <w:jc w:val="right"/>
              <w:rPr>
                <w:rFonts w:ascii="Calibri"/>
                <w:sz w:val="19"/>
              </w:rPr>
            </w:pPr>
            <w:r>
              <w:rPr>
                <w:rFonts w:ascii="Calibri"/>
                <w:sz w:val="19"/>
              </w:rPr>
              <w:t>15074</w:t>
            </w:r>
          </w:p>
        </w:tc>
        <w:tc>
          <w:tcPr>
            <w:tcW w:w="2990" w:type="dxa"/>
          </w:tcPr>
          <w:p>
            <w:pPr>
              <w:pStyle w:val="TableParagraph"/>
              <w:spacing w:before="15"/>
              <w:ind w:left="26"/>
              <w:rPr>
                <w:rFonts w:ascii="Calibri"/>
                <w:sz w:val="19"/>
              </w:rPr>
            </w:pPr>
            <w:r>
              <w:rPr>
                <w:rFonts w:ascii="Calibri"/>
                <w:w w:val="105"/>
                <w:sz w:val="19"/>
              </w:rPr>
              <w:t>PRESA LA CONCEPCION</w:t>
            </w:r>
          </w:p>
        </w:tc>
        <w:tc>
          <w:tcPr>
            <w:tcW w:w="1044" w:type="dxa"/>
          </w:tcPr>
          <w:p>
            <w:pPr>
              <w:pStyle w:val="TableParagraph"/>
              <w:spacing w:before="15"/>
              <w:ind w:left="221"/>
              <w:rPr>
                <w:rFonts w:ascii="Calibri"/>
                <w:sz w:val="19"/>
              </w:rPr>
            </w:pPr>
            <w:r>
              <w:rPr>
                <w:rFonts w:ascii="Calibri"/>
                <w:spacing w:val="-6"/>
                <w:sz w:val="19"/>
              </w:rPr>
              <w:t>19.695000</w:t>
            </w:r>
          </w:p>
        </w:tc>
        <w:tc>
          <w:tcPr>
            <w:tcW w:w="1175" w:type="dxa"/>
          </w:tcPr>
          <w:p>
            <w:pPr>
              <w:pStyle w:val="TableParagraph"/>
              <w:spacing w:before="15"/>
              <w:ind w:right="18"/>
              <w:jc w:val="right"/>
              <w:rPr>
                <w:rFonts w:ascii="Calibri"/>
                <w:sz w:val="19"/>
              </w:rPr>
            </w:pPr>
            <w:r>
              <w:rPr>
                <w:rFonts w:ascii="Calibri"/>
                <w:sz w:val="19"/>
              </w:rPr>
              <w:t>-99.301667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2300</w:t>
            </w:r>
          </w:p>
        </w:tc>
      </w:tr>
      <w:tr>
        <w:trPr>
          <w:trHeight w:val="261" w:hRule="exact"/>
        </w:trPr>
        <w:tc>
          <w:tcPr>
            <w:tcW w:w="574" w:type="dxa"/>
          </w:tcPr>
          <w:p>
            <w:pPr>
              <w:pStyle w:val="TableParagraph"/>
              <w:ind w:left="16" w:right="3"/>
              <w:jc w:val="center"/>
              <w:rPr>
                <w:rFonts w:ascii="Calibri"/>
                <w:sz w:val="19"/>
              </w:rPr>
            </w:pPr>
            <w:r>
              <w:rPr>
                <w:rFonts w:ascii="Calibri"/>
                <w:w w:val="105"/>
                <w:sz w:val="19"/>
              </w:rPr>
              <w:t>36</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9050</w:t>
            </w:r>
          </w:p>
        </w:tc>
        <w:tc>
          <w:tcPr>
            <w:tcW w:w="2990" w:type="dxa"/>
          </w:tcPr>
          <w:p>
            <w:pPr>
              <w:pStyle w:val="TableParagraph"/>
              <w:ind w:left="26"/>
              <w:rPr>
                <w:rFonts w:ascii="Calibri"/>
                <w:sz w:val="19"/>
              </w:rPr>
            </w:pPr>
            <w:r>
              <w:rPr>
                <w:rFonts w:ascii="Calibri"/>
                <w:w w:val="105"/>
                <w:sz w:val="19"/>
              </w:rPr>
              <w:t>LOMAS DE CHAPULTEPEC</w:t>
            </w:r>
          </w:p>
        </w:tc>
        <w:tc>
          <w:tcPr>
            <w:tcW w:w="1044" w:type="dxa"/>
          </w:tcPr>
          <w:p>
            <w:pPr>
              <w:pStyle w:val="TableParagraph"/>
              <w:ind w:left="221"/>
              <w:rPr>
                <w:rFonts w:ascii="Calibri"/>
                <w:sz w:val="19"/>
              </w:rPr>
            </w:pPr>
            <w:r>
              <w:rPr>
                <w:rFonts w:ascii="Calibri"/>
                <w:spacing w:val="-6"/>
                <w:sz w:val="19"/>
              </w:rPr>
              <w:t>19.433333</w:t>
            </w:r>
          </w:p>
        </w:tc>
        <w:tc>
          <w:tcPr>
            <w:tcW w:w="1175" w:type="dxa"/>
          </w:tcPr>
          <w:p>
            <w:pPr>
              <w:pStyle w:val="TableParagraph"/>
              <w:ind w:right="18"/>
              <w:jc w:val="right"/>
              <w:rPr>
                <w:rFonts w:ascii="Calibri"/>
                <w:sz w:val="19"/>
              </w:rPr>
            </w:pPr>
            <w:r>
              <w:rPr>
                <w:rFonts w:ascii="Calibri"/>
                <w:sz w:val="19"/>
              </w:rPr>
              <w:t>-99.216667</w:t>
            </w:r>
          </w:p>
        </w:tc>
        <w:tc>
          <w:tcPr>
            <w:tcW w:w="1181" w:type="dxa"/>
            <w:tcBorders>
              <w:right w:val="single" w:sz="10" w:space="0" w:color="000000"/>
            </w:tcBorders>
          </w:tcPr>
          <w:p>
            <w:pPr>
              <w:pStyle w:val="TableParagraph"/>
              <w:ind w:right="11"/>
              <w:jc w:val="right"/>
              <w:rPr>
                <w:rFonts w:ascii="Calibri"/>
                <w:sz w:val="19"/>
              </w:rPr>
            </w:pPr>
            <w:r>
              <w:rPr>
                <w:rFonts w:ascii="Calibri"/>
                <w:sz w:val="19"/>
              </w:rPr>
              <w:t>2314</w:t>
            </w:r>
          </w:p>
        </w:tc>
      </w:tr>
      <w:tr>
        <w:trPr>
          <w:trHeight w:val="261" w:hRule="exact"/>
        </w:trPr>
        <w:tc>
          <w:tcPr>
            <w:tcW w:w="574" w:type="dxa"/>
          </w:tcPr>
          <w:p>
            <w:pPr>
              <w:pStyle w:val="TableParagraph"/>
              <w:ind w:left="16" w:right="3"/>
              <w:jc w:val="center"/>
              <w:rPr>
                <w:rFonts w:ascii="Calibri"/>
                <w:sz w:val="19"/>
              </w:rPr>
            </w:pPr>
            <w:r>
              <w:rPr>
                <w:rFonts w:ascii="Calibri"/>
                <w:w w:val="105"/>
                <w:sz w:val="19"/>
              </w:rPr>
              <w:t>37</w:t>
            </w:r>
          </w:p>
        </w:tc>
        <w:tc>
          <w:tcPr>
            <w:tcW w:w="796" w:type="dxa"/>
          </w:tcPr>
          <w:p>
            <w:pPr>
              <w:pStyle w:val="TableParagraph"/>
              <w:ind w:left="26"/>
              <w:rPr>
                <w:rFonts w:ascii="Calibri"/>
                <w:sz w:val="19"/>
              </w:rPr>
            </w:pPr>
            <w:r>
              <w:rPr>
                <w:rFonts w:ascii="Calibri"/>
                <w:w w:val="105"/>
                <w:sz w:val="19"/>
              </w:rPr>
              <w:t>DF</w:t>
            </w:r>
          </w:p>
        </w:tc>
        <w:tc>
          <w:tcPr>
            <w:tcW w:w="1057" w:type="dxa"/>
          </w:tcPr>
          <w:p>
            <w:pPr>
              <w:pStyle w:val="TableParagraph"/>
              <w:ind w:right="24"/>
              <w:jc w:val="right"/>
              <w:rPr>
                <w:rFonts w:ascii="Calibri"/>
                <w:sz w:val="19"/>
              </w:rPr>
            </w:pPr>
            <w:r>
              <w:rPr>
                <w:rFonts w:ascii="Calibri"/>
                <w:sz w:val="19"/>
              </w:rPr>
              <w:t>9059</w:t>
            </w:r>
          </w:p>
        </w:tc>
        <w:tc>
          <w:tcPr>
            <w:tcW w:w="2990" w:type="dxa"/>
          </w:tcPr>
          <w:p>
            <w:pPr>
              <w:pStyle w:val="TableParagraph"/>
              <w:ind w:left="26"/>
              <w:rPr>
                <w:rFonts w:ascii="Calibri" w:hAnsi="Calibri"/>
                <w:sz w:val="19"/>
              </w:rPr>
            </w:pPr>
            <w:r>
              <w:rPr>
                <w:rFonts w:ascii="Calibri" w:hAnsi="Calibri"/>
                <w:w w:val="105"/>
                <w:sz w:val="19"/>
              </w:rPr>
              <w:t>CASTAÐEDA</w:t>
            </w:r>
          </w:p>
        </w:tc>
        <w:tc>
          <w:tcPr>
            <w:tcW w:w="1044" w:type="dxa"/>
          </w:tcPr>
          <w:p>
            <w:pPr>
              <w:pStyle w:val="TableParagraph"/>
              <w:ind w:left="221"/>
              <w:rPr>
                <w:rFonts w:ascii="Calibri"/>
                <w:sz w:val="19"/>
              </w:rPr>
            </w:pPr>
            <w:r>
              <w:rPr>
                <w:rFonts w:ascii="Calibri"/>
                <w:spacing w:val="-6"/>
                <w:sz w:val="19"/>
              </w:rPr>
              <w:t>19.366667</w:t>
            </w:r>
          </w:p>
        </w:tc>
        <w:tc>
          <w:tcPr>
            <w:tcW w:w="1175" w:type="dxa"/>
          </w:tcPr>
          <w:p>
            <w:pPr>
              <w:pStyle w:val="TableParagraph"/>
              <w:ind w:right="18"/>
              <w:jc w:val="right"/>
              <w:rPr>
                <w:rFonts w:ascii="Calibri"/>
                <w:sz w:val="19"/>
              </w:rPr>
            </w:pPr>
            <w:r>
              <w:rPr>
                <w:rFonts w:ascii="Calibri"/>
                <w:sz w:val="19"/>
              </w:rPr>
              <w:t>-99.200000</w:t>
            </w:r>
          </w:p>
        </w:tc>
        <w:tc>
          <w:tcPr>
            <w:tcW w:w="1181" w:type="dxa"/>
            <w:tcBorders>
              <w:right w:val="single" w:sz="10" w:space="0" w:color="000000"/>
            </w:tcBorders>
          </w:tcPr>
          <w:p>
            <w:pPr>
              <w:pStyle w:val="TableParagraph"/>
              <w:ind w:right="11"/>
              <w:jc w:val="right"/>
              <w:rPr>
                <w:rFonts w:ascii="Calibri"/>
                <w:sz w:val="19"/>
              </w:rPr>
            </w:pPr>
            <w:r>
              <w:rPr>
                <w:rFonts w:ascii="Calibri"/>
                <w:sz w:val="19"/>
              </w:rPr>
              <w:t>2322</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38</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9007</w:t>
            </w:r>
          </w:p>
        </w:tc>
        <w:tc>
          <w:tcPr>
            <w:tcW w:w="2990" w:type="dxa"/>
          </w:tcPr>
          <w:p>
            <w:pPr>
              <w:pStyle w:val="TableParagraph"/>
              <w:spacing w:before="15"/>
              <w:ind w:left="26"/>
              <w:rPr>
                <w:rFonts w:ascii="Calibri"/>
                <w:sz w:val="19"/>
              </w:rPr>
            </w:pPr>
            <w:r>
              <w:rPr>
                <w:rFonts w:ascii="Calibri"/>
                <w:w w:val="105"/>
                <w:sz w:val="19"/>
              </w:rPr>
              <w:t>CINCEL 42</w:t>
            </w:r>
          </w:p>
        </w:tc>
        <w:tc>
          <w:tcPr>
            <w:tcW w:w="1044" w:type="dxa"/>
          </w:tcPr>
          <w:p>
            <w:pPr>
              <w:pStyle w:val="TableParagraph"/>
              <w:spacing w:before="15"/>
              <w:ind w:left="221"/>
              <w:rPr>
                <w:rFonts w:ascii="Calibri"/>
                <w:sz w:val="19"/>
              </w:rPr>
            </w:pPr>
            <w:r>
              <w:rPr>
                <w:rFonts w:ascii="Calibri"/>
                <w:spacing w:val="-6"/>
                <w:sz w:val="19"/>
              </w:rPr>
              <w:t>19.416667</w:t>
            </w:r>
          </w:p>
        </w:tc>
        <w:tc>
          <w:tcPr>
            <w:tcW w:w="1175" w:type="dxa"/>
          </w:tcPr>
          <w:p>
            <w:pPr>
              <w:pStyle w:val="TableParagraph"/>
              <w:spacing w:before="15"/>
              <w:ind w:right="18"/>
              <w:jc w:val="right"/>
              <w:rPr>
                <w:rFonts w:ascii="Calibri"/>
                <w:sz w:val="19"/>
              </w:rPr>
            </w:pPr>
            <w:r>
              <w:rPr>
                <w:rFonts w:ascii="Calibri"/>
                <w:sz w:val="19"/>
              </w:rPr>
              <w:t>-99.116667</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2326</w:t>
            </w:r>
          </w:p>
        </w:tc>
      </w:tr>
      <w:tr>
        <w:trPr>
          <w:trHeight w:val="261" w:hRule="exact"/>
        </w:trPr>
        <w:tc>
          <w:tcPr>
            <w:tcW w:w="574" w:type="dxa"/>
          </w:tcPr>
          <w:p>
            <w:pPr>
              <w:pStyle w:val="TableParagraph"/>
              <w:spacing w:before="15"/>
              <w:ind w:left="16" w:right="3"/>
              <w:jc w:val="center"/>
              <w:rPr>
                <w:rFonts w:ascii="Calibri"/>
                <w:sz w:val="19"/>
              </w:rPr>
            </w:pPr>
            <w:r>
              <w:rPr>
                <w:rFonts w:ascii="Calibri"/>
                <w:w w:val="105"/>
                <w:sz w:val="19"/>
              </w:rPr>
              <w:t>39</w:t>
            </w:r>
          </w:p>
        </w:tc>
        <w:tc>
          <w:tcPr>
            <w:tcW w:w="796" w:type="dxa"/>
          </w:tcPr>
          <w:p>
            <w:pPr>
              <w:pStyle w:val="TableParagraph"/>
              <w:spacing w:before="15"/>
              <w:ind w:left="26"/>
              <w:rPr>
                <w:rFonts w:ascii="Calibri"/>
                <w:sz w:val="19"/>
              </w:rPr>
            </w:pPr>
            <w:r>
              <w:rPr>
                <w:rFonts w:ascii="Calibri"/>
                <w:w w:val="105"/>
                <w:sz w:val="19"/>
              </w:rPr>
              <w:t>DF</w:t>
            </w:r>
          </w:p>
        </w:tc>
        <w:tc>
          <w:tcPr>
            <w:tcW w:w="1057" w:type="dxa"/>
          </w:tcPr>
          <w:p>
            <w:pPr>
              <w:pStyle w:val="TableParagraph"/>
              <w:spacing w:before="15"/>
              <w:ind w:right="24"/>
              <w:jc w:val="right"/>
              <w:rPr>
                <w:rFonts w:ascii="Calibri"/>
                <w:sz w:val="19"/>
              </w:rPr>
            </w:pPr>
            <w:r>
              <w:rPr>
                <w:rFonts w:ascii="Calibri"/>
                <w:sz w:val="19"/>
              </w:rPr>
              <w:t>9039</w:t>
            </w:r>
          </w:p>
        </w:tc>
        <w:tc>
          <w:tcPr>
            <w:tcW w:w="2990" w:type="dxa"/>
          </w:tcPr>
          <w:p>
            <w:pPr>
              <w:pStyle w:val="TableParagraph"/>
              <w:spacing w:before="15"/>
              <w:ind w:left="26"/>
              <w:rPr>
                <w:rFonts w:ascii="Calibri"/>
                <w:sz w:val="19"/>
              </w:rPr>
            </w:pPr>
            <w:r>
              <w:rPr>
                <w:rFonts w:ascii="Calibri"/>
                <w:w w:val="105"/>
                <w:sz w:val="19"/>
              </w:rPr>
              <w:t>PRESA TACUBAYA</w:t>
            </w:r>
          </w:p>
        </w:tc>
        <w:tc>
          <w:tcPr>
            <w:tcW w:w="1044" w:type="dxa"/>
          </w:tcPr>
          <w:p>
            <w:pPr>
              <w:pStyle w:val="TableParagraph"/>
              <w:spacing w:before="15"/>
              <w:ind w:left="221"/>
              <w:rPr>
                <w:rFonts w:ascii="Calibri"/>
                <w:sz w:val="19"/>
              </w:rPr>
            </w:pPr>
            <w:r>
              <w:rPr>
                <w:rFonts w:ascii="Calibri"/>
                <w:spacing w:val="-6"/>
                <w:sz w:val="19"/>
              </w:rPr>
              <w:t>19.397222</w:t>
            </w:r>
          </w:p>
        </w:tc>
        <w:tc>
          <w:tcPr>
            <w:tcW w:w="1175" w:type="dxa"/>
          </w:tcPr>
          <w:p>
            <w:pPr>
              <w:pStyle w:val="TableParagraph"/>
              <w:spacing w:before="15"/>
              <w:ind w:right="18"/>
              <w:jc w:val="right"/>
              <w:rPr>
                <w:rFonts w:ascii="Calibri"/>
                <w:sz w:val="19"/>
              </w:rPr>
            </w:pPr>
            <w:r>
              <w:rPr>
                <w:rFonts w:ascii="Calibri"/>
                <w:sz w:val="19"/>
              </w:rPr>
              <w:t>-99.212500</w:t>
            </w:r>
          </w:p>
        </w:tc>
        <w:tc>
          <w:tcPr>
            <w:tcW w:w="1181" w:type="dxa"/>
            <w:tcBorders>
              <w:right w:val="single" w:sz="10" w:space="0" w:color="000000"/>
            </w:tcBorders>
          </w:tcPr>
          <w:p>
            <w:pPr>
              <w:pStyle w:val="TableParagraph"/>
              <w:spacing w:before="15"/>
              <w:ind w:right="11"/>
              <w:jc w:val="right"/>
              <w:rPr>
                <w:rFonts w:ascii="Calibri"/>
                <w:sz w:val="19"/>
              </w:rPr>
            </w:pPr>
            <w:r>
              <w:rPr>
                <w:rFonts w:ascii="Calibri"/>
                <w:sz w:val="19"/>
              </w:rPr>
              <w:t>2340</w:t>
            </w:r>
          </w:p>
        </w:tc>
      </w:tr>
      <w:tr>
        <w:trPr>
          <w:trHeight w:val="267" w:hRule="exact"/>
        </w:trPr>
        <w:tc>
          <w:tcPr>
            <w:tcW w:w="574" w:type="dxa"/>
            <w:tcBorders>
              <w:bottom w:val="single" w:sz="10" w:space="0" w:color="000000"/>
            </w:tcBorders>
          </w:tcPr>
          <w:p>
            <w:pPr>
              <w:pStyle w:val="TableParagraph"/>
              <w:ind w:left="16" w:right="3"/>
              <w:jc w:val="center"/>
              <w:rPr>
                <w:rFonts w:ascii="Calibri"/>
                <w:sz w:val="19"/>
              </w:rPr>
            </w:pPr>
            <w:r>
              <w:rPr>
                <w:rFonts w:ascii="Calibri"/>
                <w:w w:val="105"/>
                <w:sz w:val="19"/>
              </w:rPr>
              <w:t>40</w:t>
            </w:r>
          </w:p>
        </w:tc>
        <w:tc>
          <w:tcPr>
            <w:tcW w:w="796" w:type="dxa"/>
            <w:tcBorders>
              <w:bottom w:val="single" w:sz="10" w:space="0" w:color="000000"/>
            </w:tcBorders>
          </w:tcPr>
          <w:p>
            <w:pPr>
              <w:pStyle w:val="TableParagraph"/>
              <w:ind w:left="26"/>
              <w:rPr>
                <w:rFonts w:ascii="Calibri"/>
                <w:sz w:val="19"/>
              </w:rPr>
            </w:pPr>
            <w:r>
              <w:rPr>
                <w:rFonts w:ascii="Calibri"/>
                <w:w w:val="105"/>
                <w:sz w:val="19"/>
              </w:rPr>
              <w:t>DF</w:t>
            </w:r>
          </w:p>
        </w:tc>
        <w:tc>
          <w:tcPr>
            <w:tcW w:w="1057" w:type="dxa"/>
            <w:tcBorders>
              <w:bottom w:val="single" w:sz="10" w:space="0" w:color="000000"/>
            </w:tcBorders>
          </w:tcPr>
          <w:p>
            <w:pPr>
              <w:pStyle w:val="TableParagraph"/>
              <w:ind w:right="24"/>
              <w:jc w:val="right"/>
              <w:rPr>
                <w:rFonts w:ascii="Calibri"/>
                <w:sz w:val="19"/>
              </w:rPr>
            </w:pPr>
            <w:r>
              <w:rPr>
                <w:rFonts w:ascii="Calibri"/>
                <w:sz w:val="19"/>
              </w:rPr>
              <w:t>9049</w:t>
            </w:r>
          </w:p>
        </w:tc>
        <w:tc>
          <w:tcPr>
            <w:tcW w:w="2990" w:type="dxa"/>
            <w:tcBorders>
              <w:bottom w:val="single" w:sz="10" w:space="0" w:color="000000"/>
            </w:tcBorders>
          </w:tcPr>
          <w:p>
            <w:pPr>
              <w:pStyle w:val="TableParagraph"/>
              <w:ind w:left="26"/>
              <w:rPr>
                <w:rFonts w:ascii="Calibri"/>
                <w:sz w:val="19"/>
              </w:rPr>
            </w:pPr>
            <w:r>
              <w:rPr>
                <w:rFonts w:ascii="Calibri"/>
                <w:w w:val="105"/>
                <w:sz w:val="19"/>
              </w:rPr>
              <w:t>TARANGO</w:t>
            </w:r>
          </w:p>
        </w:tc>
        <w:tc>
          <w:tcPr>
            <w:tcW w:w="1044" w:type="dxa"/>
            <w:tcBorders>
              <w:bottom w:val="single" w:sz="10" w:space="0" w:color="000000"/>
            </w:tcBorders>
          </w:tcPr>
          <w:p>
            <w:pPr>
              <w:pStyle w:val="TableParagraph"/>
              <w:ind w:left="221"/>
              <w:rPr>
                <w:rFonts w:ascii="Calibri"/>
                <w:sz w:val="19"/>
              </w:rPr>
            </w:pPr>
            <w:r>
              <w:rPr>
                <w:rFonts w:ascii="Calibri"/>
                <w:spacing w:val="-6"/>
                <w:sz w:val="19"/>
              </w:rPr>
              <w:t>19.360000</w:t>
            </w:r>
          </w:p>
        </w:tc>
        <w:tc>
          <w:tcPr>
            <w:tcW w:w="1175" w:type="dxa"/>
            <w:tcBorders>
              <w:bottom w:val="single" w:sz="10" w:space="0" w:color="000000"/>
            </w:tcBorders>
          </w:tcPr>
          <w:p>
            <w:pPr>
              <w:pStyle w:val="TableParagraph"/>
              <w:ind w:right="18"/>
              <w:jc w:val="right"/>
              <w:rPr>
                <w:rFonts w:ascii="Calibri"/>
                <w:sz w:val="19"/>
              </w:rPr>
            </w:pPr>
            <w:r>
              <w:rPr>
                <w:rFonts w:ascii="Calibri"/>
                <w:sz w:val="19"/>
              </w:rPr>
              <w:t>-99.212500</w:t>
            </w:r>
          </w:p>
        </w:tc>
        <w:tc>
          <w:tcPr>
            <w:tcW w:w="1181" w:type="dxa"/>
            <w:tcBorders>
              <w:bottom w:val="single" w:sz="10" w:space="0" w:color="000000"/>
              <w:right w:val="single" w:sz="10" w:space="0" w:color="000000"/>
            </w:tcBorders>
          </w:tcPr>
          <w:p>
            <w:pPr>
              <w:pStyle w:val="TableParagraph"/>
              <w:ind w:right="11"/>
              <w:jc w:val="right"/>
              <w:rPr>
                <w:rFonts w:ascii="Calibri"/>
                <w:sz w:val="19"/>
              </w:rPr>
            </w:pPr>
            <w:r>
              <w:rPr>
                <w:rFonts w:ascii="Calibri"/>
                <w:sz w:val="19"/>
              </w:rPr>
              <w:t>2340</w:t>
            </w:r>
          </w:p>
        </w:tc>
      </w:tr>
    </w:tbl>
    <w:p>
      <w:pPr>
        <w:spacing w:after="0"/>
        <w:jc w:val="right"/>
        <w:rPr>
          <w:rFonts w:ascii="Calibri"/>
          <w:sz w:val="19"/>
        </w:rPr>
        <w:sectPr>
          <w:pgSz w:w="12240" w:h="15840"/>
          <w:pgMar w:header="0" w:footer="1003" w:top="1360" w:bottom="1200" w:left="1600" w:right="1580"/>
        </w:sectPr>
      </w:pPr>
    </w:p>
    <w:p>
      <w:pPr>
        <w:pStyle w:val="BodyText"/>
        <w:spacing w:before="54"/>
        <w:ind w:left="102"/>
        <w:jc w:val="both"/>
      </w:pPr>
      <w:r>
        <w:rPr/>
        <w:pict>
          <v:line style="position:absolute;mso-position-horizontal-relative:page;mso-position-vertical-relative:paragraph;z-index:-342592" from="85.375877pt,23.84672pt" to="85.375877pt,23.84672pt" stroked="true" strokeweight=".651410pt" strokecolor="#dadcdd">
            <w10:wrap type="none"/>
          </v:line>
        </w:pict>
      </w:r>
      <w:r>
        <w:rPr/>
        <w:pict>
          <v:line style="position:absolute;mso-position-horizontal-relative:page;mso-position-vertical-relative:paragraph;z-index:-342568" from="114.096771pt,23.84672pt" to="114.096771pt,23.84672pt" stroked="true" strokeweight=".651410pt" strokecolor="#dadcdd">
            <w10:wrap type="none"/>
          </v:line>
        </w:pict>
      </w:r>
      <w:r>
        <w:rPr/>
        <w:pict>
          <v:line style="position:absolute;mso-position-horizontal-relative:page;mso-position-vertical-relative:paragraph;z-index:-342544" from="153.919312pt,23.84672pt" to="153.919312pt,23.84672pt" stroked="true" strokeweight=".651410pt" strokecolor="#dadcdd">
            <w10:wrap type="none"/>
          </v:line>
        </w:pict>
      </w:r>
      <w:r>
        <w:rPr/>
        <w:pict>
          <v:line style="position:absolute;mso-position-horizontal-relative:page;mso-position-vertical-relative:paragraph;z-index:-342520" from="206.781387pt,23.84672pt" to="206.781387pt,23.84672pt" stroked="true" strokeweight=".651410pt" strokecolor="#dadcdd">
            <w10:wrap type="none"/>
          </v:line>
        </w:pict>
      </w:r>
      <w:r>
        <w:rPr/>
        <w:pict>
          <v:line style="position:absolute;mso-position-horizontal-relative:page;mso-position-vertical-relative:paragraph;z-index:-342496" from="356.269073pt,23.846722pt" to="356.269073pt,23.846722pt" stroked="true" strokeweight=".651410pt" strokecolor="#dadcdd">
            <w10:wrap type="none"/>
          </v:line>
        </w:pict>
      </w:r>
      <w:r>
        <w:rPr/>
        <w:pict>
          <v:line style="position:absolute;mso-position-horizontal-relative:page;mso-position-vertical-relative:paragraph;z-index:-342472" from="408.479401pt,23.846722pt" to="408.479401pt,23.846722pt" stroked="true" strokeweight=".651410pt" strokecolor="#dadcdd">
            <w10:wrap type="none"/>
          </v:line>
        </w:pict>
      </w:r>
      <w:r>
        <w:rPr/>
        <w:pict>
          <v:line style="position:absolute;mso-position-horizontal-relative:page;mso-position-vertical-relative:paragraph;z-index:-342448" from="467.216003pt,23.846722pt" to="467.216003pt,23.846722pt" stroked="true" strokeweight=".651410pt" strokecolor="#dadcdd">
            <w10:wrap type="none"/>
          </v:line>
        </w:pict>
      </w:r>
      <w:r>
        <w:rPr/>
        <w:pict>
          <v:line style="position:absolute;mso-position-horizontal-relative:page;mso-position-vertical-relative:paragraph;z-index:-342424" from="526.621765pt,23.846722pt" to="526.621765pt,23.846722pt" stroked="true" strokeweight=".651410pt" strokecolor="#dadcdd">
            <w10:wrap type="none"/>
          </v:line>
        </w:pict>
      </w:r>
      <w:r>
        <w:rPr/>
        <w:t>Continuación.</w:t>
      </w:r>
    </w:p>
    <w:p>
      <w:pPr>
        <w:pStyle w:val="BodyText"/>
        <w:spacing w:before="2"/>
        <w:rPr>
          <w:sz w:val="12"/>
        </w:rPr>
      </w:pPr>
    </w:p>
    <w:tbl>
      <w:tblPr>
        <w:tblW w:w="0" w:type="auto"/>
        <w:jc w:val="left"/>
        <w:tblInd w:w="10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74"/>
        <w:gridCol w:w="796"/>
        <w:gridCol w:w="1057"/>
        <w:gridCol w:w="2990"/>
        <w:gridCol w:w="1044"/>
        <w:gridCol w:w="1175"/>
        <w:gridCol w:w="1181"/>
      </w:tblGrid>
      <w:tr>
        <w:trPr>
          <w:trHeight w:val="783" w:hRule="exact"/>
        </w:trPr>
        <w:tc>
          <w:tcPr>
            <w:tcW w:w="574" w:type="dxa"/>
            <w:tcBorders>
              <w:left w:val="single" w:sz="5" w:space="0" w:color="000000"/>
              <w:bottom w:val="single" w:sz="5" w:space="0" w:color="000000"/>
              <w:right w:val="single" w:sz="5" w:space="0" w:color="000000"/>
            </w:tcBorders>
          </w:tcPr>
          <w:p>
            <w:pPr>
              <w:pStyle w:val="TableParagraph"/>
              <w:spacing w:before="11"/>
              <w:rPr>
                <w:sz w:val="23"/>
              </w:rPr>
            </w:pPr>
          </w:p>
          <w:p>
            <w:pPr>
              <w:pStyle w:val="TableParagraph"/>
              <w:spacing w:before="0"/>
              <w:ind w:left="16" w:right="16"/>
              <w:jc w:val="center"/>
              <w:rPr>
                <w:rFonts w:ascii="Calibri" w:hAnsi="Calibri"/>
                <w:b/>
                <w:sz w:val="19"/>
              </w:rPr>
            </w:pPr>
            <w:r>
              <w:rPr>
                <w:rFonts w:ascii="Calibri" w:hAnsi="Calibri"/>
                <w:b/>
                <w:w w:val="105"/>
                <w:sz w:val="19"/>
              </w:rPr>
              <w:t>NÚM.</w:t>
            </w:r>
          </w:p>
        </w:tc>
        <w:tc>
          <w:tcPr>
            <w:tcW w:w="796" w:type="dxa"/>
            <w:tcBorders>
              <w:left w:val="single" w:sz="5" w:space="0" w:color="000000"/>
              <w:bottom w:val="single" w:sz="5" w:space="0" w:color="000000"/>
              <w:right w:val="single" w:sz="5" w:space="0" w:color="000000"/>
            </w:tcBorders>
          </w:tcPr>
          <w:p>
            <w:pPr>
              <w:pStyle w:val="TableParagraph"/>
              <w:spacing w:before="11"/>
              <w:rPr>
                <w:sz w:val="23"/>
              </w:rPr>
            </w:pPr>
          </w:p>
          <w:p>
            <w:pPr>
              <w:pStyle w:val="TableParagraph"/>
              <w:spacing w:before="0"/>
              <w:ind w:left="78"/>
              <w:rPr>
                <w:rFonts w:ascii="Calibri"/>
                <w:b/>
                <w:sz w:val="19"/>
              </w:rPr>
            </w:pPr>
            <w:r>
              <w:rPr>
                <w:rFonts w:ascii="Calibri"/>
                <w:b/>
                <w:w w:val="105"/>
                <w:sz w:val="19"/>
              </w:rPr>
              <w:t>ESTADO</w:t>
            </w:r>
          </w:p>
        </w:tc>
        <w:tc>
          <w:tcPr>
            <w:tcW w:w="1057" w:type="dxa"/>
            <w:tcBorders>
              <w:left w:val="single" w:sz="5" w:space="0" w:color="000000"/>
              <w:bottom w:val="single" w:sz="5" w:space="0" w:color="000000"/>
              <w:right w:val="single" w:sz="5" w:space="0" w:color="000000"/>
            </w:tcBorders>
          </w:tcPr>
          <w:p>
            <w:pPr>
              <w:pStyle w:val="TableParagraph"/>
              <w:spacing w:line="271" w:lineRule="auto" w:before="145"/>
              <w:ind w:left="117" w:right="9" w:hanging="92"/>
              <w:rPr>
                <w:rFonts w:ascii="Calibri" w:hAnsi="Calibri"/>
                <w:b/>
                <w:sz w:val="19"/>
              </w:rPr>
            </w:pPr>
            <w:r>
              <w:rPr>
                <w:rFonts w:ascii="Calibri" w:hAnsi="Calibri"/>
                <w:b/>
                <w:w w:val="105"/>
                <w:sz w:val="19"/>
              </w:rPr>
              <w:t>CLAVE</w:t>
            </w:r>
            <w:r>
              <w:rPr>
                <w:rFonts w:ascii="Calibri" w:hAnsi="Calibri"/>
                <w:b/>
                <w:spacing w:val="-37"/>
                <w:w w:val="105"/>
                <w:sz w:val="19"/>
              </w:rPr>
              <w:t> </w:t>
            </w:r>
            <w:r>
              <w:rPr>
                <w:rFonts w:ascii="Calibri" w:hAnsi="Calibri"/>
                <w:b/>
                <w:spacing w:val="-4"/>
                <w:w w:val="105"/>
                <w:sz w:val="19"/>
              </w:rPr>
              <w:t>DE </w:t>
            </w:r>
            <w:r>
              <w:rPr>
                <w:rFonts w:ascii="Calibri" w:hAnsi="Calibri"/>
                <w:b/>
                <w:spacing w:val="-3"/>
                <w:w w:val="105"/>
                <w:sz w:val="19"/>
              </w:rPr>
              <w:t>LA ESTACIÓN</w:t>
            </w:r>
          </w:p>
        </w:tc>
        <w:tc>
          <w:tcPr>
            <w:tcW w:w="2990" w:type="dxa"/>
            <w:tcBorders>
              <w:left w:val="single" w:sz="5" w:space="0" w:color="000000"/>
              <w:bottom w:val="single" w:sz="5" w:space="0" w:color="000000"/>
              <w:right w:val="single" w:sz="5" w:space="0" w:color="000000"/>
            </w:tcBorders>
          </w:tcPr>
          <w:p>
            <w:pPr>
              <w:pStyle w:val="TableParagraph"/>
              <w:spacing w:before="11"/>
              <w:rPr>
                <w:sz w:val="23"/>
              </w:rPr>
            </w:pPr>
          </w:p>
          <w:p>
            <w:pPr>
              <w:pStyle w:val="TableParagraph"/>
              <w:spacing w:before="0"/>
              <w:ind w:left="1088" w:right="1085"/>
              <w:jc w:val="center"/>
              <w:rPr>
                <w:rFonts w:ascii="Calibri"/>
                <w:b/>
                <w:sz w:val="19"/>
              </w:rPr>
            </w:pPr>
            <w:r>
              <w:rPr>
                <w:rFonts w:ascii="Calibri"/>
                <w:b/>
                <w:w w:val="105"/>
                <w:sz w:val="19"/>
              </w:rPr>
              <w:t>NOMBRE</w:t>
            </w:r>
          </w:p>
        </w:tc>
        <w:tc>
          <w:tcPr>
            <w:tcW w:w="1044" w:type="dxa"/>
            <w:tcBorders>
              <w:left w:val="single" w:sz="5" w:space="0" w:color="000000"/>
              <w:bottom w:val="single" w:sz="5" w:space="0" w:color="000000"/>
              <w:right w:val="single" w:sz="5" w:space="0" w:color="000000"/>
            </w:tcBorders>
          </w:tcPr>
          <w:p>
            <w:pPr>
              <w:pStyle w:val="TableParagraph"/>
              <w:spacing w:before="11"/>
              <w:rPr>
                <w:sz w:val="23"/>
              </w:rPr>
            </w:pPr>
          </w:p>
          <w:p>
            <w:pPr>
              <w:pStyle w:val="TableParagraph"/>
              <w:spacing w:before="0"/>
              <w:ind w:left="182"/>
              <w:rPr>
                <w:rFonts w:ascii="Calibri"/>
                <w:b/>
                <w:sz w:val="19"/>
              </w:rPr>
            </w:pPr>
            <w:r>
              <w:rPr>
                <w:rFonts w:ascii="Calibri"/>
                <w:b/>
                <w:w w:val="105"/>
                <w:sz w:val="19"/>
              </w:rPr>
              <w:t>LATITUD</w:t>
            </w:r>
          </w:p>
        </w:tc>
        <w:tc>
          <w:tcPr>
            <w:tcW w:w="1175" w:type="dxa"/>
            <w:tcBorders>
              <w:left w:val="single" w:sz="5" w:space="0" w:color="000000"/>
              <w:bottom w:val="single" w:sz="5" w:space="0" w:color="000000"/>
              <w:right w:val="single" w:sz="5" w:space="0" w:color="000000"/>
            </w:tcBorders>
          </w:tcPr>
          <w:p>
            <w:pPr>
              <w:pStyle w:val="TableParagraph"/>
              <w:spacing w:before="11"/>
              <w:rPr>
                <w:sz w:val="23"/>
              </w:rPr>
            </w:pPr>
          </w:p>
          <w:p>
            <w:pPr>
              <w:pStyle w:val="TableParagraph"/>
              <w:spacing w:before="0"/>
              <w:ind w:left="156"/>
              <w:rPr>
                <w:rFonts w:ascii="Calibri"/>
                <w:b/>
                <w:sz w:val="19"/>
              </w:rPr>
            </w:pPr>
            <w:r>
              <w:rPr>
                <w:rFonts w:ascii="Calibri"/>
                <w:b/>
                <w:w w:val="105"/>
                <w:sz w:val="19"/>
              </w:rPr>
              <w:t>LONGITUD</w:t>
            </w:r>
          </w:p>
        </w:tc>
        <w:tc>
          <w:tcPr>
            <w:tcW w:w="1181" w:type="dxa"/>
            <w:tcBorders>
              <w:left w:val="single" w:sz="5" w:space="0" w:color="000000"/>
              <w:bottom w:val="single" w:sz="5" w:space="0" w:color="000000"/>
              <w:right w:val="single" w:sz="10" w:space="0" w:color="000000"/>
            </w:tcBorders>
          </w:tcPr>
          <w:p>
            <w:pPr>
              <w:pStyle w:val="TableParagraph"/>
              <w:spacing w:before="11"/>
              <w:rPr>
                <w:sz w:val="23"/>
              </w:rPr>
            </w:pPr>
          </w:p>
          <w:p>
            <w:pPr>
              <w:pStyle w:val="TableParagraph"/>
              <w:spacing w:before="0"/>
              <w:ind w:right="13"/>
              <w:jc w:val="right"/>
              <w:rPr>
                <w:rFonts w:ascii="Calibri"/>
                <w:b/>
                <w:sz w:val="19"/>
              </w:rPr>
            </w:pPr>
            <w:r>
              <w:rPr>
                <w:rFonts w:ascii="Calibri"/>
                <w:b/>
                <w:sz w:val="19"/>
              </w:rPr>
              <w:t>ALTURA_MSN</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41</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15022</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CHICONAUTLA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19.656667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-99.017222</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2340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42</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9037</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PRESA ANSALDO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19.333333</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-99.216667</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2363</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43</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15081</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REPRESA EL ALEMAN</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19.704444</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-99.219167</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2365</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44</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9017</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CUAUTEPEC BARRIO BAJO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19.542222</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-99.130556</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2390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45</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15017</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COATEPEC DE LOS OLIVOS</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19.384722</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-98.846111</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2405</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46</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9032</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MILPA ALTA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19.190556</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-99.021944</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2420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47</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9046</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COLONIA SANTA FÉ</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19.383333</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-99.233333</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2422</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48</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15019</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COLONIA VICENTE GUERRERO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19.595556</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-99.354722</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2430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49</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15039</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JUCHITEPEC</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19.086944</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-98.884722</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2543</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50</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9042</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 GREGORIO ATLAPULCO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19.216667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-99.083333</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2549</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51</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9038</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sz w:val="19"/>
              </w:rPr>
              <w:t>PRESA MIXCOAC</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19.366667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-99.266667</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2576</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52</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9045</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SANTA ANA TLACOTENCO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19.178889</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-99.002778</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2595</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53</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9041</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 FRANCISCO TLALNEPANTLA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19.196667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-99.128611</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2620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54</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15095</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 LUIS AYUCAN</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19.495278</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-99.367778</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2755</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55</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9016</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CUAJIMALPA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19.350000</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-99.300000</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2777</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56</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Morelos</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17047</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HUITZILAC</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19.058333</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-99.274167</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2801</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57</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hAnsi="Calibri"/>
                <w:sz w:val="19"/>
              </w:rPr>
            </w:pPr>
            <w:r>
              <w:rPr>
                <w:rFonts w:ascii="Calibri" w:hAnsi="Calibri"/>
                <w:w w:val="105"/>
                <w:sz w:val="19"/>
              </w:rPr>
              <w:t>México</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15298</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SANTA CRUZ TEZONTEPEC E-21</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19.063056</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-99.386111</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2827</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58</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Morelos</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17039</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SAN JUAN TLACOTENCO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19.039167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-99.093889</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2836</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59</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9030</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LA VENTA CUAJIMALPA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19.333333</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-99.300000</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2850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60</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9002</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AJUSCO</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19.216667</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-99.200000</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2900</w:t>
            </w:r>
          </w:p>
        </w:tc>
      </w:tr>
      <w:tr>
        <w:trPr>
          <w:trHeight w:val="261" w:hRule="exact"/>
        </w:trPr>
        <w:tc>
          <w:tcPr>
            <w:tcW w:w="574" w:type="dxa"/>
            <w:tcBorders>
              <w:top w:val="single" w:sz="5" w:space="0" w:color="000000"/>
              <w:left w:val="single" w:sz="5" w:space="0" w:color="000000"/>
              <w:bottom w:val="single" w:sz="5"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61</w:t>
            </w:r>
          </w:p>
        </w:tc>
        <w:tc>
          <w:tcPr>
            <w:tcW w:w="796"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5" w:space="0" w:color="000000"/>
              <w:right w:val="single" w:sz="5" w:space="0" w:color="000000"/>
            </w:tcBorders>
          </w:tcPr>
          <w:p>
            <w:pPr>
              <w:pStyle w:val="TableParagraph"/>
              <w:spacing w:before="15"/>
              <w:ind w:right="24"/>
              <w:jc w:val="right"/>
              <w:rPr>
                <w:rFonts w:ascii="Calibri"/>
                <w:sz w:val="19"/>
              </w:rPr>
            </w:pPr>
            <w:r>
              <w:rPr>
                <w:rFonts w:ascii="Calibri"/>
                <w:sz w:val="19"/>
              </w:rPr>
              <w:t>9022</w:t>
            </w:r>
          </w:p>
        </w:tc>
        <w:tc>
          <w:tcPr>
            <w:tcW w:w="2990" w:type="dxa"/>
            <w:tcBorders>
              <w:top w:val="single" w:sz="5" w:space="0" w:color="000000"/>
              <w:left w:val="single" w:sz="5" w:space="0" w:color="000000"/>
              <w:bottom w:val="single" w:sz="5" w:space="0" w:color="000000"/>
              <w:right w:val="single" w:sz="5" w:space="0" w:color="000000"/>
            </w:tcBorders>
          </w:tcPr>
          <w:p>
            <w:pPr>
              <w:pStyle w:val="TableParagraph"/>
              <w:spacing w:before="15"/>
              <w:ind w:left="26"/>
              <w:rPr>
                <w:rFonts w:ascii="Calibri"/>
                <w:sz w:val="19"/>
              </w:rPr>
            </w:pPr>
            <w:r>
              <w:rPr>
                <w:rFonts w:ascii="Calibri"/>
                <w:w w:val="105"/>
                <w:sz w:val="19"/>
              </w:rPr>
              <w:t>EL GUARDA</w:t>
            </w:r>
          </w:p>
        </w:tc>
        <w:tc>
          <w:tcPr>
            <w:tcW w:w="1044" w:type="dxa"/>
            <w:tcBorders>
              <w:top w:val="single" w:sz="5" w:space="0" w:color="000000"/>
              <w:left w:val="single" w:sz="5" w:space="0" w:color="000000"/>
              <w:bottom w:val="single" w:sz="5" w:space="0" w:color="000000"/>
              <w:right w:val="single" w:sz="5" w:space="0" w:color="000000"/>
            </w:tcBorders>
          </w:tcPr>
          <w:p>
            <w:pPr>
              <w:pStyle w:val="TableParagraph"/>
              <w:spacing w:before="15"/>
              <w:ind w:left="221"/>
              <w:rPr>
                <w:rFonts w:ascii="Calibri"/>
                <w:sz w:val="19"/>
              </w:rPr>
            </w:pPr>
            <w:r>
              <w:rPr>
                <w:rFonts w:ascii="Calibri"/>
                <w:spacing w:val="-6"/>
                <w:sz w:val="19"/>
              </w:rPr>
              <w:t>19.134444</w:t>
            </w:r>
          </w:p>
        </w:tc>
        <w:tc>
          <w:tcPr>
            <w:tcW w:w="1175" w:type="dxa"/>
            <w:tcBorders>
              <w:top w:val="single" w:sz="5" w:space="0" w:color="000000"/>
              <w:left w:val="single" w:sz="5" w:space="0" w:color="000000"/>
              <w:bottom w:val="single" w:sz="5" w:space="0" w:color="000000"/>
              <w:right w:val="single" w:sz="5" w:space="0" w:color="000000"/>
            </w:tcBorders>
          </w:tcPr>
          <w:p>
            <w:pPr>
              <w:pStyle w:val="TableParagraph"/>
              <w:spacing w:before="15"/>
              <w:ind w:right="18"/>
              <w:jc w:val="right"/>
              <w:rPr>
                <w:rFonts w:ascii="Calibri"/>
                <w:sz w:val="19"/>
              </w:rPr>
            </w:pPr>
            <w:r>
              <w:rPr>
                <w:rFonts w:ascii="Calibri"/>
                <w:sz w:val="19"/>
              </w:rPr>
              <w:t>-99.173056</w:t>
            </w:r>
          </w:p>
        </w:tc>
        <w:tc>
          <w:tcPr>
            <w:tcW w:w="1181" w:type="dxa"/>
            <w:tcBorders>
              <w:top w:val="single" w:sz="5" w:space="0" w:color="000000"/>
              <w:left w:val="single" w:sz="5" w:space="0" w:color="000000"/>
              <w:bottom w:val="single" w:sz="5" w:space="0" w:color="000000"/>
              <w:right w:val="single" w:sz="10" w:space="0" w:color="000000"/>
            </w:tcBorders>
          </w:tcPr>
          <w:p>
            <w:pPr>
              <w:pStyle w:val="TableParagraph"/>
              <w:spacing w:before="15"/>
              <w:ind w:right="11"/>
              <w:jc w:val="right"/>
              <w:rPr>
                <w:rFonts w:ascii="Calibri"/>
                <w:sz w:val="19"/>
              </w:rPr>
            </w:pPr>
            <w:r>
              <w:rPr>
                <w:rFonts w:ascii="Calibri"/>
                <w:sz w:val="19"/>
              </w:rPr>
              <w:t>2990</w:t>
            </w:r>
          </w:p>
        </w:tc>
      </w:tr>
      <w:tr>
        <w:trPr>
          <w:trHeight w:val="268" w:hRule="exact"/>
        </w:trPr>
        <w:tc>
          <w:tcPr>
            <w:tcW w:w="574" w:type="dxa"/>
            <w:tcBorders>
              <w:top w:val="single" w:sz="5" w:space="0" w:color="000000"/>
              <w:left w:val="single" w:sz="5" w:space="0" w:color="000000"/>
              <w:bottom w:val="single" w:sz="10" w:space="0" w:color="000000"/>
              <w:right w:val="single" w:sz="5" w:space="0" w:color="000000"/>
            </w:tcBorders>
          </w:tcPr>
          <w:p>
            <w:pPr>
              <w:pStyle w:val="TableParagraph"/>
              <w:spacing w:before="15"/>
              <w:ind w:left="16" w:right="3"/>
              <w:jc w:val="center"/>
              <w:rPr>
                <w:rFonts w:ascii="Calibri"/>
                <w:sz w:val="19"/>
              </w:rPr>
            </w:pPr>
            <w:r>
              <w:rPr>
                <w:rFonts w:ascii="Calibri"/>
                <w:w w:val="105"/>
                <w:sz w:val="19"/>
              </w:rPr>
              <w:t>62</w:t>
            </w:r>
          </w:p>
        </w:tc>
        <w:tc>
          <w:tcPr>
            <w:tcW w:w="796" w:type="dxa"/>
            <w:tcBorders>
              <w:top w:val="single" w:sz="5" w:space="0" w:color="000000"/>
              <w:left w:val="single" w:sz="5" w:space="0" w:color="000000"/>
              <w:bottom w:val="single" w:sz="10" w:space="0" w:color="000000"/>
              <w:right w:val="single" w:sz="5" w:space="0" w:color="000000"/>
            </w:tcBorders>
          </w:tcPr>
          <w:p>
            <w:pPr>
              <w:pStyle w:val="TableParagraph"/>
              <w:spacing w:before="15"/>
              <w:ind w:left="26"/>
              <w:rPr>
                <w:rFonts w:ascii="Calibri"/>
                <w:sz w:val="19"/>
              </w:rPr>
            </w:pPr>
            <w:r>
              <w:rPr>
                <w:rFonts w:ascii="Calibri"/>
                <w:w w:val="105"/>
                <w:sz w:val="19"/>
              </w:rPr>
              <w:t>DF</w:t>
            </w:r>
          </w:p>
        </w:tc>
        <w:tc>
          <w:tcPr>
            <w:tcW w:w="1057" w:type="dxa"/>
            <w:tcBorders>
              <w:top w:val="single" w:sz="5" w:space="0" w:color="000000"/>
              <w:left w:val="single" w:sz="5" w:space="0" w:color="000000"/>
              <w:bottom w:val="single" w:sz="10" w:space="0" w:color="000000"/>
              <w:right w:val="single" w:sz="5" w:space="0" w:color="000000"/>
            </w:tcBorders>
          </w:tcPr>
          <w:p>
            <w:pPr>
              <w:pStyle w:val="TableParagraph"/>
              <w:spacing w:before="15"/>
              <w:ind w:right="24"/>
              <w:jc w:val="right"/>
              <w:rPr>
                <w:rFonts w:ascii="Calibri"/>
                <w:sz w:val="19"/>
              </w:rPr>
            </w:pPr>
            <w:r>
              <w:rPr>
                <w:rFonts w:ascii="Calibri"/>
                <w:sz w:val="19"/>
              </w:rPr>
              <w:t>9019</w:t>
            </w:r>
          </w:p>
        </w:tc>
        <w:tc>
          <w:tcPr>
            <w:tcW w:w="2990" w:type="dxa"/>
            <w:tcBorders>
              <w:top w:val="single" w:sz="5" w:space="0" w:color="000000"/>
              <w:left w:val="single" w:sz="5" w:space="0" w:color="000000"/>
              <w:bottom w:val="single" w:sz="10" w:space="0" w:color="000000"/>
              <w:right w:val="single" w:sz="5" w:space="0" w:color="000000"/>
            </w:tcBorders>
          </w:tcPr>
          <w:p>
            <w:pPr>
              <w:pStyle w:val="TableParagraph"/>
              <w:spacing w:before="15"/>
              <w:ind w:left="26"/>
              <w:rPr>
                <w:rFonts w:ascii="Calibri"/>
                <w:sz w:val="19"/>
              </w:rPr>
            </w:pPr>
            <w:r>
              <w:rPr>
                <w:rFonts w:ascii="Calibri"/>
                <w:w w:val="105"/>
                <w:sz w:val="19"/>
              </w:rPr>
              <w:t>DESIERTO DE LOS LEONES</w:t>
            </w:r>
          </w:p>
        </w:tc>
        <w:tc>
          <w:tcPr>
            <w:tcW w:w="1044" w:type="dxa"/>
            <w:tcBorders>
              <w:top w:val="single" w:sz="5" w:space="0" w:color="000000"/>
              <w:left w:val="single" w:sz="5" w:space="0" w:color="000000"/>
              <w:bottom w:val="single" w:sz="10" w:space="0" w:color="000000"/>
              <w:right w:val="single" w:sz="5" w:space="0" w:color="000000"/>
            </w:tcBorders>
          </w:tcPr>
          <w:p>
            <w:pPr>
              <w:pStyle w:val="TableParagraph"/>
              <w:spacing w:before="15"/>
              <w:ind w:left="221"/>
              <w:rPr>
                <w:rFonts w:ascii="Calibri"/>
                <w:sz w:val="19"/>
              </w:rPr>
            </w:pPr>
            <w:r>
              <w:rPr>
                <w:rFonts w:ascii="Calibri"/>
                <w:spacing w:val="-6"/>
                <w:sz w:val="19"/>
              </w:rPr>
              <w:t>19.313889</w:t>
            </w:r>
          </w:p>
        </w:tc>
        <w:tc>
          <w:tcPr>
            <w:tcW w:w="1175" w:type="dxa"/>
            <w:tcBorders>
              <w:top w:val="single" w:sz="5" w:space="0" w:color="000000"/>
              <w:left w:val="single" w:sz="5" w:space="0" w:color="000000"/>
              <w:bottom w:val="single" w:sz="10" w:space="0" w:color="000000"/>
              <w:right w:val="single" w:sz="5" w:space="0" w:color="000000"/>
            </w:tcBorders>
          </w:tcPr>
          <w:p>
            <w:pPr>
              <w:pStyle w:val="TableParagraph"/>
              <w:spacing w:before="15"/>
              <w:ind w:right="18"/>
              <w:jc w:val="right"/>
              <w:rPr>
                <w:rFonts w:ascii="Calibri"/>
                <w:sz w:val="19"/>
              </w:rPr>
            </w:pPr>
            <w:r>
              <w:rPr>
                <w:rFonts w:ascii="Calibri"/>
                <w:sz w:val="19"/>
              </w:rPr>
              <w:t>-99.309722</w:t>
            </w:r>
          </w:p>
        </w:tc>
        <w:tc>
          <w:tcPr>
            <w:tcW w:w="1181" w:type="dxa"/>
            <w:tcBorders>
              <w:top w:val="single" w:sz="5" w:space="0" w:color="000000"/>
              <w:left w:val="single" w:sz="5" w:space="0" w:color="000000"/>
              <w:bottom w:val="single" w:sz="10" w:space="0" w:color="000000"/>
              <w:right w:val="single" w:sz="10" w:space="0" w:color="000000"/>
            </w:tcBorders>
          </w:tcPr>
          <w:p>
            <w:pPr>
              <w:pStyle w:val="TableParagraph"/>
              <w:spacing w:before="15"/>
              <w:ind w:right="11"/>
              <w:jc w:val="right"/>
              <w:rPr>
                <w:rFonts w:ascii="Calibri"/>
                <w:sz w:val="19"/>
              </w:rPr>
            </w:pPr>
            <w:r>
              <w:rPr>
                <w:rFonts w:ascii="Calibri"/>
                <w:sz w:val="19"/>
              </w:rPr>
              <w:t>2995</w:t>
            </w:r>
          </w:p>
        </w:tc>
      </w:tr>
    </w:tbl>
    <w:p>
      <w:pPr>
        <w:pStyle w:val="BodyText"/>
      </w:pPr>
    </w:p>
    <w:p>
      <w:pPr>
        <w:pStyle w:val="BodyText"/>
      </w:pPr>
    </w:p>
    <w:p>
      <w:pPr>
        <w:pStyle w:val="BodyText"/>
        <w:spacing w:before="8"/>
        <w:rPr>
          <w:sz w:val="34"/>
        </w:rPr>
      </w:pPr>
    </w:p>
    <w:p>
      <w:pPr>
        <w:pStyle w:val="Heading1"/>
        <w:ind w:firstLine="0"/>
        <w:jc w:val="both"/>
      </w:pPr>
      <w:r>
        <w:rPr/>
        <w:t>Análisis de la peligrosidad del medio</w:t>
      </w:r>
    </w:p>
    <w:p>
      <w:pPr>
        <w:pStyle w:val="BodyText"/>
        <w:spacing w:before="4"/>
        <w:rPr>
          <w:b/>
          <w:sz w:val="29"/>
        </w:rPr>
      </w:pPr>
    </w:p>
    <w:p>
      <w:pPr>
        <w:pStyle w:val="BodyText"/>
        <w:spacing w:line="360" w:lineRule="auto" w:before="1"/>
        <w:ind w:left="102" w:right="120"/>
        <w:jc w:val="both"/>
      </w:pPr>
      <w:r>
        <w:rPr/>
        <w:t>Para obtener la peligrosidad del medio, se multiplicaron los índices de peligrosidad de combustibles, de peligrosidad de la fisiografía y de peligrosidad climática de acuerdo a la siguiente fórmula:</w:t>
      </w:r>
    </w:p>
    <w:p>
      <w:pPr>
        <w:spacing w:before="204"/>
        <w:ind w:left="3313" w:right="3326" w:firstLine="0"/>
        <w:jc w:val="center"/>
        <w:rPr>
          <w:sz w:val="16"/>
        </w:rPr>
      </w:pPr>
      <w:r>
        <w:rPr>
          <w:sz w:val="24"/>
        </w:rPr>
        <w:t>P</w:t>
      </w:r>
      <w:r>
        <w:rPr>
          <w:position w:val="-2"/>
          <w:sz w:val="16"/>
        </w:rPr>
        <w:t>M </w:t>
      </w:r>
      <w:r>
        <w:rPr>
          <w:sz w:val="24"/>
        </w:rPr>
        <w:t>= P</w:t>
      </w:r>
      <w:r>
        <w:rPr>
          <w:position w:val="-2"/>
          <w:sz w:val="16"/>
        </w:rPr>
        <w:t>CB  </w:t>
      </w:r>
      <w:r>
        <w:rPr>
          <w:sz w:val="24"/>
        </w:rPr>
        <w:t>* P</w:t>
      </w:r>
      <w:r>
        <w:rPr>
          <w:position w:val="-2"/>
          <w:sz w:val="16"/>
        </w:rPr>
        <w:t>F  </w:t>
      </w:r>
      <w:r>
        <w:rPr>
          <w:sz w:val="24"/>
        </w:rPr>
        <w:t>* P</w:t>
      </w:r>
      <w:r>
        <w:rPr>
          <w:position w:val="-2"/>
          <w:sz w:val="16"/>
        </w:rPr>
        <w:t>CL</w:t>
      </w:r>
    </w:p>
    <w:p>
      <w:pPr>
        <w:pStyle w:val="BodyText"/>
        <w:spacing w:before="1"/>
        <w:rPr>
          <w:sz w:val="28"/>
        </w:rPr>
      </w:pPr>
    </w:p>
    <w:p>
      <w:pPr>
        <w:pStyle w:val="BodyText"/>
        <w:ind w:left="102"/>
        <w:jc w:val="both"/>
      </w:pPr>
      <w:r>
        <w:rPr/>
        <w:t>Donde:</w:t>
      </w:r>
    </w:p>
    <w:p>
      <w:pPr>
        <w:pStyle w:val="BodyText"/>
        <w:spacing w:before="2"/>
        <w:rPr>
          <w:sz w:val="29"/>
        </w:rPr>
      </w:pPr>
    </w:p>
    <w:p>
      <w:pPr>
        <w:spacing w:before="0"/>
        <w:ind w:left="102" w:right="0" w:firstLine="0"/>
        <w:jc w:val="both"/>
        <w:rPr>
          <w:i/>
          <w:sz w:val="24"/>
        </w:rPr>
      </w:pPr>
      <w:r>
        <w:rPr>
          <w:i/>
          <w:sz w:val="24"/>
        </w:rPr>
        <w:t>P</w:t>
      </w:r>
      <w:r>
        <w:rPr>
          <w:i/>
          <w:position w:val="-2"/>
          <w:sz w:val="16"/>
        </w:rPr>
        <w:t>M </w:t>
      </w:r>
      <w:r>
        <w:rPr>
          <w:i/>
          <w:sz w:val="24"/>
        </w:rPr>
        <w:t>= Índice de peligrosidad del medio</w:t>
      </w:r>
    </w:p>
    <w:p>
      <w:pPr>
        <w:spacing w:line="348" w:lineRule="auto" w:before="126"/>
        <w:ind w:left="102" w:right="3795" w:firstLine="0"/>
        <w:jc w:val="left"/>
        <w:rPr>
          <w:i/>
          <w:sz w:val="24"/>
        </w:rPr>
      </w:pPr>
      <w:r>
        <w:rPr>
          <w:i/>
          <w:sz w:val="24"/>
        </w:rPr>
        <w:t>P</w:t>
      </w:r>
      <w:r>
        <w:rPr>
          <w:i/>
          <w:position w:val="-2"/>
          <w:sz w:val="16"/>
        </w:rPr>
        <w:t>CB </w:t>
      </w:r>
      <w:r>
        <w:rPr>
          <w:i/>
          <w:sz w:val="24"/>
        </w:rPr>
        <w:t>= Índice de peligrosidad de los combustibles </w:t>
      </w:r>
      <w:r>
        <w:rPr>
          <w:i/>
          <w:sz w:val="24"/>
        </w:rPr>
        <w:t>P</w:t>
      </w:r>
      <w:r>
        <w:rPr>
          <w:i/>
          <w:position w:val="-2"/>
          <w:sz w:val="16"/>
        </w:rPr>
        <w:t>F </w:t>
      </w:r>
      <w:r>
        <w:rPr>
          <w:i/>
          <w:sz w:val="24"/>
        </w:rPr>
        <w:t>= Índice de peligrosidad de la fisiografía</w:t>
      </w:r>
    </w:p>
    <w:p>
      <w:pPr>
        <w:spacing w:line="289" w:lineRule="exact" w:before="0"/>
        <w:ind w:left="102" w:right="0" w:firstLine="0"/>
        <w:jc w:val="both"/>
        <w:rPr>
          <w:i/>
          <w:sz w:val="24"/>
        </w:rPr>
      </w:pPr>
      <w:r>
        <w:rPr>
          <w:i/>
          <w:sz w:val="24"/>
        </w:rPr>
        <w:t>P</w:t>
      </w:r>
      <w:r>
        <w:rPr>
          <w:i/>
          <w:position w:val="-2"/>
          <w:sz w:val="16"/>
        </w:rPr>
        <w:t>CL </w:t>
      </w:r>
      <w:r>
        <w:rPr>
          <w:i/>
          <w:sz w:val="24"/>
        </w:rPr>
        <w:t>= Índice de peligrosidad climática</w:t>
      </w:r>
    </w:p>
    <w:p>
      <w:pPr>
        <w:spacing w:after="0" w:line="289" w:lineRule="exact"/>
        <w:jc w:val="both"/>
        <w:rPr>
          <w:sz w:val="24"/>
        </w:rPr>
        <w:sectPr>
          <w:pgSz w:w="12240" w:h="15840"/>
          <w:pgMar w:header="0" w:footer="1003" w:top="1360" w:bottom="1200" w:left="1600" w:right="1580"/>
        </w:sectPr>
      </w:pPr>
    </w:p>
    <w:p>
      <w:pPr>
        <w:pStyle w:val="BodyText"/>
        <w:spacing w:line="360" w:lineRule="auto" w:before="54"/>
        <w:ind w:left="102"/>
      </w:pPr>
      <w:r>
        <w:rPr/>
        <w:t>Los valores resultantes se clasificaron adaptando los rangos de la metodología, debido a que los valores oscilan de 27 a 480 (ver cuadro 11).</w:t>
      </w:r>
    </w:p>
    <w:p>
      <w:pPr>
        <w:pStyle w:val="BodyText"/>
        <w:spacing w:before="204"/>
        <w:ind w:left="102"/>
      </w:pPr>
      <w:r>
        <w:rPr/>
        <w:t>Cuadro 11. Clasificación del índice de peligrosidad del medio.</w:t>
      </w:r>
    </w:p>
    <w:p>
      <w:pPr>
        <w:pStyle w:val="BodyText"/>
        <w:rPr>
          <w:sz w:val="12"/>
        </w:rPr>
      </w:pPr>
    </w:p>
    <w:tbl>
      <w:tblPr>
        <w:tblW w:w="0" w:type="auto"/>
        <w:jc w:val="left"/>
        <w:tblInd w:w="17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9"/>
        <w:gridCol w:w="2026"/>
        <w:gridCol w:w="1613"/>
      </w:tblGrid>
      <w:tr>
        <w:trPr>
          <w:trHeight w:val="631" w:hRule="exact"/>
        </w:trPr>
        <w:tc>
          <w:tcPr>
            <w:tcW w:w="1969" w:type="dxa"/>
          </w:tcPr>
          <w:p>
            <w:pPr>
              <w:pStyle w:val="TableParagraph"/>
              <w:spacing w:before="0"/>
              <w:rPr>
                <w:sz w:val="18"/>
              </w:rPr>
            </w:pPr>
          </w:p>
          <w:p>
            <w:pPr>
              <w:pStyle w:val="TableParagraph"/>
              <w:spacing w:before="7"/>
              <w:rPr>
                <w:sz w:val="17"/>
              </w:rPr>
            </w:pPr>
          </w:p>
          <w:p>
            <w:pPr>
              <w:pStyle w:val="TableParagraph"/>
              <w:spacing w:before="0"/>
              <w:ind w:left="209" w:right="209"/>
              <w:jc w:val="center"/>
              <w:rPr>
                <w:b/>
                <w:sz w:val="18"/>
              </w:rPr>
            </w:pPr>
            <w:r>
              <w:rPr>
                <w:b/>
                <w:sz w:val="18"/>
              </w:rPr>
              <w:t>Rango de valores</w:t>
            </w:r>
          </w:p>
        </w:tc>
        <w:tc>
          <w:tcPr>
            <w:tcW w:w="2026" w:type="dxa"/>
          </w:tcPr>
          <w:p>
            <w:pPr>
              <w:pStyle w:val="TableParagraph"/>
              <w:spacing w:before="0"/>
              <w:ind w:left="314" w:right="319" w:hanging="1"/>
              <w:jc w:val="center"/>
              <w:rPr>
                <w:b/>
                <w:sz w:val="18"/>
              </w:rPr>
            </w:pPr>
            <w:r>
              <w:rPr>
                <w:b/>
                <w:sz w:val="18"/>
              </w:rPr>
              <w:t>Índice de peligrosidad del medio</w:t>
            </w:r>
          </w:p>
        </w:tc>
        <w:tc>
          <w:tcPr>
            <w:tcW w:w="1613" w:type="dxa"/>
          </w:tcPr>
          <w:p>
            <w:pPr>
              <w:pStyle w:val="TableParagraph"/>
              <w:spacing w:before="0"/>
              <w:rPr>
                <w:sz w:val="18"/>
              </w:rPr>
            </w:pPr>
          </w:p>
          <w:p>
            <w:pPr>
              <w:pStyle w:val="TableParagraph"/>
              <w:spacing w:before="7"/>
              <w:rPr>
                <w:sz w:val="17"/>
              </w:rPr>
            </w:pPr>
          </w:p>
          <w:p>
            <w:pPr>
              <w:pStyle w:val="TableParagraph"/>
              <w:spacing w:before="0"/>
              <w:ind w:left="376" w:right="377"/>
              <w:jc w:val="center"/>
              <w:rPr>
                <w:b/>
                <w:sz w:val="18"/>
              </w:rPr>
            </w:pPr>
            <w:r>
              <w:rPr>
                <w:b/>
                <w:sz w:val="18"/>
              </w:rPr>
              <w:t>Indicador</w:t>
            </w:r>
          </w:p>
        </w:tc>
      </w:tr>
      <w:tr>
        <w:trPr>
          <w:trHeight w:val="278" w:hRule="exact"/>
        </w:trPr>
        <w:tc>
          <w:tcPr>
            <w:tcW w:w="1969" w:type="dxa"/>
          </w:tcPr>
          <w:p>
            <w:pPr>
              <w:pStyle w:val="TableParagraph"/>
              <w:spacing w:before="59"/>
              <w:ind w:left="208" w:right="209"/>
              <w:jc w:val="center"/>
              <w:rPr>
                <w:sz w:val="18"/>
              </w:rPr>
            </w:pPr>
            <w:r>
              <w:rPr>
                <w:sz w:val="18"/>
              </w:rPr>
              <w:t>27-102</w:t>
            </w:r>
          </w:p>
        </w:tc>
        <w:tc>
          <w:tcPr>
            <w:tcW w:w="2026" w:type="dxa"/>
          </w:tcPr>
          <w:p>
            <w:pPr>
              <w:pStyle w:val="TableParagraph"/>
              <w:spacing w:before="59"/>
              <w:ind w:left="580" w:right="582"/>
              <w:jc w:val="center"/>
              <w:rPr>
                <w:sz w:val="18"/>
              </w:rPr>
            </w:pPr>
            <w:r>
              <w:rPr>
                <w:sz w:val="18"/>
              </w:rPr>
              <w:t>Muy bajo</w:t>
            </w:r>
          </w:p>
        </w:tc>
        <w:tc>
          <w:tcPr>
            <w:tcW w:w="1613" w:type="dxa"/>
          </w:tcPr>
          <w:p>
            <w:pPr>
              <w:pStyle w:val="TableParagraph"/>
              <w:spacing w:before="59"/>
              <w:ind w:right="1"/>
              <w:jc w:val="center"/>
              <w:rPr>
                <w:sz w:val="18"/>
              </w:rPr>
            </w:pPr>
            <w:r>
              <w:rPr>
                <w:w w:val="99"/>
                <w:sz w:val="18"/>
              </w:rPr>
              <w:t>1</w:t>
            </w:r>
          </w:p>
        </w:tc>
      </w:tr>
      <w:tr>
        <w:trPr>
          <w:trHeight w:val="276" w:hRule="exact"/>
        </w:trPr>
        <w:tc>
          <w:tcPr>
            <w:tcW w:w="1969" w:type="dxa"/>
          </w:tcPr>
          <w:p>
            <w:pPr>
              <w:pStyle w:val="TableParagraph"/>
              <w:spacing w:before="59"/>
              <w:ind w:left="209" w:right="209"/>
              <w:jc w:val="center"/>
              <w:rPr>
                <w:sz w:val="18"/>
              </w:rPr>
            </w:pPr>
            <w:r>
              <w:rPr>
                <w:sz w:val="18"/>
              </w:rPr>
              <w:t>103-178</w:t>
            </w:r>
          </w:p>
        </w:tc>
        <w:tc>
          <w:tcPr>
            <w:tcW w:w="2026" w:type="dxa"/>
          </w:tcPr>
          <w:p>
            <w:pPr>
              <w:pStyle w:val="TableParagraph"/>
              <w:spacing w:before="59"/>
              <w:ind w:left="580" w:right="581"/>
              <w:jc w:val="center"/>
              <w:rPr>
                <w:sz w:val="18"/>
              </w:rPr>
            </w:pPr>
            <w:r>
              <w:rPr>
                <w:sz w:val="18"/>
              </w:rPr>
              <w:t>Bajo</w:t>
            </w:r>
          </w:p>
        </w:tc>
        <w:tc>
          <w:tcPr>
            <w:tcW w:w="1613" w:type="dxa"/>
          </w:tcPr>
          <w:p>
            <w:pPr>
              <w:pStyle w:val="TableParagraph"/>
              <w:spacing w:before="59"/>
              <w:ind w:right="1"/>
              <w:jc w:val="center"/>
              <w:rPr>
                <w:sz w:val="18"/>
              </w:rPr>
            </w:pPr>
            <w:r>
              <w:rPr>
                <w:w w:val="99"/>
                <w:sz w:val="18"/>
              </w:rPr>
              <w:t>2</w:t>
            </w:r>
          </w:p>
        </w:tc>
      </w:tr>
      <w:tr>
        <w:trPr>
          <w:trHeight w:val="276" w:hRule="exact"/>
        </w:trPr>
        <w:tc>
          <w:tcPr>
            <w:tcW w:w="1969" w:type="dxa"/>
          </w:tcPr>
          <w:p>
            <w:pPr>
              <w:pStyle w:val="TableParagraph"/>
              <w:spacing w:before="59"/>
              <w:ind w:left="209" w:right="209"/>
              <w:jc w:val="center"/>
              <w:rPr>
                <w:sz w:val="18"/>
              </w:rPr>
            </w:pPr>
            <w:r>
              <w:rPr>
                <w:sz w:val="18"/>
              </w:rPr>
              <w:t>179-254</w:t>
            </w:r>
          </w:p>
        </w:tc>
        <w:tc>
          <w:tcPr>
            <w:tcW w:w="2026" w:type="dxa"/>
          </w:tcPr>
          <w:p>
            <w:pPr>
              <w:pStyle w:val="TableParagraph"/>
              <w:spacing w:before="59"/>
              <w:ind w:left="580" w:right="584"/>
              <w:jc w:val="center"/>
              <w:rPr>
                <w:sz w:val="18"/>
              </w:rPr>
            </w:pPr>
            <w:r>
              <w:rPr>
                <w:sz w:val="18"/>
              </w:rPr>
              <w:t>Moderado</w:t>
            </w:r>
          </w:p>
        </w:tc>
        <w:tc>
          <w:tcPr>
            <w:tcW w:w="1613" w:type="dxa"/>
          </w:tcPr>
          <w:p>
            <w:pPr>
              <w:pStyle w:val="TableParagraph"/>
              <w:spacing w:before="59"/>
              <w:ind w:right="1"/>
              <w:jc w:val="center"/>
              <w:rPr>
                <w:sz w:val="18"/>
              </w:rPr>
            </w:pPr>
            <w:r>
              <w:rPr>
                <w:w w:val="99"/>
                <w:sz w:val="18"/>
              </w:rPr>
              <w:t>3</w:t>
            </w:r>
          </w:p>
        </w:tc>
      </w:tr>
      <w:tr>
        <w:trPr>
          <w:trHeight w:val="278" w:hRule="exact"/>
        </w:trPr>
        <w:tc>
          <w:tcPr>
            <w:tcW w:w="1969" w:type="dxa"/>
          </w:tcPr>
          <w:p>
            <w:pPr>
              <w:pStyle w:val="TableParagraph"/>
              <w:spacing w:before="61"/>
              <w:ind w:left="209" w:right="209"/>
              <w:jc w:val="center"/>
              <w:rPr>
                <w:sz w:val="18"/>
              </w:rPr>
            </w:pPr>
            <w:r>
              <w:rPr>
                <w:sz w:val="18"/>
              </w:rPr>
              <w:t>255-330</w:t>
            </w:r>
          </w:p>
        </w:tc>
        <w:tc>
          <w:tcPr>
            <w:tcW w:w="2026" w:type="dxa"/>
          </w:tcPr>
          <w:p>
            <w:pPr>
              <w:pStyle w:val="TableParagraph"/>
              <w:spacing w:before="61"/>
              <w:ind w:left="580" w:right="584"/>
              <w:jc w:val="center"/>
              <w:rPr>
                <w:sz w:val="18"/>
              </w:rPr>
            </w:pPr>
            <w:r>
              <w:rPr>
                <w:sz w:val="18"/>
              </w:rPr>
              <w:t>Alto</w:t>
            </w:r>
          </w:p>
        </w:tc>
        <w:tc>
          <w:tcPr>
            <w:tcW w:w="1613" w:type="dxa"/>
          </w:tcPr>
          <w:p>
            <w:pPr>
              <w:pStyle w:val="TableParagraph"/>
              <w:spacing w:before="61"/>
              <w:ind w:right="1"/>
              <w:jc w:val="center"/>
              <w:rPr>
                <w:sz w:val="18"/>
              </w:rPr>
            </w:pPr>
            <w:r>
              <w:rPr>
                <w:w w:val="99"/>
                <w:sz w:val="18"/>
              </w:rPr>
              <w:t>4</w:t>
            </w:r>
          </w:p>
        </w:tc>
      </w:tr>
      <w:tr>
        <w:trPr>
          <w:trHeight w:val="276" w:hRule="exact"/>
        </w:trPr>
        <w:tc>
          <w:tcPr>
            <w:tcW w:w="1969" w:type="dxa"/>
          </w:tcPr>
          <w:p>
            <w:pPr>
              <w:pStyle w:val="TableParagraph"/>
              <w:spacing w:before="59"/>
              <w:ind w:left="209" w:right="209"/>
              <w:jc w:val="center"/>
              <w:rPr>
                <w:sz w:val="18"/>
              </w:rPr>
            </w:pPr>
            <w:r>
              <w:rPr>
                <w:sz w:val="18"/>
              </w:rPr>
              <w:t>331-406</w:t>
            </w:r>
          </w:p>
        </w:tc>
        <w:tc>
          <w:tcPr>
            <w:tcW w:w="2026" w:type="dxa"/>
          </w:tcPr>
          <w:p>
            <w:pPr>
              <w:pStyle w:val="TableParagraph"/>
              <w:spacing w:before="59"/>
              <w:ind w:left="580" w:right="584"/>
              <w:jc w:val="center"/>
              <w:rPr>
                <w:sz w:val="18"/>
              </w:rPr>
            </w:pPr>
            <w:r>
              <w:rPr>
                <w:sz w:val="18"/>
              </w:rPr>
              <w:t>Grave</w:t>
            </w:r>
          </w:p>
        </w:tc>
        <w:tc>
          <w:tcPr>
            <w:tcW w:w="1613" w:type="dxa"/>
          </w:tcPr>
          <w:p>
            <w:pPr>
              <w:pStyle w:val="TableParagraph"/>
              <w:spacing w:before="59"/>
              <w:ind w:right="1"/>
              <w:jc w:val="center"/>
              <w:rPr>
                <w:sz w:val="18"/>
              </w:rPr>
            </w:pPr>
            <w:r>
              <w:rPr>
                <w:w w:val="99"/>
                <w:sz w:val="18"/>
              </w:rPr>
              <w:t>5</w:t>
            </w:r>
          </w:p>
        </w:tc>
      </w:tr>
      <w:tr>
        <w:trPr>
          <w:trHeight w:val="279" w:hRule="exact"/>
        </w:trPr>
        <w:tc>
          <w:tcPr>
            <w:tcW w:w="1969" w:type="dxa"/>
          </w:tcPr>
          <w:p>
            <w:pPr>
              <w:pStyle w:val="TableParagraph"/>
              <w:spacing w:before="59"/>
              <w:ind w:left="209" w:right="209"/>
              <w:jc w:val="center"/>
              <w:rPr>
                <w:sz w:val="18"/>
              </w:rPr>
            </w:pPr>
            <w:r>
              <w:rPr>
                <w:sz w:val="18"/>
              </w:rPr>
              <w:t>407-480</w:t>
            </w:r>
          </w:p>
        </w:tc>
        <w:tc>
          <w:tcPr>
            <w:tcW w:w="2026" w:type="dxa"/>
          </w:tcPr>
          <w:p>
            <w:pPr>
              <w:pStyle w:val="TableParagraph"/>
              <w:spacing w:before="59"/>
              <w:ind w:left="580" w:right="584"/>
              <w:jc w:val="center"/>
              <w:rPr>
                <w:sz w:val="18"/>
              </w:rPr>
            </w:pPr>
            <w:r>
              <w:rPr>
                <w:sz w:val="18"/>
              </w:rPr>
              <w:t>Extremo</w:t>
            </w:r>
          </w:p>
        </w:tc>
        <w:tc>
          <w:tcPr>
            <w:tcW w:w="1613" w:type="dxa"/>
          </w:tcPr>
          <w:p>
            <w:pPr>
              <w:pStyle w:val="TableParagraph"/>
              <w:spacing w:before="59"/>
              <w:ind w:right="1"/>
              <w:jc w:val="center"/>
              <w:rPr>
                <w:sz w:val="18"/>
              </w:rPr>
            </w:pPr>
            <w:r>
              <w:rPr>
                <w:w w:val="99"/>
                <w:sz w:val="18"/>
              </w:rPr>
              <w:t>6</w:t>
            </w:r>
          </w:p>
        </w:tc>
      </w:tr>
    </w:tbl>
    <w:p>
      <w:pPr>
        <w:pStyle w:val="BodyText"/>
        <w:rPr>
          <w:sz w:val="20"/>
        </w:rPr>
      </w:pPr>
    </w:p>
    <w:p>
      <w:pPr>
        <w:pStyle w:val="BodyText"/>
        <w:spacing w:before="2"/>
        <w:rPr>
          <w:sz w:val="27"/>
        </w:rPr>
      </w:pPr>
    </w:p>
    <w:p>
      <w:pPr>
        <w:pStyle w:val="ListParagraph"/>
        <w:numPr>
          <w:ilvl w:val="0"/>
          <w:numId w:val="12"/>
        </w:numPr>
        <w:tabs>
          <w:tab w:pos="822" w:val="left" w:leader="none"/>
        </w:tabs>
        <w:spacing w:line="360" w:lineRule="auto" w:before="70" w:after="0"/>
        <w:ind w:left="822" w:right="115" w:hanging="360"/>
        <w:jc w:val="both"/>
        <w:rPr>
          <w:sz w:val="24"/>
        </w:rPr>
      </w:pPr>
      <w:r>
        <w:rPr>
          <w:b/>
          <w:sz w:val="24"/>
        </w:rPr>
        <w:t>Riesgo de incendios: </w:t>
      </w:r>
      <w:r>
        <w:rPr>
          <w:sz w:val="24"/>
        </w:rPr>
        <w:t>Una vez calculado el riesgo estadístico y el índice de peligrosidad del medio, se procedió a calcular el riesgo de incendios, producto de los dos anteriores. De esta forma, se obtuvieron seis rangos de valores, obteniendo así el mapa de riesgo de incendios forestales a nivel cuadrante, representados por la frecuencia, la gravedad y la causalidad,  con un clima, una fisiografía y un combustible propio del</w:t>
      </w:r>
      <w:r>
        <w:rPr>
          <w:spacing w:val="-26"/>
          <w:sz w:val="24"/>
        </w:rPr>
        <w:t> </w:t>
      </w:r>
      <w:r>
        <w:rPr>
          <w:sz w:val="24"/>
        </w:rPr>
        <w:t>lugar.</w:t>
      </w:r>
    </w:p>
    <w:p>
      <w:pPr>
        <w:spacing w:before="204"/>
        <w:ind w:left="3313" w:right="3326" w:firstLine="0"/>
        <w:jc w:val="center"/>
        <w:rPr>
          <w:sz w:val="16"/>
        </w:rPr>
      </w:pPr>
      <w:r>
        <w:rPr>
          <w:sz w:val="24"/>
        </w:rPr>
        <w:t>R = R</w:t>
      </w:r>
      <w:r>
        <w:rPr>
          <w:position w:val="-2"/>
          <w:sz w:val="16"/>
        </w:rPr>
        <w:t>E  </w:t>
      </w:r>
      <w:r>
        <w:rPr>
          <w:sz w:val="24"/>
        </w:rPr>
        <w:t>* P</w:t>
      </w:r>
      <w:r>
        <w:rPr>
          <w:position w:val="-2"/>
          <w:sz w:val="16"/>
        </w:rPr>
        <w:t>M</w:t>
      </w:r>
    </w:p>
    <w:p>
      <w:pPr>
        <w:pStyle w:val="BodyText"/>
        <w:spacing w:before="3"/>
        <w:rPr>
          <w:sz w:val="28"/>
        </w:rPr>
      </w:pPr>
    </w:p>
    <w:p>
      <w:pPr>
        <w:pStyle w:val="BodyText"/>
        <w:ind w:left="810"/>
      </w:pPr>
      <w:r>
        <w:rPr/>
        <w:t>Donde</w:t>
      </w:r>
    </w:p>
    <w:p>
      <w:pPr>
        <w:pStyle w:val="BodyText"/>
        <w:spacing w:before="2"/>
        <w:rPr>
          <w:sz w:val="29"/>
        </w:rPr>
      </w:pPr>
    </w:p>
    <w:p>
      <w:pPr>
        <w:pStyle w:val="BodyText"/>
        <w:ind w:left="810"/>
      </w:pPr>
      <w:r>
        <w:rPr/>
        <w:t>R = Riesgo de incendios</w:t>
      </w:r>
    </w:p>
    <w:p>
      <w:pPr>
        <w:pStyle w:val="BodyText"/>
        <w:spacing w:line="348" w:lineRule="auto" w:before="139"/>
        <w:ind w:left="810" w:right="4392"/>
      </w:pPr>
      <w:r>
        <w:rPr/>
        <w:t>R</w:t>
      </w:r>
      <w:r>
        <w:rPr>
          <w:position w:val="-2"/>
          <w:sz w:val="16"/>
        </w:rPr>
        <w:t>E = </w:t>
      </w:r>
      <w:r>
        <w:rPr/>
        <w:t>Riesgo estadístico de incendios P</w:t>
      </w:r>
      <w:r>
        <w:rPr>
          <w:position w:val="-2"/>
          <w:sz w:val="16"/>
        </w:rPr>
        <w:t>M </w:t>
      </w:r>
      <w:r>
        <w:rPr/>
        <w:t>= Peligrosidad del medio</w:t>
      </w:r>
    </w:p>
    <w:p>
      <w:pPr>
        <w:pStyle w:val="BodyText"/>
        <w:spacing w:before="10"/>
        <w:rPr>
          <w:sz w:val="35"/>
        </w:rPr>
      </w:pPr>
    </w:p>
    <w:p>
      <w:pPr>
        <w:pStyle w:val="BodyText"/>
        <w:spacing w:line="362" w:lineRule="auto"/>
        <w:ind w:left="821" w:right="120" w:hanging="360"/>
        <w:jc w:val="both"/>
      </w:pPr>
      <w:r>
        <w:rPr/>
        <w:t>-  El índice de riesgo se distribuyó en rangos de valores, para ello se modificó  la metodología, debido a que los valores oscilan de 1 a 30 (ver cuadro</w:t>
      </w:r>
      <w:r>
        <w:rPr>
          <w:spacing w:val="-15"/>
        </w:rPr>
        <w:t> </w:t>
      </w:r>
      <w:r>
        <w:rPr/>
        <w:t>12).</w:t>
      </w:r>
    </w:p>
    <w:p>
      <w:pPr>
        <w:spacing w:after="0" w:line="362" w:lineRule="auto"/>
        <w:jc w:val="both"/>
        <w:sectPr>
          <w:pgSz w:w="12240" w:h="15840"/>
          <w:pgMar w:header="0" w:footer="1003" w:top="1360" w:bottom="1200" w:left="1600" w:right="1580"/>
        </w:sectPr>
      </w:pPr>
    </w:p>
    <w:p>
      <w:pPr>
        <w:pStyle w:val="BodyText"/>
        <w:spacing w:before="54"/>
        <w:ind w:left="810"/>
      </w:pPr>
      <w:r>
        <w:rPr/>
        <w:t>Cuadro 12. Clasificación del índice de riesgo de incendios forestales.</w:t>
      </w:r>
    </w:p>
    <w:p>
      <w:pPr>
        <w:pStyle w:val="BodyText"/>
        <w:spacing w:before="8"/>
        <w:rPr>
          <w:sz w:val="17"/>
        </w:rPr>
      </w:pPr>
    </w:p>
    <w:tbl>
      <w:tblPr>
        <w:tblW w:w="0" w:type="auto"/>
        <w:jc w:val="left"/>
        <w:tblInd w:w="1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7"/>
        <w:gridCol w:w="1803"/>
        <w:gridCol w:w="1073"/>
      </w:tblGrid>
      <w:tr>
        <w:trPr>
          <w:trHeight w:val="494" w:hRule="exact"/>
        </w:trPr>
        <w:tc>
          <w:tcPr>
            <w:tcW w:w="2737" w:type="dxa"/>
          </w:tcPr>
          <w:p>
            <w:pPr>
              <w:pStyle w:val="TableParagraph"/>
              <w:spacing w:line="201" w:lineRule="exact" w:before="0"/>
              <w:ind w:left="137" w:right="138"/>
              <w:jc w:val="center"/>
              <w:rPr>
                <w:b/>
                <w:sz w:val="18"/>
              </w:rPr>
            </w:pPr>
            <w:r>
              <w:rPr>
                <w:b/>
                <w:sz w:val="18"/>
              </w:rPr>
              <w:t>Índice de riesgo a incendios</w:t>
            </w:r>
          </w:p>
        </w:tc>
        <w:tc>
          <w:tcPr>
            <w:tcW w:w="1803" w:type="dxa"/>
          </w:tcPr>
          <w:p>
            <w:pPr>
              <w:pStyle w:val="TableParagraph"/>
              <w:spacing w:line="201" w:lineRule="exact" w:before="0"/>
              <w:ind w:left="126" w:right="126"/>
              <w:jc w:val="center"/>
              <w:rPr>
                <w:b/>
                <w:sz w:val="18"/>
              </w:rPr>
            </w:pPr>
            <w:r>
              <w:rPr>
                <w:b/>
                <w:sz w:val="18"/>
              </w:rPr>
              <w:t>Rango de valores</w:t>
            </w:r>
          </w:p>
        </w:tc>
        <w:tc>
          <w:tcPr>
            <w:tcW w:w="1073" w:type="dxa"/>
          </w:tcPr>
          <w:p>
            <w:pPr>
              <w:pStyle w:val="TableParagraph"/>
              <w:spacing w:line="201" w:lineRule="exact" w:before="0"/>
              <w:ind w:left="106" w:right="107"/>
              <w:jc w:val="center"/>
              <w:rPr>
                <w:b/>
                <w:sz w:val="18"/>
              </w:rPr>
            </w:pPr>
            <w:r>
              <w:rPr>
                <w:b/>
                <w:sz w:val="18"/>
              </w:rPr>
              <w:t>Indicador</w:t>
            </w:r>
          </w:p>
        </w:tc>
      </w:tr>
      <w:tr>
        <w:trPr>
          <w:trHeight w:val="216" w:hRule="exact"/>
        </w:trPr>
        <w:tc>
          <w:tcPr>
            <w:tcW w:w="2737" w:type="dxa"/>
          </w:tcPr>
          <w:p>
            <w:pPr>
              <w:pStyle w:val="TableParagraph"/>
              <w:spacing w:line="206" w:lineRule="exact" w:before="0"/>
              <w:ind w:left="137" w:right="136"/>
              <w:jc w:val="center"/>
              <w:rPr>
                <w:sz w:val="18"/>
              </w:rPr>
            </w:pPr>
            <w:r>
              <w:rPr>
                <w:sz w:val="18"/>
              </w:rPr>
              <w:t>Muy bajo</w:t>
            </w:r>
          </w:p>
        </w:tc>
        <w:tc>
          <w:tcPr>
            <w:tcW w:w="1803" w:type="dxa"/>
          </w:tcPr>
          <w:p>
            <w:pPr>
              <w:pStyle w:val="TableParagraph"/>
              <w:spacing w:line="206" w:lineRule="exact" w:before="0"/>
              <w:ind w:left="126" w:right="125"/>
              <w:jc w:val="center"/>
              <w:rPr>
                <w:sz w:val="18"/>
              </w:rPr>
            </w:pPr>
            <w:r>
              <w:rPr>
                <w:sz w:val="18"/>
              </w:rPr>
              <w:t>1-1.9</w:t>
            </w:r>
          </w:p>
        </w:tc>
        <w:tc>
          <w:tcPr>
            <w:tcW w:w="1073" w:type="dxa"/>
          </w:tcPr>
          <w:p>
            <w:pPr>
              <w:pStyle w:val="TableParagraph"/>
              <w:spacing w:line="206" w:lineRule="exact" w:before="0"/>
              <w:ind w:right="1"/>
              <w:jc w:val="center"/>
              <w:rPr>
                <w:sz w:val="18"/>
              </w:rPr>
            </w:pPr>
            <w:r>
              <w:rPr>
                <w:w w:val="99"/>
                <w:sz w:val="18"/>
              </w:rPr>
              <w:t>1</w:t>
            </w:r>
          </w:p>
        </w:tc>
      </w:tr>
      <w:tr>
        <w:trPr>
          <w:trHeight w:val="218" w:hRule="exact"/>
        </w:trPr>
        <w:tc>
          <w:tcPr>
            <w:tcW w:w="2737" w:type="dxa"/>
          </w:tcPr>
          <w:p>
            <w:pPr>
              <w:pStyle w:val="TableParagraph"/>
              <w:spacing w:before="1"/>
              <w:ind w:left="137" w:right="135"/>
              <w:jc w:val="center"/>
              <w:rPr>
                <w:sz w:val="18"/>
              </w:rPr>
            </w:pPr>
            <w:r>
              <w:rPr>
                <w:sz w:val="18"/>
              </w:rPr>
              <w:t>Bajo</w:t>
            </w:r>
          </w:p>
        </w:tc>
        <w:tc>
          <w:tcPr>
            <w:tcW w:w="1803" w:type="dxa"/>
          </w:tcPr>
          <w:p>
            <w:pPr>
              <w:pStyle w:val="TableParagraph"/>
              <w:spacing w:before="1"/>
              <w:ind w:left="126" w:right="125"/>
              <w:jc w:val="center"/>
              <w:rPr>
                <w:sz w:val="18"/>
              </w:rPr>
            </w:pPr>
            <w:r>
              <w:rPr>
                <w:sz w:val="18"/>
              </w:rPr>
              <w:t>2-3.9</w:t>
            </w:r>
          </w:p>
        </w:tc>
        <w:tc>
          <w:tcPr>
            <w:tcW w:w="1073" w:type="dxa"/>
          </w:tcPr>
          <w:p>
            <w:pPr>
              <w:pStyle w:val="TableParagraph"/>
              <w:spacing w:before="1"/>
              <w:ind w:right="1"/>
              <w:jc w:val="center"/>
              <w:rPr>
                <w:sz w:val="18"/>
              </w:rPr>
            </w:pPr>
            <w:r>
              <w:rPr>
                <w:w w:val="99"/>
                <w:sz w:val="18"/>
              </w:rPr>
              <w:t>2</w:t>
            </w:r>
          </w:p>
        </w:tc>
      </w:tr>
      <w:tr>
        <w:trPr>
          <w:trHeight w:val="216" w:hRule="exact"/>
        </w:trPr>
        <w:tc>
          <w:tcPr>
            <w:tcW w:w="2737" w:type="dxa"/>
          </w:tcPr>
          <w:p>
            <w:pPr>
              <w:pStyle w:val="TableParagraph"/>
              <w:spacing w:line="206" w:lineRule="exact" w:before="0"/>
              <w:ind w:left="137" w:right="138"/>
              <w:jc w:val="center"/>
              <w:rPr>
                <w:sz w:val="18"/>
              </w:rPr>
            </w:pPr>
            <w:r>
              <w:rPr>
                <w:sz w:val="18"/>
              </w:rPr>
              <w:t>Moderado</w:t>
            </w:r>
          </w:p>
        </w:tc>
        <w:tc>
          <w:tcPr>
            <w:tcW w:w="1803" w:type="dxa"/>
          </w:tcPr>
          <w:p>
            <w:pPr>
              <w:pStyle w:val="TableParagraph"/>
              <w:spacing w:line="206" w:lineRule="exact" w:before="0"/>
              <w:ind w:left="126" w:right="125"/>
              <w:jc w:val="center"/>
              <w:rPr>
                <w:sz w:val="18"/>
              </w:rPr>
            </w:pPr>
            <w:r>
              <w:rPr>
                <w:sz w:val="18"/>
              </w:rPr>
              <w:t>4-7.9</w:t>
            </w:r>
          </w:p>
        </w:tc>
        <w:tc>
          <w:tcPr>
            <w:tcW w:w="1073" w:type="dxa"/>
          </w:tcPr>
          <w:p>
            <w:pPr>
              <w:pStyle w:val="TableParagraph"/>
              <w:spacing w:line="206" w:lineRule="exact" w:before="0"/>
              <w:ind w:right="1"/>
              <w:jc w:val="center"/>
              <w:rPr>
                <w:sz w:val="18"/>
              </w:rPr>
            </w:pPr>
            <w:r>
              <w:rPr>
                <w:w w:val="99"/>
                <w:sz w:val="18"/>
              </w:rPr>
              <w:t>3</w:t>
            </w:r>
          </w:p>
        </w:tc>
      </w:tr>
      <w:tr>
        <w:trPr>
          <w:trHeight w:val="218" w:hRule="exact"/>
        </w:trPr>
        <w:tc>
          <w:tcPr>
            <w:tcW w:w="2737" w:type="dxa"/>
          </w:tcPr>
          <w:p>
            <w:pPr>
              <w:pStyle w:val="TableParagraph"/>
              <w:spacing w:line="206" w:lineRule="exact" w:before="0"/>
              <w:ind w:left="137" w:right="137"/>
              <w:jc w:val="center"/>
              <w:rPr>
                <w:sz w:val="18"/>
              </w:rPr>
            </w:pPr>
            <w:r>
              <w:rPr>
                <w:sz w:val="18"/>
              </w:rPr>
              <w:t>Alto</w:t>
            </w:r>
          </w:p>
        </w:tc>
        <w:tc>
          <w:tcPr>
            <w:tcW w:w="1803" w:type="dxa"/>
          </w:tcPr>
          <w:p>
            <w:pPr>
              <w:pStyle w:val="TableParagraph"/>
              <w:spacing w:line="206" w:lineRule="exact" w:before="0"/>
              <w:ind w:left="126" w:right="125"/>
              <w:jc w:val="center"/>
              <w:rPr>
                <w:sz w:val="18"/>
              </w:rPr>
            </w:pPr>
            <w:r>
              <w:rPr>
                <w:sz w:val="18"/>
              </w:rPr>
              <w:t>8-11.9</w:t>
            </w:r>
          </w:p>
        </w:tc>
        <w:tc>
          <w:tcPr>
            <w:tcW w:w="1073" w:type="dxa"/>
          </w:tcPr>
          <w:p>
            <w:pPr>
              <w:pStyle w:val="TableParagraph"/>
              <w:spacing w:line="206" w:lineRule="exact" w:before="0"/>
              <w:ind w:right="1"/>
              <w:jc w:val="center"/>
              <w:rPr>
                <w:sz w:val="18"/>
              </w:rPr>
            </w:pPr>
            <w:r>
              <w:rPr>
                <w:w w:val="99"/>
                <w:sz w:val="18"/>
              </w:rPr>
              <w:t>4</w:t>
            </w:r>
          </w:p>
        </w:tc>
      </w:tr>
      <w:tr>
        <w:trPr>
          <w:trHeight w:val="216" w:hRule="exact"/>
        </w:trPr>
        <w:tc>
          <w:tcPr>
            <w:tcW w:w="2737" w:type="dxa"/>
          </w:tcPr>
          <w:p>
            <w:pPr>
              <w:pStyle w:val="TableParagraph"/>
              <w:spacing w:line="206" w:lineRule="exact" w:before="0"/>
              <w:ind w:left="137" w:right="137"/>
              <w:jc w:val="center"/>
              <w:rPr>
                <w:sz w:val="18"/>
              </w:rPr>
            </w:pPr>
            <w:r>
              <w:rPr>
                <w:sz w:val="18"/>
              </w:rPr>
              <w:t>Grave</w:t>
            </w:r>
          </w:p>
        </w:tc>
        <w:tc>
          <w:tcPr>
            <w:tcW w:w="1803" w:type="dxa"/>
          </w:tcPr>
          <w:p>
            <w:pPr>
              <w:pStyle w:val="TableParagraph"/>
              <w:spacing w:line="206" w:lineRule="exact" w:before="0"/>
              <w:ind w:left="126" w:right="126"/>
              <w:jc w:val="center"/>
              <w:rPr>
                <w:sz w:val="18"/>
              </w:rPr>
            </w:pPr>
            <w:r>
              <w:rPr>
                <w:sz w:val="18"/>
              </w:rPr>
              <w:t>12-19.9</w:t>
            </w:r>
          </w:p>
        </w:tc>
        <w:tc>
          <w:tcPr>
            <w:tcW w:w="1073" w:type="dxa"/>
          </w:tcPr>
          <w:p>
            <w:pPr>
              <w:pStyle w:val="TableParagraph"/>
              <w:spacing w:line="206" w:lineRule="exact" w:before="0"/>
              <w:ind w:right="1"/>
              <w:jc w:val="center"/>
              <w:rPr>
                <w:sz w:val="18"/>
              </w:rPr>
            </w:pPr>
            <w:r>
              <w:rPr>
                <w:w w:val="99"/>
                <w:sz w:val="18"/>
              </w:rPr>
              <w:t>5</w:t>
            </w:r>
          </w:p>
        </w:tc>
      </w:tr>
      <w:tr>
        <w:trPr>
          <w:trHeight w:val="218" w:hRule="exact"/>
        </w:trPr>
        <w:tc>
          <w:tcPr>
            <w:tcW w:w="2737" w:type="dxa"/>
          </w:tcPr>
          <w:p>
            <w:pPr>
              <w:pStyle w:val="TableParagraph"/>
              <w:spacing w:line="206" w:lineRule="exact" w:before="0"/>
              <w:ind w:left="137" w:right="137"/>
              <w:jc w:val="center"/>
              <w:rPr>
                <w:sz w:val="18"/>
              </w:rPr>
            </w:pPr>
            <w:r>
              <w:rPr>
                <w:sz w:val="18"/>
              </w:rPr>
              <w:t>Extremo</w:t>
            </w:r>
          </w:p>
        </w:tc>
        <w:tc>
          <w:tcPr>
            <w:tcW w:w="1803" w:type="dxa"/>
          </w:tcPr>
          <w:p>
            <w:pPr>
              <w:pStyle w:val="TableParagraph"/>
              <w:spacing w:line="206" w:lineRule="exact" w:before="0"/>
              <w:ind w:left="126" w:right="126"/>
              <w:jc w:val="center"/>
              <w:rPr>
                <w:sz w:val="18"/>
              </w:rPr>
            </w:pPr>
            <w:r>
              <w:rPr>
                <w:sz w:val="18"/>
              </w:rPr>
              <w:t>20-30</w:t>
            </w:r>
          </w:p>
        </w:tc>
        <w:tc>
          <w:tcPr>
            <w:tcW w:w="1073" w:type="dxa"/>
          </w:tcPr>
          <w:p>
            <w:pPr>
              <w:pStyle w:val="TableParagraph"/>
              <w:spacing w:line="206" w:lineRule="exact" w:before="0"/>
              <w:ind w:right="1"/>
              <w:jc w:val="center"/>
              <w:rPr>
                <w:sz w:val="18"/>
              </w:rPr>
            </w:pPr>
            <w:r>
              <w:rPr>
                <w:w w:val="99"/>
                <w:sz w:val="18"/>
              </w:rPr>
              <w:t>6</w:t>
            </w:r>
          </w:p>
        </w:tc>
      </w:tr>
    </w:tbl>
    <w:p>
      <w:pPr>
        <w:pStyle w:val="BodyText"/>
        <w:rPr>
          <w:sz w:val="20"/>
        </w:rPr>
      </w:pPr>
    </w:p>
    <w:p>
      <w:pPr>
        <w:pStyle w:val="BodyText"/>
        <w:rPr>
          <w:sz w:val="20"/>
        </w:rPr>
      </w:pPr>
    </w:p>
    <w:p>
      <w:pPr>
        <w:pStyle w:val="BodyText"/>
        <w:rPr>
          <w:sz w:val="20"/>
        </w:rPr>
      </w:pPr>
    </w:p>
    <w:p>
      <w:pPr>
        <w:pStyle w:val="BodyText"/>
        <w:spacing w:before="4"/>
        <w:rPr>
          <w:sz w:val="22"/>
        </w:rPr>
      </w:pPr>
    </w:p>
    <w:p>
      <w:pPr>
        <w:pStyle w:val="Heading1"/>
        <w:numPr>
          <w:ilvl w:val="2"/>
          <w:numId w:val="5"/>
        </w:numPr>
        <w:tabs>
          <w:tab w:pos="1816" w:val="left" w:leader="none"/>
        </w:tabs>
        <w:spacing w:line="240" w:lineRule="auto" w:before="69" w:after="0"/>
        <w:ind w:left="1815" w:right="0" w:hanging="720"/>
        <w:jc w:val="left"/>
      </w:pPr>
      <w:bookmarkStart w:name="_bookmark49" w:id="93"/>
      <w:bookmarkEnd w:id="93"/>
      <w:r>
        <w:rPr>
          <w:b w:val="0"/>
        </w:rPr>
      </w:r>
      <w:bookmarkStart w:name="_bookmark49" w:id="94"/>
      <w:bookmarkEnd w:id="94"/>
      <w:r>
        <w:rPr/>
        <w:t>P</w:t>
      </w:r>
      <w:r>
        <w:rPr/>
        <w:t>rocesamiento de imágenes de</w:t>
      </w:r>
      <w:r>
        <w:rPr>
          <w:spacing w:val="-10"/>
        </w:rPr>
        <w:t> </w:t>
      </w:r>
      <w:r>
        <w:rPr/>
        <w:t>satélite</w:t>
      </w:r>
    </w:p>
    <w:p>
      <w:pPr>
        <w:pStyle w:val="BodyText"/>
        <w:rPr>
          <w:b/>
        </w:rPr>
      </w:pPr>
    </w:p>
    <w:p>
      <w:pPr>
        <w:pStyle w:val="BodyText"/>
        <w:spacing w:before="9"/>
        <w:rPr>
          <w:b/>
          <w:sz w:val="23"/>
        </w:rPr>
      </w:pPr>
    </w:p>
    <w:p>
      <w:pPr>
        <w:pStyle w:val="BodyText"/>
        <w:tabs>
          <w:tab w:pos="811" w:val="left" w:leader="none"/>
        </w:tabs>
        <w:spacing w:line="360" w:lineRule="auto"/>
        <w:ind w:left="102" w:right="118"/>
      </w:pPr>
      <w:r>
        <w:rPr/>
        <w:t>Esta</w:t>
        <w:tab/>
        <w:t>etapa</w:t>
      </w:r>
      <w:r>
        <w:rPr>
          <w:spacing w:val="46"/>
        </w:rPr>
        <w:t> </w:t>
      </w:r>
      <w:r>
        <w:rPr/>
        <w:t>consiste</w:t>
      </w:r>
      <w:r>
        <w:rPr>
          <w:spacing w:val="43"/>
        </w:rPr>
        <w:t> </w:t>
      </w:r>
      <w:r>
        <w:rPr/>
        <w:t>en</w:t>
      </w:r>
      <w:r>
        <w:rPr>
          <w:spacing w:val="46"/>
        </w:rPr>
        <w:t> </w:t>
      </w:r>
      <w:r>
        <w:rPr/>
        <w:t>validar</w:t>
      </w:r>
      <w:r>
        <w:rPr>
          <w:spacing w:val="44"/>
        </w:rPr>
        <w:t> </w:t>
      </w:r>
      <w:r>
        <w:rPr/>
        <w:t>el</w:t>
      </w:r>
      <w:r>
        <w:rPr>
          <w:spacing w:val="42"/>
        </w:rPr>
        <w:t> </w:t>
      </w:r>
      <w:r>
        <w:rPr/>
        <w:t>mapa</w:t>
      </w:r>
      <w:r>
        <w:rPr>
          <w:spacing w:val="44"/>
        </w:rPr>
        <w:t> </w:t>
      </w:r>
      <w:r>
        <w:rPr/>
        <w:t>de</w:t>
      </w:r>
      <w:r>
        <w:rPr>
          <w:spacing w:val="46"/>
        </w:rPr>
        <w:t> </w:t>
      </w:r>
      <w:r>
        <w:rPr/>
        <w:t>riesgo</w:t>
      </w:r>
      <w:r>
        <w:rPr>
          <w:spacing w:val="52"/>
        </w:rPr>
        <w:t> </w:t>
      </w:r>
      <w:r>
        <w:rPr/>
        <w:t>mediante</w:t>
      </w:r>
      <w:r>
        <w:rPr>
          <w:spacing w:val="44"/>
        </w:rPr>
        <w:t> </w:t>
      </w:r>
      <w:r>
        <w:rPr/>
        <w:t>cartografía</w:t>
      </w:r>
      <w:r>
        <w:rPr>
          <w:spacing w:val="43"/>
        </w:rPr>
        <w:t> </w:t>
      </w:r>
      <w:r>
        <w:rPr/>
        <w:t>de</w:t>
      </w:r>
      <w:r>
        <w:rPr>
          <w:spacing w:val="46"/>
        </w:rPr>
        <w:t> </w:t>
      </w:r>
      <w:r>
        <w:rPr/>
        <w:t>las regiones quemadas, para elaborarla se llevaron a cabo los siguientes</w:t>
      </w:r>
      <w:r>
        <w:rPr>
          <w:spacing w:val="-22"/>
        </w:rPr>
        <w:t> </w:t>
      </w:r>
      <w:r>
        <w:rPr/>
        <w:t>pasos:</w:t>
      </w:r>
    </w:p>
    <w:p>
      <w:pPr>
        <w:pStyle w:val="ListParagraph"/>
        <w:numPr>
          <w:ilvl w:val="0"/>
          <w:numId w:val="15"/>
        </w:numPr>
        <w:tabs>
          <w:tab w:pos="822" w:val="left" w:leader="none"/>
        </w:tabs>
        <w:spacing w:line="240" w:lineRule="auto" w:before="204" w:after="0"/>
        <w:ind w:left="822" w:right="0" w:hanging="360"/>
        <w:jc w:val="left"/>
        <w:rPr>
          <w:sz w:val="24"/>
        </w:rPr>
      </w:pPr>
      <w:r>
        <w:rPr>
          <w:sz w:val="24"/>
        </w:rPr>
        <w:t>Se</w:t>
      </w:r>
      <w:r>
        <w:rPr>
          <w:spacing w:val="38"/>
          <w:sz w:val="24"/>
        </w:rPr>
        <w:t> </w:t>
      </w:r>
      <w:r>
        <w:rPr>
          <w:sz w:val="24"/>
        </w:rPr>
        <w:t>descargó</w:t>
      </w:r>
      <w:r>
        <w:rPr>
          <w:spacing w:val="37"/>
          <w:sz w:val="24"/>
        </w:rPr>
        <w:t> </w:t>
      </w:r>
      <w:r>
        <w:rPr>
          <w:sz w:val="24"/>
        </w:rPr>
        <w:t>de</w:t>
      </w:r>
      <w:r>
        <w:rPr>
          <w:spacing w:val="37"/>
          <w:sz w:val="24"/>
        </w:rPr>
        <w:t> </w:t>
      </w:r>
      <w:r>
        <w:rPr>
          <w:sz w:val="24"/>
        </w:rPr>
        <w:t>la</w:t>
      </w:r>
      <w:r>
        <w:rPr>
          <w:spacing w:val="37"/>
          <w:sz w:val="24"/>
        </w:rPr>
        <w:t> </w:t>
      </w:r>
      <w:r>
        <w:rPr>
          <w:sz w:val="24"/>
        </w:rPr>
        <w:t>página</w:t>
      </w:r>
      <w:r>
        <w:rPr>
          <w:spacing w:val="41"/>
          <w:sz w:val="24"/>
        </w:rPr>
        <w:t> </w:t>
      </w:r>
      <w:r>
        <w:rPr>
          <w:sz w:val="24"/>
        </w:rPr>
        <w:t>del</w:t>
      </w:r>
      <w:r>
        <w:rPr>
          <w:spacing w:val="36"/>
          <w:sz w:val="24"/>
        </w:rPr>
        <w:t> </w:t>
      </w:r>
      <w:r>
        <w:rPr>
          <w:sz w:val="24"/>
        </w:rPr>
        <w:t>Servicio</w:t>
      </w:r>
      <w:r>
        <w:rPr>
          <w:spacing w:val="37"/>
          <w:sz w:val="24"/>
        </w:rPr>
        <w:t> </w:t>
      </w:r>
      <w:r>
        <w:rPr>
          <w:sz w:val="24"/>
        </w:rPr>
        <w:t>Geological</w:t>
      </w:r>
      <w:r>
        <w:rPr>
          <w:spacing w:val="37"/>
          <w:sz w:val="24"/>
        </w:rPr>
        <w:t> </w:t>
      </w:r>
      <w:r>
        <w:rPr>
          <w:sz w:val="24"/>
        </w:rPr>
        <w:t>de</w:t>
      </w:r>
      <w:r>
        <w:rPr>
          <w:spacing w:val="37"/>
          <w:sz w:val="24"/>
        </w:rPr>
        <w:t> </w:t>
      </w:r>
      <w:r>
        <w:rPr>
          <w:sz w:val="24"/>
        </w:rPr>
        <w:t>los</w:t>
      </w:r>
      <w:r>
        <w:rPr>
          <w:spacing w:val="37"/>
          <w:sz w:val="24"/>
        </w:rPr>
        <w:t> </w:t>
      </w:r>
      <w:r>
        <w:rPr>
          <w:sz w:val="24"/>
        </w:rPr>
        <w:t>Estados</w:t>
      </w:r>
      <w:r>
        <w:rPr>
          <w:spacing w:val="34"/>
          <w:sz w:val="24"/>
        </w:rPr>
        <w:t> </w:t>
      </w:r>
      <w:r>
        <w:rPr>
          <w:sz w:val="24"/>
        </w:rPr>
        <w:t>Unidos</w:t>
      </w:r>
    </w:p>
    <w:p>
      <w:pPr>
        <w:pStyle w:val="BodyText"/>
        <w:spacing w:line="360" w:lineRule="auto" w:before="139"/>
        <w:ind w:left="821" w:right="116"/>
        <w:jc w:val="both"/>
      </w:pPr>
      <w:r>
        <w:rPr/>
        <w:t>&lt;&lt;</w:t>
      </w:r>
      <w:hyperlink r:id="rId28">
        <w:r>
          <w:rPr>
            <w:u w:val="single"/>
          </w:rPr>
          <w:t>http://earthexplorer.usgs.gov/</w:t>
        </w:r>
      </w:hyperlink>
      <w:r>
        <w:rPr>
          <w:u w:val="single"/>
        </w:rPr>
        <w:t>&gt;&gt; </w:t>
      </w:r>
      <w:r>
        <w:rPr/>
        <w:t>las imágenes de satélite con clave 26-47 Landsat 8 con fecha de abril de 2014 y la imagen Landsat 7 con fecha de diciembre de 2011. La razón por la que se trabajó con Landsat se debe a que no se consiguieron imágenes SPOT adecuadas para el análisis, es decir, eran de diferente temporalidad y contenían más de una tercera parte de nubosidad. Además, se utilizaron imágenes Landsat debido a que tienen mayor resolución espectral aunque menor resolución espacial que las Spot.</w:t>
      </w:r>
    </w:p>
    <w:p>
      <w:pPr>
        <w:pStyle w:val="ListParagraph"/>
        <w:numPr>
          <w:ilvl w:val="0"/>
          <w:numId w:val="15"/>
        </w:numPr>
        <w:tabs>
          <w:tab w:pos="822" w:val="left" w:leader="none"/>
        </w:tabs>
        <w:spacing w:line="360" w:lineRule="auto" w:before="2" w:after="0"/>
        <w:ind w:left="822" w:right="115" w:hanging="360"/>
        <w:jc w:val="both"/>
        <w:rPr>
          <w:sz w:val="24"/>
        </w:rPr>
      </w:pPr>
      <w:r>
        <w:rPr>
          <w:sz w:val="24"/>
        </w:rPr>
        <w:t>Posteriormente, se realizó una composición de bandas en el programa Envi 5.1.</w:t>
      </w:r>
    </w:p>
    <w:p>
      <w:pPr>
        <w:pStyle w:val="ListParagraph"/>
        <w:numPr>
          <w:ilvl w:val="0"/>
          <w:numId w:val="15"/>
        </w:numPr>
        <w:tabs>
          <w:tab w:pos="822" w:val="left" w:leader="none"/>
        </w:tabs>
        <w:spacing w:line="240" w:lineRule="auto" w:before="2" w:after="0"/>
        <w:ind w:left="822" w:right="0" w:hanging="360"/>
        <w:jc w:val="left"/>
        <w:rPr>
          <w:sz w:val="24"/>
        </w:rPr>
      </w:pPr>
      <w:r>
        <w:rPr>
          <w:sz w:val="24"/>
        </w:rPr>
        <w:t>Se aplicó corrección atmosférica a las imágenes en el programa Envi</w:t>
      </w:r>
      <w:r>
        <w:rPr>
          <w:spacing w:val="-21"/>
          <w:sz w:val="24"/>
        </w:rPr>
        <w:t> </w:t>
      </w:r>
      <w:r>
        <w:rPr>
          <w:sz w:val="24"/>
        </w:rPr>
        <w:t>5.1.</w:t>
      </w:r>
    </w:p>
    <w:p>
      <w:pPr>
        <w:pStyle w:val="ListParagraph"/>
        <w:numPr>
          <w:ilvl w:val="0"/>
          <w:numId w:val="15"/>
        </w:numPr>
        <w:tabs>
          <w:tab w:pos="822" w:val="left" w:leader="none"/>
        </w:tabs>
        <w:spacing w:line="360" w:lineRule="auto" w:before="139" w:after="0"/>
        <w:ind w:left="822" w:right="116" w:hanging="360"/>
        <w:jc w:val="both"/>
        <w:rPr>
          <w:sz w:val="24"/>
        </w:rPr>
      </w:pPr>
      <w:r>
        <w:rPr>
          <w:sz w:val="24"/>
        </w:rPr>
        <w:t>Se realizó una clasificación no supervisada (ISODATA)  en el programa  Envi 5.1, debido a que este tipo de clasificación fue la que mejores resultados arrojó, en la diferenciación de las zonas quemadas, de los  demás tipos de uso del</w:t>
      </w:r>
      <w:r>
        <w:rPr>
          <w:spacing w:val="-8"/>
          <w:sz w:val="24"/>
        </w:rPr>
        <w:t> </w:t>
      </w:r>
      <w:r>
        <w:rPr>
          <w:sz w:val="24"/>
        </w:rPr>
        <w:t>suelo.</w:t>
      </w:r>
    </w:p>
    <w:p>
      <w:pPr>
        <w:pStyle w:val="ListParagraph"/>
        <w:numPr>
          <w:ilvl w:val="0"/>
          <w:numId w:val="15"/>
        </w:numPr>
        <w:tabs>
          <w:tab w:pos="822" w:val="left" w:leader="none"/>
        </w:tabs>
        <w:spacing w:line="360" w:lineRule="auto" w:before="2" w:after="0"/>
        <w:ind w:left="822" w:right="114" w:hanging="360"/>
        <w:jc w:val="both"/>
        <w:rPr>
          <w:sz w:val="24"/>
        </w:rPr>
      </w:pPr>
      <w:r>
        <w:rPr>
          <w:sz w:val="24"/>
        </w:rPr>
        <w:t>Se separaron las áreas quemadas de los demás usos de suelo en el programa  ArcMap 10.1, por medio de la expresión Map</w:t>
      </w:r>
      <w:r>
        <w:rPr>
          <w:spacing w:val="-17"/>
          <w:sz w:val="24"/>
        </w:rPr>
        <w:t> </w:t>
      </w:r>
      <w:r>
        <w:rPr>
          <w:sz w:val="24"/>
        </w:rPr>
        <w:t>algebra.</w:t>
      </w:r>
    </w:p>
    <w:p>
      <w:pPr>
        <w:spacing w:after="0" w:line="360" w:lineRule="auto"/>
        <w:jc w:val="both"/>
        <w:rPr>
          <w:sz w:val="24"/>
        </w:rPr>
        <w:sectPr>
          <w:pgSz w:w="12240" w:h="15840"/>
          <w:pgMar w:header="0" w:footer="1003" w:top="1360" w:bottom="1200" w:left="1600" w:right="1580"/>
        </w:sectPr>
      </w:pPr>
    </w:p>
    <w:p>
      <w:pPr>
        <w:pStyle w:val="ListParagraph"/>
        <w:numPr>
          <w:ilvl w:val="0"/>
          <w:numId w:val="15"/>
        </w:numPr>
        <w:tabs>
          <w:tab w:pos="822" w:val="left" w:leader="none"/>
        </w:tabs>
        <w:spacing w:line="360" w:lineRule="auto" w:before="54" w:after="0"/>
        <w:ind w:left="822" w:right="114" w:hanging="360"/>
        <w:jc w:val="both"/>
        <w:rPr>
          <w:sz w:val="24"/>
        </w:rPr>
      </w:pPr>
      <w:r>
        <w:rPr>
          <w:sz w:val="24"/>
        </w:rPr>
        <w:t>En Erdas imagine 2011, se utilizó la herramienta Clump (localizada en el menú Raster - Thematic) con la finalidad de eliminar pixeles o grupos de pixeles sin importancia o que pertenecen a otra</w:t>
      </w:r>
      <w:r>
        <w:rPr>
          <w:spacing w:val="-11"/>
          <w:sz w:val="24"/>
        </w:rPr>
        <w:t> </w:t>
      </w:r>
      <w:r>
        <w:rPr>
          <w:sz w:val="24"/>
        </w:rPr>
        <w:t>clase.</w:t>
      </w:r>
    </w:p>
    <w:p>
      <w:pPr>
        <w:pStyle w:val="ListParagraph"/>
        <w:numPr>
          <w:ilvl w:val="0"/>
          <w:numId w:val="15"/>
        </w:numPr>
        <w:tabs>
          <w:tab w:pos="822" w:val="left" w:leader="none"/>
        </w:tabs>
        <w:spacing w:line="360" w:lineRule="auto" w:before="5" w:after="0"/>
        <w:ind w:left="822" w:right="118" w:hanging="360"/>
        <w:jc w:val="both"/>
        <w:rPr>
          <w:sz w:val="24"/>
        </w:rPr>
      </w:pPr>
      <w:r>
        <w:rPr>
          <w:sz w:val="24"/>
        </w:rPr>
        <w:t>Posteriormente, se utilizó la herramienta Sieve (localizada en el menú Raster - Thematic), para suprimir pixeles o grupos de pixeles  pequeños  que no son</w:t>
      </w:r>
      <w:r>
        <w:rPr>
          <w:spacing w:val="-13"/>
          <w:sz w:val="24"/>
        </w:rPr>
        <w:t> </w:t>
      </w:r>
      <w:r>
        <w:rPr>
          <w:sz w:val="24"/>
        </w:rPr>
        <w:t>aceptables.</w:t>
      </w:r>
    </w:p>
    <w:p>
      <w:pPr>
        <w:pStyle w:val="ListParagraph"/>
        <w:numPr>
          <w:ilvl w:val="0"/>
          <w:numId w:val="15"/>
        </w:numPr>
        <w:tabs>
          <w:tab w:pos="822" w:val="left" w:leader="none"/>
        </w:tabs>
        <w:spacing w:line="360" w:lineRule="auto" w:before="2" w:after="0"/>
        <w:ind w:left="822" w:right="115" w:hanging="360"/>
        <w:jc w:val="both"/>
        <w:rPr>
          <w:sz w:val="24"/>
        </w:rPr>
      </w:pPr>
      <w:r>
        <w:rPr>
          <w:sz w:val="24"/>
        </w:rPr>
        <w:t>Finalmente, en arcGis 10.1, se contrastaron las áreas quemadas con el mapa de riesgo de</w:t>
      </w:r>
      <w:r>
        <w:rPr>
          <w:spacing w:val="-9"/>
          <w:sz w:val="24"/>
        </w:rPr>
        <w:t> </w:t>
      </w:r>
      <w:r>
        <w:rPr>
          <w:sz w:val="24"/>
        </w:rPr>
        <w:t>incendios.</w:t>
      </w:r>
    </w:p>
    <w:p>
      <w:pPr>
        <w:pStyle w:val="BodyText"/>
      </w:pPr>
    </w:p>
    <w:p>
      <w:pPr>
        <w:pStyle w:val="BodyText"/>
      </w:pPr>
    </w:p>
    <w:p>
      <w:pPr>
        <w:pStyle w:val="Heading1"/>
        <w:numPr>
          <w:ilvl w:val="2"/>
          <w:numId w:val="5"/>
        </w:numPr>
        <w:tabs>
          <w:tab w:pos="1816" w:val="left" w:leader="none"/>
        </w:tabs>
        <w:spacing w:line="240" w:lineRule="auto" w:before="169" w:after="0"/>
        <w:ind w:left="1815" w:right="0" w:hanging="720"/>
        <w:jc w:val="left"/>
      </w:pPr>
      <w:bookmarkStart w:name="_bookmark50" w:id="95"/>
      <w:bookmarkEnd w:id="95"/>
      <w:r>
        <w:rPr>
          <w:b w:val="0"/>
        </w:rPr>
      </w:r>
      <w:bookmarkStart w:name="_bookmark50" w:id="96"/>
      <w:bookmarkEnd w:id="96"/>
      <w:r>
        <w:rPr/>
        <w:t>A</w:t>
      </w:r>
      <w:r>
        <w:rPr/>
        <w:t>utocorrelación</w:t>
      </w:r>
      <w:r>
        <w:rPr>
          <w:spacing w:val="-7"/>
        </w:rPr>
        <w:t> </w:t>
      </w:r>
      <w:r>
        <w:rPr/>
        <w:t>espacial.</w:t>
      </w:r>
    </w:p>
    <w:p>
      <w:pPr>
        <w:pStyle w:val="BodyText"/>
        <w:rPr>
          <w:b/>
        </w:rPr>
      </w:pPr>
    </w:p>
    <w:p>
      <w:pPr>
        <w:pStyle w:val="BodyText"/>
        <w:spacing w:before="7"/>
        <w:rPr>
          <w:b/>
        </w:rPr>
      </w:pPr>
    </w:p>
    <w:p>
      <w:pPr>
        <w:pStyle w:val="BodyText"/>
        <w:spacing w:line="360" w:lineRule="auto"/>
        <w:ind w:left="102" w:right="115"/>
        <w:jc w:val="both"/>
      </w:pPr>
      <w:r>
        <w:rPr/>
        <w:t>Se realizó autocorrelación espacial mediante el software GEODA, para conocer la concentración o dispersión de los valores de riesgo de incendios y áreas incendiadas. El Índice de Moran varía entre los valores -1 y +1; cuanto más cercano a 1 sea el indicador, mayor será el nivel de autocorrelación espacial. Los valores negativos indican un conglomerado espacial de unidades territoriales con valores de análisis distintos y los valores positivos indican un conglomerado espacial de unidades territoriales con valores de análisis similares, sean estos altos o</w:t>
      </w:r>
      <w:r>
        <w:rPr>
          <w:spacing w:val="-3"/>
        </w:rPr>
        <w:t> </w:t>
      </w:r>
      <w:r>
        <w:rPr/>
        <w:t>bajos.</w:t>
      </w:r>
    </w:p>
    <w:p>
      <w:pPr>
        <w:pStyle w:val="BodyText"/>
        <w:spacing w:line="360" w:lineRule="auto" w:before="204"/>
        <w:ind w:left="102" w:right="124"/>
        <w:jc w:val="both"/>
      </w:pPr>
      <w:r>
        <w:rPr/>
        <w:t>El criterio de vecindad ocupado fue el de “Reyna”, por su proximidad de contacto en todas direcciones (máximo ocho vecinos).</w:t>
      </w:r>
    </w:p>
    <w:p>
      <w:pPr>
        <w:spacing w:after="0" w:line="360" w:lineRule="auto"/>
        <w:jc w:val="both"/>
        <w:sectPr>
          <w:footerReference w:type="default" r:id="rId35"/>
          <w:pgSz w:w="12240" w:h="15840"/>
          <w:pgMar w:footer="1003" w:header="0" w:top="1360" w:bottom="1200" w:left="1600" w:right="1580"/>
        </w:sectPr>
      </w:pPr>
    </w:p>
    <w:p>
      <w:pPr>
        <w:pStyle w:val="Heading1"/>
        <w:numPr>
          <w:ilvl w:val="0"/>
          <w:numId w:val="16"/>
        </w:numPr>
        <w:tabs>
          <w:tab w:pos="822" w:val="left" w:leader="none"/>
        </w:tabs>
        <w:spacing w:line="240" w:lineRule="auto" w:before="54" w:after="0"/>
        <w:ind w:left="822" w:right="0" w:hanging="360"/>
        <w:jc w:val="left"/>
      </w:pPr>
      <w:bookmarkStart w:name="_bookmark51" w:id="97"/>
      <w:bookmarkEnd w:id="97"/>
      <w:r>
        <w:rPr>
          <w:b w:val="0"/>
        </w:rPr>
      </w:r>
      <w:bookmarkStart w:name="_bookmark51" w:id="98"/>
      <w:bookmarkEnd w:id="98"/>
      <w:r>
        <w:rPr/>
        <w:t>A</w:t>
      </w:r>
      <w:r>
        <w:rPr/>
        <w:t>NÁLISIS DE RESULTADOS Y</w:t>
      </w:r>
      <w:r>
        <w:rPr>
          <w:spacing w:val="-12"/>
        </w:rPr>
        <w:t> </w:t>
      </w:r>
      <w:r>
        <w:rPr/>
        <w:t>DISCUSIÓN</w:t>
      </w:r>
    </w:p>
    <w:p>
      <w:pPr>
        <w:pStyle w:val="BodyText"/>
        <w:rPr>
          <w:b/>
        </w:rPr>
      </w:pPr>
    </w:p>
    <w:p>
      <w:pPr>
        <w:pStyle w:val="BodyText"/>
        <w:rPr>
          <w:b/>
        </w:rPr>
      </w:pPr>
    </w:p>
    <w:p>
      <w:pPr>
        <w:pStyle w:val="BodyText"/>
        <w:spacing w:line="360" w:lineRule="auto"/>
        <w:ind w:left="102" w:right="126"/>
        <w:jc w:val="both"/>
      </w:pPr>
      <w:r>
        <w:rPr/>
        <w:t>Los resultados muestran cada una de las variables del mapa de riesgo, el análisis de imágenes de satélite de dos temporalidades y autocorrelación espacial.</w:t>
      </w:r>
    </w:p>
    <w:p>
      <w:pPr>
        <w:pStyle w:val="BodyText"/>
      </w:pPr>
    </w:p>
    <w:p>
      <w:pPr>
        <w:pStyle w:val="Heading1"/>
        <w:numPr>
          <w:ilvl w:val="1"/>
          <w:numId w:val="16"/>
        </w:numPr>
        <w:tabs>
          <w:tab w:pos="822" w:val="left" w:leader="none"/>
        </w:tabs>
        <w:spacing w:line="240" w:lineRule="auto" w:before="204" w:after="0"/>
        <w:ind w:left="822" w:right="0" w:hanging="360"/>
        <w:jc w:val="left"/>
      </w:pPr>
      <w:bookmarkStart w:name="_bookmark52" w:id="99"/>
      <w:bookmarkEnd w:id="99"/>
      <w:r>
        <w:rPr>
          <w:b w:val="0"/>
        </w:rPr>
      </w:r>
      <w:bookmarkStart w:name="_bookmark52" w:id="100"/>
      <w:bookmarkEnd w:id="100"/>
      <w:r>
        <w:rPr/>
        <w:t>A</w:t>
      </w:r>
      <w:r>
        <w:rPr/>
        <w:t>nálisis de las variables del mapa de</w:t>
      </w:r>
      <w:r>
        <w:rPr>
          <w:spacing w:val="-15"/>
        </w:rPr>
        <w:t> </w:t>
      </w:r>
      <w:r>
        <w:rPr/>
        <w:t>riesgo.</w:t>
      </w:r>
    </w:p>
    <w:p>
      <w:pPr>
        <w:pStyle w:val="BodyText"/>
        <w:rPr>
          <w:b/>
        </w:rPr>
      </w:pPr>
    </w:p>
    <w:p>
      <w:pPr>
        <w:pStyle w:val="BodyText"/>
        <w:spacing w:before="9"/>
        <w:rPr>
          <w:b/>
          <w:sz w:val="23"/>
        </w:rPr>
      </w:pPr>
    </w:p>
    <w:p>
      <w:pPr>
        <w:pStyle w:val="BodyText"/>
        <w:spacing w:line="360" w:lineRule="auto"/>
        <w:ind w:left="102" w:right="119"/>
        <w:jc w:val="both"/>
      </w:pPr>
      <w:r>
        <w:rPr/>
        <w:t>El mapa de riesgo se obtuvo a partir del riesgo estadístico y la peligrosidad del medio. A continuación se dan a conocer los resultados de cada uno de los procedimientos que se llevaron a cabo:</w:t>
      </w:r>
    </w:p>
    <w:p>
      <w:pPr>
        <w:pStyle w:val="BodyText"/>
      </w:pPr>
    </w:p>
    <w:p>
      <w:pPr>
        <w:pStyle w:val="BodyText"/>
        <w:spacing w:before="5"/>
        <w:rPr>
          <w:sz w:val="20"/>
        </w:rPr>
      </w:pPr>
    </w:p>
    <w:p>
      <w:pPr>
        <w:pStyle w:val="Heading1"/>
        <w:ind w:firstLine="0"/>
        <w:jc w:val="both"/>
      </w:pPr>
      <w:r>
        <w:rPr/>
        <w:t>Índice de frecuencia de incendios</w:t>
      </w:r>
    </w:p>
    <w:p>
      <w:pPr>
        <w:pStyle w:val="BodyText"/>
        <w:spacing w:before="2"/>
        <w:rPr>
          <w:b/>
        </w:rPr>
      </w:pPr>
    </w:p>
    <w:p>
      <w:pPr>
        <w:pStyle w:val="BodyText"/>
        <w:spacing w:line="360" w:lineRule="auto"/>
        <w:ind w:left="102" w:right="116"/>
        <w:jc w:val="both"/>
      </w:pPr>
      <w:r>
        <w:rPr/>
        <w:t>El mapa de índice de frecuencia de incendios forestales, muestra que el número de incendios durante el periodo 2008-2012 por cuadrante varía de 1 a 183 incendios. La frecuencia de incendios forestales, muestra un patrón agrupado y tiende a concentrarse al sur del suelo de conservación. Se considera que un cuadrante presenta una situación extrema a partir de 60 incendios correspondiendo al coeficiente número</w:t>
      </w:r>
      <w:r>
        <w:rPr>
          <w:spacing w:val="-13"/>
        </w:rPr>
        <w:t> </w:t>
      </w:r>
      <w:r>
        <w:rPr/>
        <w:t>6.</w:t>
      </w:r>
    </w:p>
    <w:p>
      <w:pPr>
        <w:pStyle w:val="BodyText"/>
        <w:spacing w:line="360" w:lineRule="auto" w:before="204"/>
        <w:ind w:left="102" w:right="116"/>
        <w:jc w:val="both"/>
      </w:pPr>
      <w:r>
        <w:rPr/>
        <w:t>Las delegaciones Gustavo A. Madero, Tláhuac, Milpa Alta, Tlalpan y La  Magdalena Contreras son las que tienen cuadrantes con categoría</w:t>
      </w:r>
      <w:r>
        <w:rPr>
          <w:spacing w:val="-20"/>
        </w:rPr>
        <w:t> </w:t>
      </w:r>
      <w:r>
        <w:rPr/>
        <w:t>extrema.</w:t>
      </w:r>
    </w:p>
    <w:p>
      <w:pPr>
        <w:pStyle w:val="BodyText"/>
        <w:spacing w:line="360" w:lineRule="auto" w:before="204"/>
        <w:ind w:left="102" w:right="118"/>
        <w:jc w:val="both"/>
      </w:pPr>
      <w:r>
        <w:rPr/>
        <w:t>Las delegaciones Cuajimalpa de Morelos y Álvaro Obregón son las que menor número de incendios presentaron oscilando de la frecuencia muy baja a baja. La delegación Cuajimalpa tiene un solo cuadrante con 34 incendios, mientras que Álvaro Obregón tiene un cuadrante de 25 y otro de 33 incendios siendo casos excepcionales.</w:t>
      </w:r>
    </w:p>
    <w:p>
      <w:pPr>
        <w:pStyle w:val="BodyText"/>
        <w:spacing w:line="360" w:lineRule="auto" w:before="204"/>
        <w:ind w:left="102" w:right="121"/>
        <w:jc w:val="both"/>
      </w:pPr>
      <w:r>
        <w:rPr/>
        <w:t>Las zonas en colores rojos en la figura 5, son las que tienen una probabilidad alta grave y extrema de que ocurra un incendio forestal de acuerdo a la frecuencia histórica observada.</w:t>
      </w:r>
    </w:p>
    <w:p>
      <w:pPr>
        <w:spacing w:after="0" w:line="360" w:lineRule="auto"/>
        <w:jc w:val="both"/>
        <w:sectPr>
          <w:footerReference w:type="default" r:id="rId36"/>
          <w:pgSz w:w="12240" w:h="15840"/>
          <w:pgMar w:footer="1003" w:header="0" w:top="1360" w:bottom="1200" w:left="1600" w:right="1580"/>
          <w:pgNumType w:start="61"/>
        </w:sectPr>
      </w:pPr>
    </w:p>
    <w:p>
      <w:pPr>
        <w:pStyle w:val="BodyText"/>
        <w:spacing w:before="52" w:after="5"/>
        <w:ind w:left="102"/>
      </w:pPr>
      <w:r>
        <w:rPr/>
        <w:t>Figura 5. Frecuencia de incendios.</w:t>
      </w:r>
    </w:p>
    <w:p>
      <w:pPr>
        <w:pStyle w:val="BodyText"/>
        <w:ind w:left="101"/>
        <w:rPr>
          <w:sz w:val="20"/>
        </w:rPr>
      </w:pPr>
      <w:r>
        <w:rPr>
          <w:sz w:val="20"/>
        </w:rPr>
        <w:drawing>
          <wp:inline distT="0" distB="0" distL="0" distR="0">
            <wp:extent cx="5291750" cy="7937563"/>
            <wp:effectExtent l="0" t="0" r="0" b="0"/>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37" cstate="print"/>
                    <a:stretch>
                      <a:fillRect/>
                    </a:stretch>
                  </pic:blipFill>
                  <pic:spPr>
                    <a:xfrm>
                      <a:off x="0" y="0"/>
                      <a:ext cx="5291750" cy="7937563"/>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Índice de gravedad de incendios</w:t>
      </w:r>
    </w:p>
    <w:p>
      <w:pPr>
        <w:pStyle w:val="BodyText"/>
        <w:spacing w:before="2"/>
        <w:rPr>
          <w:b/>
        </w:rPr>
      </w:pPr>
    </w:p>
    <w:p>
      <w:pPr>
        <w:pStyle w:val="BodyText"/>
        <w:spacing w:line="360" w:lineRule="auto"/>
        <w:ind w:left="102" w:right="115"/>
        <w:jc w:val="both"/>
      </w:pPr>
      <w:r>
        <w:rPr/>
        <w:t>El mapa de gravedad de incendios forestales de la figura 6, señala que las delegaciones que están dentro del Suelo de Conservación, presentan un índice de gravedad extremo. Sin embargo, Cuajimalpa de Morelos, Álvaro Obregón y el Sur de Tláhuac muestran menor afectación.</w:t>
      </w:r>
    </w:p>
    <w:p>
      <w:pPr>
        <w:pStyle w:val="BodyText"/>
        <w:spacing w:line="360" w:lineRule="auto" w:before="204"/>
        <w:ind w:left="102" w:right="120"/>
        <w:jc w:val="both"/>
      </w:pPr>
      <w:r>
        <w:rPr/>
        <w:t>La categoría extrema se da a partir del valor 0.75. En este caso, el valor más alto es 49.73. En la serie de años 2008-2012, el suelo de conservación tiene 423 cuadrantes en categoría extrema de un total de 1045 cuadrantes.</w:t>
      </w:r>
    </w:p>
    <w:p>
      <w:pPr>
        <w:spacing w:after="0" w:line="360" w:lineRule="auto"/>
        <w:jc w:val="both"/>
        <w:sectPr>
          <w:pgSz w:w="12240" w:h="15840"/>
          <w:pgMar w:header="0" w:footer="1003" w:top="1360" w:bottom="1200" w:left="1600" w:right="1580"/>
        </w:sectPr>
      </w:pPr>
    </w:p>
    <w:p>
      <w:pPr>
        <w:pStyle w:val="BodyText"/>
        <w:spacing w:before="52" w:after="5"/>
        <w:ind w:left="102"/>
      </w:pPr>
      <w:r>
        <w:rPr/>
        <w:t>Figura 6. Gravedad de incendios.</w:t>
      </w:r>
    </w:p>
    <w:p>
      <w:pPr>
        <w:pStyle w:val="BodyText"/>
        <w:ind w:left="101"/>
        <w:rPr>
          <w:sz w:val="20"/>
        </w:rPr>
      </w:pPr>
      <w:r>
        <w:rPr>
          <w:sz w:val="20"/>
        </w:rPr>
        <w:drawing>
          <wp:inline distT="0" distB="0" distL="0" distR="0">
            <wp:extent cx="5306697" cy="7958042"/>
            <wp:effectExtent l="0" t="0" r="0" b="0"/>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38" cstate="print"/>
                    <a:stretch>
                      <a:fillRect/>
                    </a:stretch>
                  </pic:blipFill>
                  <pic:spPr>
                    <a:xfrm>
                      <a:off x="0" y="0"/>
                      <a:ext cx="5306697" cy="7958042"/>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Índice de causalidad de incendios</w:t>
      </w:r>
    </w:p>
    <w:p>
      <w:pPr>
        <w:pStyle w:val="BodyText"/>
        <w:rPr>
          <w:b/>
        </w:rPr>
      </w:pPr>
    </w:p>
    <w:p>
      <w:pPr>
        <w:pStyle w:val="BodyText"/>
        <w:spacing w:before="2"/>
        <w:rPr>
          <w:b/>
        </w:rPr>
      </w:pPr>
    </w:p>
    <w:p>
      <w:pPr>
        <w:pStyle w:val="BodyText"/>
        <w:spacing w:line="360" w:lineRule="auto"/>
        <w:ind w:left="102" w:right="115"/>
        <w:jc w:val="both"/>
      </w:pPr>
      <w:r>
        <w:rPr/>
        <w:t>El mapa de causalidad de incendios (ver figura 7), indica que la probabilidad de incendios  con categoría extrema se encuentra agrupada y en mayor proporción  en las delegaciones Tlalpan y Milpa Alta. En general, se observan 77 cuadrantes con categoría grave y 140 cuadrantes con categoría extrema. Es en estos cuadrantes donde hay mayor probabilidad de que un incendio por una causa como las marcadas en el cuadro 6 llegue  a tener grandes dimensiones de</w:t>
      </w:r>
      <w:r>
        <w:rPr>
          <w:spacing w:val="-24"/>
        </w:rPr>
        <w:t> </w:t>
      </w:r>
      <w:r>
        <w:rPr/>
        <w:t>afectación.</w:t>
      </w:r>
    </w:p>
    <w:p>
      <w:pPr>
        <w:pStyle w:val="BodyText"/>
        <w:spacing w:line="360" w:lineRule="auto" w:before="205"/>
        <w:ind w:left="102" w:right="115"/>
        <w:jc w:val="both"/>
      </w:pPr>
      <w:r>
        <w:rPr/>
        <w:t>Las delegaciones con el menor índice de causalidad son Álvaro Obregón, Cuajimalpa de Morelos, el sur de Tláhuac y sur de Magdalena Contreras. En cambio, las delegaciones con mayor índice de causalidad son: Milpa Alta donde la causalidad alta, grave y extrema se encuentra de forma localizada de este a oeste mientras que en Tlalpan el riesgo es localizado de centro a sur y al noroeste.</w:t>
      </w:r>
    </w:p>
    <w:p>
      <w:pPr>
        <w:spacing w:after="0" w:line="360" w:lineRule="auto"/>
        <w:jc w:val="both"/>
        <w:sectPr>
          <w:pgSz w:w="12240" w:h="15840"/>
          <w:pgMar w:header="0" w:footer="1003" w:top="1360" w:bottom="1200" w:left="1600" w:right="1580"/>
        </w:sectPr>
      </w:pPr>
    </w:p>
    <w:p>
      <w:pPr>
        <w:pStyle w:val="BodyText"/>
        <w:spacing w:before="54"/>
        <w:ind w:left="102"/>
      </w:pPr>
      <w:r>
        <w:rPr/>
        <w:t>Figura 7. Causalidad de incendios.</w:t>
      </w:r>
    </w:p>
    <w:p>
      <w:pPr>
        <w:pStyle w:val="BodyText"/>
        <w:spacing w:before="9"/>
        <w:rPr>
          <w:sz w:val="8"/>
        </w:rPr>
      </w:pPr>
      <w:r>
        <w:rPr/>
        <w:drawing>
          <wp:anchor distT="0" distB="0" distL="0" distR="0" allowOverlap="1" layoutInCell="1" locked="0" behindDoc="0" simplePos="0" relativeHeight="1528">
            <wp:simplePos x="0" y="0"/>
            <wp:positionH relativeFrom="page">
              <wp:posOffset>1274063</wp:posOffset>
            </wp:positionH>
            <wp:positionV relativeFrom="paragraph">
              <wp:posOffset>89370</wp:posOffset>
            </wp:positionV>
            <wp:extent cx="5151476" cy="7724584"/>
            <wp:effectExtent l="0" t="0" r="0" b="0"/>
            <wp:wrapTopAndBottom/>
            <wp:docPr id="29" name="image14.jpeg" descr=""/>
            <wp:cNvGraphicFramePr>
              <a:graphicFrameLocks noChangeAspect="1"/>
            </wp:cNvGraphicFramePr>
            <a:graphic>
              <a:graphicData uri="http://schemas.openxmlformats.org/drawingml/2006/picture">
                <pic:pic>
                  <pic:nvPicPr>
                    <pic:cNvPr id="30" name="image14.jpeg"/>
                    <pic:cNvPicPr/>
                  </pic:nvPicPr>
                  <pic:blipFill>
                    <a:blip r:embed="rId39" cstate="print"/>
                    <a:stretch>
                      <a:fillRect/>
                    </a:stretch>
                  </pic:blipFill>
                  <pic:spPr>
                    <a:xfrm>
                      <a:off x="0" y="0"/>
                      <a:ext cx="5151476" cy="7724584"/>
                    </a:xfrm>
                    <a:prstGeom prst="rect">
                      <a:avLst/>
                    </a:prstGeom>
                  </pic:spPr>
                </pic:pic>
              </a:graphicData>
            </a:graphic>
          </wp:anchor>
        </w:drawing>
      </w:r>
    </w:p>
    <w:p>
      <w:pPr>
        <w:spacing w:after="0"/>
        <w:rPr>
          <w:sz w:val="8"/>
        </w:rPr>
        <w:sectPr>
          <w:pgSz w:w="12240" w:h="15840"/>
          <w:pgMar w:header="0" w:footer="1003" w:top="1360" w:bottom="1200" w:left="1600" w:right="1580"/>
        </w:sectPr>
      </w:pPr>
    </w:p>
    <w:p>
      <w:pPr>
        <w:pStyle w:val="Heading1"/>
        <w:spacing w:before="52"/>
        <w:ind w:firstLine="0"/>
        <w:jc w:val="both"/>
      </w:pPr>
      <w:r>
        <w:rPr/>
        <w:t>Riesgo estadístico</w:t>
      </w:r>
    </w:p>
    <w:p>
      <w:pPr>
        <w:pStyle w:val="BodyText"/>
        <w:spacing w:before="2"/>
        <w:rPr>
          <w:b/>
        </w:rPr>
      </w:pPr>
    </w:p>
    <w:p>
      <w:pPr>
        <w:pStyle w:val="BodyText"/>
        <w:spacing w:line="360" w:lineRule="auto"/>
        <w:ind w:left="102" w:right="116"/>
        <w:jc w:val="both"/>
      </w:pPr>
      <w:r>
        <w:rPr/>
        <w:t>El mapa de riesgo estadístico (figura 8) resalta a las delegaciones Tlalpan y Milpa Alta con una mayor superficie dentro de los niveles alto, grave y extremo. El riesgo es localizado en Tlalpan mientras que en Milpa Alta está más diseminado de este  a oeste. La Magdalena Contreras, Sierra de Santa Catarina, y Gustavo A. Madero presentan niveles alto, grave y extremo distribuyéndose de forma localizada en menores proporciones</w:t>
      </w:r>
      <w:r>
        <w:rPr>
          <w:spacing w:val="-13"/>
        </w:rPr>
        <w:t> </w:t>
      </w:r>
      <w:r>
        <w:rPr/>
        <w:t>respectivamente.</w:t>
      </w:r>
    </w:p>
    <w:p>
      <w:pPr>
        <w:pStyle w:val="BodyText"/>
        <w:spacing w:line="360" w:lineRule="auto" w:before="204"/>
        <w:ind w:left="102" w:right="120"/>
        <w:jc w:val="both"/>
      </w:pPr>
      <w:r>
        <w:rPr/>
        <w:t>En el cuadro 13, se observan los cuadrantes de riesgo estadístico con categoría alta, grave y extrema donde hay mayor probabilidad de que se produzca un incendio forestal y por lo tanto, son a los que se les debe prestar más atención en cuanto a prevención.</w:t>
      </w:r>
    </w:p>
    <w:p>
      <w:pPr>
        <w:pStyle w:val="BodyText"/>
        <w:spacing w:before="204"/>
        <w:ind w:left="102"/>
        <w:jc w:val="both"/>
      </w:pPr>
      <w:r>
        <w:rPr/>
        <w:t>Cuadro 13. Cuadrantes con riesgo estadístico alto, grave y extremo.</w:t>
      </w:r>
    </w:p>
    <w:p>
      <w:pPr>
        <w:pStyle w:val="BodyText"/>
        <w:spacing w:before="5"/>
        <w:rPr>
          <w:sz w:val="29"/>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0"/>
        <w:gridCol w:w="676"/>
        <w:gridCol w:w="550"/>
        <w:gridCol w:w="676"/>
        <w:gridCol w:w="550"/>
        <w:gridCol w:w="676"/>
        <w:gridCol w:w="550"/>
        <w:gridCol w:w="676"/>
        <w:gridCol w:w="550"/>
        <w:gridCol w:w="676"/>
        <w:gridCol w:w="550"/>
        <w:gridCol w:w="677"/>
        <w:gridCol w:w="550"/>
        <w:gridCol w:w="917"/>
      </w:tblGrid>
      <w:tr>
        <w:trPr>
          <w:trHeight w:val="229" w:hRule="exact"/>
        </w:trPr>
        <w:tc>
          <w:tcPr>
            <w:tcW w:w="550" w:type="dxa"/>
            <w:tcBorders>
              <w:left w:val="single" w:sz="5" w:space="0" w:color="000000"/>
              <w:bottom w:val="single" w:sz="5" w:space="0" w:color="000000"/>
              <w:right w:val="single" w:sz="5" w:space="0" w:color="000000"/>
            </w:tcBorders>
          </w:tcPr>
          <w:p>
            <w:pPr>
              <w:pStyle w:val="TableParagraph"/>
              <w:spacing w:before="10"/>
              <w:ind w:left="29" w:right="14"/>
              <w:jc w:val="center"/>
              <w:rPr>
                <w:rFonts w:ascii="Calibri"/>
                <w:b/>
                <w:sz w:val="17"/>
              </w:rPr>
            </w:pPr>
            <w:r>
              <w:rPr>
                <w:rFonts w:ascii="Calibri"/>
                <w:b/>
                <w:sz w:val="17"/>
              </w:rPr>
              <w:t>CUAD</w:t>
            </w:r>
          </w:p>
        </w:tc>
        <w:tc>
          <w:tcPr>
            <w:tcW w:w="676" w:type="dxa"/>
            <w:tcBorders>
              <w:left w:val="single" w:sz="5" w:space="0" w:color="000000"/>
              <w:bottom w:val="single" w:sz="5" w:space="0" w:color="000000"/>
              <w:right w:val="single" w:sz="5" w:space="0" w:color="000000"/>
            </w:tcBorders>
          </w:tcPr>
          <w:p>
            <w:pPr>
              <w:pStyle w:val="TableParagraph"/>
              <w:spacing w:before="10"/>
              <w:ind w:left="227"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68"/>
              <w:rPr>
                <w:rFonts w:ascii="Calibri"/>
                <w:b/>
                <w:sz w:val="17"/>
              </w:rPr>
            </w:pPr>
            <w:r>
              <w:rPr>
                <w:rFonts w:ascii="Calibri"/>
                <w:b/>
                <w:sz w:val="17"/>
              </w:rPr>
              <w:t>CUAD</w:t>
            </w:r>
          </w:p>
        </w:tc>
        <w:tc>
          <w:tcPr>
            <w:tcW w:w="676" w:type="dxa"/>
            <w:tcBorders>
              <w:left w:val="single" w:sz="5" w:space="0" w:color="000000"/>
              <w:bottom w:val="single" w:sz="5" w:space="0" w:color="000000"/>
              <w:right w:val="single" w:sz="5" w:space="0" w:color="000000"/>
            </w:tcBorders>
          </w:tcPr>
          <w:p>
            <w:pPr>
              <w:pStyle w:val="TableParagraph"/>
              <w:spacing w:before="10"/>
              <w:ind w:left="228"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68"/>
              <w:rPr>
                <w:rFonts w:ascii="Calibri"/>
                <w:b/>
                <w:sz w:val="17"/>
              </w:rPr>
            </w:pPr>
            <w:r>
              <w:rPr>
                <w:rFonts w:ascii="Calibri"/>
                <w:b/>
                <w:sz w:val="17"/>
              </w:rPr>
              <w:t>CUAD</w:t>
            </w:r>
          </w:p>
        </w:tc>
        <w:tc>
          <w:tcPr>
            <w:tcW w:w="676" w:type="dxa"/>
            <w:tcBorders>
              <w:left w:val="single" w:sz="5" w:space="0" w:color="000000"/>
              <w:bottom w:val="single" w:sz="5" w:space="0" w:color="000000"/>
              <w:right w:val="single" w:sz="5" w:space="0" w:color="000000"/>
            </w:tcBorders>
          </w:tcPr>
          <w:p>
            <w:pPr>
              <w:pStyle w:val="TableParagraph"/>
              <w:spacing w:before="10"/>
              <w:ind w:left="227"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30" w:right="14"/>
              <w:jc w:val="center"/>
              <w:rPr>
                <w:rFonts w:ascii="Calibri"/>
                <w:b/>
                <w:sz w:val="17"/>
              </w:rPr>
            </w:pPr>
            <w:r>
              <w:rPr>
                <w:rFonts w:ascii="Calibri"/>
                <w:b/>
                <w:sz w:val="17"/>
              </w:rPr>
              <w:t>CUAD</w:t>
            </w:r>
          </w:p>
        </w:tc>
        <w:tc>
          <w:tcPr>
            <w:tcW w:w="676" w:type="dxa"/>
            <w:tcBorders>
              <w:left w:val="single" w:sz="5" w:space="0" w:color="000000"/>
              <w:bottom w:val="single" w:sz="5" w:space="0" w:color="000000"/>
              <w:right w:val="single" w:sz="5" w:space="0" w:color="000000"/>
            </w:tcBorders>
          </w:tcPr>
          <w:p>
            <w:pPr>
              <w:pStyle w:val="TableParagraph"/>
              <w:spacing w:before="10"/>
              <w:ind w:left="228"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69" w:right="-1"/>
              <w:rPr>
                <w:rFonts w:ascii="Calibri"/>
                <w:b/>
                <w:sz w:val="17"/>
              </w:rPr>
            </w:pPr>
            <w:r>
              <w:rPr>
                <w:rFonts w:ascii="Calibri"/>
                <w:b/>
                <w:sz w:val="17"/>
              </w:rPr>
              <w:t>CUAD</w:t>
            </w:r>
          </w:p>
        </w:tc>
        <w:tc>
          <w:tcPr>
            <w:tcW w:w="676" w:type="dxa"/>
            <w:tcBorders>
              <w:left w:val="single" w:sz="5" w:space="0" w:color="000000"/>
              <w:bottom w:val="single" w:sz="5" w:space="0" w:color="000000"/>
              <w:right w:val="single" w:sz="5" w:space="0" w:color="000000"/>
            </w:tcBorders>
          </w:tcPr>
          <w:p>
            <w:pPr>
              <w:pStyle w:val="TableParagraph"/>
              <w:spacing w:before="10"/>
              <w:ind w:left="227"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68"/>
              <w:rPr>
                <w:rFonts w:ascii="Calibri"/>
                <w:b/>
                <w:sz w:val="17"/>
              </w:rPr>
            </w:pPr>
            <w:r>
              <w:rPr>
                <w:rFonts w:ascii="Calibri"/>
                <w:b/>
                <w:sz w:val="17"/>
              </w:rPr>
              <w:t>CUAD</w:t>
            </w:r>
          </w:p>
        </w:tc>
        <w:tc>
          <w:tcPr>
            <w:tcW w:w="677" w:type="dxa"/>
            <w:tcBorders>
              <w:left w:val="single" w:sz="5" w:space="0" w:color="000000"/>
              <w:bottom w:val="single" w:sz="5" w:space="0" w:color="000000"/>
              <w:right w:val="single" w:sz="5" w:space="0" w:color="000000"/>
            </w:tcBorders>
          </w:tcPr>
          <w:p>
            <w:pPr>
              <w:pStyle w:val="TableParagraph"/>
              <w:spacing w:before="10"/>
              <w:ind w:left="227" w:right="218"/>
              <w:jc w:val="center"/>
              <w:rPr>
                <w:rFonts w:ascii="Calibri"/>
                <w:b/>
                <w:sz w:val="17"/>
              </w:rPr>
            </w:pPr>
            <w:r>
              <w:rPr>
                <w:rFonts w:ascii="Calibri"/>
                <w:b/>
                <w:sz w:val="17"/>
              </w:rPr>
              <w:t>RE</w:t>
            </w:r>
          </w:p>
        </w:tc>
        <w:tc>
          <w:tcPr>
            <w:tcW w:w="550" w:type="dxa"/>
            <w:tcBorders>
              <w:left w:val="single" w:sz="5" w:space="0" w:color="000000"/>
              <w:bottom w:val="single" w:sz="5" w:space="0" w:color="000000"/>
              <w:right w:val="single" w:sz="5" w:space="0" w:color="000000"/>
            </w:tcBorders>
          </w:tcPr>
          <w:p>
            <w:pPr>
              <w:pStyle w:val="TableParagraph"/>
              <w:spacing w:before="10"/>
              <w:ind w:left="30" w:right="14"/>
              <w:jc w:val="center"/>
              <w:rPr>
                <w:rFonts w:ascii="Calibri"/>
                <w:b/>
                <w:sz w:val="17"/>
              </w:rPr>
            </w:pPr>
            <w:r>
              <w:rPr>
                <w:rFonts w:ascii="Calibri"/>
                <w:b/>
                <w:sz w:val="17"/>
              </w:rPr>
              <w:t>CUAD</w:t>
            </w:r>
          </w:p>
        </w:tc>
        <w:tc>
          <w:tcPr>
            <w:tcW w:w="917" w:type="dxa"/>
            <w:tcBorders>
              <w:left w:val="single" w:sz="5" w:space="0" w:color="000000"/>
              <w:bottom w:val="single" w:sz="5" w:space="0" w:color="000000"/>
              <w:right w:val="single" w:sz="5" w:space="0" w:color="000000"/>
            </w:tcBorders>
          </w:tcPr>
          <w:p>
            <w:pPr>
              <w:pStyle w:val="TableParagraph"/>
              <w:spacing w:before="10"/>
              <w:ind w:left="343" w:right="344"/>
              <w:jc w:val="center"/>
              <w:rPr>
                <w:rFonts w:ascii="Calibri"/>
                <w:b/>
                <w:sz w:val="17"/>
              </w:rPr>
            </w:pPr>
            <w:r>
              <w:rPr>
                <w:rFonts w:ascii="Calibri"/>
                <w:b/>
                <w:sz w:val="17"/>
              </w:rPr>
              <w:t>RE</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125/57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115/21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111/14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145/13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131/11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129/52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117/21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116/14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146/13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134/11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132/07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129/51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118/21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111/12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135/11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127/09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137/07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130/51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119/21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118/14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113/12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136/11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130/09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138/07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130/50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128/20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120/14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115/12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137/11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131/09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143/07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Grave</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106/31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138/20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132/14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116/12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138/11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133/09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144/07</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140/31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139/20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136/14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117/12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139/11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134/09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118/06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141/31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136/19</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143/14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118/12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140/11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135/09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120/06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142/31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122/18</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144/14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120/12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141/11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140/09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136/06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143/31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127/18</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146/14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121/12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142/11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142/09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139/06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144/31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134/18</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112/13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122/12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145/11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143/09</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140/06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145/31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116/17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113/13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123/12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114/10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144/06</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142/30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117/17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116/13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128/12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115/10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119/08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135/05</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112/28</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119/17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120/10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120/08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139/05</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114/28</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121/17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118/13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131/12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121/10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140/05</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114/27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122/17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120/13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132/12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122/10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124/08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131/04</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130/27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116/16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133/12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123/10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130/08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132/04</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132/27</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136/12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128/10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131/08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137/04</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Extremo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114/25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119/16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123/13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139/12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129/10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132/08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135/01</w:t>
            </w:r>
          </w:p>
        </w:tc>
        <w:tc>
          <w:tcPr>
            <w:tcW w:w="917"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Pr>
                <w:rFonts w:ascii="Calibri"/>
                <w:sz w:val="17"/>
              </w:rPr>
            </w:pPr>
            <w:r>
              <w:rPr>
                <w:rFonts w:ascii="Calibri"/>
                <w:sz w:val="17"/>
              </w:rPr>
              <w:t>Alto</w:t>
            </w: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120/25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120/16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129/13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141/12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131/10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135/08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DADCDD"/>
              <w:right w:val="single" w:sz="5" w:space="0" w:color="DADCDD"/>
            </w:tcBorders>
          </w:tcPr>
          <w:p>
            <w:pPr/>
          </w:p>
        </w:tc>
        <w:tc>
          <w:tcPr>
            <w:tcW w:w="917" w:type="dxa"/>
            <w:tcBorders>
              <w:top w:val="single" w:sz="5" w:space="0" w:color="000000"/>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115/24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130/13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143/12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132/10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138/08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116/24</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143/16</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131/13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113/11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134/10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140/08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118/23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116/15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132/13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135/10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141/08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114/22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133/13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116/11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137/10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142/08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116/22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118/15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134/13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117/11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140/10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143/08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117/22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119/15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136/13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121/11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143/10</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144/08</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118/22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120/15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142/13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122/11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114/09</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117/07</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119/22</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143/13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123/11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115/09</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121/07</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r>
        <w:trPr>
          <w:trHeight w:val="229" w:hRule="exact"/>
        </w:trPr>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114/21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Grave</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123/15</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144/13</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Alto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right="14"/>
              <w:jc w:val="center"/>
              <w:rPr>
                <w:rFonts w:ascii="Calibri"/>
                <w:sz w:val="17"/>
              </w:rPr>
            </w:pPr>
            <w:r>
              <w:rPr>
                <w:rFonts w:ascii="Calibri"/>
                <w:sz w:val="17"/>
              </w:rPr>
              <w:t>130/11</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3" w:right="-1"/>
              <w:rPr>
                <w:rFonts w:ascii="Calibri"/>
                <w:sz w:val="17"/>
              </w:rPr>
            </w:pPr>
            <w:r>
              <w:rPr>
                <w:rFonts w:ascii="Calibri"/>
                <w:sz w:val="17"/>
              </w:rPr>
              <w:t>120/09</w:t>
            </w:r>
          </w:p>
        </w:tc>
        <w:tc>
          <w:tcPr>
            <w:tcW w:w="676"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122/07</w:t>
            </w:r>
          </w:p>
        </w:tc>
        <w:tc>
          <w:tcPr>
            <w:tcW w:w="677" w:type="dxa"/>
            <w:tcBorders>
              <w:top w:val="single" w:sz="5" w:space="0" w:color="000000"/>
              <w:left w:val="single" w:sz="5" w:space="0" w:color="000000"/>
              <w:bottom w:val="single" w:sz="5" w:space="0" w:color="000000"/>
              <w:right w:val="single" w:sz="5" w:space="0" w:color="000000"/>
            </w:tcBorders>
          </w:tcPr>
          <w:p>
            <w:pPr>
              <w:pStyle w:val="TableParagraph"/>
              <w:spacing w:before="10"/>
              <w:ind w:left="22"/>
              <w:rPr>
                <w:rFonts w:ascii="Calibri"/>
                <w:sz w:val="17"/>
              </w:rPr>
            </w:pPr>
            <w:r>
              <w:rPr>
                <w:rFonts w:ascii="Calibri"/>
                <w:sz w:val="17"/>
              </w:rPr>
              <w:t>Extremo</w:t>
            </w:r>
          </w:p>
        </w:tc>
        <w:tc>
          <w:tcPr>
            <w:tcW w:w="550" w:type="dxa"/>
            <w:tcBorders>
              <w:top w:val="single" w:sz="5" w:space="0" w:color="DADCDD"/>
              <w:left w:val="single" w:sz="5" w:space="0" w:color="000000"/>
              <w:bottom w:val="single" w:sz="5" w:space="0" w:color="DADCDD"/>
              <w:right w:val="single" w:sz="5" w:space="0" w:color="DADCDD"/>
            </w:tcBorders>
          </w:tcPr>
          <w:p>
            <w:pPr/>
          </w:p>
        </w:tc>
        <w:tc>
          <w:tcPr>
            <w:tcW w:w="917" w:type="dxa"/>
            <w:tcBorders>
              <w:top w:val="single" w:sz="5" w:space="0" w:color="DADCDD"/>
              <w:left w:val="single" w:sz="5" w:space="0" w:color="DADCDD"/>
              <w:bottom w:val="single" w:sz="5" w:space="0" w:color="DADCDD"/>
              <w:right w:val="single" w:sz="5" w:space="0" w:color="DADCDD"/>
            </w:tcBorders>
          </w:tcPr>
          <w:p>
            <w:pPr/>
          </w:p>
        </w:tc>
      </w:tr>
    </w:tbl>
    <w:p>
      <w:pPr>
        <w:spacing w:after="0"/>
        <w:sectPr>
          <w:pgSz w:w="12240" w:h="15840"/>
          <w:pgMar w:header="0" w:footer="1003" w:top="1360" w:bottom="1200" w:left="1600" w:right="1580"/>
        </w:sectPr>
      </w:pPr>
    </w:p>
    <w:p>
      <w:pPr>
        <w:pStyle w:val="BodyText"/>
        <w:spacing w:before="52" w:after="5"/>
        <w:ind w:left="102"/>
      </w:pPr>
      <w:r>
        <w:rPr/>
        <w:t>Figura 8. Riesgo estadístico.</w:t>
      </w:r>
    </w:p>
    <w:p>
      <w:pPr>
        <w:pStyle w:val="BodyText"/>
        <w:ind w:left="101"/>
        <w:rPr>
          <w:sz w:val="20"/>
        </w:rPr>
      </w:pPr>
      <w:r>
        <w:rPr>
          <w:sz w:val="20"/>
        </w:rPr>
        <w:drawing>
          <wp:inline distT="0" distB="0" distL="0" distR="0">
            <wp:extent cx="5197560" cy="7794212"/>
            <wp:effectExtent l="0" t="0" r="0" b="0"/>
            <wp:docPr id="31" name="image15.jpeg" descr=""/>
            <wp:cNvGraphicFramePr>
              <a:graphicFrameLocks noChangeAspect="1"/>
            </wp:cNvGraphicFramePr>
            <a:graphic>
              <a:graphicData uri="http://schemas.openxmlformats.org/drawingml/2006/picture">
                <pic:pic>
                  <pic:nvPicPr>
                    <pic:cNvPr id="32" name="image15.jpeg"/>
                    <pic:cNvPicPr/>
                  </pic:nvPicPr>
                  <pic:blipFill>
                    <a:blip r:embed="rId40" cstate="print"/>
                    <a:stretch>
                      <a:fillRect/>
                    </a:stretch>
                  </pic:blipFill>
                  <pic:spPr>
                    <a:xfrm>
                      <a:off x="0" y="0"/>
                      <a:ext cx="5197560" cy="7794212"/>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Peligrosidad de combustibles</w:t>
      </w:r>
    </w:p>
    <w:p>
      <w:pPr>
        <w:pStyle w:val="BodyText"/>
        <w:spacing w:before="2"/>
        <w:rPr>
          <w:b/>
        </w:rPr>
      </w:pPr>
    </w:p>
    <w:p>
      <w:pPr>
        <w:pStyle w:val="BodyText"/>
        <w:spacing w:line="360" w:lineRule="auto"/>
        <w:ind w:left="102" w:right="115"/>
        <w:jc w:val="both"/>
      </w:pPr>
      <w:r>
        <w:rPr/>
        <w:t>El mapa de peligrosidad del combustible (ver figura 9) indica que las delegaciones Milpa Alta, Tlalpan, Tláhuac y Cuajimalpa de Morelos son las que tienen una peligrosidad grave y extrema la cual se presenta localizada, mientras que la categoría alta se encuentra distribuida de este a oeste al sur del suelo de conservación.</w:t>
      </w:r>
    </w:p>
    <w:p>
      <w:pPr>
        <w:spacing w:after="0" w:line="360" w:lineRule="auto"/>
        <w:jc w:val="both"/>
        <w:sectPr>
          <w:pgSz w:w="12240" w:h="15840"/>
          <w:pgMar w:header="0" w:footer="1003" w:top="1360" w:bottom="1200" w:left="1600" w:right="1580"/>
        </w:sectPr>
      </w:pPr>
    </w:p>
    <w:p>
      <w:pPr>
        <w:pStyle w:val="BodyText"/>
        <w:spacing w:before="52" w:after="5"/>
        <w:ind w:left="102"/>
      </w:pPr>
      <w:r>
        <w:rPr/>
        <w:t>Figura 9. Peligrosidad de los combustibles</w:t>
      </w:r>
    </w:p>
    <w:p>
      <w:pPr>
        <w:pStyle w:val="BodyText"/>
        <w:ind w:left="101"/>
        <w:rPr>
          <w:sz w:val="20"/>
        </w:rPr>
      </w:pPr>
      <w:r>
        <w:rPr>
          <w:sz w:val="20"/>
        </w:rPr>
        <w:drawing>
          <wp:inline distT="0" distB="0" distL="0" distR="0">
            <wp:extent cx="5219070" cy="7826978"/>
            <wp:effectExtent l="0" t="0" r="0" b="0"/>
            <wp:docPr id="33" name="image16.jpeg" descr=""/>
            <wp:cNvGraphicFramePr>
              <a:graphicFrameLocks noChangeAspect="1"/>
            </wp:cNvGraphicFramePr>
            <a:graphic>
              <a:graphicData uri="http://schemas.openxmlformats.org/drawingml/2006/picture">
                <pic:pic>
                  <pic:nvPicPr>
                    <pic:cNvPr id="34" name="image16.jpeg"/>
                    <pic:cNvPicPr/>
                  </pic:nvPicPr>
                  <pic:blipFill>
                    <a:blip r:embed="rId42" cstate="print"/>
                    <a:stretch>
                      <a:fillRect/>
                    </a:stretch>
                  </pic:blipFill>
                  <pic:spPr>
                    <a:xfrm>
                      <a:off x="0" y="0"/>
                      <a:ext cx="5219070" cy="7826978"/>
                    </a:xfrm>
                    <a:prstGeom prst="rect">
                      <a:avLst/>
                    </a:prstGeom>
                  </pic:spPr>
                </pic:pic>
              </a:graphicData>
            </a:graphic>
          </wp:inline>
        </w:drawing>
      </w:r>
      <w:r>
        <w:rPr>
          <w:sz w:val="20"/>
        </w:rPr>
      </w:r>
    </w:p>
    <w:p>
      <w:pPr>
        <w:spacing w:after="0"/>
        <w:rPr>
          <w:sz w:val="20"/>
        </w:rPr>
        <w:sectPr>
          <w:footerReference w:type="default" r:id="rId41"/>
          <w:pgSz w:w="12240" w:h="15840"/>
          <w:pgMar w:footer="1003" w:header="0" w:top="1360" w:bottom="1200" w:left="1600" w:right="1580"/>
        </w:sectPr>
      </w:pPr>
    </w:p>
    <w:p>
      <w:pPr>
        <w:pStyle w:val="Heading1"/>
        <w:spacing w:before="52"/>
        <w:ind w:firstLine="0"/>
        <w:jc w:val="both"/>
      </w:pPr>
      <w:r>
        <w:rPr/>
        <w:t>Peligrosidad de la fisiografía</w:t>
      </w:r>
    </w:p>
    <w:p>
      <w:pPr>
        <w:pStyle w:val="BodyText"/>
        <w:spacing w:before="2"/>
        <w:rPr>
          <w:b/>
        </w:rPr>
      </w:pPr>
    </w:p>
    <w:p>
      <w:pPr>
        <w:pStyle w:val="BodyText"/>
        <w:spacing w:line="360" w:lineRule="auto"/>
        <w:ind w:left="102" w:right="115"/>
        <w:jc w:val="both"/>
      </w:pPr>
      <w:r>
        <w:rPr/>
        <w:t>Las delegaciones con peligrosidad de la pendiente con categoría alta a muy alta son Cuajimalpa de Morelos, Álvaro Obregón, Magdalena Contreras, del centro al oeste de Tlalpan, al norte de Tláhuac, la región que va de este a oeste de Milpa Alta, el suroeste de Xochimilco y el norte de Gustavo A. Madero. En cambio, las delegaciones con peligrosidad baja son el norte de Xochimilco y el sur de Tláhuac (ver figura 10).</w:t>
      </w:r>
    </w:p>
    <w:p>
      <w:pPr>
        <w:spacing w:after="0" w:line="360" w:lineRule="auto"/>
        <w:jc w:val="both"/>
        <w:sectPr>
          <w:footerReference w:type="default" r:id="rId43"/>
          <w:pgSz w:w="12240" w:h="15840"/>
          <w:pgMar w:footer="1003" w:header="0" w:top="1360" w:bottom="1200" w:left="1600" w:right="1580"/>
          <w:pgNumType w:start="71"/>
        </w:sectPr>
      </w:pPr>
    </w:p>
    <w:p>
      <w:pPr>
        <w:pStyle w:val="BodyText"/>
        <w:spacing w:before="52" w:after="5"/>
        <w:ind w:left="102"/>
      </w:pPr>
      <w:r>
        <w:rPr/>
        <w:t>Figura 10. Peligrosidad de la pendiente.</w:t>
      </w:r>
    </w:p>
    <w:p>
      <w:pPr>
        <w:pStyle w:val="BodyText"/>
        <w:ind w:left="101"/>
        <w:rPr>
          <w:sz w:val="20"/>
        </w:rPr>
      </w:pPr>
      <w:r>
        <w:rPr>
          <w:sz w:val="20"/>
        </w:rPr>
        <w:drawing>
          <wp:inline distT="0" distB="0" distL="0" distR="0">
            <wp:extent cx="5301027" cy="7949850"/>
            <wp:effectExtent l="0" t="0" r="0" b="0"/>
            <wp:docPr id="35" name="image17.jpeg" descr=""/>
            <wp:cNvGraphicFramePr>
              <a:graphicFrameLocks noChangeAspect="1"/>
            </wp:cNvGraphicFramePr>
            <a:graphic>
              <a:graphicData uri="http://schemas.openxmlformats.org/drawingml/2006/picture">
                <pic:pic>
                  <pic:nvPicPr>
                    <pic:cNvPr id="36" name="image17.jpeg"/>
                    <pic:cNvPicPr/>
                  </pic:nvPicPr>
                  <pic:blipFill>
                    <a:blip r:embed="rId44" cstate="print"/>
                    <a:stretch>
                      <a:fillRect/>
                    </a:stretch>
                  </pic:blipFill>
                  <pic:spPr>
                    <a:xfrm>
                      <a:off x="0" y="0"/>
                      <a:ext cx="5301027" cy="7949850"/>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Adversidad del clima</w:t>
      </w:r>
    </w:p>
    <w:p>
      <w:pPr>
        <w:pStyle w:val="BodyText"/>
        <w:rPr>
          <w:b/>
        </w:rPr>
      </w:pPr>
    </w:p>
    <w:p>
      <w:pPr>
        <w:pStyle w:val="BodyText"/>
        <w:spacing w:before="2"/>
        <w:rPr>
          <w:b/>
        </w:rPr>
      </w:pPr>
    </w:p>
    <w:p>
      <w:pPr>
        <w:pStyle w:val="BodyText"/>
        <w:spacing w:line="360" w:lineRule="auto"/>
        <w:ind w:left="102" w:right="115"/>
        <w:jc w:val="both"/>
      </w:pPr>
      <w:r>
        <w:rPr/>
        <w:t>A partir de los datos de precipitación y temperatura, se realizaron algunos climogramas representativos del área de estudio de acuerdo a Gómez </w:t>
      </w:r>
      <w:r>
        <w:rPr>
          <w:i/>
        </w:rPr>
        <w:t>et al</w:t>
      </w:r>
      <w:r>
        <w:rPr/>
        <w:t>., (2008), a los que se les agregó el número de incendios forestales para ver la relación que hay entre estas tres variables.</w:t>
      </w:r>
    </w:p>
    <w:p>
      <w:pPr>
        <w:pStyle w:val="BodyText"/>
      </w:pPr>
    </w:p>
    <w:p>
      <w:pPr>
        <w:pStyle w:val="BodyText"/>
        <w:spacing w:line="360" w:lineRule="auto" w:before="204"/>
        <w:ind w:left="102" w:right="118"/>
        <w:jc w:val="both"/>
      </w:pPr>
      <w:r>
        <w:rPr/>
        <w:t>Cada climograma está compuesto por cuatro líneas: Precipitación (PR), Evaporación (EP), Evaporación más 10 (EP+10), precipitación más humedad almacenada (PR+HA) y número de incendios forestales (Inc).</w:t>
      </w:r>
    </w:p>
    <w:p>
      <w:pPr>
        <w:pStyle w:val="BodyText"/>
      </w:pPr>
    </w:p>
    <w:p>
      <w:pPr>
        <w:pStyle w:val="BodyText"/>
      </w:pPr>
    </w:p>
    <w:p>
      <w:pPr>
        <w:pStyle w:val="Heading1"/>
        <w:ind w:firstLine="0"/>
        <w:jc w:val="both"/>
      </w:pPr>
      <w:r>
        <w:rPr/>
        <w:t>Climograma  estación Cuajimalpa</w:t>
      </w:r>
    </w:p>
    <w:p>
      <w:pPr>
        <w:pStyle w:val="BodyText"/>
        <w:spacing w:before="2"/>
        <w:rPr>
          <w:b/>
        </w:rPr>
      </w:pPr>
    </w:p>
    <w:p>
      <w:pPr>
        <w:pStyle w:val="BodyText"/>
        <w:spacing w:line="360" w:lineRule="auto"/>
        <w:ind w:left="102" w:right="119"/>
        <w:jc w:val="both"/>
      </w:pPr>
      <w:r>
        <w:rPr/>
        <w:t>El climograma de la estación Cuajimalpa (figura 11), muestra que la precipitación comienza a ser mayor que la evapotranspiración a partir del mes de mayo y se mantiene hasta el mes de octubre. En estos meses el suelo se mantiene húmedo, hay crecimiento de vegetación y disminuye el número de incendios.</w:t>
      </w:r>
    </w:p>
    <w:p>
      <w:pPr>
        <w:pStyle w:val="BodyText"/>
      </w:pPr>
    </w:p>
    <w:p>
      <w:pPr>
        <w:pStyle w:val="BodyText"/>
        <w:spacing w:line="360" w:lineRule="auto" w:before="140"/>
        <w:ind w:left="102" w:right="119"/>
        <w:jc w:val="both"/>
      </w:pPr>
      <w:r>
        <w:rPr/>
        <w:t>La precipitación es mayor que la evapotranspiración +10 a partir de la segunda quincena de mayo y se mantiene hasta mediados del mes de septiembre.</w:t>
      </w:r>
    </w:p>
    <w:p>
      <w:pPr>
        <w:pStyle w:val="BodyText"/>
      </w:pPr>
    </w:p>
    <w:p>
      <w:pPr>
        <w:pStyle w:val="BodyText"/>
        <w:spacing w:line="360" w:lineRule="auto" w:before="142"/>
        <w:ind w:left="102" w:right="119"/>
        <w:jc w:val="both"/>
      </w:pPr>
      <w:r>
        <w:rPr/>
        <w:t>La precipitación más la humedad almacenada comienza a ser mayor que las anteriores a partir de la segunda quincena de mayo y se mantiene hasta inicios del mes de octubre. Este es el periodo en el que las condiciones climáticas no son propicias para los incendios forestales.</w:t>
      </w:r>
    </w:p>
    <w:p>
      <w:pPr>
        <w:pStyle w:val="BodyText"/>
      </w:pPr>
    </w:p>
    <w:p>
      <w:pPr>
        <w:pStyle w:val="BodyText"/>
        <w:spacing w:line="360" w:lineRule="auto" w:before="142"/>
        <w:ind w:left="102" w:right="116"/>
        <w:jc w:val="both"/>
      </w:pPr>
      <w:r>
        <w:rPr/>
        <w:t>En el año 2004, el mes con mayor número de incendios fue febrero con 307 incendios ocurridos en el suelo de conservación mientras que en los meses agosto, septiembre y octubre no se presentaron</w:t>
      </w:r>
      <w:r>
        <w:rPr>
          <w:spacing w:val="-21"/>
        </w:rPr>
        <w:t> </w:t>
      </w:r>
      <w:r>
        <w:rPr/>
        <w:t>incendios.</w:t>
      </w:r>
    </w:p>
    <w:p>
      <w:pPr>
        <w:spacing w:after="0" w:line="360" w:lineRule="auto"/>
        <w:jc w:val="both"/>
        <w:sectPr>
          <w:pgSz w:w="12240" w:h="15840"/>
          <w:pgMar w:header="0" w:footer="1003" w:top="1360" w:bottom="1200" w:left="1600" w:right="1580"/>
        </w:sectPr>
      </w:pPr>
    </w:p>
    <w:p>
      <w:pPr>
        <w:pStyle w:val="BodyText"/>
        <w:spacing w:before="54"/>
        <w:ind w:left="102"/>
        <w:jc w:val="both"/>
      </w:pPr>
      <w:r>
        <w:rPr/>
        <w:t>Figura 11. Climograma  estación Cuajimalpa.</w:t>
      </w:r>
    </w:p>
    <w:p>
      <w:pPr>
        <w:pStyle w:val="BodyText"/>
        <w:spacing w:before="1"/>
        <w:rPr>
          <w:sz w:val="10"/>
        </w:rPr>
      </w:pPr>
      <w:r>
        <w:rPr/>
        <w:pict>
          <v:group style="position:absolute;margin-left:91.5pt;margin-top:7.772051pt;width:429.7pt;height:295.3pt;mso-position-horizontal-relative:page;mso-position-vertical-relative:paragraph;z-index:1552;mso-wrap-distance-left:0;mso-wrap-distance-right:0" coordorigin="1830,155" coordsize="8594,5906">
            <v:shape style="position:absolute;left:1845;top:171;width:8564;height:5876" type="#_x0000_t75" stroked="false">
              <v:imagedata r:id="rId45" o:title=""/>
            </v:shape>
            <v:rect style="position:absolute;left:1838;top:163;width:8579;height:5891" filled="false" stroked="true" strokeweight=".75pt" strokecolor="#000000"/>
            <w10:wrap type="topAndBottom"/>
          </v:group>
        </w:pict>
      </w:r>
    </w:p>
    <w:p>
      <w:pPr>
        <w:pStyle w:val="BodyText"/>
      </w:pPr>
    </w:p>
    <w:p>
      <w:pPr>
        <w:pStyle w:val="BodyText"/>
      </w:pPr>
    </w:p>
    <w:p>
      <w:pPr>
        <w:pStyle w:val="BodyText"/>
        <w:spacing w:before="10"/>
        <w:rPr>
          <w:sz w:val="22"/>
        </w:rPr>
      </w:pPr>
    </w:p>
    <w:p>
      <w:pPr>
        <w:pStyle w:val="Heading1"/>
        <w:ind w:firstLine="0"/>
        <w:jc w:val="both"/>
      </w:pPr>
      <w:r>
        <w:rPr/>
        <w:t>Climograma  estación Desierto de los Leones</w:t>
      </w:r>
    </w:p>
    <w:p>
      <w:pPr>
        <w:pStyle w:val="BodyText"/>
        <w:spacing w:before="2"/>
        <w:rPr>
          <w:b/>
        </w:rPr>
      </w:pPr>
    </w:p>
    <w:p>
      <w:pPr>
        <w:pStyle w:val="BodyText"/>
        <w:spacing w:line="360" w:lineRule="auto"/>
        <w:ind w:left="102" w:right="116"/>
        <w:jc w:val="both"/>
      </w:pPr>
      <w:r>
        <w:rPr/>
        <w:t>El climograma de la estación ubicada en Desierto de los Leones (figura12), hace notar que la precipitación comienza a ser mayor que la evapotranspiración a partir de la segunda quincena del mes de abril y se mantiene hasta mediados del mes de octubre. En estos meses el suelo se mantiene húmedo, hay crecimiento de vegetación y disminuye el número de incendios hasta el mes de</w:t>
      </w:r>
      <w:r>
        <w:rPr>
          <w:spacing w:val="-25"/>
        </w:rPr>
        <w:t> </w:t>
      </w:r>
      <w:r>
        <w:rPr/>
        <w:t>noviembre.</w:t>
      </w:r>
    </w:p>
    <w:p>
      <w:pPr>
        <w:pStyle w:val="BodyText"/>
        <w:spacing w:line="360" w:lineRule="auto" w:before="205"/>
        <w:ind w:left="102" w:right="115"/>
        <w:jc w:val="both"/>
      </w:pPr>
      <w:r>
        <w:rPr/>
        <w:t>La precipitación es mayor que la evapotranspiración +10 a partir de la segunda quincena de mayo y se mantiene hasta mediados del mes de septiembre. La precipitación más la humedad almacenada comienza a ser mayor que las anteriores a partir de la segunda quincena de mayo y se mantiene hasta inicios del mes de octubre. Este es el periodo en el que las condiciones climáticas no son propicias para los incendios forestales.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En el año 2009, el mes más crítico fue abril con 320 incendios ocurridos en el Suelo de conservación, mientras que los meses más benévolos fueron agosto y septiembre con cero incendios y uno en el mes de octubre.</w:t>
      </w:r>
    </w:p>
    <w:p>
      <w:pPr>
        <w:pStyle w:val="BodyText"/>
        <w:spacing w:before="204"/>
        <w:ind w:left="102"/>
        <w:jc w:val="both"/>
      </w:pPr>
      <w:r>
        <w:rPr/>
        <w:t>Figura 12. Climograma  estación Desierto de los Leones.</w:t>
      </w:r>
    </w:p>
    <w:p>
      <w:pPr>
        <w:pStyle w:val="BodyText"/>
        <w:spacing w:before="1"/>
        <w:rPr>
          <w:sz w:val="10"/>
        </w:rPr>
      </w:pPr>
      <w:r>
        <w:rPr/>
        <w:pict>
          <v:group style="position:absolute;margin-left:90pt;margin-top:7.752056pt;width:432.15pt;height:297pt;mso-position-horizontal-relative:page;mso-position-vertical-relative:paragraph;z-index:1576;mso-wrap-distance-left:0;mso-wrap-distance-right:0" coordorigin="1800,155" coordsize="8643,5940">
            <v:shape style="position:absolute;left:1815;top:170;width:8613;height:5910" type="#_x0000_t75" stroked="false">
              <v:imagedata r:id="rId46" o:title=""/>
            </v:shape>
            <v:rect style="position:absolute;left:1808;top:163;width:8628;height:5925" filled="false" stroked="true" strokeweight=".75pt" strokecolor="#000000"/>
            <w10:wrap type="topAndBottom"/>
          </v:group>
        </w:pict>
      </w:r>
    </w:p>
    <w:p>
      <w:pPr>
        <w:pStyle w:val="BodyText"/>
      </w:pPr>
    </w:p>
    <w:p>
      <w:pPr>
        <w:pStyle w:val="BodyText"/>
      </w:pPr>
    </w:p>
    <w:p>
      <w:pPr>
        <w:pStyle w:val="BodyText"/>
        <w:spacing w:before="6"/>
        <w:rPr>
          <w:sz w:val="19"/>
        </w:rPr>
      </w:pPr>
    </w:p>
    <w:p>
      <w:pPr>
        <w:pStyle w:val="Heading1"/>
        <w:ind w:firstLine="0"/>
        <w:jc w:val="both"/>
      </w:pPr>
      <w:r>
        <w:rPr/>
        <w:t>Climograma  estación Tepoztlán</w:t>
      </w:r>
    </w:p>
    <w:p>
      <w:pPr>
        <w:pStyle w:val="BodyText"/>
        <w:spacing w:before="2"/>
        <w:rPr>
          <w:b/>
        </w:rPr>
      </w:pPr>
    </w:p>
    <w:p>
      <w:pPr>
        <w:pStyle w:val="BodyText"/>
        <w:spacing w:line="360" w:lineRule="auto"/>
        <w:ind w:left="102" w:right="117"/>
        <w:jc w:val="both"/>
      </w:pPr>
      <w:r>
        <w:rPr/>
        <w:t>El climograma de la estación Tepoztlán (figura 13), muestra que la precipitación comienza a ser mayor que la evapotranspiración a partir del mes de mayo y se mantiene hasta mediados del mes de octubre. En estos meses el suelo se mantiene húmedo, hay crecimiento de vegetación y disminuye el número de incendios.</w:t>
      </w:r>
    </w:p>
    <w:p>
      <w:pPr>
        <w:pStyle w:val="BodyText"/>
        <w:spacing w:line="360" w:lineRule="auto" w:before="202"/>
        <w:ind w:left="102" w:right="119"/>
        <w:jc w:val="both"/>
      </w:pPr>
      <w:r>
        <w:rPr/>
        <w:t>La precipitación es mayor que la evapotranspiración +10 a partir de la segunda quincena de mayo y se mantiene hasta mediados del mes de septiembre.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La precipitación más la humedad almacenada comienza a ser mayor que las anteriores a partir de la segunda quincena de mayo y se mantiene hasta inicios del mes de octubre. Este es el periodo en el que las condiciones climáticas no son propicias para los incendios forestales.</w:t>
      </w:r>
    </w:p>
    <w:p>
      <w:pPr>
        <w:pStyle w:val="BodyText"/>
        <w:spacing w:line="360" w:lineRule="auto" w:before="204"/>
        <w:ind w:left="102" w:right="116"/>
        <w:jc w:val="both"/>
      </w:pPr>
      <w:r>
        <w:rPr/>
        <w:t>En el año 2012, el mes con mayor número de incendios en el suelo de conservación fue abril con 109 incendios, mientras que los meses julio, agosto, septiembre y octubre presentaron 0, 1, 3 y 4 incendios respectivamente, siendo los meses más benévolos.</w:t>
      </w:r>
    </w:p>
    <w:p>
      <w:pPr>
        <w:pStyle w:val="BodyText"/>
      </w:pPr>
    </w:p>
    <w:p>
      <w:pPr>
        <w:pStyle w:val="BodyText"/>
        <w:spacing w:before="205"/>
        <w:ind w:left="102"/>
        <w:jc w:val="both"/>
      </w:pPr>
      <w:r>
        <w:rPr/>
        <w:t>Figura 13. Climograma estación de Tepoztlán.</w:t>
      </w:r>
    </w:p>
    <w:p>
      <w:pPr>
        <w:pStyle w:val="BodyText"/>
        <w:spacing w:before="11"/>
        <w:rPr>
          <w:sz w:val="9"/>
        </w:rPr>
      </w:pPr>
      <w:r>
        <w:rPr/>
        <w:pict>
          <v:group style="position:absolute;margin-left:93.75pt;margin-top:7.692019pt;width:425.05pt;height:290.1pt;mso-position-horizontal-relative:page;mso-position-vertical-relative:paragraph;z-index:1600;mso-wrap-distance-left:0;mso-wrap-distance-right:0" coordorigin="1875,154" coordsize="8501,5802">
            <v:shape style="position:absolute;left:1890;top:169;width:8471;height:5772" type="#_x0000_t75" stroked="false">
              <v:imagedata r:id="rId47" o:title=""/>
            </v:shape>
            <v:rect style="position:absolute;left:1883;top:161;width:8486;height:5787" filled="false" stroked="true" strokeweight=".75pt" strokecolor="#000000"/>
            <w10:wrap type="topAndBottom"/>
          </v:group>
        </w:pict>
      </w:r>
    </w:p>
    <w:p>
      <w:pPr>
        <w:pStyle w:val="BodyText"/>
      </w:pPr>
    </w:p>
    <w:p>
      <w:pPr>
        <w:pStyle w:val="BodyText"/>
      </w:pPr>
    </w:p>
    <w:p>
      <w:pPr>
        <w:pStyle w:val="BodyText"/>
        <w:spacing w:before="5"/>
        <w:rPr>
          <w:sz w:val="21"/>
        </w:rPr>
      </w:pPr>
    </w:p>
    <w:p>
      <w:pPr>
        <w:pStyle w:val="Heading1"/>
        <w:ind w:firstLine="0"/>
        <w:jc w:val="both"/>
      </w:pPr>
      <w:r>
        <w:rPr/>
        <w:t>Climograma estación de Ajusco</w:t>
      </w:r>
    </w:p>
    <w:p>
      <w:pPr>
        <w:pStyle w:val="BodyText"/>
        <w:spacing w:before="2"/>
        <w:rPr>
          <w:b/>
        </w:rPr>
      </w:pPr>
    </w:p>
    <w:p>
      <w:pPr>
        <w:pStyle w:val="BodyText"/>
        <w:spacing w:line="360" w:lineRule="auto"/>
        <w:ind w:left="102" w:right="117"/>
        <w:jc w:val="both"/>
      </w:pPr>
      <w:r>
        <w:rPr/>
        <w:t>El climograma de la estación Ajusco (figura 14), muestra que la precipitación comienza a ser mayor que la evapotranspiración a partir del mes de mayo y se mantiene  hasta  mediados  del  mes  de  octubre.  En  estos  meses  el  suelo   se</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mantiene húmedo, hay crecimiento de vegetación y disminuye el número de incendios hasta llegar a cero, manteniéndose hasta el mes de diciembre.</w:t>
      </w:r>
    </w:p>
    <w:p>
      <w:pPr>
        <w:pStyle w:val="BodyText"/>
        <w:spacing w:line="360" w:lineRule="auto" w:before="204"/>
        <w:ind w:left="102" w:right="118"/>
        <w:jc w:val="both"/>
      </w:pPr>
      <w:r>
        <w:rPr/>
        <w:t>La precipitación es mayor que la evapotranspiración +10 a partir de la última semana de mayo y se mantiene hasta mediados del mes de septiembre.</w:t>
      </w:r>
    </w:p>
    <w:p>
      <w:pPr>
        <w:pStyle w:val="BodyText"/>
        <w:spacing w:line="360" w:lineRule="auto" w:before="204"/>
        <w:ind w:left="102" w:right="118"/>
        <w:jc w:val="both"/>
      </w:pPr>
      <w:r>
        <w:rPr/>
        <w:t>La precipitación más la humedad almacenada comienza a ser mayor que las anteriores a partir de la segunda quincena de mayo y se mantiene hasta inicios del mes de octubre. Este es el periodo en el que las condiciones climáticas no son propicias para los incendios forestales.</w:t>
      </w:r>
    </w:p>
    <w:p>
      <w:pPr>
        <w:pStyle w:val="BodyText"/>
        <w:spacing w:line="360" w:lineRule="auto" w:before="204"/>
        <w:ind w:left="102" w:right="124"/>
        <w:jc w:val="both"/>
      </w:pPr>
      <w:r>
        <w:rPr/>
        <w:t>En el año 2013, el mes más crítico fue marzo con 378 incendios ocurridos, mientras que los meses septiembre, octubre y noviembre fueron los más benévolos con 0</w:t>
      </w:r>
      <w:r>
        <w:rPr>
          <w:spacing w:val="-12"/>
        </w:rPr>
        <w:t> </w:t>
      </w:r>
      <w:r>
        <w:rPr/>
        <w:t>incendios.</w:t>
      </w:r>
    </w:p>
    <w:p>
      <w:pPr>
        <w:pStyle w:val="BodyText"/>
      </w:pPr>
    </w:p>
    <w:p>
      <w:pPr>
        <w:pStyle w:val="BodyText"/>
        <w:spacing w:before="204"/>
        <w:ind w:left="102"/>
        <w:jc w:val="both"/>
      </w:pPr>
      <w:r>
        <w:rPr/>
        <w:t>Figura 14. Climograma estación de Ajusco.</w:t>
      </w:r>
    </w:p>
    <w:p>
      <w:pPr>
        <w:pStyle w:val="BodyText"/>
        <w:rPr>
          <w:sz w:val="10"/>
        </w:rPr>
      </w:pPr>
      <w:r>
        <w:rPr/>
        <w:pict>
          <v:group style="position:absolute;margin-left:90pt;margin-top:7.702033pt;width:431.75pt;height:310.95pt;mso-position-horizontal-relative:page;mso-position-vertical-relative:paragraph;z-index:1624;mso-wrap-distance-left:0;mso-wrap-distance-right:0" coordorigin="1800,154" coordsize="8635,6219">
            <v:shape style="position:absolute;left:1815;top:169;width:8605;height:6189" type="#_x0000_t75" stroked="false">
              <v:imagedata r:id="rId48" o:title=""/>
            </v:shape>
            <v:rect style="position:absolute;left:1808;top:162;width:8620;height:6204" filled="false" stroked="true" strokeweight=".75pt" strokecolor="#000000"/>
            <w10:wrap type="topAndBottom"/>
          </v:group>
        </w:pict>
      </w:r>
    </w:p>
    <w:p>
      <w:pPr>
        <w:spacing w:after="0"/>
        <w:rPr>
          <w:sz w:val="10"/>
        </w:rPr>
        <w:sectPr>
          <w:pgSz w:w="12240" w:h="15840"/>
          <w:pgMar w:header="0" w:footer="1003" w:top="1360" w:bottom="1200" w:left="1600" w:right="1580"/>
        </w:sectPr>
      </w:pPr>
    </w:p>
    <w:p>
      <w:pPr>
        <w:pStyle w:val="ListParagraph"/>
        <w:numPr>
          <w:ilvl w:val="0"/>
          <w:numId w:val="17"/>
        </w:numPr>
        <w:tabs>
          <w:tab w:pos="822" w:val="left" w:leader="none"/>
        </w:tabs>
        <w:spacing w:line="352" w:lineRule="auto" w:before="35" w:after="0"/>
        <w:ind w:left="822" w:right="115" w:hanging="360"/>
        <w:jc w:val="both"/>
        <w:rPr>
          <w:sz w:val="24"/>
        </w:rPr>
      </w:pPr>
      <w:r>
        <w:rPr>
          <w:sz w:val="24"/>
        </w:rPr>
        <w:t>En general cuando la precipitación es mayor que la evapotranspiración, hay crecimiento de la vegetación pero tiene que estar libre de</w:t>
      </w:r>
      <w:r>
        <w:rPr>
          <w:spacing w:val="-19"/>
          <w:sz w:val="24"/>
        </w:rPr>
        <w:t> </w:t>
      </w:r>
      <w:r>
        <w:rPr>
          <w:sz w:val="24"/>
        </w:rPr>
        <w:t>heladas.</w:t>
      </w:r>
    </w:p>
    <w:p>
      <w:pPr>
        <w:pStyle w:val="ListParagraph"/>
        <w:numPr>
          <w:ilvl w:val="0"/>
          <w:numId w:val="17"/>
        </w:numPr>
        <w:tabs>
          <w:tab w:pos="821" w:val="left" w:leader="none"/>
          <w:tab w:pos="822" w:val="left" w:leader="none"/>
        </w:tabs>
        <w:spacing w:line="240" w:lineRule="auto" w:before="210" w:after="0"/>
        <w:ind w:left="822" w:right="0" w:hanging="360"/>
        <w:jc w:val="left"/>
        <w:rPr>
          <w:sz w:val="24"/>
        </w:rPr>
      </w:pPr>
      <w:r>
        <w:rPr>
          <w:sz w:val="24"/>
        </w:rPr>
        <w:t>Si la precipitación es mayor que la evaporación los incendios</w:t>
      </w:r>
      <w:r>
        <w:rPr>
          <w:spacing w:val="-27"/>
          <w:sz w:val="24"/>
        </w:rPr>
        <w:t> </w:t>
      </w:r>
      <w:r>
        <w:rPr>
          <w:sz w:val="24"/>
        </w:rPr>
        <w:t>disminuyen.</w:t>
      </w:r>
    </w:p>
    <w:p>
      <w:pPr>
        <w:pStyle w:val="BodyText"/>
        <w:spacing w:before="3"/>
        <w:rPr>
          <w:sz w:val="29"/>
        </w:rPr>
      </w:pPr>
    </w:p>
    <w:p>
      <w:pPr>
        <w:pStyle w:val="ListParagraph"/>
        <w:numPr>
          <w:ilvl w:val="0"/>
          <w:numId w:val="17"/>
        </w:numPr>
        <w:tabs>
          <w:tab w:pos="821" w:val="left" w:leader="none"/>
          <w:tab w:pos="822" w:val="left" w:leader="none"/>
        </w:tabs>
        <w:spacing w:line="240" w:lineRule="auto" w:before="0" w:after="0"/>
        <w:ind w:left="822" w:right="0" w:hanging="360"/>
        <w:jc w:val="left"/>
        <w:rPr>
          <w:sz w:val="24"/>
        </w:rPr>
      </w:pPr>
      <w:r>
        <w:rPr>
          <w:sz w:val="24"/>
        </w:rPr>
        <w:t>Los climogramas son muy parecidos entre</w:t>
      </w:r>
      <w:r>
        <w:rPr>
          <w:spacing w:val="-13"/>
          <w:sz w:val="24"/>
        </w:rPr>
        <w:t> </w:t>
      </w:r>
      <w:r>
        <w:rPr>
          <w:sz w:val="24"/>
        </w:rPr>
        <w:t>sí.</w:t>
      </w:r>
    </w:p>
    <w:p>
      <w:pPr>
        <w:pStyle w:val="BodyText"/>
        <w:spacing w:before="3"/>
        <w:rPr>
          <w:sz w:val="29"/>
        </w:rPr>
      </w:pPr>
    </w:p>
    <w:p>
      <w:pPr>
        <w:pStyle w:val="ListParagraph"/>
        <w:numPr>
          <w:ilvl w:val="0"/>
          <w:numId w:val="17"/>
        </w:numPr>
        <w:tabs>
          <w:tab w:pos="822" w:val="left" w:leader="none"/>
        </w:tabs>
        <w:spacing w:line="357" w:lineRule="auto" w:before="0" w:after="0"/>
        <w:ind w:left="822" w:right="114" w:hanging="360"/>
        <w:jc w:val="both"/>
        <w:rPr>
          <w:sz w:val="24"/>
        </w:rPr>
      </w:pPr>
      <w:r>
        <w:rPr>
          <w:sz w:val="24"/>
        </w:rPr>
        <w:t>Se identifican dos condiciones: la primera en la que se cuenta con condiciones de baja humedad almacenada, aumentando las probabilidades de incendios durante los meses de enero a abril y la segunda en la que hay alta humedad almacenada que reducen significativamente la probabilidad de incendios durante los meses de mayo a</w:t>
      </w:r>
      <w:r>
        <w:rPr>
          <w:spacing w:val="-11"/>
          <w:sz w:val="24"/>
        </w:rPr>
        <w:t> </w:t>
      </w:r>
      <w:r>
        <w:rPr>
          <w:sz w:val="24"/>
        </w:rPr>
        <w:t>octubre.</w:t>
      </w:r>
    </w:p>
    <w:p>
      <w:pPr>
        <w:pStyle w:val="BodyText"/>
      </w:pPr>
    </w:p>
    <w:p>
      <w:pPr>
        <w:pStyle w:val="Heading1"/>
        <w:spacing w:before="204"/>
        <w:ind w:firstLine="0"/>
      </w:pPr>
      <w:r>
        <w:rPr/>
        <w:t>Peligrosidad climática</w:t>
      </w:r>
    </w:p>
    <w:p>
      <w:pPr>
        <w:pStyle w:val="BodyText"/>
        <w:spacing w:before="2"/>
        <w:rPr>
          <w:b/>
        </w:rPr>
      </w:pPr>
    </w:p>
    <w:p>
      <w:pPr>
        <w:pStyle w:val="BodyText"/>
        <w:spacing w:line="360" w:lineRule="auto"/>
        <w:ind w:left="102"/>
      </w:pPr>
      <w:r>
        <w:rPr/>
        <w:t>En el cuadro 14, se aprecian los resultados de la intersección de las isotermas e isoyetas que dieron origen a las áreas climáticas del Distrito Federal.</w:t>
      </w:r>
    </w:p>
    <w:p>
      <w:pPr>
        <w:pStyle w:val="BodyText"/>
      </w:pPr>
    </w:p>
    <w:p>
      <w:pPr>
        <w:pStyle w:val="BodyText"/>
        <w:spacing w:before="140"/>
        <w:ind w:left="102"/>
      </w:pPr>
      <w:r>
        <w:rPr/>
        <w:t>Cuadro 14. Adversidad climática.</w:t>
      </w:r>
    </w:p>
    <w:p>
      <w:pPr>
        <w:pStyle w:val="BodyText"/>
        <w:spacing w:before="3"/>
        <w:rPr>
          <w:sz w:val="12"/>
        </w:rPr>
      </w:pPr>
    </w:p>
    <w:tbl>
      <w:tblPr>
        <w:tblW w:w="0" w:type="auto"/>
        <w:jc w:val="left"/>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1985"/>
        <w:gridCol w:w="1419"/>
        <w:gridCol w:w="1416"/>
        <w:gridCol w:w="1985"/>
      </w:tblGrid>
      <w:tr>
        <w:trPr>
          <w:trHeight w:val="240" w:hRule="exact"/>
        </w:trPr>
        <w:tc>
          <w:tcPr>
            <w:tcW w:w="1668" w:type="dxa"/>
          </w:tcPr>
          <w:p>
            <w:pPr>
              <w:pStyle w:val="TableParagraph"/>
              <w:spacing w:line="225" w:lineRule="exact" w:before="0"/>
              <w:ind w:left="180" w:right="181"/>
              <w:jc w:val="center"/>
              <w:rPr>
                <w:b/>
                <w:sz w:val="20"/>
              </w:rPr>
            </w:pPr>
            <w:r>
              <w:rPr>
                <w:b/>
                <w:sz w:val="20"/>
              </w:rPr>
              <w:t>Precipitación</w:t>
            </w:r>
          </w:p>
        </w:tc>
        <w:tc>
          <w:tcPr>
            <w:tcW w:w="1985" w:type="dxa"/>
          </w:tcPr>
          <w:p>
            <w:pPr>
              <w:pStyle w:val="TableParagraph"/>
              <w:spacing w:line="225" w:lineRule="exact" w:before="0"/>
              <w:ind w:left="361" w:right="362"/>
              <w:jc w:val="center"/>
              <w:rPr>
                <w:b/>
                <w:sz w:val="20"/>
              </w:rPr>
            </w:pPr>
            <w:r>
              <w:rPr>
                <w:b/>
                <w:sz w:val="20"/>
              </w:rPr>
              <w:t>Temperatura</w:t>
            </w:r>
          </w:p>
        </w:tc>
        <w:tc>
          <w:tcPr>
            <w:tcW w:w="1419" w:type="dxa"/>
          </w:tcPr>
          <w:p>
            <w:pPr>
              <w:pStyle w:val="TableParagraph"/>
              <w:spacing w:line="225" w:lineRule="exact" w:before="0"/>
              <w:ind w:left="137" w:right="141"/>
              <w:jc w:val="center"/>
              <w:rPr>
                <w:b/>
                <w:sz w:val="20"/>
              </w:rPr>
            </w:pPr>
            <w:r>
              <w:rPr>
                <w:b/>
                <w:sz w:val="20"/>
              </w:rPr>
              <w:t>Adversidad</w:t>
            </w:r>
          </w:p>
        </w:tc>
        <w:tc>
          <w:tcPr>
            <w:tcW w:w="1416" w:type="dxa"/>
          </w:tcPr>
          <w:p>
            <w:pPr>
              <w:pStyle w:val="TableParagraph"/>
              <w:spacing w:line="225" w:lineRule="exact" w:before="0"/>
              <w:ind w:left="229" w:right="236"/>
              <w:jc w:val="center"/>
              <w:rPr>
                <w:b/>
                <w:sz w:val="20"/>
              </w:rPr>
            </w:pPr>
            <w:r>
              <w:rPr>
                <w:b/>
                <w:sz w:val="20"/>
              </w:rPr>
              <w:t>Indicador</w:t>
            </w:r>
          </w:p>
        </w:tc>
        <w:tc>
          <w:tcPr>
            <w:tcW w:w="1985" w:type="dxa"/>
          </w:tcPr>
          <w:p>
            <w:pPr>
              <w:pStyle w:val="TableParagraph"/>
              <w:spacing w:line="225" w:lineRule="exact" w:before="0"/>
              <w:ind w:left="179" w:right="36"/>
              <w:rPr>
                <w:b/>
                <w:sz w:val="20"/>
              </w:rPr>
            </w:pPr>
            <w:r>
              <w:rPr>
                <w:b/>
                <w:sz w:val="20"/>
              </w:rPr>
              <w:t>Color en el mapa</w:t>
            </w:r>
          </w:p>
        </w:tc>
      </w:tr>
      <w:tr>
        <w:trPr>
          <w:trHeight w:val="629" w:hRule="exact"/>
        </w:trPr>
        <w:tc>
          <w:tcPr>
            <w:tcW w:w="1668" w:type="dxa"/>
          </w:tcPr>
          <w:p>
            <w:pPr>
              <w:pStyle w:val="TableParagraph"/>
              <w:spacing w:before="7"/>
              <w:rPr>
                <w:sz w:val="16"/>
              </w:rPr>
            </w:pPr>
          </w:p>
          <w:p>
            <w:pPr>
              <w:pStyle w:val="TableParagraph"/>
              <w:spacing w:before="0"/>
              <w:ind w:left="180" w:right="180"/>
              <w:jc w:val="center"/>
              <w:rPr>
                <w:sz w:val="20"/>
              </w:rPr>
            </w:pPr>
            <w:r>
              <w:rPr>
                <w:sz w:val="20"/>
              </w:rPr>
              <w:t>1500-1700</w:t>
            </w:r>
          </w:p>
        </w:tc>
        <w:tc>
          <w:tcPr>
            <w:tcW w:w="1985" w:type="dxa"/>
          </w:tcPr>
          <w:p>
            <w:pPr>
              <w:pStyle w:val="TableParagraph"/>
              <w:spacing w:before="7"/>
              <w:rPr>
                <w:sz w:val="16"/>
              </w:rPr>
            </w:pPr>
          </w:p>
          <w:p>
            <w:pPr>
              <w:pStyle w:val="TableParagraph"/>
              <w:spacing w:before="0"/>
              <w:ind w:left="361" w:right="362"/>
              <w:jc w:val="center"/>
              <w:rPr>
                <w:sz w:val="20"/>
              </w:rPr>
            </w:pPr>
            <w:r>
              <w:rPr>
                <w:sz w:val="20"/>
              </w:rPr>
              <w:t>10-18</w:t>
            </w:r>
          </w:p>
        </w:tc>
        <w:tc>
          <w:tcPr>
            <w:tcW w:w="1419" w:type="dxa"/>
            <w:vMerge w:val="restart"/>
          </w:tcPr>
          <w:p>
            <w:pPr>
              <w:pStyle w:val="TableParagraph"/>
              <w:spacing w:before="1"/>
              <w:rPr>
                <w:sz w:val="27"/>
              </w:rPr>
            </w:pPr>
          </w:p>
          <w:p>
            <w:pPr>
              <w:pStyle w:val="TableParagraph"/>
              <w:spacing w:before="0"/>
              <w:ind w:left="137" w:right="137"/>
              <w:jc w:val="center"/>
              <w:rPr>
                <w:sz w:val="20"/>
              </w:rPr>
            </w:pPr>
            <w:r>
              <w:rPr>
                <w:sz w:val="20"/>
              </w:rPr>
              <w:t>Baja</w:t>
            </w:r>
          </w:p>
        </w:tc>
        <w:tc>
          <w:tcPr>
            <w:tcW w:w="1416" w:type="dxa"/>
            <w:vMerge w:val="restart"/>
          </w:tcPr>
          <w:p>
            <w:pPr>
              <w:pStyle w:val="TableParagraph"/>
              <w:spacing w:before="1"/>
              <w:rPr>
                <w:sz w:val="27"/>
              </w:rPr>
            </w:pPr>
          </w:p>
          <w:p>
            <w:pPr>
              <w:pStyle w:val="TableParagraph"/>
              <w:spacing w:before="0"/>
              <w:ind w:right="2"/>
              <w:jc w:val="center"/>
              <w:rPr>
                <w:sz w:val="20"/>
              </w:rPr>
            </w:pPr>
            <w:r>
              <w:rPr>
                <w:w w:val="99"/>
                <w:sz w:val="20"/>
              </w:rPr>
              <w:t>6</w:t>
            </w:r>
          </w:p>
        </w:tc>
        <w:tc>
          <w:tcPr>
            <w:tcW w:w="1985" w:type="dxa"/>
            <w:vMerge w:val="restart"/>
          </w:tcPr>
          <w:p>
            <w:pPr>
              <w:pStyle w:val="TableParagraph"/>
              <w:spacing w:before="0"/>
              <w:rPr>
                <w:sz w:val="17"/>
              </w:rPr>
            </w:pPr>
          </w:p>
          <w:p>
            <w:pPr>
              <w:pStyle w:val="TableParagraph"/>
              <w:spacing w:before="1"/>
              <w:ind w:left="103" w:right="36"/>
              <w:rPr>
                <w:sz w:val="20"/>
              </w:rPr>
            </w:pPr>
            <w:r>
              <w:rPr>
                <w:sz w:val="20"/>
              </w:rPr>
              <w:t>Violeta ubicado al sur del DF.</w:t>
            </w:r>
          </w:p>
        </w:tc>
      </w:tr>
      <w:tr>
        <w:trPr>
          <w:trHeight w:val="240" w:hRule="exact"/>
        </w:trPr>
        <w:tc>
          <w:tcPr>
            <w:tcW w:w="1668" w:type="dxa"/>
          </w:tcPr>
          <w:p>
            <w:pPr>
              <w:pStyle w:val="TableParagraph"/>
              <w:spacing w:line="227" w:lineRule="exact" w:before="0"/>
              <w:ind w:left="180" w:right="180"/>
              <w:jc w:val="center"/>
              <w:rPr>
                <w:sz w:val="20"/>
              </w:rPr>
            </w:pPr>
            <w:r>
              <w:rPr>
                <w:sz w:val="20"/>
              </w:rPr>
              <w:t>1300-1500</w:t>
            </w:r>
          </w:p>
        </w:tc>
        <w:tc>
          <w:tcPr>
            <w:tcW w:w="1985" w:type="dxa"/>
          </w:tcPr>
          <w:p>
            <w:pPr>
              <w:pStyle w:val="TableParagraph"/>
              <w:spacing w:line="227" w:lineRule="exact" w:before="0"/>
              <w:ind w:left="361" w:right="362"/>
              <w:jc w:val="center"/>
              <w:rPr>
                <w:sz w:val="20"/>
              </w:rPr>
            </w:pPr>
            <w:r>
              <w:rPr>
                <w:sz w:val="20"/>
              </w:rPr>
              <w:t>4-19</w:t>
            </w:r>
          </w:p>
        </w:tc>
        <w:tc>
          <w:tcPr>
            <w:tcW w:w="1419" w:type="dxa"/>
            <w:vMerge/>
          </w:tcPr>
          <w:p>
            <w:pPr/>
          </w:p>
        </w:tc>
        <w:tc>
          <w:tcPr>
            <w:tcW w:w="1416" w:type="dxa"/>
            <w:vMerge/>
          </w:tcPr>
          <w:p>
            <w:pPr/>
          </w:p>
        </w:tc>
        <w:tc>
          <w:tcPr>
            <w:tcW w:w="1985" w:type="dxa"/>
            <w:vMerge/>
          </w:tcPr>
          <w:p>
            <w:pPr/>
          </w:p>
        </w:tc>
      </w:tr>
      <w:tr>
        <w:trPr>
          <w:trHeight w:val="240" w:hRule="exact"/>
        </w:trPr>
        <w:tc>
          <w:tcPr>
            <w:tcW w:w="1668" w:type="dxa"/>
          </w:tcPr>
          <w:p>
            <w:pPr>
              <w:pStyle w:val="TableParagraph"/>
              <w:spacing w:line="227" w:lineRule="exact" w:before="0"/>
              <w:ind w:left="180" w:right="180"/>
              <w:jc w:val="center"/>
              <w:rPr>
                <w:sz w:val="20"/>
              </w:rPr>
            </w:pPr>
            <w:r>
              <w:rPr>
                <w:sz w:val="20"/>
              </w:rPr>
              <w:t>1100-1300</w:t>
            </w:r>
          </w:p>
        </w:tc>
        <w:tc>
          <w:tcPr>
            <w:tcW w:w="1985" w:type="dxa"/>
          </w:tcPr>
          <w:p>
            <w:pPr>
              <w:pStyle w:val="TableParagraph"/>
              <w:spacing w:line="227" w:lineRule="exact" w:before="0"/>
              <w:ind w:left="361" w:right="362"/>
              <w:jc w:val="center"/>
              <w:rPr>
                <w:sz w:val="20"/>
              </w:rPr>
            </w:pPr>
            <w:r>
              <w:rPr>
                <w:sz w:val="20"/>
              </w:rPr>
              <w:t>4-18</w:t>
            </w:r>
          </w:p>
        </w:tc>
        <w:tc>
          <w:tcPr>
            <w:tcW w:w="1419" w:type="dxa"/>
          </w:tcPr>
          <w:p>
            <w:pPr>
              <w:pStyle w:val="TableParagraph"/>
              <w:spacing w:line="227" w:lineRule="exact" w:before="0"/>
              <w:ind w:left="137" w:right="137"/>
              <w:jc w:val="center"/>
              <w:rPr>
                <w:sz w:val="20"/>
              </w:rPr>
            </w:pPr>
            <w:r>
              <w:rPr>
                <w:sz w:val="20"/>
              </w:rPr>
              <w:t>Moderada</w:t>
            </w:r>
          </w:p>
        </w:tc>
        <w:tc>
          <w:tcPr>
            <w:tcW w:w="1416" w:type="dxa"/>
          </w:tcPr>
          <w:p>
            <w:pPr>
              <w:pStyle w:val="TableParagraph"/>
              <w:spacing w:line="227" w:lineRule="exact" w:before="0"/>
              <w:ind w:right="2"/>
              <w:jc w:val="center"/>
              <w:rPr>
                <w:sz w:val="20"/>
              </w:rPr>
            </w:pPr>
            <w:r>
              <w:rPr>
                <w:w w:val="99"/>
                <w:sz w:val="20"/>
              </w:rPr>
              <w:t>7</w:t>
            </w:r>
          </w:p>
        </w:tc>
        <w:tc>
          <w:tcPr>
            <w:tcW w:w="1985" w:type="dxa"/>
          </w:tcPr>
          <w:p>
            <w:pPr>
              <w:pStyle w:val="TableParagraph"/>
              <w:spacing w:line="227" w:lineRule="exact" w:before="0"/>
              <w:ind w:left="103" w:right="36"/>
              <w:rPr>
                <w:sz w:val="20"/>
              </w:rPr>
            </w:pPr>
            <w:r>
              <w:rPr>
                <w:sz w:val="20"/>
              </w:rPr>
              <w:t>Verde Seco</w:t>
            </w:r>
          </w:p>
        </w:tc>
      </w:tr>
      <w:tr>
        <w:trPr>
          <w:trHeight w:val="240" w:hRule="exact"/>
        </w:trPr>
        <w:tc>
          <w:tcPr>
            <w:tcW w:w="1668" w:type="dxa"/>
          </w:tcPr>
          <w:p>
            <w:pPr>
              <w:pStyle w:val="TableParagraph"/>
              <w:spacing w:line="227" w:lineRule="exact" w:before="0"/>
              <w:ind w:left="179" w:right="181"/>
              <w:jc w:val="center"/>
              <w:rPr>
                <w:sz w:val="20"/>
              </w:rPr>
            </w:pPr>
            <w:r>
              <w:rPr>
                <w:sz w:val="20"/>
              </w:rPr>
              <w:t>900-1100</w:t>
            </w:r>
          </w:p>
        </w:tc>
        <w:tc>
          <w:tcPr>
            <w:tcW w:w="1985" w:type="dxa"/>
          </w:tcPr>
          <w:p>
            <w:pPr>
              <w:pStyle w:val="TableParagraph"/>
              <w:spacing w:line="227" w:lineRule="exact" w:before="0"/>
              <w:ind w:left="361" w:right="362"/>
              <w:jc w:val="center"/>
              <w:rPr>
                <w:sz w:val="20"/>
              </w:rPr>
            </w:pPr>
            <w:r>
              <w:rPr>
                <w:sz w:val="20"/>
              </w:rPr>
              <w:t>4-18</w:t>
            </w:r>
          </w:p>
        </w:tc>
        <w:tc>
          <w:tcPr>
            <w:tcW w:w="1419" w:type="dxa"/>
          </w:tcPr>
          <w:p>
            <w:pPr>
              <w:pStyle w:val="TableParagraph"/>
              <w:spacing w:line="227" w:lineRule="exact" w:before="0"/>
              <w:ind w:left="137" w:right="139"/>
              <w:jc w:val="center"/>
              <w:rPr>
                <w:sz w:val="20"/>
              </w:rPr>
            </w:pPr>
            <w:r>
              <w:rPr>
                <w:sz w:val="20"/>
              </w:rPr>
              <w:t>Alta</w:t>
            </w:r>
          </w:p>
        </w:tc>
        <w:tc>
          <w:tcPr>
            <w:tcW w:w="1416" w:type="dxa"/>
          </w:tcPr>
          <w:p>
            <w:pPr>
              <w:pStyle w:val="TableParagraph"/>
              <w:spacing w:line="227" w:lineRule="exact" w:before="0"/>
              <w:ind w:right="2"/>
              <w:jc w:val="center"/>
              <w:rPr>
                <w:sz w:val="20"/>
              </w:rPr>
            </w:pPr>
            <w:r>
              <w:rPr>
                <w:w w:val="99"/>
                <w:sz w:val="20"/>
              </w:rPr>
              <w:t>8</w:t>
            </w:r>
          </w:p>
        </w:tc>
        <w:tc>
          <w:tcPr>
            <w:tcW w:w="1985" w:type="dxa"/>
          </w:tcPr>
          <w:p>
            <w:pPr>
              <w:pStyle w:val="TableParagraph"/>
              <w:spacing w:line="227" w:lineRule="exact" w:before="0"/>
              <w:ind w:left="103" w:right="36"/>
              <w:rPr>
                <w:sz w:val="20"/>
              </w:rPr>
            </w:pPr>
            <w:r>
              <w:rPr>
                <w:sz w:val="20"/>
              </w:rPr>
              <w:t>Verde</w:t>
            </w:r>
          </w:p>
        </w:tc>
      </w:tr>
      <w:tr>
        <w:trPr>
          <w:trHeight w:val="240" w:hRule="exact"/>
        </w:trPr>
        <w:tc>
          <w:tcPr>
            <w:tcW w:w="1668" w:type="dxa"/>
          </w:tcPr>
          <w:p>
            <w:pPr>
              <w:pStyle w:val="TableParagraph"/>
              <w:spacing w:line="227" w:lineRule="exact" w:before="0"/>
              <w:ind w:left="179" w:right="181"/>
              <w:jc w:val="center"/>
              <w:rPr>
                <w:sz w:val="20"/>
              </w:rPr>
            </w:pPr>
            <w:r>
              <w:rPr>
                <w:sz w:val="20"/>
              </w:rPr>
              <w:t>700-900</w:t>
            </w:r>
          </w:p>
        </w:tc>
        <w:tc>
          <w:tcPr>
            <w:tcW w:w="1985" w:type="dxa"/>
          </w:tcPr>
          <w:p>
            <w:pPr>
              <w:pStyle w:val="TableParagraph"/>
              <w:spacing w:line="227" w:lineRule="exact" w:before="0"/>
              <w:ind w:left="361" w:right="362"/>
              <w:jc w:val="center"/>
              <w:rPr>
                <w:sz w:val="20"/>
              </w:rPr>
            </w:pPr>
            <w:r>
              <w:rPr>
                <w:sz w:val="20"/>
              </w:rPr>
              <w:t>8-18</w:t>
            </w:r>
          </w:p>
        </w:tc>
        <w:tc>
          <w:tcPr>
            <w:tcW w:w="1419" w:type="dxa"/>
          </w:tcPr>
          <w:p>
            <w:pPr>
              <w:pStyle w:val="TableParagraph"/>
              <w:spacing w:line="227" w:lineRule="exact" w:before="0"/>
              <w:ind w:left="137" w:right="137"/>
              <w:jc w:val="center"/>
              <w:rPr>
                <w:sz w:val="20"/>
              </w:rPr>
            </w:pPr>
            <w:r>
              <w:rPr>
                <w:sz w:val="20"/>
              </w:rPr>
              <w:t>Grave</w:t>
            </w:r>
          </w:p>
        </w:tc>
        <w:tc>
          <w:tcPr>
            <w:tcW w:w="1416" w:type="dxa"/>
          </w:tcPr>
          <w:p>
            <w:pPr>
              <w:pStyle w:val="TableParagraph"/>
              <w:spacing w:line="227" w:lineRule="exact" w:before="0"/>
              <w:ind w:right="2"/>
              <w:jc w:val="center"/>
              <w:rPr>
                <w:sz w:val="20"/>
              </w:rPr>
            </w:pPr>
            <w:r>
              <w:rPr>
                <w:w w:val="99"/>
                <w:sz w:val="20"/>
              </w:rPr>
              <w:t>9</w:t>
            </w:r>
          </w:p>
        </w:tc>
        <w:tc>
          <w:tcPr>
            <w:tcW w:w="1985" w:type="dxa"/>
          </w:tcPr>
          <w:p>
            <w:pPr>
              <w:pStyle w:val="TableParagraph"/>
              <w:spacing w:line="227" w:lineRule="exact" w:before="0"/>
              <w:ind w:left="103" w:right="36"/>
              <w:rPr>
                <w:sz w:val="20"/>
              </w:rPr>
            </w:pPr>
            <w:r>
              <w:rPr>
                <w:sz w:val="20"/>
              </w:rPr>
              <w:t>Amarillo</w:t>
            </w:r>
          </w:p>
        </w:tc>
      </w:tr>
      <w:tr>
        <w:trPr>
          <w:trHeight w:val="240" w:hRule="exact"/>
        </w:trPr>
        <w:tc>
          <w:tcPr>
            <w:tcW w:w="1668" w:type="dxa"/>
          </w:tcPr>
          <w:p>
            <w:pPr>
              <w:pStyle w:val="TableParagraph"/>
              <w:spacing w:line="227" w:lineRule="exact" w:before="0"/>
              <w:ind w:left="179" w:right="181"/>
              <w:jc w:val="center"/>
              <w:rPr>
                <w:sz w:val="20"/>
              </w:rPr>
            </w:pPr>
            <w:r>
              <w:rPr>
                <w:sz w:val="20"/>
              </w:rPr>
              <w:t>500-700</w:t>
            </w:r>
          </w:p>
        </w:tc>
        <w:tc>
          <w:tcPr>
            <w:tcW w:w="1985" w:type="dxa"/>
          </w:tcPr>
          <w:p>
            <w:pPr>
              <w:pStyle w:val="TableParagraph"/>
              <w:spacing w:line="227" w:lineRule="exact" w:before="0"/>
              <w:ind w:left="361" w:right="362"/>
              <w:jc w:val="center"/>
              <w:rPr>
                <w:sz w:val="20"/>
              </w:rPr>
            </w:pPr>
            <w:r>
              <w:rPr>
                <w:sz w:val="20"/>
              </w:rPr>
              <w:t>12-18</w:t>
            </w:r>
          </w:p>
        </w:tc>
        <w:tc>
          <w:tcPr>
            <w:tcW w:w="1419" w:type="dxa"/>
          </w:tcPr>
          <w:p>
            <w:pPr>
              <w:pStyle w:val="TableParagraph"/>
              <w:spacing w:line="227" w:lineRule="exact" w:before="0"/>
              <w:ind w:left="137" w:right="137"/>
              <w:jc w:val="center"/>
              <w:rPr>
                <w:sz w:val="20"/>
              </w:rPr>
            </w:pPr>
            <w:r>
              <w:rPr>
                <w:sz w:val="20"/>
              </w:rPr>
              <w:t>Extrema</w:t>
            </w:r>
          </w:p>
        </w:tc>
        <w:tc>
          <w:tcPr>
            <w:tcW w:w="1416" w:type="dxa"/>
          </w:tcPr>
          <w:p>
            <w:pPr>
              <w:pStyle w:val="TableParagraph"/>
              <w:spacing w:line="227" w:lineRule="exact" w:before="0"/>
              <w:ind w:left="229" w:right="236"/>
              <w:jc w:val="center"/>
              <w:rPr>
                <w:sz w:val="20"/>
              </w:rPr>
            </w:pPr>
            <w:r>
              <w:rPr>
                <w:sz w:val="20"/>
              </w:rPr>
              <w:t>10</w:t>
            </w:r>
          </w:p>
        </w:tc>
        <w:tc>
          <w:tcPr>
            <w:tcW w:w="1985" w:type="dxa"/>
          </w:tcPr>
          <w:p>
            <w:pPr>
              <w:pStyle w:val="TableParagraph"/>
              <w:spacing w:line="227" w:lineRule="exact" w:before="0"/>
              <w:ind w:left="103" w:right="36"/>
              <w:rPr>
                <w:sz w:val="20"/>
              </w:rPr>
            </w:pPr>
            <w:r>
              <w:rPr>
                <w:sz w:val="20"/>
              </w:rPr>
              <w:t>Rojo</w:t>
            </w:r>
          </w:p>
        </w:tc>
      </w:tr>
    </w:tbl>
    <w:p>
      <w:pPr>
        <w:pStyle w:val="BodyText"/>
        <w:rPr>
          <w:sz w:val="20"/>
        </w:rPr>
      </w:pPr>
    </w:p>
    <w:p>
      <w:pPr>
        <w:pStyle w:val="BodyText"/>
        <w:spacing w:before="9"/>
        <w:rPr>
          <w:sz w:val="21"/>
        </w:rPr>
      </w:pPr>
    </w:p>
    <w:p>
      <w:pPr>
        <w:pStyle w:val="BodyText"/>
        <w:spacing w:line="360" w:lineRule="auto" w:before="69"/>
        <w:ind w:left="102" w:right="118"/>
        <w:jc w:val="both"/>
      </w:pPr>
      <w:r>
        <w:rPr/>
        <w:t>En el mapa de adversidad del clima (ver figura 15) se puede apreciar que hay  cinco zonas climáticas dentro del Distrito Federal. Las delegaciones con categoría extrema son Tláhuac, Gustavo A. Madero y parte del este de</w:t>
      </w:r>
      <w:r>
        <w:rPr>
          <w:spacing w:val="-25"/>
        </w:rPr>
        <w:t> </w:t>
      </w:r>
      <w:r>
        <w:rPr/>
        <w:t>Xochimilco.</w:t>
      </w:r>
    </w:p>
    <w:p>
      <w:pPr>
        <w:spacing w:after="0" w:line="360" w:lineRule="auto"/>
        <w:jc w:val="both"/>
        <w:sectPr>
          <w:pgSz w:w="12240" w:h="15840"/>
          <w:pgMar w:header="0" w:footer="1003" w:top="1380" w:bottom="1200" w:left="1600" w:right="1580"/>
        </w:sectPr>
      </w:pPr>
    </w:p>
    <w:p>
      <w:pPr>
        <w:pStyle w:val="BodyText"/>
        <w:spacing w:before="52" w:after="5"/>
        <w:ind w:left="102"/>
      </w:pPr>
      <w:r>
        <w:rPr/>
        <w:t>Figura 15. Adversidad del clima.</w:t>
      </w:r>
    </w:p>
    <w:p>
      <w:pPr>
        <w:pStyle w:val="BodyText"/>
        <w:ind w:left="101"/>
        <w:rPr>
          <w:sz w:val="20"/>
        </w:rPr>
      </w:pPr>
      <w:r>
        <w:rPr>
          <w:sz w:val="20"/>
        </w:rPr>
        <w:drawing>
          <wp:inline distT="0" distB="0" distL="0" distR="0">
            <wp:extent cx="5257339" cy="7884318"/>
            <wp:effectExtent l="0" t="0" r="0" b="0"/>
            <wp:docPr id="37" name="image22.jpeg" descr=""/>
            <wp:cNvGraphicFramePr>
              <a:graphicFrameLocks noChangeAspect="1"/>
            </wp:cNvGraphicFramePr>
            <a:graphic>
              <a:graphicData uri="http://schemas.openxmlformats.org/drawingml/2006/picture">
                <pic:pic>
                  <pic:nvPicPr>
                    <pic:cNvPr id="38" name="image22.jpeg"/>
                    <pic:cNvPicPr/>
                  </pic:nvPicPr>
                  <pic:blipFill>
                    <a:blip r:embed="rId49" cstate="print"/>
                    <a:stretch>
                      <a:fillRect/>
                    </a:stretch>
                  </pic:blipFill>
                  <pic:spPr>
                    <a:xfrm>
                      <a:off x="0" y="0"/>
                      <a:ext cx="5257339" cy="7884318"/>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Peligrosidad del medio</w:t>
      </w:r>
    </w:p>
    <w:p>
      <w:pPr>
        <w:pStyle w:val="BodyText"/>
        <w:spacing w:before="2"/>
        <w:rPr>
          <w:b/>
        </w:rPr>
      </w:pPr>
    </w:p>
    <w:p>
      <w:pPr>
        <w:pStyle w:val="BodyText"/>
        <w:spacing w:line="360" w:lineRule="auto"/>
        <w:ind w:left="102" w:right="116"/>
        <w:jc w:val="both"/>
      </w:pPr>
      <w:r>
        <w:rPr/>
        <w:t>El suelo de conservación presenta una peligrosidad del medio distribuida de este a oeste. La delegación Milpa Alta presenta peligro alto, grave y extremo distribuido de este a oeste, al sur de Xochimilco se aprecia peligro alto, Tlalpan tiene peligro alto grave y extremo de la parte centro hacia el oeste y en algunos cuadrantes dispersos, la Magdalena Contreras exhibe peligro alto y grave, y por último, las delegaciones Álvaro Obregón, Cuajimalpa y el sur de Xochimilco muestran un peligro alto (ver figura 16).</w:t>
      </w:r>
    </w:p>
    <w:p>
      <w:pPr>
        <w:pStyle w:val="BodyText"/>
      </w:pPr>
    </w:p>
    <w:p>
      <w:pPr>
        <w:pStyle w:val="BodyText"/>
        <w:spacing w:line="360" w:lineRule="auto" w:before="142"/>
        <w:ind w:left="102" w:right="119"/>
        <w:jc w:val="both"/>
      </w:pPr>
      <w:r>
        <w:rPr/>
        <w:t>En el cuadro 15 se observan los cuadrantes que tienen una peligrosidad del medio alta, grave y extrema, mismos que deben tener prioridad en las labores de prevención.</w:t>
      </w:r>
    </w:p>
    <w:p>
      <w:pPr>
        <w:pStyle w:val="BodyText"/>
      </w:pPr>
    </w:p>
    <w:p>
      <w:pPr>
        <w:pStyle w:val="BodyText"/>
        <w:spacing w:before="142"/>
        <w:ind w:left="102"/>
        <w:jc w:val="both"/>
      </w:pPr>
      <w:r>
        <w:rPr/>
        <w:t>Cuadro 15. Cuadrantes con peligrosidad del medio alto, grave y extremo.</w:t>
      </w:r>
    </w:p>
    <w:p>
      <w:pPr>
        <w:pStyle w:val="BodyText"/>
        <w:spacing w:before="1"/>
        <w:rPr>
          <w:sz w:val="12"/>
        </w:rPr>
      </w:pPr>
    </w:p>
    <w:tbl>
      <w:tblPr>
        <w:tblW w:w="0" w:type="auto"/>
        <w:jc w:val="left"/>
        <w:tblInd w:w="10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93"/>
        <w:gridCol w:w="729"/>
        <w:gridCol w:w="1038"/>
        <w:gridCol w:w="532"/>
        <w:gridCol w:w="989"/>
        <w:gridCol w:w="989"/>
        <w:gridCol w:w="989"/>
        <w:gridCol w:w="989"/>
        <w:gridCol w:w="989"/>
        <w:gridCol w:w="989"/>
      </w:tblGrid>
      <w:tr>
        <w:trPr>
          <w:trHeight w:val="247" w:hRule="exact"/>
        </w:trPr>
        <w:tc>
          <w:tcPr>
            <w:tcW w:w="593" w:type="dxa"/>
          </w:tcPr>
          <w:p>
            <w:pPr>
              <w:pStyle w:val="TableParagraph"/>
              <w:ind w:left="32" w:right="15"/>
              <w:jc w:val="center"/>
              <w:rPr>
                <w:rFonts w:ascii="Calibri"/>
                <w:b/>
                <w:sz w:val="18"/>
              </w:rPr>
            </w:pPr>
            <w:r>
              <w:rPr>
                <w:rFonts w:ascii="Calibri"/>
                <w:b/>
                <w:w w:val="105"/>
                <w:sz w:val="18"/>
              </w:rPr>
              <w:t>CUAD</w:t>
            </w:r>
          </w:p>
        </w:tc>
        <w:tc>
          <w:tcPr>
            <w:tcW w:w="729" w:type="dxa"/>
            <w:tcBorders>
              <w:right w:val="single" w:sz="5" w:space="0" w:color="000000"/>
            </w:tcBorders>
          </w:tcPr>
          <w:p>
            <w:pPr>
              <w:pStyle w:val="TableParagraph"/>
              <w:ind w:left="234"/>
              <w:rPr>
                <w:rFonts w:ascii="Calibri"/>
                <w:b/>
                <w:sz w:val="18"/>
              </w:rPr>
            </w:pPr>
            <w:r>
              <w:rPr>
                <w:rFonts w:ascii="Calibri"/>
                <w:b/>
                <w:w w:val="105"/>
                <w:sz w:val="18"/>
              </w:rPr>
              <w:t>PM</w:t>
            </w:r>
          </w:p>
        </w:tc>
        <w:tc>
          <w:tcPr>
            <w:tcW w:w="1038" w:type="dxa"/>
            <w:tcBorders>
              <w:left w:val="single" w:sz="5" w:space="0" w:color="000000"/>
            </w:tcBorders>
          </w:tcPr>
          <w:p>
            <w:pPr>
              <w:pStyle w:val="TableParagraph"/>
              <w:ind w:left="296"/>
              <w:rPr>
                <w:rFonts w:ascii="Calibri"/>
                <w:b/>
                <w:sz w:val="18"/>
              </w:rPr>
            </w:pPr>
            <w:r>
              <w:rPr>
                <w:rFonts w:ascii="Calibri"/>
                <w:b/>
                <w:w w:val="105"/>
                <w:sz w:val="18"/>
              </w:rPr>
              <w:t>CUAD</w:t>
            </w:r>
          </w:p>
        </w:tc>
        <w:tc>
          <w:tcPr>
            <w:tcW w:w="532" w:type="dxa"/>
          </w:tcPr>
          <w:p>
            <w:pPr>
              <w:pStyle w:val="TableParagraph"/>
              <w:ind w:left="135"/>
              <w:rPr>
                <w:rFonts w:ascii="Calibri"/>
                <w:b/>
                <w:sz w:val="18"/>
              </w:rPr>
            </w:pPr>
            <w:r>
              <w:rPr>
                <w:rFonts w:ascii="Calibri"/>
                <w:b/>
                <w:w w:val="105"/>
                <w:sz w:val="18"/>
              </w:rPr>
              <w:t>PM</w:t>
            </w:r>
          </w:p>
        </w:tc>
        <w:tc>
          <w:tcPr>
            <w:tcW w:w="989" w:type="dxa"/>
          </w:tcPr>
          <w:p>
            <w:pPr>
              <w:pStyle w:val="TableParagraph"/>
              <w:ind w:left="271"/>
              <w:rPr>
                <w:rFonts w:ascii="Calibri"/>
                <w:b/>
                <w:sz w:val="18"/>
              </w:rPr>
            </w:pPr>
            <w:r>
              <w:rPr>
                <w:rFonts w:ascii="Calibri"/>
                <w:b/>
                <w:w w:val="105"/>
                <w:sz w:val="18"/>
              </w:rPr>
              <w:t>CUAD</w:t>
            </w:r>
          </w:p>
        </w:tc>
        <w:tc>
          <w:tcPr>
            <w:tcW w:w="989" w:type="dxa"/>
            <w:tcBorders>
              <w:right w:val="single" w:sz="5" w:space="0" w:color="000000"/>
            </w:tcBorders>
          </w:tcPr>
          <w:p>
            <w:pPr>
              <w:pStyle w:val="TableParagraph"/>
              <w:ind w:left="335" w:right="334"/>
              <w:jc w:val="center"/>
              <w:rPr>
                <w:rFonts w:ascii="Calibri"/>
                <w:b/>
                <w:sz w:val="18"/>
              </w:rPr>
            </w:pPr>
            <w:r>
              <w:rPr>
                <w:rFonts w:ascii="Calibri"/>
                <w:b/>
                <w:w w:val="105"/>
                <w:sz w:val="18"/>
              </w:rPr>
              <w:t>PM</w:t>
            </w:r>
          </w:p>
        </w:tc>
        <w:tc>
          <w:tcPr>
            <w:tcW w:w="989" w:type="dxa"/>
            <w:tcBorders>
              <w:left w:val="single" w:sz="5" w:space="0" w:color="000000"/>
            </w:tcBorders>
          </w:tcPr>
          <w:p>
            <w:pPr>
              <w:pStyle w:val="TableParagraph"/>
              <w:ind w:left="271"/>
              <w:rPr>
                <w:rFonts w:ascii="Calibri"/>
                <w:b/>
                <w:sz w:val="18"/>
              </w:rPr>
            </w:pPr>
            <w:r>
              <w:rPr>
                <w:rFonts w:ascii="Calibri"/>
                <w:b/>
                <w:w w:val="105"/>
                <w:sz w:val="18"/>
              </w:rPr>
              <w:t>CUAD</w:t>
            </w:r>
          </w:p>
        </w:tc>
        <w:tc>
          <w:tcPr>
            <w:tcW w:w="989" w:type="dxa"/>
          </w:tcPr>
          <w:p>
            <w:pPr>
              <w:pStyle w:val="TableParagraph"/>
              <w:ind w:left="335" w:right="334"/>
              <w:jc w:val="center"/>
              <w:rPr>
                <w:rFonts w:ascii="Calibri"/>
                <w:b/>
                <w:sz w:val="18"/>
              </w:rPr>
            </w:pPr>
            <w:r>
              <w:rPr>
                <w:rFonts w:ascii="Calibri"/>
                <w:b/>
                <w:w w:val="105"/>
                <w:sz w:val="18"/>
              </w:rPr>
              <w:t>PM</w:t>
            </w:r>
          </w:p>
        </w:tc>
        <w:tc>
          <w:tcPr>
            <w:tcW w:w="989" w:type="dxa"/>
            <w:tcBorders>
              <w:right w:val="single" w:sz="5" w:space="0" w:color="000000"/>
            </w:tcBorders>
          </w:tcPr>
          <w:p>
            <w:pPr>
              <w:pStyle w:val="TableParagraph"/>
              <w:ind w:left="271"/>
              <w:rPr>
                <w:rFonts w:ascii="Calibri"/>
                <w:b/>
                <w:sz w:val="18"/>
              </w:rPr>
            </w:pPr>
            <w:r>
              <w:rPr>
                <w:rFonts w:ascii="Calibri"/>
                <w:b/>
                <w:w w:val="105"/>
                <w:sz w:val="18"/>
              </w:rPr>
              <w:t>CUAD</w:t>
            </w:r>
          </w:p>
        </w:tc>
        <w:tc>
          <w:tcPr>
            <w:tcW w:w="989" w:type="dxa"/>
            <w:tcBorders>
              <w:left w:val="single" w:sz="5" w:space="0" w:color="000000"/>
            </w:tcBorders>
          </w:tcPr>
          <w:p>
            <w:pPr>
              <w:pStyle w:val="TableParagraph"/>
              <w:ind w:left="335" w:right="334"/>
              <w:jc w:val="center"/>
              <w:rPr>
                <w:rFonts w:ascii="Calibri"/>
                <w:b/>
                <w:sz w:val="18"/>
              </w:rPr>
            </w:pPr>
            <w:r>
              <w:rPr>
                <w:rFonts w:ascii="Calibri"/>
                <w:b/>
                <w:w w:val="105"/>
                <w:sz w:val="18"/>
              </w:rPr>
              <w:t>PM</w:t>
            </w:r>
          </w:p>
        </w:tc>
      </w:tr>
      <w:tr>
        <w:trPr>
          <w:trHeight w:val="247" w:hRule="exact"/>
        </w:trPr>
        <w:tc>
          <w:tcPr>
            <w:tcW w:w="593" w:type="dxa"/>
          </w:tcPr>
          <w:p>
            <w:pPr>
              <w:pStyle w:val="TableParagraph"/>
              <w:ind w:right="15"/>
              <w:jc w:val="center"/>
              <w:rPr>
                <w:rFonts w:ascii="Calibri"/>
                <w:sz w:val="18"/>
              </w:rPr>
            </w:pPr>
            <w:r>
              <w:rPr>
                <w:rFonts w:ascii="Calibri"/>
                <w:w w:val="105"/>
                <w:sz w:val="18"/>
              </w:rPr>
              <w:t>108/36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104/27</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113/25</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127/23</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119/20</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Borders>
              <w:bottom w:val="single" w:sz="5" w:space="0" w:color="000000"/>
            </w:tcBorders>
          </w:tcPr>
          <w:p>
            <w:pPr>
              <w:pStyle w:val="TableParagraph"/>
              <w:ind w:right="15"/>
              <w:jc w:val="center"/>
              <w:rPr>
                <w:rFonts w:ascii="Calibri"/>
                <w:sz w:val="18"/>
              </w:rPr>
            </w:pPr>
            <w:r>
              <w:rPr>
                <w:rFonts w:ascii="Calibri"/>
                <w:w w:val="105"/>
                <w:sz w:val="18"/>
              </w:rPr>
              <w:t>107/35</w:t>
            </w:r>
          </w:p>
        </w:tc>
        <w:tc>
          <w:tcPr>
            <w:tcW w:w="72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105/27</w:t>
            </w:r>
          </w:p>
        </w:tc>
        <w:tc>
          <w:tcPr>
            <w:tcW w:w="532" w:type="dxa"/>
            <w:tcBorders>
              <w:bottom w:val="single" w:sz="5" w:space="0" w:color="000000"/>
            </w:tcBorders>
          </w:tcPr>
          <w:p>
            <w:pPr>
              <w:pStyle w:val="TableParagraph"/>
              <w:ind w:left="24"/>
              <w:rPr>
                <w:rFonts w:ascii="Calibri"/>
                <w:sz w:val="18"/>
              </w:rPr>
            </w:pPr>
            <w:r>
              <w:rPr>
                <w:rFonts w:ascii="Calibri"/>
                <w:w w:val="105"/>
                <w:sz w:val="18"/>
              </w:rPr>
              <w:t>Alto</w:t>
            </w:r>
          </w:p>
        </w:tc>
        <w:tc>
          <w:tcPr>
            <w:tcW w:w="989" w:type="dxa"/>
            <w:tcBorders>
              <w:bottom w:val="single" w:sz="5" w:space="0" w:color="000000"/>
            </w:tcBorders>
          </w:tcPr>
          <w:p>
            <w:pPr>
              <w:pStyle w:val="TableParagraph"/>
              <w:ind w:left="24"/>
              <w:rPr>
                <w:rFonts w:ascii="Calibri"/>
                <w:sz w:val="18"/>
              </w:rPr>
            </w:pPr>
            <w:r>
              <w:rPr>
                <w:rFonts w:ascii="Calibri"/>
                <w:w w:val="105"/>
                <w:sz w:val="18"/>
              </w:rPr>
              <w:t>114/25</w:t>
            </w:r>
          </w:p>
        </w:tc>
        <w:tc>
          <w:tcPr>
            <w:tcW w:w="98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108/22</w:t>
            </w:r>
          </w:p>
        </w:tc>
        <w:tc>
          <w:tcPr>
            <w:tcW w:w="989" w:type="dxa"/>
            <w:tcBorders>
              <w:bottom w:val="single" w:sz="5" w:space="0" w:color="000000"/>
            </w:tcBorders>
          </w:tcPr>
          <w:p>
            <w:pPr>
              <w:pStyle w:val="TableParagraph"/>
              <w:ind w:left="24"/>
              <w:rPr>
                <w:rFonts w:ascii="Calibri"/>
                <w:sz w:val="18"/>
              </w:rPr>
            </w:pPr>
            <w:r>
              <w:rPr>
                <w:rFonts w:ascii="Calibri"/>
                <w:w w:val="105"/>
                <w:sz w:val="18"/>
              </w:rPr>
              <w:t>Alto</w:t>
            </w:r>
          </w:p>
        </w:tc>
        <w:tc>
          <w:tcPr>
            <w:tcW w:w="98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123/20</w:t>
            </w:r>
          </w:p>
        </w:tc>
        <w:tc>
          <w:tcPr>
            <w:tcW w:w="989"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Borders>
              <w:top w:val="single" w:sz="5" w:space="0" w:color="000000"/>
            </w:tcBorders>
          </w:tcPr>
          <w:p>
            <w:pPr>
              <w:pStyle w:val="TableParagraph"/>
              <w:spacing w:before="13"/>
              <w:ind w:right="15"/>
              <w:jc w:val="center"/>
              <w:rPr>
                <w:rFonts w:ascii="Calibri"/>
                <w:sz w:val="18"/>
              </w:rPr>
            </w:pPr>
            <w:r>
              <w:rPr>
                <w:rFonts w:ascii="Calibri"/>
                <w:w w:val="105"/>
                <w:sz w:val="18"/>
              </w:rPr>
              <w:t>108/35</w:t>
            </w:r>
          </w:p>
        </w:tc>
        <w:tc>
          <w:tcPr>
            <w:tcW w:w="72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Alto</w:t>
            </w:r>
          </w:p>
        </w:tc>
        <w:tc>
          <w:tcPr>
            <w:tcW w:w="1038"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106/27</w:t>
            </w:r>
          </w:p>
        </w:tc>
        <w:tc>
          <w:tcPr>
            <w:tcW w:w="532" w:type="dxa"/>
            <w:tcBorders>
              <w:top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115/25</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110/22</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125/20</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107/34</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109/27</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116/25</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111/22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127/20</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108/34</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110/27</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117/25</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112/22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109/19</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108/33</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111/27</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108/24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113/22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110/19</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107/32</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112/27</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109/24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114/22</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113/19</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105/31</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103/26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110/24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115/22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114/19</w:t>
            </w:r>
          </w:p>
        </w:tc>
        <w:tc>
          <w:tcPr>
            <w:tcW w:w="989" w:type="dxa"/>
            <w:tcBorders>
              <w:left w:val="single" w:sz="5" w:space="0" w:color="000000"/>
            </w:tcBorders>
          </w:tcPr>
          <w:p>
            <w:pPr>
              <w:pStyle w:val="TableParagraph"/>
              <w:ind w:left="24"/>
              <w:rPr>
                <w:rFonts w:ascii="Calibri"/>
                <w:sz w:val="18"/>
              </w:rPr>
            </w:pPr>
            <w:r>
              <w:rPr>
                <w:rFonts w:ascii="Calibri"/>
                <w:w w:val="105"/>
                <w:sz w:val="18"/>
              </w:rPr>
              <w:t>Extremo</w:t>
            </w:r>
          </w:p>
        </w:tc>
      </w:tr>
      <w:tr>
        <w:trPr>
          <w:trHeight w:val="248" w:hRule="exact"/>
        </w:trPr>
        <w:tc>
          <w:tcPr>
            <w:tcW w:w="593" w:type="dxa"/>
          </w:tcPr>
          <w:p>
            <w:pPr>
              <w:pStyle w:val="TableParagraph"/>
              <w:ind w:right="15"/>
              <w:jc w:val="center"/>
              <w:rPr>
                <w:rFonts w:ascii="Calibri"/>
                <w:sz w:val="18"/>
              </w:rPr>
            </w:pPr>
            <w:r>
              <w:rPr>
                <w:rFonts w:ascii="Calibri"/>
                <w:w w:val="105"/>
                <w:sz w:val="18"/>
              </w:rPr>
              <w:t>106/31</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104/26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111/24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124/22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115/19</w:t>
            </w:r>
          </w:p>
        </w:tc>
        <w:tc>
          <w:tcPr>
            <w:tcW w:w="989" w:type="dxa"/>
            <w:tcBorders>
              <w:left w:val="single" w:sz="5" w:space="0" w:color="000000"/>
            </w:tcBorders>
          </w:tcPr>
          <w:p>
            <w:pPr>
              <w:pStyle w:val="TableParagraph"/>
              <w:ind w:left="24"/>
              <w:rPr>
                <w:rFonts w:ascii="Calibri"/>
                <w:sz w:val="18"/>
              </w:rPr>
            </w:pPr>
            <w:r>
              <w:rPr>
                <w:rFonts w:ascii="Calibri"/>
                <w:w w:val="105"/>
                <w:sz w:val="18"/>
              </w:rPr>
              <w:t>Extremo</w:t>
            </w:r>
          </w:p>
        </w:tc>
      </w:tr>
      <w:tr>
        <w:trPr>
          <w:trHeight w:val="247" w:hRule="exact"/>
        </w:trPr>
        <w:tc>
          <w:tcPr>
            <w:tcW w:w="593" w:type="dxa"/>
          </w:tcPr>
          <w:p>
            <w:pPr>
              <w:pStyle w:val="TableParagraph"/>
              <w:ind w:right="15"/>
              <w:jc w:val="center"/>
              <w:rPr>
                <w:rFonts w:ascii="Calibri"/>
                <w:sz w:val="18"/>
              </w:rPr>
            </w:pPr>
            <w:r>
              <w:rPr>
                <w:rFonts w:ascii="Calibri"/>
                <w:w w:val="105"/>
                <w:sz w:val="18"/>
              </w:rPr>
              <w:t>104/30</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105/26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112/24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133/22</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116/19</w:t>
            </w:r>
          </w:p>
        </w:tc>
        <w:tc>
          <w:tcPr>
            <w:tcW w:w="989" w:type="dxa"/>
            <w:tcBorders>
              <w:left w:val="single" w:sz="5" w:space="0" w:color="000000"/>
            </w:tcBorders>
          </w:tcPr>
          <w:p>
            <w:pPr>
              <w:pStyle w:val="TableParagraph"/>
              <w:ind w:left="24"/>
              <w:rPr>
                <w:rFonts w:ascii="Calibri"/>
                <w:sz w:val="18"/>
              </w:rPr>
            </w:pPr>
            <w:r>
              <w:rPr>
                <w:rFonts w:ascii="Calibri"/>
                <w:w w:val="105"/>
                <w:sz w:val="18"/>
              </w:rPr>
              <w:t>Extremo</w:t>
            </w:r>
          </w:p>
        </w:tc>
      </w:tr>
      <w:tr>
        <w:trPr>
          <w:trHeight w:val="247" w:hRule="exact"/>
        </w:trPr>
        <w:tc>
          <w:tcPr>
            <w:tcW w:w="593" w:type="dxa"/>
          </w:tcPr>
          <w:p>
            <w:pPr>
              <w:pStyle w:val="TableParagraph"/>
              <w:ind w:right="15"/>
              <w:jc w:val="center"/>
              <w:rPr>
                <w:rFonts w:ascii="Calibri"/>
                <w:sz w:val="18"/>
              </w:rPr>
            </w:pPr>
            <w:r>
              <w:rPr>
                <w:rFonts w:ascii="Calibri"/>
                <w:w w:val="105"/>
                <w:sz w:val="18"/>
              </w:rPr>
              <w:t>105/30</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106/26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113/24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108/21</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117/19</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106/30</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107/26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114/24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111/21</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134/19</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108/30</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108/26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115/24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112/21</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112/18</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110/30</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110/26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120/24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113/21</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113/18</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8" w:hRule="exact"/>
        </w:trPr>
        <w:tc>
          <w:tcPr>
            <w:tcW w:w="593" w:type="dxa"/>
          </w:tcPr>
          <w:p>
            <w:pPr>
              <w:pStyle w:val="TableParagraph"/>
              <w:ind w:right="15"/>
              <w:jc w:val="center"/>
              <w:rPr>
                <w:rFonts w:ascii="Calibri"/>
                <w:sz w:val="18"/>
              </w:rPr>
            </w:pPr>
            <w:r>
              <w:rPr>
                <w:rFonts w:ascii="Calibri"/>
                <w:w w:val="105"/>
                <w:sz w:val="18"/>
              </w:rPr>
              <w:t>104/29</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111/26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126/24</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114/21</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114/18</w:t>
            </w:r>
          </w:p>
        </w:tc>
        <w:tc>
          <w:tcPr>
            <w:tcW w:w="989" w:type="dxa"/>
            <w:tcBorders>
              <w:left w:val="single" w:sz="5" w:space="0" w:color="000000"/>
            </w:tcBorders>
          </w:tcPr>
          <w:p>
            <w:pPr>
              <w:pStyle w:val="TableParagraph"/>
              <w:ind w:left="24"/>
              <w:rPr>
                <w:rFonts w:ascii="Calibri"/>
                <w:sz w:val="18"/>
              </w:rPr>
            </w:pPr>
            <w:r>
              <w:rPr>
                <w:rFonts w:ascii="Calibri"/>
                <w:w w:val="105"/>
                <w:sz w:val="18"/>
              </w:rPr>
              <w:t>Extremo</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105/29</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112/26</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106/23</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122/21</w:t>
            </w:r>
          </w:p>
        </w:tc>
        <w:tc>
          <w:tcPr>
            <w:tcW w:w="989" w:type="dxa"/>
          </w:tcPr>
          <w:p>
            <w:pPr>
              <w:pStyle w:val="TableParagraph"/>
              <w:spacing w:before="13"/>
              <w:ind w:left="24"/>
              <w:rPr>
                <w:rFonts w:ascii="Calibri"/>
                <w:sz w:val="18"/>
              </w:rPr>
            </w:pPr>
            <w:r>
              <w:rPr>
                <w:rFonts w:ascii="Calibri"/>
                <w:w w:val="105"/>
                <w:sz w:val="18"/>
              </w:rPr>
              <w:t>Alto</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115/18</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Extremo</w:t>
            </w:r>
          </w:p>
        </w:tc>
      </w:tr>
      <w:tr>
        <w:trPr>
          <w:trHeight w:val="247" w:hRule="exact"/>
        </w:trPr>
        <w:tc>
          <w:tcPr>
            <w:tcW w:w="593" w:type="dxa"/>
          </w:tcPr>
          <w:p>
            <w:pPr>
              <w:pStyle w:val="TableParagraph"/>
              <w:ind w:right="15"/>
              <w:jc w:val="center"/>
              <w:rPr>
                <w:rFonts w:ascii="Calibri"/>
                <w:sz w:val="18"/>
              </w:rPr>
            </w:pPr>
            <w:r>
              <w:rPr>
                <w:rFonts w:ascii="Calibri"/>
                <w:w w:val="105"/>
                <w:sz w:val="18"/>
              </w:rPr>
              <w:t>106/29</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113/26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108/23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123/21</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116/18</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110/29</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114/26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109/23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111/20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117/18</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104/28</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115/26</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110/23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112/20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118/18</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105/28</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105/25</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111/23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113/20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119/18</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Borders>
              <w:bottom w:val="single" w:sz="5" w:space="0" w:color="000000"/>
            </w:tcBorders>
          </w:tcPr>
          <w:p>
            <w:pPr>
              <w:pStyle w:val="TableParagraph"/>
              <w:ind w:right="15"/>
              <w:jc w:val="center"/>
              <w:rPr>
                <w:rFonts w:ascii="Calibri"/>
                <w:sz w:val="18"/>
              </w:rPr>
            </w:pPr>
            <w:r>
              <w:rPr>
                <w:rFonts w:ascii="Calibri"/>
                <w:w w:val="105"/>
                <w:sz w:val="18"/>
              </w:rPr>
              <w:t>106/28</w:t>
            </w:r>
          </w:p>
        </w:tc>
        <w:tc>
          <w:tcPr>
            <w:tcW w:w="72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106/25</w:t>
            </w:r>
          </w:p>
        </w:tc>
        <w:tc>
          <w:tcPr>
            <w:tcW w:w="532" w:type="dxa"/>
            <w:tcBorders>
              <w:bottom w:val="single" w:sz="5" w:space="0" w:color="000000"/>
            </w:tcBorders>
          </w:tcPr>
          <w:p>
            <w:pPr>
              <w:pStyle w:val="TableParagraph"/>
              <w:ind w:left="24"/>
              <w:rPr>
                <w:rFonts w:ascii="Calibri"/>
                <w:sz w:val="18"/>
              </w:rPr>
            </w:pPr>
            <w:r>
              <w:rPr>
                <w:rFonts w:ascii="Calibri"/>
                <w:w w:val="105"/>
                <w:sz w:val="18"/>
              </w:rPr>
              <w:t>Alto</w:t>
            </w:r>
          </w:p>
        </w:tc>
        <w:tc>
          <w:tcPr>
            <w:tcW w:w="989" w:type="dxa"/>
            <w:tcBorders>
              <w:bottom w:val="single" w:sz="5" w:space="0" w:color="000000"/>
            </w:tcBorders>
          </w:tcPr>
          <w:p>
            <w:pPr>
              <w:pStyle w:val="TableParagraph"/>
              <w:ind w:left="24"/>
              <w:rPr>
                <w:rFonts w:ascii="Calibri"/>
                <w:sz w:val="18"/>
              </w:rPr>
            </w:pPr>
            <w:r>
              <w:rPr>
                <w:rFonts w:ascii="Calibri"/>
                <w:w w:val="105"/>
                <w:sz w:val="18"/>
              </w:rPr>
              <w:t>112/23</w:t>
            </w:r>
          </w:p>
        </w:tc>
        <w:tc>
          <w:tcPr>
            <w:tcW w:w="98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114/20</w:t>
            </w:r>
          </w:p>
        </w:tc>
        <w:tc>
          <w:tcPr>
            <w:tcW w:w="989" w:type="dxa"/>
            <w:tcBorders>
              <w:bottom w:val="single" w:sz="5" w:space="0" w:color="000000"/>
            </w:tcBorders>
          </w:tcPr>
          <w:p>
            <w:pPr>
              <w:pStyle w:val="TableParagraph"/>
              <w:ind w:left="24"/>
              <w:rPr>
                <w:rFonts w:ascii="Calibri"/>
                <w:sz w:val="18"/>
              </w:rPr>
            </w:pPr>
            <w:r>
              <w:rPr>
                <w:rFonts w:ascii="Calibri"/>
                <w:w w:val="105"/>
                <w:sz w:val="18"/>
              </w:rPr>
              <w:t>Extremo</w:t>
            </w:r>
          </w:p>
        </w:tc>
        <w:tc>
          <w:tcPr>
            <w:tcW w:w="989" w:type="dxa"/>
            <w:tcBorders>
              <w:bottom w:val="single" w:sz="5" w:space="0" w:color="000000"/>
              <w:right w:val="single" w:sz="5" w:space="0" w:color="000000"/>
            </w:tcBorders>
          </w:tcPr>
          <w:p>
            <w:pPr>
              <w:pStyle w:val="TableParagraph"/>
              <w:ind w:left="24"/>
              <w:rPr>
                <w:rFonts w:ascii="Calibri"/>
                <w:sz w:val="18"/>
              </w:rPr>
            </w:pPr>
            <w:r>
              <w:rPr>
                <w:rFonts w:ascii="Calibri"/>
                <w:w w:val="105"/>
                <w:sz w:val="18"/>
              </w:rPr>
              <w:t>120/18</w:t>
            </w:r>
          </w:p>
        </w:tc>
        <w:tc>
          <w:tcPr>
            <w:tcW w:w="989" w:type="dxa"/>
            <w:tcBorders>
              <w:left w:val="single" w:sz="5" w:space="0" w:color="000000"/>
              <w:bottom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Borders>
              <w:top w:val="single" w:sz="5" w:space="0" w:color="000000"/>
            </w:tcBorders>
          </w:tcPr>
          <w:p>
            <w:pPr>
              <w:pStyle w:val="TableParagraph"/>
              <w:spacing w:before="13"/>
              <w:ind w:right="15"/>
              <w:jc w:val="center"/>
              <w:rPr>
                <w:rFonts w:ascii="Calibri"/>
                <w:sz w:val="18"/>
              </w:rPr>
            </w:pPr>
            <w:r>
              <w:rPr>
                <w:rFonts w:ascii="Calibri"/>
                <w:w w:val="105"/>
                <w:sz w:val="18"/>
              </w:rPr>
              <w:t>107/28</w:t>
            </w:r>
          </w:p>
        </w:tc>
        <w:tc>
          <w:tcPr>
            <w:tcW w:w="72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Alto</w:t>
            </w:r>
          </w:p>
        </w:tc>
        <w:tc>
          <w:tcPr>
            <w:tcW w:w="1038"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108/25</w:t>
            </w:r>
          </w:p>
        </w:tc>
        <w:tc>
          <w:tcPr>
            <w:tcW w:w="532" w:type="dxa"/>
            <w:tcBorders>
              <w:top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113/23</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115/20</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Extremo</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131/18</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109/28</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110/25</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114/23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116/20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132/18</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110/28</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111/25</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121/23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117/20</w:t>
            </w:r>
          </w:p>
        </w:tc>
        <w:tc>
          <w:tcPr>
            <w:tcW w:w="989" w:type="dxa"/>
          </w:tcPr>
          <w:p>
            <w:pPr>
              <w:pStyle w:val="TableParagraph"/>
              <w:ind w:left="24"/>
              <w:rPr>
                <w:rFonts w:ascii="Calibri"/>
                <w:sz w:val="18"/>
              </w:rPr>
            </w:pPr>
            <w:r>
              <w:rPr>
                <w:rFonts w:ascii="Calibri"/>
                <w:w w:val="105"/>
                <w:sz w:val="18"/>
              </w:rPr>
              <w:t>Extremo</w:t>
            </w:r>
          </w:p>
        </w:tc>
        <w:tc>
          <w:tcPr>
            <w:tcW w:w="989" w:type="dxa"/>
            <w:tcBorders>
              <w:right w:val="single" w:sz="5" w:space="0" w:color="000000"/>
            </w:tcBorders>
          </w:tcPr>
          <w:p>
            <w:pPr>
              <w:pStyle w:val="TableParagraph"/>
              <w:ind w:left="24"/>
              <w:rPr>
                <w:rFonts w:ascii="Calibri"/>
                <w:sz w:val="18"/>
              </w:rPr>
            </w:pPr>
            <w:r>
              <w:rPr>
                <w:rFonts w:ascii="Calibri"/>
                <w:w w:val="105"/>
                <w:sz w:val="18"/>
              </w:rPr>
              <w:t>112/17</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111/28</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112/25</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126/23</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118/20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113/17</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bl>
    <w:p>
      <w:pPr>
        <w:spacing w:after="0"/>
        <w:rPr>
          <w:rFonts w:ascii="Calibri"/>
          <w:sz w:val="18"/>
        </w:rPr>
        <w:sectPr>
          <w:footerReference w:type="default" r:id="rId50"/>
          <w:pgSz w:w="12240" w:h="15840"/>
          <w:pgMar w:footer="1003" w:header="0" w:top="1360" w:bottom="1200" w:left="1600" w:right="1580"/>
        </w:sectPr>
      </w:pPr>
    </w:p>
    <w:p>
      <w:pPr>
        <w:pStyle w:val="BodyText"/>
        <w:spacing w:before="52"/>
        <w:ind w:left="102"/>
      </w:pPr>
      <w:r>
        <w:rPr/>
        <w:t>Continua cuadro 15.</w:t>
      </w:r>
    </w:p>
    <w:p>
      <w:pPr>
        <w:pStyle w:val="BodyText"/>
        <w:spacing w:before="5"/>
      </w:pPr>
    </w:p>
    <w:tbl>
      <w:tblPr>
        <w:tblW w:w="0" w:type="auto"/>
        <w:jc w:val="left"/>
        <w:tblInd w:w="10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93"/>
        <w:gridCol w:w="729"/>
        <w:gridCol w:w="1038"/>
        <w:gridCol w:w="532"/>
        <w:gridCol w:w="989"/>
        <w:gridCol w:w="989"/>
        <w:gridCol w:w="989"/>
        <w:gridCol w:w="989"/>
        <w:gridCol w:w="989"/>
        <w:gridCol w:w="989"/>
      </w:tblGrid>
      <w:tr>
        <w:trPr>
          <w:trHeight w:val="247" w:hRule="exact"/>
        </w:trPr>
        <w:tc>
          <w:tcPr>
            <w:tcW w:w="593" w:type="dxa"/>
          </w:tcPr>
          <w:p>
            <w:pPr>
              <w:pStyle w:val="TableParagraph"/>
              <w:ind w:left="32" w:right="15"/>
              <w:jc w:val="center"/>
              <w:rPr>
                <w:rFonts w:ascii="Calibri"/>
                <w:b/>
                <w:sz w:val="18"/>
              </w:rPr>
            </w:pPr>
            <w:r>
              <w:rPr>
                <w:rFonts w:ascii="Calibri"/>
                <w:b/>
                <w:w w:val="105"/>
                <w:sz w:val="18"/>
              </w:rPr>
              <w:t>CUAD</w:t>
            </w:r>
          </w:p>
        </w:tc>
        <w:tc>
          <w:tcPr>
            <w:tcW w:w="729" w:type="dxa"/>
            <w:tcBorders>
              <w:right w:val="single" w:sz="5" w:space="0" w:color="000000"/>
            </w:tcBorders>
          </w:tcPr>
          <w:p>
            <w:pPr>
              <w:pStyle w:val="TableParagraph"/>
              <w:ind w:left="234"/>
              <w:rPr>
                <w:rFonts w:ascii="Calibri"/>
                <w:b/>
                <w:sz w:val="18"/>
              </w:rPr>
            </w:pPr>
            <w:r>
              <w:rPr>
                <w:rFonts w:ascii="Calibri"/>
                <w:b/>
                <w:w w:val="105"/>
                <w:sz w:val="18"/>
              </w:rPr>
              <w:t>PM</w:t>
            </w:r>
          </w:p>
        </w:tc>
        <w:tc>
          <w:tcPr>
            <w:tcW w:w="1038" w:type="dxa"/>
            <w:tcBorders>
              <w:left w:val="single" w:sz="5" w:space="0" w:color="000000"/>
            </w:tcBorders>
          </w:tcPr>
          <w:p>
            <w:pPr>
              <w:pStyle w:val="TableParagraph"/>
              <w:ind w:left="296"/>
              <w:rPr>
                <w:rFonts w:ascii="Calibri"/>
                <w:b/>
                <w:sz w:val="18"/>
              </w:rPr>
            </w:pPr>
            <w:r>
              <w:rPr>
                <w:rFonts w:ascii="Calibri"/>
                <w:b/>
                <w:w w:val="105"/>
                <w:sz w:val="18"/>
              </w:rPr>
              <w:t>CUAD</w:t>
            </w:r>
          </w:p>
        </w:tc>
        <w:tc>
          <w:tcPr>
            <w:tcW w:w="532" w:type="dxa"/>
          </w:tcPr>
          <w:p>
            <w:pPr>
              <w:pStyle w:val="TableParagraph"/>
              <w:ind w:left="135"/>
              <w:rPr>
                <w:rFonts w:ascii="Calibri"/>
                <w:b/>
                <w:sz w:val="18"/>
              </w:rPr>
            </w:pPr>
            <w:r>
              <w:rPr>
                <w:rFonts w:ascii="Calibri"/>
                <w:b/>
                <w:w w:val="105"/>
                <w:sz w:val="18"/>
              </w:rPr>
              <w:t>PM</w:t>
            </w:r>
          </w:p>
        </w:tc>
        <w:tc>
          <w:tcPr>
            <w:tcW w:w="989" w:type="dxa"/>
          </w:tcPr>
          <w:p>
            <w:pPr>
              <w:pStyle w:val="TableParagraph"/>
              <w:ind w:left="271"/>
              <w:rPr>
                <w:rFonts w:ascii="Calibri"/>
                <w:b/>
                <w:sz w:val="18"/>
              </w:rPr>
            </w:pPr>
            <w:r>
              <w:rPr>
                <w:rFonts w:ascii="Calibri"/>
                <w:b/>
                <w:w w:val="105"/>
                <w:sz w:val="18"/>
              </w:rPr>
              <w:t>CUAD</w:t>
            </w:r>
          </w:p>
        </w:tc>
        <w:tc>
          <w:tcPr>
            <w:tcW w:w="989" w:type="dxa"/>
            <w:tcBorders>
              <w:right w:val="single" w:sz="5" w:space="0" w:color="000000"/>
            </w:tcBorders>
          </w:tcPr>
          <w:p>
            <w:pPr>
              <w:pStyle w:val="TableParagraph"/>
              <w:ind w:left="335" w:right="334"/>
              <w:jc w:val="center"/>
              <w:rPr>
                <w:rFonts w:ascii="Calibri"/>
                <w:b/>
                <w:sz w:val="18"/>
              </w:rPr>
            </w:pPr>
            <w:r>
              <w:rPr>
                <w:rFonts w:ascii="Calibri"/>
                <w:b/>
                <w:w w:val="105"/>
                <w:sz w:val="18"/>
              </w:rPr>
              <w:t>PM</w:t>
            </w:r>
          </w:p>
        </w:tc>
        <w:tc>
          <w:tcPr>
            <w:tcW w:w="989" w:type="dxa"/>
            <w:tcBorders>
              <w:left w:val="single" w:sz="5" w:space="0" w:color="000000"/>
            </w:tcBorders>
          </w:tcPr>
          <w:p>
            <w:pPr>
              <w:pStyle w:val="TableParagraph"/>
              <w:ind w:left="271"/>
              <w:rPr>
                <w:rFonts w:ascii="Calibri"/>
                <w:b/>
                <w:sz w:val="18"/>
              </w:rPr>
            </w:pPr>
            <w:r>
              <w:rPr>
                <w:rFonts w:ascii="Calibri"/>
                <w:b/>
                <w:w w:val="105"/>
                <w:sz w:val="18"/>
              </w:rPr>
              <w:t>CUAD</w:t>
            </w:r>
          </w:p>
        </w:tc>
        <w:tc>
          <w:tcPr>
            <w:tcW w:w="989" w:type="dxa"/>
          </w:tcPr>
          <w:p>
            <w:pPr>
              <w:pStyle w:val="TableParagraph"/>
              <w:ind w:left="335" w:right="334"/>
              <w:jc w:val="center"/>
              <w:rPr>
                <w:rFonts w:ascii="Calibri"/>
                <w:b/>
                <w:sz w:val="18"/>
              </w:rPr>
            </w:pPr>
            <w:r>
              <w:rPr>
                <w:rFonts w:ascii="Calibri"/>
                <w:b/>
                <w:w w:val="105"/>
                <w:sz w:val="18"/>
              </w:rPr>
              <w:t>PM</w:t>
            </w:r>
          </w:p>
        </w:tc>
        <w:tc>
          <w:tcPr>
            <w:tcW w:w="989" w:type="dxa"/>
            <w:tcBorders>
              <w:right w:val="single" w:sz="5" w:space="0" w:color="000000"/>
            </w:tcBorders>
          </w:tcPr>
          <w:p>
            <w:pPr>
              <w:pStyle w:val="TableParagraph"/>
              <w:ind w:left="271"/>
              <w:rPr>
                <w:rFonts w:ascii="Calibri"/>
                <w:b/>
                <w:sz w:val="18"/>
              </w:rPr>
            </w:pPr>
            <w:r>
              <w:rPr>
                <w:rFonts w:ascii="Calibri"/>
                <w:b/>
                <w:w w:val="105"/>
                <w:sz w:val="18"/>
              </w:rPr>
              <w:t>CUAD</w:t>
            </w:r>
          </w:p>
        </w:tc>
        <w:tc>
          <w:tcPr>
            <w:tcW w:w="989" w:type="dxa"/>
            <w:tcBorders>
              <w:left w:val="single" w:sz="5" w:space="0" w:color="000000"/>
            </w:tcBorders>
          </w:tcPr>
          <w:p>
            <w:pPr>
              <w:pStyle w:val="TableParagraph"/>
              <w:ind w:left="335" w:right="334"/>
              <w:jc w:val="center"/>
              <w:rPr>
                <w:rFonts w:ascii="Calibri"/>
                <w:b/>
                <w:sz w:val="18"/>
              </w:rPr>
            </w:pPr>
            <w:r>
              <w:rPr>
                <w:rFonts w:ascii="Calibri"/>
                <w:b/>
                <w:w w:val="105"/>
                <w:sz w:val="18"/>
              </w:rPr>
              <w:t>PM</w:t>
            </w:r>
          </w:p>
        </w:tc>
      </w:tr>
      <w:tr>
        <w:trPr>
          <w:trHeight w:val="247" w:hRule="exact"/>
        </w:trPr>
        <w:tc>
          <w:tcPr>
            <w:tcW w:w="593" w:type="dxa"/>
          </w:tcPr>
          <w:p>
            <w:pPr>
              <w:pStyle w:val="TableParagraph"/>
              <w:ind w:right="15"/>
              <w:jc w:val="center"/>
              <w:rPr>
                <w:rFonts w:ascii="Calibri"/>
                <w:sz w:val="18"/>
              </w:rPr>
            </w:pPr>
            <w:r>
              <w:rPr>
                <w:rFonts w:ascii="Calibri"/>
                <w:w w:val="105"/>
                <w:sz w:val="18"/>
              </w:rPr>
              <w:t>114/17</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140/15</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133/13</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142/11</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130/07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115/17</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141/15</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134/13</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143/11</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131/07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116/17</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146/15</w:t>
            </w:r>
          </w:p>
        </w:tc>
        <w:tc>
          <w:tcPr>
            <w:tcW w:w="532" w:type="dxa"/>
          </w:tcPr>
          <w:p>
            <w:pPr>
              <w:pStyle w:val="TableParagraph"/>
              <w:spacing w:before="13"/>
              <w:ind w:left="24"/>
              <w:rPr>
                <w:rFonts w:ascii="Calibri"/>
                <w:sz w:val="18"/>
              </w:rPr>
            </w:pPr>
            <w:r>
              <w:rPr>
                <w:rFonts w:ascii="Calibri"/>
                <w:w w:val="105"/>
                <w:sz w:val="18"/>
              </w:rPr>
              <w:t>Grave</w:t>
            </w:r>
          </w:p>
        </w:tc>
        <w:tc>
          <w:tcPr>
            <w:tcW w:w="989" w:type="dxa"/>
          </w:tcPr>
          <w:p>
            <w:pPr>
              <w:pStyle w:val="TableParagraph"/>
              <w:spacing w:before="13"/>
              <w:ind w:left="24"/>
              <w:rPr>
                <w:rFonts w:ascii="Calibri"/>
                <w:sz w:val="18"/>
              </w:rPr>
            </w:pPr>
            <w:r>
              <w:rPr>
                <w:rFonts w:ascii="Calibri"/>
                <w:w w:val="105"/>
                <w:sz w:val="18"/>
              </w:rPr>
              <w:t>136/13</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144/11</w:t>
            </w:r>
          </w:p>
        </w:tc>
        <w:tc>
          <w:tcPr>
            <w:tcW w:w="989" w:type="dxa"/>
          </w:tcPr>
          <w:p>
            <w:pPr>
              <w:pStyle w:val="TableParagraph"/>
              <w:spacing w:before="13"/>
              <w:ind w:left="24"/>
              <w:rPr>
                <w:rFonts w:ascii="Calibri"/>
                <w:sz w:val="18"/>
              </w:rPr>
            </w:pPr>
            <w:r>
              <w:rPr>
                <w:rFonts w:ascii="Calibri"/>
                <w:w w:val="105"/>
                <w:sz w:val="18"/>
              </w:rPr>
              <w:t>Grave</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132/07</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Grave</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118/17</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114/14</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138/13</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119/10</w:t>
            </w:r>
          </w:p>
        </w:tc>
        <w:tc>
          <w:tcPr>
            <w:tcW w:w="989" w:type="dxa"/>
          </w:tcPr>
          <w:p>
            <w:pPr>
              <w:pStyle w:val="TableParagraph"/>
              <w:spacing w:before="13"/>
              <w:ind w:left="24"/>
              <w:rPr>
                <w:rFonts w:ascii="Calibri"/>
                <w:sz w:val="18"/>
              </w:rPr>
            </w:pPr>
            <w:r>
              <w:rPr>
                <w:rFonts w:ascii="Calibri"/>
                <w:w w:val="105"/>
                <w:sz w:val="18"/>
              </w:rPr>
              <w:t>Alto</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136/07</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119/17</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115/14</w:t>
            </w:r>
          </w:p>
        </w:tc>
        <w:tc>
          <w:tcPr>
            <w:tcW w:w="532" w:type="dxa"/>
          </w:tcPr>
          <w:p>
            <w:pPr>
              <w:pStyle w:val="TableParagraph"/>
              <w:spacing w:before="13"/>
              <w:ind w:left="24"/>
              <w:rPr>
                <w:rFonts w:ascii="Calibri"/>
                <w:sz w:val="18"/>
              </w:rPr>
            </w:pPr>
            <w:r>
              <w:rPr>
                <w:rFonts w:ascii="Calibri"/>
                <w:w w:val="105"/>
                <w:sz w:val="18"/>
              </w:rPr>
              <w:t>Grave</w:t>
            </w:r>
          </w:p>
        </w:tc>
        <w:tc>
          <w:tcPr>
            <w:tcW w:w="989" w:type="dxa"/>
          </w:tcPr>
          <w:p>
            <w:pPr>
              <w:pStyle w:val="TableParagraph"/>
              <w:spacing w:before="13"/>
              <w:ind w:left="24"/>
              <w:rPr>
                <w:rFonts w:ascii="Calibri"/>
                <w:sz w:val="18"/>
              </w:rPr>
            </w:pPr>
            <w:r>
              <w:rPr>
                <w:rFonts w:ascii="Calibri"/>
                <w:w w:val="105"/>
                <w:sz w:val="18"/>
              </w:rPr>
              <w:t>139/13</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121/10</w:t>
            </w:r>
          </w:p>
        </w:tc>
        <w:tc>
          <w:tcPr>
            <w:tcW w:w="989" w:type="dxa"/>
          </w:tcPr>
          <w:p>
            <w:pPr>
              <w:pStyle w:val="TableParagraph"/>
              <w:spacing w:before="13"/>
              <w:ind w:left="24"/>
              <w:rPr>
                <w:rFonts w:ascii="Calibri"/>
                <w:sz w:val="18"/>
              </w:rPr>
            </w:pPr>
            <w:r>
              <w:rPr>
                <w:rFonts w:ascii="Calibri"/>
                <w:w w:val="105"/>
                <w:sz w:val="18"/>
              </w:rPr>
              <w:t>Alto</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137/07</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120/17</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128/14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114/12</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127/10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138/07</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121/17</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129/14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119/12</w:t>
            </w:r>
          </w:p>
        </w:tc>
        <w:tc>
          <w:tcPr>
            <w:tcW w:w="989" w:type="dxa"/>
            <w:tcBorders>
              <w:right w:val="single" w:sz="5" w:space="0" w:color="000000"/>
            </w:tcBorders>
          </w:tcPr>
          <w:p>
            <w:pPr>
              <w:pStyle w:val="TableParagraph"/>
              <w:ind w:left="24"/>
              <w:rPr>
                <w:rFonts w:ascii="Calibri"/>
                <w:sz w:val="18"/>
              </w:rPr>
            </w:pPr>
            <w:r>
              <w:rPr>
                <w:rFonts w:ascii="Calibri"/>
                <w:w w:val="105"/>
                <w:sz w:val="18"/>
              </w:rPr>
              <w:t>Extremo</w:t>
            </w:r>
          </w:p>
        </w:tc>
        <w:tc>
          <w:tcPr>
            <w:tcW w:w="989" w:type="dxa"/>
            <w:tcBorders>
              <w:left w:val="single" w:sz="5" w:space="0" w:color="000000"/>
            </w:tcBorders>
          </w:tcPr>
          <w:p>
            <w:pPr>
              <w:pStyle w:val="TableParagraph"/>
              <w:ind w:left="24"/>
              <w:rPr>
                <w:rFonts w:ascii="Calibri"/>
                <w:sz w:val="18"/>
              </w:rPr>
            </w:pPr>
            <w:r>
              <w:rPr>
                <w:rFonts w:ascii="Calibri"/>
                <w:w w:val="105"/>
                <w:sz w:val="18"/>
              </w:rPr>
              <w:t>128/10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143/07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130/17</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130/14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120/12</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129/10</w:t>
            </w:r>
          </w:p>
        </w:tc>
        <w:tc>
          <w:tcPr>
            <w:tcW w:w="989" w:type="dxa"/>
          </w:tcPr>
          <w:p>
            <w:pPr>
              <w:pStyle w:val="TableParagraph"/>
              <w:ind w:left="24"/>
              <w:rPr>
                <w:rFonts w:ascii="Calibri"/>
                <w:sz w:val="18"/>
              </w:rPr>
            </w:pPr>
            <w:r>
              <w:rPr>
                <w:rFonts w:ascii="Calibri"/>
                <w:w w:val="105"/>
                <w:sz w:val="18"/>
              </w:rPr>
              <w:t>Extremo</w:t>
            </w:r>
          </w:p>
        </w:tc>
        <w:tc>
          <w:tcPr>
            <w:tcW w:w="989" w:type="dxa"/>
            <w:tcBorders>
              <w:right w:val="single" w:sz="5" w:space="0" w:color="000000"/>
            </w:tcBorders>
          </w:tcPr>
          <w:p>
            <w:pPr>
              <w:pStyle w:val="TableParagraph"/>
              <w:ind w:left="24"/>
              <w:rPr>
                <w:rFonts w:ascii="Calibri"/>
                <w:sz w:val="18"/>
              </w:rPr>
            </w:pPr>
            <w:r>
              <w:rPr>
                <w:rFonts w:ascii="Calibri"/>
                <w:w w:val="105"/>
                <w:sz w:val="18"/>
              </w:rPr>
              <w:t>144/07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133/17</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131/14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121/12</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130/10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145/07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112/16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132/14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128/12</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131/10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146/07</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113/16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133/14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130/12</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137/10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118/06</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116/16</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136/14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131/12</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139/10</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127/06</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117/16</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137/14</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132/12</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140/10</w:t>
            </w:r>
          </w:p>
        </w:tc>
        <w:tc>
          <w:tcPr>
            <w:tcW w:w="989" w:type="dxa"/>
          </w:tcPr>
          <w:p>
            <w:pPr>
              <w:pStyle w:val="TableParagraph"/>
              <w:spacing w:before="13"/>
              <w:ind w:left="24"/>
              <w:rPr>
                <w:rFonts w:ascii="Calibri"/>
                <w:sz w:val="18"/>
              </w:rPr>
            </w:pPr>
            <w:r>
              <w:rPr>
                <w:rFonts w:ascii="Calibri"/>
                <w:w w:val="105"/>
                <w:sz w:val="18"/>
              </w:rPr>
              <w:t>Alto</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128/06</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Grave</w:t>
            </w:r>
          </w:p>
        </w:tc>
      </w:tr>
      <w:tr>
        <w:trPr>
          <w:trHeight w:val="247" w:hRule="exact"/>
        </w:trPr>
        <w:tc>
          <w:tcPr>
            <w:tcW w:w="593" w:type="dxa"/>
            <w:tcBorders>
              <w:bottom w:val="single" w:sz="5" w:space="0" w:color="000000"/>
            </w:tcBorders>
          </w:tcPr>
          <w:p>
            <w:pPr>
              <w:pStyle w:val="TableParagraph"/>
              <w:spacing w:before="13"/>
              <w:ind w:right="15"/>
              <w:jc w:val="center"/>
              <w:rPr>
                <w:rFonts w:ascii="Calibri"/>
                <w:sz w:val="18"/>
              </w:rPr>
            </w:pPr>
            <w:r>
              <w:rPr>
                <w:rFonts w:ascii="Calibri"/>
                <w:w w:val="105"/>
                <w:sz w:val="18"/>
              </w:rPr>
              <w:t>119/16</w:t>
            </w:r>
          </w:p>
        </w:tc>
        <w:tc>
          <w:tcPr>
            <w:tcW w:w="729" w:type="dxa"/>
            <w:tcBorders>
              <w:bottom w:val="single" w:sz="5" w:space="0" w:color="000000"/>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bottom w:val="single" w:sz="5" w:space="0" w:color="000000"/>
            </w:tcBorders>
          </w:tcPr>
          <w:p>
            <w:pPr>
              <w:pStyle w:val="TableParagraph"/>
              <w:spacing w:before="13"/>
              <w:ind w:left="24"/>
              <w:rPr>
                <w:rFonts w:ascii="Calibri"/>
                <w:sz w:val="18"/>
              </w:rPr>
            </w:pPr>
            <w:r>
              <w:rPr>
                <w:rFonts w:ascii="Calibri"/>
                <w:w w:val="105"/>
                <w:sz w:val="18"/>
              </w:rPr>
              <w:t>138/14</w:t>
            </w:r>
          </w:p>
        </w:tc>
        <w:tc>
          <w:tcPr>
            <w:tcW w:w="532" w:type="dxa"/>
            <w:tcBorders>
              <w:bottom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bottom w:val="single" w:sz="5" w:space="0" w:color="000000"/>
            </w:tcBorders>
          </w:tcPr>
          <w:p>
            <w:pPr>
              <w:pStyle w:val="TableParagraph"/>
              <w:spacing w:before="13"/>
              <w:ind w:left="24"/>
              <w:rPr>
                <w:rFonts w:ascii="Calibri"/>
                <w:sz w:val="18"/>
              </w:rPr>
            </w:pPr>
            <w:r>
              <w:rPr>
                <w:rFonts w:ascii="Calibri"/>
                <w:w w:val="105"/>
                <w:sz w:val="18"/>
              </w:rPr>
              <w:t>133/12</w:t>
            </w:r>
          </w:p>
        </w:tc>
        <w:tc>
          <w:tcPr>
            <w:tcW w:w="989" w:type="dxa"/>
            <w:tcBorders>
              <w:bottom w:val="single" w:sz="5" w:space="0" w:color="000000"/>
              <w:right w:val="single" w:sz="5" w:space="0" w:color="000000"/>
            </w:tcBorders>
          </w:tcPr>
          <w:p>
            <w:pPr>
              <w:pStyle w:val="TableParagraph"/>
              <w:spacing w:before="13"/>
              <w:ind w:left="24"/>
              <w:rPr>
                <w:rFonts w:ascii="Calibri"/>
                <w:sz w:val="18"/>
              </w:rPr>
            </w:pPr>
            <w:r>
              <w:rPr>
                <w:rFonts w:ascii="Calibri"/>
                <w:w w:val="105"/>
                <w:sz w:val="18"/>
              </w:rPr>
              <w:t>Grave</w:t>
            </w:r>
          </w:p>
        </w:tc>
        <w:tc>
          <w:tcPr>
            <w:tcW w:w="989" w:type="dxa"/>
            <w:tcBorders>
              <w:left w:val="single" w:sz="5" w:space="0" w:color="000000"/>
              <w:bottom w:val="single" w:sz="5" w:space="0" w:color="000000"/>
            </w:tcBorders>
          </w:tcPr>
          <w:p>
            <w:pPr>
              <w:pStyle w:val="TableParagraph"/>
              <w:spacing w:before="13"/>
              <w:ind w:left="24"/>
              <w:rPr>
                <w:rFonts w:ascii="Calibri"/>
                <w:sz w:val="18"/>
              </w:rPr>
            </w:pPr>
            <w:r>
              <w:rPr>
                <w:rFonts w:ascii="Calibri"/>
                <w:w w:val="105"/>
                <w:sz w:val="18"/>
              </w:rPr>
              <w:t>141/10</w:t>
            </w:r>
          </w:p>
        </w:tc>
        <w:tc>
          <w:tcPr>
            <w:tcW w:w="989" w:type="dxa"/>
            <w:tcBorders>
              <w:bottom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bottom w:val="single" w:sz="5" w:space="0" w:color="000000"/>
              <w:right w:val="single" w:sz="5" w:space="0" w:color="000000"/>
            </w:tcBorders>
          </w:tcPr>
          <w:p>
            <w:pPr>
              <w:pStyle w:val="TableParagraph"/>
              <w:spacing w:before="13"/>
              <w:ind w:left="24"/>
              <w:rPr>
                <w:rFonts w:ascii="Calibri"/>
                <w:sz w:val="18"/>
              </w:rPr>
            </w:pPr>
            <w:r>
              <w:rPr>
                <w:rFonts w:ascii="Calibri"/>
                <w:w w:val="105"/>
                <w:sz w:val="18"/>
              </w:rPr>
              <w:t>140/06</w:t>
            </w:r>
          </w:p>
        </w:tc>
        <w:tc>
          <w:tcPr>
            <w:tcW w:w="989" w:type="dxa"/>
            <w:tcBorders>
              <w:left w:val="single" w:sz="5" w:space="0" w:color="000000"/>
              <w:bottom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Borders>
              <w:top w:val="single" w:sz="5" w:space="0" w:color="000000"/>
            </w:tcBorders>
          </w:tcPr>
          <w:p>
            <w:pPr>
              <w:pStyle w:val="TableParagraph"/>
              <w:spacing w:before="13"/>
              <w:ind w:right="15"/>
              <w:jc w:val="center"/>
              <w:rPr>
                <w:rFonts w:ascii="Calibri"/>
                <w:sz w:val="18"/>
              </w:rPr>
            </w:pPr>
            <w:r>
              <w:rPr>
                <w:rFonts w:ascii="Calibri"/>
                <w:w w:val="105"/>
                <w:sz w:val="18"/>
              </w:rPr>
              <w:t>120/16</w:t>
            </w:r>
          </w:p>
        </w:tc>
        <w:tc>
          <w:tcPr>
            <w:tcW w:w="72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139/14</w:t>
            </w:r>
          </w:p>
        </w:tc>
        <w:tc>
          <w:tcPr>
            <w:tcW w:w="532" w:type="dxa"/>
            <w:tcBorders>
              <w:top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134/12</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Grave</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142/10</w:t>
            </w:r>
          </w:p>
        </w:tc>
        <w:tc>
          <w:tcPr>
            <w:tcW w:w="989" w:type="dxa"/>
            <w:tcBorders>
              <w:top w:val="single" w:sz="5" w:space="0" w:color="000000"/>
            </w:tcBorders>
          </w:tcPr>
          <w:p>
            <w:pPr>
              <w:pStyle w:val="TableParagraph"/>
              <w:spacing w:before="13"/>
              <w:ind w:left="24"/>
              <w:rPr>
                <w:rFonts w:ascii="Calibri"/>
                <w:sz w:val="18"/>
              </w:rPr>
            </w:pPr>
            <w:r>
              <w:rPr>
                <w:rFonts w:ascii="Calibri"/>
                <w:w w:val="105"/>
                <w:sz w:val="18"/>
              </w:rPr>
              <w:t>Grave</w:t>
            </w:r>
          </w:p>
        </w:tc>
        <w:tc>
          <w:tcPr>
            <w:tcW w:w="989" w:type="dxa"/>
            <w:tcBorders>
              <w:top w:val="single" w:sz="5" w:space="0" w:color="000000"/>
              <w:right w:val="single" w:sz="5" w:space="0" w:color="000000"/>
            </w:tcBorders>
          </w:tcPr>
          <w:p>
            <w:pPr>
              <w:pStyle w:val="TableParagraph"/>
              <w:spacing w:before="13"/>
              <w:ind w:left="24"/>
              <w:rPr>
                <w:rFonts w:ascii="Calibri"/>
                <w:sz w:val="18"/>
              </w:rPr>
            </w:pPr>
            <w:r>
              <w:rPr>
                <w:rFonts w:ascii="Calibri"/>
                <w:w w:val="105"/>
                <w:sz w:val="18"/>
              </w:rPr>
              <w:t>142/06</w:t>
            </w:r>
          </w:p>
        </w:tc>
        <w:tc>
          <w:tcPr>
            <w:tcW w:w="989" w:type="dxa"/>
            <w:tcBorders>
              <w:top w:val="single" w:sz="5" w:space="0" w:color="000000"/>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127/16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140/14</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135/12</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143/10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143/06</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128/16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141/14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142/12</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144/10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144/06</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130/16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142/14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143/12</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145/10</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145/06</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131/16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146/14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118/11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136/09</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122/05</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133/16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147/14</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119/11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137/09</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126/05</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ind w:right="15"/>
              <w:jc w:val="center"/>
              <w:rPr>
                <w:rFonts w:ascii="Calibri"/>
                <w:sz w:val="18"/>
              </w:rPr>
            </w:pPr>
            <w:r>
              <w:rPr>
                <w:rFonts w:ascii="Calibri"/>
                <w:w w:val="105"/>
                <w:sz w:val="18"/>
              </w:rPr>
              <w:t>134/16</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111/13</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120/11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138/09</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127/05</w:t>
            </w:r>
          </w:p>
        </w:tc>
        <w:tc>
          <w:tcPr>
            <w:tcW w:w="989" w:type="dxa"/>
            <w:tcBorders>
              <w:left w:val="single" w:sz="5" w:space="0" w:color="000000"/>
            </w:tcBorders>
          </w:tcPr>
          <w:p>
            <w:pPr>
              <w:pStyle w:val="TableParagraph"/>
              <w:ind w:left="24"/>
              <w:rPr>
                <w:rFonts w:ascii="Calibri"/>
                <w:sz w:val="18"/>
              </w:rPr>
            </w:pPr>
            <w:r>
              <w:rPr>
                <w:rFonts w:ascii="Calibri"/>
                <w:w w:val="105"/>
                <w:sz w:val="18"/>
              </w:rPr>
              <w:t>Grave</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113/15</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112/13</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121/11</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139/09</w:t>
            </w:r>
          </w:p>
        </w:tc>
        <w:tc>
          <w:tcPr>
            <w:tcW w:w="989" w:type="dxa"/>
          </w:tcPr>
          <w:p>
            <w:pPr>
              <w:pStyle w:val="TableParagraph"/>
              <w:spacing w:before="13"/>
              <w:ind w:left="24"/>
              <w:rPr>
                <w:rFonts w:ascii="Calibri"/>
                <w:sz w:val="18"/>
              </w:rPr>
            </w:pPr>
            <w:r>
              <w:rPr>
                <w:rFonts w:ascii="Calibri"/>
                <w:w w:val="105"/>
                <w:sz w:val="18"/>
              </w:rPr>
              <w:t>Alto</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128/05</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Grave</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122/15</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114/13</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127/11</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144/09</w:t>
            </w:r>
          </w:p>
        </w:tc>
        <w:tc>
          <w:tcPr>
            <w:tcW w:w="989" w:type="dxa"/>
          </w:tcPr>
          <w:p>
            <w:pPr>
              <w:pStyle w:val="TableParagraph"/>
              <w:spacing w:before="13"/>
              <w:ind w:left="24"/>
              <w:rPr>
                <w:rFonts w:ascii="Calibri"/>
                <w:sz w:val="18"/>
              </w:rPr>
            </w:pPr>
            <w:r>
              <w:rPr>
                <w:rFonts w:ascii="Calibri"/>
                <w:w w:val="105"/>
                <w:sz w:val="18"/>
              </w:rPr>
              <w:t>Grave</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141/05</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spacing w:before="13"/>
              <w:ind w:right="15"/>
              <w:jc w:val="center"/>
              <w:rPr>
                <w:rFonts w:ascii="Calibri"/>
                <w:sz w:val="18"/>
              </w:rPr>
            </w:pPr>
            <w:r>
              <w:rPr>
                <w:rFonts w:ascii="Calibri"/>
                <w:w w:val="105"/>
                <w:sz w:val="18"/>
              </w:rPr>
              <w:t>123/15</w:t>
            </w:r>
          </w:p>
        </w:tc>
        <w:tc>
          <w:tcPr>
            <w:tcW w:w="729" w:type="dxa"/>
            <w:tcBorders>
              <w:right w:val="single" w:sz="5" w:space="0" w:color="000000"/>
            </w:tcBorders>
          </w:tcPr>
          <w:p>
            <w:pPr>
              <w:pStyle w:val="TableParagraph"/>
              <w:spacing w:before="13"/>
              <w:ind w:left="24"/>
              <w:rPr>
                <w:rFonts w:ascii="Calibri"/>
                <w:sz w:val="18"/>
              </w:rPr>
            </w:pPr>
            <w:r>
              <w:rPr>
                <w:rFonts w:ascii="Calibri"/>
                <w:w w:val="105"/>
                <w:sz w:val="18"/>
              </w:rPr>
              <w:t>Grave</w:t>
            </w:r>
          </w:p>
        </w:tc>
        <w:tc>
          <w:tcPr>
            <w:tcW w:w="1038" w:type="dxa"/>
            <w:tcBorders>
              <w:left w:val="single" w:sz="5" w:space="0" w:color="000000"/>
            </w:tcBorders>
          </w:tcPr>
          <w:p>
            <w:pPr>
              <w:pStyle w:val="TableParagraph"/>
              <w:spacing w:before="13"/>
              <w:ind w:left="24"/>
              <w:rPr>
                <w:rFonts w:ascii="Calibri"/>
                <w:sz w:val="18"/>
              </w:rPr>
            </w:pPr>
            <w:r>
              <w:rPr>
                <w:rFonts w:ascii="Calibri"/>
                <w:w w:val="105"/>
                <w:sz w:val="18"/>
              </w:rPr>
              <w:t>115/13</w:t>
            </w:r>
          </w:p>
        </w:tc>
        <w:tc>
          <w:tcPr>
            <w:tcW w:w="532" w:type="dxa"/>
          </w:tcPr>
          <w:p>
            <w:pPr>
              <w:pStyle w:val="TableParagraph"/>
              <w:spacing w:before="13"/>
              <w:ind w:left="24"/>
              <w:rPr>
                <w:rFonts w:ascii="Calibri"/>
                <w:sz w:val="18"/>
              </w:rPr>
            </w:pPr>
            <w:r>
              <w:rPr>
                <w:rFonts w:ascii="Calibri"/>
                <w:w w:val="105"/>
                <w:sz w:val="18"/>
              </w:rPr>
              <w:t>Alto</w:t>
            </w:r>
          </w:p>
        </w:tc>
        <w:tc>
          <w:tcPr>
            <w:tcW w:w="989" w:type="dxa"/>
          </w:tcPr>
          <w:p>
            <w:pPr>
              <w:pStyle w:val="TableParagraph"/>
              <w:spacing w:before="13"/>
              <w:ind w:left="24"/>
              <w:rPr>
                <w:rFonts w:ascii="Calibri"/>
                <w:sz w:val="18"/>
              </w:rPr>
            </w:pPr>
            <w:r>
              <w:rPr>
                <w:rFonts w:ascii="Calibri"/>
                <w:w w:val="105"/>
                <w:sz w:val="18"/>
              </w:rPr>
              <w:t>128/11</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Alto</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145/09</w:t>
            </w:r>
          </w:p>
        </w:tc>
        <w:tc>
          <w:tcPr>
            <w:tcW w:w="989" w:type="dxa"/>
          </w:tcPr>
          <w:p>
            <w:pPr>
              <w:pStyle w:val="TableParagraph"/>
              <w:spacing w:before="13"/>
              <w:ind w:left="24"/>
              <w:rPr>
                <w:rFonts w:ascii="Calibri"/>
                <w:sz w:val="18"/>
              </w:rPr>
            </w:pPr>
            <w:r>
              <w:rPr>
                <w:rFonts w:ascii="Calibri"/>
                <w:w w:val="105"/>
                <w:sz w:val="18"/>
              </w:rPr>
              <w:t>Grave</w:t>
            </w: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142/05</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128/15</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119/13</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131/11</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130/08</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143/05</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129/15</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120/13</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133/11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132/08</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144/05</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130/15</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128/13</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135/11</w:t>
            </w:r>
          </w:p>
        </w:tc>
        <w:tc>
          <w:tcPr>
            <w:tcW w:w="989" w:type="dxa"/>
            <w:tcBorders>
              <w:right w:val="single" w:sz="5" w:space="0" w:color="000000"/>
            </w:tcBorders>
          </w:tcPr>
          <w:p>
            <w:pPr>
              <w:pStyle w:val="TableParagraph"/>
              <w:ind w:left="24"/>
              <w:rPr>
                <w:rFonts w:ascii="Calibri"/>
                <w:sz w:val="18"/>
              </w:rPr>
            </w:pPr>
            <w:r>
              <w:rPr>
                <w:rFonts w:ascii="Calibri"/>
                <w:w w:val="105"/>
                <w:sz w:val="18"/>
              </w:rPr>
              <w:t>Grave</w:t>
            </w:r>
          </w:p>
        </w:tc>
        <w:tc>
          <w:tcPr>
            <w:tcW w:w="989" w:type="dxa"/>
            <w:tcBorders>
              <w:left w:val="single" w:sz="5" w:space="0" w:color="000000"/>
            </w:tcBorders>
          </w:tcPr>
          <w:p>
            <w:pPr>
              <w:pStyle w:val="TableParagraph"/>
              <w:ind w:left="24"/>
              <w:rPr>
                <w:rFonts w:ascii="Calibri"/>
                <w:sz w:val="18"/>
              </w:rPr>
            </w:pPr>
            <w:r>
              <w:rPr>
                <w:rFonts w:ascii="Calibri"/>
                <w:w w:val="105"/>
                <w:sz w:val="18"/>
              </w:rPr>
              <w:t>136/08</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145/05</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131/15</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129/13</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138/11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137/08</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141/04</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132/15</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130/13</w:t>
            </w:r>
          </w:p>
        </w:tc>
        <w:tc>
          <w:tcPr>
            <w:tcW w:w="532" w:type="dxa"/>
          </w:tcPr>
          <w:p>
            <w:pPr>
              <w:pStyle w:val="TableParagraph"/>
              <w:ind w:left="24"/>
              <w:rPr>
                <w:rFonts w:ascii="Calibri"/>
                <w:sz w:val="18"/>
              </w:rPr>
            </w:pPr>
            <w:r>
              <w:rPr>
                <w:rFonts w:ascii="Calibri"/>
                <w:w w:val="105"/>
                <w:sz w:val="18"/>
              </w:rPr>
              <w:t>Grave</w:t>
            </w:r>
          </w:p>
        </w:tc>
        <w:tc>
          <w:tcPr>
            <w:tcW w:w="989" w:type="dxa"/>
          </w:tcPr>
          <w:p>
            <w:pPr>
              <w:pStyle w:val="TableParagraph"/>
              <w:ind w:left="24"/>
              <w:rPr>
                <w:rFonts w:ascii="Calibri"/>
                <w:sz w:val="18"/>
              </w:rPr>
            </w:pPr>
            <w:r>
              <w:rPr>
                <w:rFonts w:ascii="Calibri"/>
                <w:w w:val="105"/>
                <w:sz w:val="18"/>
              </w:rPr>
              <w:t>139/11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138/08</w:t>
            </w:r>
          </w:p>
        </w:tc>
        <w:tc>
          <w:tcPr>
            <w:tcW w:w="989" w:type="dxa"/>
          </w:tcPr>
          <w:p>
            <w:pPr>
              <w:pStyle w:val="TableParagraph"/>
              <w:ind w:left="24"/>
              <w:rPr>
                <w:rFonts w:ascii="Calibri"/>
                <w:sz w:val="18"/>
              </w:rPr>
            </w:pPr>
            <w:r>
              <w:rPr>
                <w:rFonts w:ascii="Calibri"/>
                <w:w w:val="105"/>
                <w:sz w:val="18"/>
              </w:rPr>
              <w:t>Alto</w:t>
            </w:r>
          </w:p>
        </w:tc>
        <w:tc>
          <w:tcPr>
            <w:tcW w:w="989" w:type="dxa"/>
            <w:tcBorders>
              <w:right w:val="single" w:sz="5" w:space="0" w:color="000000"/>
            </w:tcBorders>
          </w:tcPr>
          <w:p>
            <w:pPr>
              <w:pStyle w:val="TableParagraph"/>
              <w:ind w:left="24"/>
              <w:rPr>
                <w:rFonts w:ascii="Calibri"/>
                <w:sz w:val="18"/>
              </w:rPr>
            </w:pPr>
            <w:r>
              <w:rPr>
                <w:rFonts w:ascii="Calibri"/>
                <w:w w:val="105"/>
                <w:sz w:val="18"/>
              </w:rPr>
              <w:t>142/04</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133/15</w:t>
            </w:r>
          </w:p>
        </w:tc>
        <w:tc>
          <w:tcPr>
            <w:tcW w:w="729" w:type="dxa"/>
            <w:tcBorders>
              <w:right w:val="single" w:sz="5" w:space="0" w:color="000000"/>
            </w:tcBorders>
          </w:tcPr>
          <w:p>
            <w:pPr>
              <w:pStyle w:val="TableParagraph"/>
              <w:ind w:left="24"/>
              <w:rPr>
                <w:rFonts w:ascii="Calibri"/>
                <w:sz w:val="18"/>
              </w:rPr>
            </w:pPr>
            <w:r>
              <w:rPr>
                <w:rFonts w:ascii="Calibri"/>
                <w:w w:val="105"/>
                <w:sz w:val="18"/>
              </w:rPr>
              <w:t>Grave</w:t>
            </w:r>
          </w:p>
        </w:tc>
        <w:tc>
          <w:tcPr>
            <w:tcW w:w="1038" w:type="dxa"/>
            <w:tcBorders>
              <w:left w:val="single" w:sz="5" w:space="0" w:color="000000"/>
            </w:tcBorders>
          </w:tcPr>
          <w:p>
            <w:pPr>
              <w:pStyle w:val="TableParagraph"/>
              <w:ind w:left="24"/>
              <w:rPr>
                <w:rFonts w:ascii="Calibri"/>
                <w:sz w:val="18"/>
              </w:rPr>
            </w:pPr>
            <w:r>
              <w:rPr>
                <w:rFonts w:ascii="Calibri"/>
                <w:w w:val="105"/>
                <w:sz w:val="18"/>
              </w:rPr>
              <w:t>131/13</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140/11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145/08</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143/04</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Style w:val="TableParagraph"/>
              <w:ind w:right="15"/>
              <w:jc w:val="center"/>
              <w:rPr>
                <w:rFonts w:ascii="Calibri"/>
                <w:sz w:val="18"/>
              </w:rPr>
            </w:pPr>
            <w:r>
              <w:rPr>
                <w:rFonts w:ascii="Calibri"/>
                <w:w w:val="105"/>
                <w:sz w:val="18"/>
              </w:rPr>
              <w:t>139/15</w:t>
            </w:r>
          </w:p>
        </w:tc>
        <w:tc>
          <w:tcPr>
            <w:tcW w:w="729" w:type="dxa"/>
            <w:tcBorders>
              <w:right w:val="single" w:sz="5" w:space="0" w:color="000000"/>
            </w:tcBorders>
          </w:tcPr>
          <w:p>
            <w:pPr>
              <w:pStyle w:val="TableParagraph"/>
              <w:ind w:left="24"/>
              <w:rPr>
                <w:rFonts w:ascii="Calibri"/>
                <w:sz w:val="18"/>
              </w:rPr>
            </w:pPr>
            <w:r>
              <w:rPr>
                <w:rFonts w:ascii="Calibri"/>
                <w:w w:val="105"/>
                <w:sz w:val="18"/>
              </w:rPr>
              <w:t>Alto</w:t>
            </w:r>
          </w:p>
        </w:tc>
        <w:tc>
          <w:tcPr>
            <w:tcW w:w="1038" w:type="dxa"/>
            <w:tcBorders>
              <w:left w:val="single" w:sz="5" w:space="0" w:color="000000"/>
            </w:tcBorders>
          </w:tcPr>
          <w:p>
            <w:pPr>
              <w:pStyle w:val="TableParagraph"/>
              <w:ind w:left="24"/>
              <w:rPr>
                <w:rFonts w:ascii="Calibri"/>
                <w:sz w:val="18"/>
              </w:rPr>
            </w:pPr>
            <w:r>
              <w:rPr>
                <w:rFonts w:ascii="Calibri"/>
                <w:w w:val="105"/>
                <w:sz w:val="18"/>
              </w:rPr>
              <w:t>132/13</w:t>
            </w:r>
          </w:p>
        </w:tc>
        <w:tc>
          <w:tcPr>
            <w:tcW w:w="532" w:type="dxa"/>
          </w:tcPr>
          <w:p>
            <w:pPr>
              <w:pStyle w:val="TableParagraph"/>
              <w:ind w:left="24"/>
              <w:rPr>
                <w:rFonts w:ascii="Calibri"/>
                <w:sz w:val="18"/>
              </w:rPr>
            </w:pPr>
            <w:r>
              <w:rPr>
                <w:rFonts w:ascii="Calibri"/>
                <w:w w:val="105"/>
                <w:sz w:val="18"/>
              </w:rPr>
              <w:t>Alto</w:t>
            </w:r>
          </w:p>
        </w:tc>
        <w:tc>
          <w:tcPr>
            <w:tcW w:w="989" w:type="dxa"/>
          </w:tcPr>
          <w:p>
            <w:pPr>
              <w:pStyle w:val="TableParagraph"/>
              <w:ind w:left="24"/>
              <w:rPr>
                <w:rFonts w:ascii="Calibri"/>
                <w:sz w:val="18"/>
              </w:rPr>
            </w:pPr>
            <w:r>
              <w:rPr>
                <w:rFonts w:ascii="Calibri"/>
                <w:w w:val="105"/>
                <w:sz w:val="18"/>
              </w:rPr>
              <w:t>141/11</w:t>
            </w:r>
          </w:p>
        </w:tc>
        <w:tc>
          <w:tcPr>
            <w:tcW w:w="989" w:type="dxa"/>
            <w:tcBorders>
              <w:right w:val="single" w:sz="5" w:space="0" w:color="000000"/>
            </w:tcBorders>
          </w:tcPr>
          <w:p>
            <w:pPr>
              <w:pStyle w:val="TableParagraph"/>
              <w:ind w:left="24"/>
              <w:rPr>
                <w:rFonts w:ascii="Calibri"/>
                <w:sz w:val="18"/>
              </w:rPr>
            </w:pPr>
            <w:r>
              <w:rPr>
                <w:rFonts w:ascii="Calibri"/>
                <w:w w:val="105"/>
                <w:sz w:val="18"/>
              </w:rPr>
              <w:t>Alto</w:t>
            </w:r>
          </w:p>
        </w:tc>
        <w:tc>
          <w:tcPr>
            <w:tcW w:w="989" w:type="dxa"/>
            <w:tcBorders>
              <w:left w:val="single" w:sz="5" w:space="0" w:color="000000"/>
            </w:tcBorders>
          </w:tcPr>
          <w:p>
            <w:pPr>
              <w:pStyle w:val="TableParagraph"/>
              <w:ind w:left="24"/>
              <w:rPr>
                <w:rFonts w:ascii="Calibri"/>
                <w:sz w:val="18"/>
              </w:rPr>
            </w:pPr>
            <w:r>
              <w:rPr>
                <w:rFonts w:ascii="Calibri"/>
                <w:w w:val="105"/>
                <w:sz w:val="18"/>
              </w:rPr>
              <w:t>146/08</w:t>
            </w:r>
          </w:p>
        </w:tc>
        <w:tc>
          <w:tcPr>
            <w:tcW w:w="989" w:type="dxa"/>
          </w:tcPr>
          <w:p>
            <w:pPr>
              <w:pStyle w:val="TableParagraph"/>
              <w:ind w:left="24"/>
              <w:rPr>
                <w:rFonts w:ascii="Calibri"/>
                <w:sz w:val="18"/>
              </w:rPr>
            </w:pPr>
            <w:r>
              <w:rPr>
                <w:rFonts w:ascii="Calibri"/>
                <w:w w:val="105"/>
                <w:sz w:val="18"/>
              </w:rPr>
              <w:t>Grave</w:t>
            </w:r>
          </w:p>
        </w:tc>
        <w:tc>
          <w:tcPr>
            <w:tcW w:w="989" w:type="dxa"/>
            <w:tcBorders>
              <w:right w:val="single" w:sz="5" w:space="0" w:color="000000"/>
            </w:tcBorders>
          </w:tcPr>
          <w:p>
            <w:pPr>
              <w:pStyle w:val="TableParagraph"/>
              <w:ind w:left="24"/>
              <w:rPr>
                <w:rFonts w:ascii="Calibri"/>
                <w:sz w:val="18"/>
              </w:rPr>
            </w:pPr>
            <w:r>
              <w:rPr>
                <w:rFonts w:ascii="Calibri"/>
                <w:w w:val="105"/>
                <w:sz w:val="18"/>
              </w:rPr>
              <w:t>144/04</w:t>
            </w:r>
          </w:p>
        </w:tc>
        <w:tc>
          <w:tcPr>
            <w:tcW w:w="989" w:type="dxa"/>
            <w:tcBorders>
              <w:left w:val="single" w:sz="5" w:space="0" w:color="000000"/>
            </w:tcBorders>
          </w:tcPr>
          <w:p>
            <w:pPr>
              <w:pStyle w:val="TableParagraph"/>
              <w:ind w:left="24"/>
              <w:rPr>
                <w:rFonts w:ascii="Calibri"/>
                <w:sz w:val="18"/>
              </w:rPr>
            </w:pPr>
            <w:r>
              <w:rPr>
                <w:rFonts w:ascii="Calibri"/>
                <w:w w:val="105"/>
                <w:sz w:val="18"/>
              </w:rPr>
              <w:t>Alto</w:t>
            </w:r>
          </w:p>
        </w:tc>
      </w:tr>
      <w:tr>
        <w:trPr>
          <w:trHeight w:val="247" w:hRule="exact"/>
        </w:trPr>
        <w:tc>
          <w:tcPr>
            <w:tcW w:w="593" w:type="dxa"/>
          </w:tcPr>
          <w:p>
            <w:pPr/>
          </w:p>
        </w:tc>
        <w:tc>
          <w:tcPr>
            <w:tcW w:w="729" w:type="dxa"/>
            <w:tcBorders>
              <w:right w:val="single" w:sz="5" w:space="0" w:color="000000"/>
            </w:tcBorders>
          </w:tcPr>
          <w:p>
            <w:pPr/>
          </w:p>
        </w:tc>
        <w:tc>
          <w:tcPr>
            <w:tcW w:w="1038" w:type="dxa"/>
            <w:tcBorders>
              <w:left w:val="single" w:sz="5" w:space="0" w:color="000000"/>
            </w:tcBorders>
          </w:tcPr>
          <w:p>
            <w:pPr/>
          </w:p>
        </w:tc>
        <w:tc>
          <w:tcPr>
            <w:tcW w:w="532" w:type="dxa"/>
          </w:tcPr>
          <w:p>
            <w:pPr/>
          </w:p>
        </w:tc>
        <w:tc>
          <w:tcPr>
            <w:tcW w:w="989" w:type="dxa"/>
          </w:tcPr>
          <w:p>
            <w:pPr/>
          </w:p>
        </w:tc>
        <w:tc>
          <w:tcPr>
            <w:tcW w:w="989" w:type="dxa"/>
            <w:tcBorders>
              <w:right w:val="single" w:sz="5" w:space="0" w:color="000000"/>
            </w:tcBorders>
          </w:tcPr>
          <w:p>
            <w:pPr/>
          </w:p>
        </w:tc>
        <w:tc>
          <w:tcPr>
            <w:tcW w:w="989" w:type="dxa"/>
            <w:tcBorders>
              <w:left w:val="single" w:sz="5" w:space="0" w:color="000000"/>
            </w:tcBorders>
          </w:tcPr>
          <w:p>
            <w:pPr/>
          </w:p>
        </w:tc>
        <w:tc>
          <w:tcPr>
            <w:tcW w:w="989" w:type="dxa"/>
          </w:tcPr>
          <w:p>
            <w:pPr/>
          </w:p>
        </w:tc>
        <w:tc>
          <w:tcPr>
            <w:tcW w:w="989" w:type="dxa"/>
            <w:tcBorders>
              <w:right w:val="single" w:sz="5" w:space="0" w:color="000000"/>
            </w:tcBorders>
          </w:tcPr>
          <w:p>
            <w:pPr>
              <w:pStyle w:val="TableParagraph"/>
              <w:spacing w:before="13"/>
              <w:ind w:left="24"/>
              <w:rPr>
                <w:rFonts w:ascii="Calibri"/>
                <w:sz w:val="18"/>
              </w:rPr>
            </w:pPr>
            <w:r>
              <w:rPr>
                <w:rFonts w:ascii="Calibri"/>
                <w:w w:val="105"/>
                <w:sz w:val="18"/>
              </w:rPr>
              <w:t>145/04</w:t>
            </w:r>
          </w:p>
        </w:tc>
        <w:tc>
          <w:tcPr>
            <w:tcW w:w="989" w:type="dxa"/>
            <w:tcBorders>
              <w:left w:val="single" w:sz="5" w:space="0" w:color="000000"/>
            </w:tcBorders>
          </w:tcPr>
          <w:p>
            <w:pPr>
              <w:pStyle w:val="TableParagraph"/>
              <w:spacing w:before="13"/>
              <w:ind w:left="24"/>
              <w:rPr>
                <w:rFonts w:ascii="Calibri"/>
                <w:sz w:val="18"/>
              </w:rPr>
            </w:pPr>
            <w:r>
              <w:rPr>
                <w:rFonts w:ascii="Calibri"/>
                <w:w w:val="105"/>
                <w:sz w:val="18"/>
              </w:rPr>
              <w:t>Alto</w:t>
            </w:r>
          </w:p>
        </w:tc>
      </w:tr>
    </w:tbl>
    <w:p>
      <w:pPr>
        <w:spacing w:after="0"/>
        <w:rPr>
          <w:rFonts w:ascii="Calibri"/>
          <w:sz w:val="18"/>
        </w:rPr>
        <w:sectPr>
          <w:footerReference w:type="default" r:id="rId51"/>
          <w:pgSz w:w="12240" w:h="15840"/>
          <w:pgMar w:footer="1003" w:header="0" w:top="1360" w:bottom="1200" w:left="1600" w:right="1580"/>
          <w:pgNumType w:start="81"/>
        </w:sectPr>
      </w:pPr>
    </w:p>
    <w:p>
      <w:pPr>
        <w:pStyle w:val="BodyText"/>
        <w:spacing w:before="52" w:after="5"/>
        <w:ind w:left="102"/>
      </w:pPr>
      <w:r>
        <w:rPr/>
        <w:t>Figura 16. Peligrosidad del medio</w:t>
      </w:r>
    </w:p>
    <w:p>
      <w:pPr>
        <w:pStyle w:val="BodyText"/>
        <w:ind w:left="101"/>
        <w:rPr>
          <w:sz w:val="20"/>
        </w:rPr>
      </w:pPr>
      <w:r>
        <w:rPr>
          <w:sz w:val="20"/>
        </w:rPr>
        <w:drawing>
          <wp:inline distT="0" distB="0" distL="0" distR="0">
            <wp:extent cx="5287374" cy="7929372"/>
            <wp:effectExtent l="0" t="0" r="0" b="0"/>
            <wp:docPr id="39" name="image23.jpeg" descr=""/>
            <wp:cNvGraphicFramePr>
              <a:graphicFrameLocks noChangeAspect="1"/>
            </wp:cNvGraphicFramePr>
            <a:graphic>
              <a:graphicData uri="http://schemas.openxmlformats.org/drawingml/2006/picture">
                <pic:pic>
                  <pic:nvPicPr>
                    <pic:cNvPr id="40" name="image23.jpeg"/>
                    <pic:cNvPicPr/>
                  </pic:nvPicPr>
                  <pic:blipFill>
                    <a:blip r:embed="rId52" cstate="print"/>
                    <a:stretch>
                      <a:fillRect/>
                    </a:stretch>
                  </pic:blipFill>
                  <pic:spPr>
                    <a:xfrm>
                      <a:off x="0" y="0"/>
                      <a:ext cx="5287374" cy="7929372"/>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Heading1"/>
        <w:spacing w:before="52"/>
        <w:ind w:firstLine="0"/>
        <w:jc w:val="both"/>
      </w:pPr>
      <w:r>
        <w:rPr/>
        <w:t>Riesgo de incendios</w:t>
      </w:r>
    </w:p>
    <w:p>
      <w:pPr>
        <w:pStyle w:val="BodyText"/>
        <w:spacing w:before="2"/>
        <w:rPr>
          <w:b/>
        </w:rPr>
      </w:pPr>
    </w:p>
    <w:p>
      <w:pPr>
        <w:pStyle w:val="BodyText"/>
        <w:spacing w:line="360" w:lineRule="auto"/>
        <w:ind w:left="102" w:right="120"/>
        <w:jc w:val="both"/>
      </w:pPr>
      <w:r>
        <w:rPr/>
        <w:t>El riesgo a incendios forestales con categoría alta, grave y extrema, se encuentra localizado de este a oeste en la delegación Milpa Alta, mientras que en Tlalpan se distribuye del centro hacia el sur y otra porción está distribuida al noroeste. La Magdalena contreras presenta riesgo al norte al igual que Tláhuac quien presenta riesgo en la Sierra de Santa Catarina. La delegación Gustavo A. Madero tiene riesgo alto y grave en algunos cuadrantes. Xochimilco, por su parte, presenta riesgo grave en los límites con Milpa Alta y al oeste (ver figura 17).</w:t>
      </w:r>
    </w:p>
    <w:p>
      <w:pPr>
        <w:pStyle w:val="BodyText"/>
      </w:pPr>
    </w:p>
    <w:p>
      <w:pPr>
        <w:pStyle w:val="BodyText"/>
        <w:spacing w:line="360" w:lineRule="auto" w:before="142"/>
        <w:ind w:left="102" w:right="115"/>
        <w:jc w:val="both"/>
      </w:pPr>
      <w:r>
        <w:rPr/>
        <w:t>De acuerdo al mapa, las delegaciones a las que se les debe brindar mayor atención son Milpa Alta, Tlalpan, La Magdalena Contreras, el Norte de Tláhuac (Sierra de Santa Catarina) y algunos cuadrantes de Gustavo A. Madero. A continuación se muestran los cuadrantes con riesgo alto, grave y extremo en el cuadro 16.</w:t>
      </w:r>
    </w:p>
    <w:p>
      <w:pPr>
        <w:spacing w:after="0" w:line="360" w:lineRule="auto"/>
        <w:jc w:val="both"/>
        <w:sectPr>
          <w:pgSz w:w="12240" w:h="15840"/>
          <w:pgMar w:header="0" w:footer="1003" w:top="1360" w:bottom="1200" w:left="1600" w:right="1580"/>
        </w:sectPr>
      </w:pPr>
    </w:p>
    <w:p>
      <w:pPr>
        <w:pStyle w:val="BodyText"/>
        <w:spacing w:before="54"/>
        <w:ind w:left="102"/>
      </w:pPr>
      <w:r>
        <w:rPr/>
        <w:t>Cuadro 16. Cuadrantes de riesgo de incendios forestales alto, grave y extremo.</w:t>
      </w:r>
    </w:p>
    <w:p>
      <w:pPr>
        <w:pStyle w:val="BodyText"/>
        <w:spacing w:before="2"/>
        <w:rPr>
          <w:sz w:val="1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1"/>
        <w:gridCol w:w="677"/>
        <w:gridCol w:w="551"/>
        <w:gridCol w:w="677"/>
        <w:gridCol w:w="551"/>
        <w:gridCol w:w="677"/>
        <w:gridCol w:w="551"/>
        <w:gridCol w:w="677"/>
        <w:gridCol w:w="551"/>
        <w:gridCol w:w="677"/>
        <w:gridCol w:w="597"/>
        <w:gridCol w:w="677"/>
        <w:gridCol w:w="551"/>
        <w:gridCol w:w="677"/>
      </w:tblGrid>
      <w:tr>
        <w:trPr>
          <w:trHeight w:val="206" w:hRule="exact"/>
        </w:trPr>
        <w:tc>
          <w:tcPr>
            <w:tcW w:w="551" w:type="dxa"/>
            <w:tcBorders>
              <w:left w:val="single" w:sz="5" w:space="0" w:color="000000"/>
              <w:right w:val="single" w:sz="5" w:space="0" w:color="000000"/>
            </w:tcBorders>
          </w:tcPr>
          <w:p>
            <w:pPr>
              <w:pStyle w:val="TableParagraph"/>
              <w:spacing w:before="12"/>
              <w:ind w:left="29" w:right="14"/>
              <w:jc w:val="center"/>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51" w:type="dxa"/>
            <w:tcBorders>
              <w:left w:val="single" w:sz="5" w:space="0" w:color="000000"/>
              <w:right w:val="single" w:sz="5" w:space="0" w:color="000000"/>
            </w:tcBorders>
          </w:tcPr>
          <w:p>
            <w:pPr>
              <w:pStyle w:val="TableParagraph"/>
              <w:spacing w:before="12"/>
              <w:ind w:left="69" w:right="-7"/>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51" w:type="dxa"/>
            <w:tcBorders>
              <w:left w:val="single" w:sz="5" w:space="0" w:color="000000"/>
              <w:right w:val="single" w:sz="5" w:space="0" w:color="000000"/>
            </w:tcBorders>
          </w:tcPr>
          <w:p>
            <w:pPr>
              <w:pStyle w:val="TableParagraph"/>
              <w:spacing w:before="12"/>
              <w:ind w:left="68" w:right="-7"/>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51" w:type="dxa"/>
            <w:tcBorders>
              <w:left w:val="single" w:sz="5" w:space="0" w:color="000000"/>
              <w:right w:val="single" w:sz="5" w:space="0" w:color="000000"/>
            </w:tcBorders>
          </w:tcPr>
          <w:p>
            <w:pPr>
              <w:pStyle w:val="TableParagraph"/>
              <w:spacing w:before="12"/>
              <w:ind w:right="50"/>
              <w:jc w:val="right"/>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51" w:type="dxa"/>
            <w:tcBorders>
              <w:left w:val="single" w:sz="5" w:space="0" w:color="000000"/>
              <w:right w:val="single" w:sz="5" w:space="0" w:color="000000"/>
            </w:tcBorders>
          </w:tcPr>
          <w:p>
            <w:pPr>
              <w:pStyle w:val="TableParagraph"/>
              <w:spacing w:before="12"/>
              <w:ind w:left="68" w:right="-7"/>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97" w:type="dxa"/>
            <w:tcBorders>
              <w:left w:val="single" w:sz="5" w:space="0" w:color="000000"/>
              <w:right w:val="single" w:sz="5" w:space="0" w:color="000000"/>
            </w:tcBorders>
          </w:tcPr>
          <w:p>
            <w:pPr>
              <w:pStyle w:val="TableParagraph"/>
              <w:spacing w:before="12"/>
              <w:ind w:right="73"/>
              <w:jc w:val="right"/>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c>
          <w:tcPr>
            <w:tcW w:w="551" w:type="dxa"/>
            <w:tcBorders>
              <w:left w:val="single" w:sz="5" w:space="0" w:color="000000"/>
              <w:right w:val="single" w:sz="5" w:space="0" w:color="000000"/>
            </w:tcBorders>
          </w:tcPr>
          <w:p>
            <w:pPr>
              <w:pStyle w:val="TableParagraph"/>
              <w:spacing w:before="12"/>
              <w:ind w:left="68" w:right="-7"/>
              <w:rPr>
                <w:rFonts w:ascii="Calibri"/>
                <w:b/>
                <w:sz w:val="15"/>
              </w:rPr>
            </w:pPr>
            <w:r>
              <w:rPr>
                <w:rFonts w:ascii="Calibri"/>
                <w:b/>
                <w:w w:val="115"/>
                <w:sz w:val="15"/>
              </w:rPr>
              <w:t>CUAD</w:t>
            </w:r>
          </w:p>
        </w:tc>
        <w:tc>
          <w:tcPr>
            <w:tcW w:w="677" w:type="dxa"/>
            <w:tcBorders>
              <w:left w:val="single" w:sz="5" w:space="0" w:color="000000"/>
              <w:right w:val="single" w:sz="5" w:space="0" w:color="000000"/>
            </w:tcBorders>
          </w:tcPr>
          <w:p>
            <w:pPr>
              <w:pStyle w:val="TableParagraph"/>
              <w:spacing w:before="12"/>
              <w:ind w:left="68"/>
              <w:rPr>
                <w:rFonts w:ascii="Calibri"/>
                <w:b/>
                <w:sz w:val="15"/>
              </w:rPr>
            </w:pPr>
            <w:r>
              <w:rPr>
                <w:rFonts w:ascii="Calibri"/>
                <w:b/>
                <w:w w:val="115"/>
                <w:sz w:val="15"/>
              </w:rPr>
              <w:t>RIESGO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128/60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116/15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132/13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141/12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123/10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135/08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125/57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119/22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133/13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128/10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138/08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129/52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113/21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134/13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113/11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129/10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140/08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1"/>
              <w:ind w:right="14"/>
              <w:jc w:val="center"/>
              <w:rPr>
                <w:rFonts w:ascii="Calibri"/>
                <w:sz w:val="15"/>
              </w:rPr>
            </w:pPr>
            <w:r>
              <w:rPr>
                <w:rFonts w:ascii="Calibri"/>
                <w:w w:val="115"/>
                <w:sz w:val="15"/>
              </w:rPr>
              <w:t>129/51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114/21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119/15</w:t>
            </w:r>
          </w:p>
        </w:tc>
        <w:tc>
          <w:tcPr>
            <w:tcW w:w="677" w:type="dxa"/>
            <w:tcBorders>
              <w:left w:val="single" w:sz="5" w:space="0" w:color="000000"/>
              <w:right w:val="single" w:sz="5" w:space="0" w:color="000000"/>
            </w:tcBorders>
          </w:tcPr>
          <w:p>
            <w:pPr>
              <w:pStyle w:val="TableParagraph"/>
              <w:spacing w:before="11"/>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right="37"/>
              <w:jc w:val="right"/>
              <w:rPr>
                <w:rFonts w:ascii="Calibri"/>
                <w:sz w:val="15"/>
              </w:rPr>
            </w:pPr>
            <w:r>
              <w:rPr>
                <w:rFonts w:ascii="Calibri"/>
                <w:w w:val="110"/>
                <w:sz w:val="15"/>
              </w:rPr>
              <w:t>136/13</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114/11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131/10</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141/08</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r>
      <w:tr>
        <w:trPr>
          <w:trHeight w:val="206"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130/51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115/21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141/13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116/11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132/10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142/08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130/50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117/21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142/13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134/10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106/31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118/21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123/15</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143/13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135/10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144/08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140/31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119/21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111/14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144/13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119/11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137/10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145/08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141/31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128/20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116/14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145/13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140/10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142/31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138/20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146/13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122/11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141/10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143/31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139/20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111/12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123/11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143/10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122/07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144/31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114/19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113/12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128/11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114/09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130/07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1"/>
              <w:ind w:right="14"/>
              <w:jc w:val="center"/>
              <w:rPr>
                <w:rFonts w:ascii="Calibri"/>
                <w:sz w:val="15"/>
              </w:rPr>
            </w:pPr>
            <w:r>
              <w:rPr>
                <w:rFonts w:ascii="Calibri"/>
                <w:w w:val="115"/>
                <w:sz w:val="15"/>
              </w:rPr>
              <w:t>142/30</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136/19</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123/14</w:t>
            </w:r>
          </w:p>
        </w:tc>
        <w:tc>
          <w:tcPr>
            <w:tcW w:w="677" w:type="dxa"/>
            <w:tcBorders>
              <w:left w:val="single" w:sz="5" w:space="0" w:color="000000"/>
              <w:right w:val="single" w:sz="5" w:space="0" w:color="000000"/>
            </w:tcBorders>
          </w:tcPr>
          <w:p>
            <w:pPr>
              <w:pStyle w:val="TableParagraph"/>
              <w:spacing w:before="11"/>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right="37"/>
              <w:jc w:val="right"/>
              <w:rPr>
                <w:rFonts w:ascii="Calibri"/>
                <w:sz w:val="15"/>
              </w:rPr>
            </w:pPr>
            <w:r>
              <w:rPr>
                <w:rFonts w:ascii="Calibri"/>
                <w:w w:val="110"/>
                <w:sz w:val="15"/>
              </w:rPr>
              <w:t>115/12</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129/11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115/09</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132/07</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r>
      <w:tr>
        <w:trPr>
          <w:trHeight w:val="206" w:hRule="exact"/>
        </w:trPr>
        <w:tc>
          <w:tcPr>
            <w:tcW w:w="551" w:type="dxa"/>
            <w:tcBorders>
              <w:left w:val="single" w:sz="5" w:space="0" w:color="000000"/>
              <w:bottom w:val="single" w:sz="4" w:space="0" w:color="000000"/>
              <w:right w:val="single" w:sz="5" w:space="0" w:color="000000"/>
            </w:tcBorders>
          </w:tcPr>
          <w:p>
            <w:pPr>
              <w:pStyle w:val="TableParagraph"/>
              <w:spacing w:before="12"/>
              <w:ind w:right="14"/>
              <w:jc w:val="center"/>
              <w:rPr>
                <w:rFonts w:ascii="Calibri"/>
                <w:sz w:val="15"/>
              </w:rPr>
            </w:pPr>
            <w:r>
              <w:rPr>
                <w:rFonts w:ascii="Calibri"/>
                <w:w w:val="115"/>
                <w:sz w:val="15"/>
              </w:rPr>
              <w:t>112/28</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bottom w:val="single" w:sz="4" w:space="0" w:color="000000"/>
              <w:right w:val="single" w:sz="5" w:space="0" w:color="000000"/>
            </w:tcBorders>
          </w:tcPr>
          <w:p>
            <w:pPr>
              <w:pStyle w:val="TableParagraph"/>
              <w:spacing w:before="12"/>
              <w:ind w:left="22" w:right="-7"/>
              <w:rPr>
                <w:rFonts w:ascii="Calibri"/>
                <w:sz w:val="15"/>
              </w:rPr>
            </w:pPr>
            <w:r>
              <w:rPr>
                <w:rFonts w:ascii="Calibri"/>
                <w:w w:val="115"/>
                <w:sz w:val="15"/>
              </w:rPr>
              <w:t>112/18</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bottom w:val="single" w:sz="4" w:space="0" w:color="000000"/>
              <w:right w:val="single" w:sz="5" w:space="0" w:color="000000"/>
            </w:tcBorders>
          </w:tcPr>
          <w:p>
            <w:pPr>
              <w:pStyle w:val="TableParagraph"/>
              <w:spacing w:before="12"/>
              <w:ind w:left="22" w:right="-7"/>
              <w:rPr>
                <w:rFonts w:ascii="Calibri"/>
                <w:sz w:val="15"/>
              </w:rPr>
            </w:pPr>
            <w:r>
              <w:rPr>
                <w:rFonts w:ascii="Calibri"/>
                <w:w w:val="115"/>
                <w:sz w:val="15"/>
              </w:rPr>
              <w:t>132/14</w:t>
            </w:r>
          </w:p>
        </w:tc>
        <w:tc>
          <w:tcPr>
            <w:tcW w:w="677" w:type="dxa"/>
            <w:tcBorders>
              <w:left w:val="single" w:sz="5" w:space="0" w:color="000000"/>
              <w:bottom w:val="single" w:sz="4"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bottom w:val="single" w:sz="4" w:space="0" w:color="000000"/>
              <w:right w:val="single" w:sz="5" w:space="0" w:color="000000"/>
            </w:tcBorders>
          </w:tcPr>
          <w:p>
            <w:pPr>
              <w:pStyle w:val="TableParagraph"/>
              <w:spacing w:before="12"/>
              <w:ind w:right="37"/>
              <w:jc w:val="right"/>
              <w:rPr>
                <w:rFonts w:ascii="Calibri"/>
                <w:sz w:val="15"/>
              </w:rPr>
            </w:pPr>
            <w:r>
              <w:rPr>
                <w:rFonts w:ascii="Calibri"/>
                <w:w w:val="110"/>
                <w:sz w:val="15"/>
              </w:rPr>
              <w:t>116/12</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bottom w:val="single" w:sz="4" w:space="0" w:color="000000"/>
              <w:right w:val="single" w:sz="5" w:space="0" w:color="000000"/>
            </w:tcBorders>
          </w:tcPr>
          <w:p>
            <w:pPr>
              <w:pStyle w:val="TableParagraph"/>
              <w:spacing w:before="12"/>
              <w:ind w:left="22" w:right="-7"/>
              <w:rPr>
                <w:rFonts w:ascii="Calibri"/>
                <w:sz w:val="15"/>
              </w:rPr>
            </w:pPr>
            <w:r>
              <w:rPr>
                <w:rFonts w:ascii="Calibri"/>
                <w:w w:val="115"/>
                <w:sz w:val="15"/>
              </w:rPr>
              <w:t>130/11</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bottom w:val="single" w:sz="4" w:space="0" w:color="000000"/>
              <w:right w:val="single" w:sz="5" w:space="0" w:color="000000"/>
            </w:tcBorders>
          </w:tcPr>
          <w:p>
            <w:pPr>
              <w:pStyle w:val="TableParagraph"/>
              <w:spacing w:before="12"/>
              <w:ind w:right="82"/>
              <w:jc w:val="right"/>
              <w:rPr>
                <w:rFonts w:ascii="Calibri"/>
                <w:sz w:val="15"/>
              </w:rPr>
            </w:pPr>
            <w:r>
              <w:rPr>
                <w:rFonts w:ascii="Calibri"/>
                <w:w w:val="110"/>
                <w:sz w:val="15"/>
              </w:rPr>
              <w:t>120/09</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bottom w:val="single" w:sz="4" w:space="0" w:color="000000"/>
              <w:right w:val="single" w:sz="5" w:space="0" w:color="000000"/>
            </w:tcBorders>
          </w:tcPr>
          <w:p>
            <w:pPr>
              <w:pStyle w:val="TableParagraph"/>
              <w:spacing w:before="12"/>
              <w:ind w:left="22" w:right="-7"/>
              <w:rPr>
                <w:rFonts w:ascii="Calibri"/>
                <w:sz w:val="15"/>
              </w:rPr>
            </w:pPr>
            <w:r>
              <w:rPr>
                <w:rFonts w:ascii="Calibri"/>
                <w:w w:val="115"/>
                <w:sz w:val="15"/>
              </w:rPr>
              <w:t>137/07</w:t>
            </w:r>
          </w:p>
        </w:tc>
        <w:tc>
          <w:tcPr>
            <w:tcW w:w="677" w:type="dxa"/>
            <w:tcBorders>
              <w:left w:val="single" w:sz="5" w:space="0" w:color="000000"/>
              <w:bottom w:val="single" w:sz="4"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6" w:hRule="exact"/>
        </w:trPr>
        <w:tc>
          <w:tcPr>
            <w:tcW w:w="551" w:type="dxa"/>
            <w:tcBorders>
              <w:top w:val="single" w:sz="4" w:space="0" w:color="000000"/>
              <w:left w:val="single" w:sz="5" w:space="0" w:color="000000"/>
              <w:right w:val="single" w:sz="5" w:space="0" w:color="000000"/>
            </w:tcBorders>
          </w:tcPr>
          <w:p>
            <w:pPr>
              <w:pStyle w:val="TableParagraph"/>
              <w:spacing w:before="11"/>
              <w:ind w:right="14"/>
              <w:jc w:val="center"/>
              <w:rPr>
                <w:rFonts w:ascii="Calibri"/>
                <w:sz w:val="15"/>
              </w:rPr>
            </w:pPr>
            <w:r>
              <w:rPr>
                <w:rFonts w:ascii="Calibri"/>
                <w:w w:val="115"/>
                <w:sz w:val="15"/>
              </w:rPr>
              <w:t>114/28</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top w:val="single" w:sz="4" w:space="0" w:color="000000"/>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122/18</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top w:val="single" w:sz="4" w:space="0" w:color="000000"/>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136/14</w:t>
            </w:r>
          </w:p>
        </w:tc>
        <w:tc>
          <w:tcPr>
            <w:tcW w:w="677" w:type="dxa"/>
            <w:tcBorders>
              <w:top w:val="single" w:sz="4" w:space="0" w:color="000000"/>
              <w:left w:val="single" w:sz="5" w:space="0" w:color="000000"/>
              <w:right w:val="single" w:sz="5" w:space="0" w:color="000000"/>
            </w:tcBorders>
          </w:tcPr>
          <w:p>
            <w:pPr>
              <w:pStyle w:val="TableParagraph"/>
              <w:spacing w:before="11"/>
              <w:ind w:left="23"/>
              <w:rPr>
                <w:rFonts w:ascii="Calibri"/>
                <w:sz w:val="15"/>
              </w:rPr>
            </w:pPr>
            <w:r>
              <w:rPr>
                <w:rFonts w:ascii="Calibri"/>
                <w:w w:val="115"/>
                <w:sz w:val="15"/>
              </w:rPr>
              <w:t>Extremo</w:t>
            </w:r>
          </w:p>
        </w:tc>
        <w:tc>
          <w:tcPr>
            <w:tcW w:w="551" w:type="dxa"/>
            <w:tcBorders>
              <w:top w:val="single" w:sz="4" w:space="0" w:color="000000"/>
              <w:left w:val="single" w:sz="5" w:space="0" w:color="000000"/>
              <w:right w:val="single" w:sz="5" w:space="0" w:color="000000"/>
            </w:tcBorders>
          </w:tcPr>
          <w:p>
            <w:pPr>
              <w:pStyle w:val="TableParagraph"/>
              <w:spacing w:before="11"/>
              <w:ind w:right="37"/>
              <w:jc w:val="right"/>
              <w:rPr>
                <w:rFonts w:ascii="Calibri"/>
                <w:sz w:val="15"/>
              </w:rPr>
            </w:pPr>
            <w:r>
              <w:rPr>
                <w:rFonts w:ascii="Calibri"/>
                <w:w w:val="110"/>
                <w:sz w:val="15"/>
              </w:rPr>
              <w:t>117/12</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top w:val="single" w:sz="4" w:space="0" w:color="000000"/>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131/11</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97" w:type="dxa"/>
            <w:tcBorders>
              <w:top w:val="single" w:sz="4" w:space="0" w:color="000000"/>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121/09</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top w:val="single" w:sz="4" w:space="0" w:color="000000"/>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138/07</w:t>
            </w:r>
          </w:p>
        </w:tc>
        <w:tc>
          <w:tcPr>
            <w:tcW w:w="677" w:type="dxa"/>
            <w:tcBorders>
              <w:top w:val="single" w:sz="4" w:space="0" w:color="000000"/>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114/27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127/18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118/12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132/11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122/09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113/26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134/18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144/14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119/12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134/11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127/09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144/07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113/25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116/17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146/14</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120/12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135/11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130/09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145/07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114/25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112/13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121/12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136/11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131/09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118/06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115/25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119/17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113/13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122/12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137/11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133/09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120/06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120/25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115/13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123/12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138/11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134/09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136/06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r>
      <w:tr>
        <w:trPr>
          <w:trHeight w:val="207" w:hRule="exact"/>
        </w:trPr>
        <w:tc>
          <w:tcPr>
            <w:tcW w:w="551" w:type="dxa"/>
            <w:tcBorders>
              <w:left w:val="single" w:sz="5" w:space="0" w:color="000000"/>
              <w:right w:val="single" w:sz="5" w:space="0" w:color="000000"/>
            </w:tcBorders>
          </w:tcPr>
          <w:p>
            <w:pPr>
              <w:pStyle w:val="TableParagraph"/>
              <w:spacing w:before="11"/>
              <w:ind w:right="14"/>
              <w:jc w:val="center"/>
              <w:rPr>
                <w:rFonts w:ascii="Calibri"/>
                <w:sz w:val="15"/>
              </w:rPr>
            </w:pPr>
            <w:r>
              <w:rPr>
                <w:rFonts w:ascii="Calibri"/>
                <w:w w:val="115"/>
                <w:sz w:val="15"/>
              </w:rPr>
              <w:t>113/24</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121/17</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116/13</w:t>
            </w:r>
          </w:p>
        </w:tc>
        <w:tc>
          <w:tcPr>
            <w:tcW w:w="677" w:type="dxa"/>
            <w:tcBorders>
              <w:left w:val="single" w:sz="5" w:space="0" w:color="000000"/>
              <w:right w:val="single" w:sz="5" w:space="0" w:color="000000"/>
            </w:tcBorders>
          </w:tcPr>
          <w:p>
            <w:pPr>
              <w:pStyle w:val="TableParagraph"/>
              <w:spacing w:before="11"/>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right="37"/>
              <w:jc w:val="right"/>
              <w:rPr>
                <w:rFonts w:ascii="Calibri"/>
                <w:sz w:val="15"/>
              </w:rPr>
            </w:pPr>
            <w:r>
              <w:rPr>
                <w:rFonts w:ascii="Calibri"/>
                <w:w w:val="110"/>
                <w:sz w:val="15"/>
              </w:rPr>
              <w:t>128/12</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139/11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135/09</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139/06</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114/24</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122/17</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129/12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140/11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140/09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140/06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r>
      <w:tr>
        <w:trPr>
          <w:trHeight w:val="206" w:hRule="exact"/>
        </w:trPr>
        <w:tc>
          <w:tcPr>
            <w:tcW w:w="551" w:type="dxa"/>
            <w:tcBorders>
              <w:left w:val="single" w:sz="5" w:space="0" w:color="000000"/>
              <w:right w:val="single" w:sz="5" w:space="0" w:color="000000"/>
            </w:tcBorders>
          </w:tcPr>
          <w:p>
            <w:pPr>
              <w:pStyle w:val="TableParagraph"/>
              <w:spacing w:before="11"/>
              <w:ind w:right="14"/>
              <w:jc w:val="center"/>
              <w:rPr>
                <w:rFonts w:ascii="Calibri"/>
                <w:sz w:val="15"/>
              </w:rPr>
            </w:pPr>
            <w:r>
              <w:rPr>
                <w:rFonts w:ascii="Calibri"/>
                <w:w w:val="115"/>
                <w:sz w:val="15"/>
              </w:rPr>
              <w:t>115/24</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112/16</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118/13</w:t>
            </w:r>
          </w:p>
        </w:tc>
        <w:tc>
          <w:tcPr>
            <w:tcW w:w="677" w:type="dxa"/>
            <w:tcBorders>
              <w:left w:val="single" w:sz="5" w:space="0" w:color="000000"/>
              <w:right w:val="single" w:sz="5" w:space="0" w:color="000000"/>
            </w:tcBorders>
          </w:tcPr>
          <w:p>
            <w:pPr>
              <w:pStyle w:val="TableParagraph"/>
              <w:spacing w:before="11"/>
              <w:ind w:left="23"/>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right="37"/>
              <w:jc w:val="right"/>
              <w:rPr>
                <w:rFonts w:ascii="Calibri"/>
                <w:sz w:val="15"/>
              </w:rPr>
            </w:pPr>
            <w:r>
              <w:rPr>
                <w:rFonts w:ascii="Calibri"/>
                <w:w w:val="110"/>
                <w:sz w:val="15"/>
              </w:rPr>
              <w:t>130/12</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141/11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142/09</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144/06</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116/24</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116/16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131/12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142/11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143/09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135/05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r>
      <w:tr>
        <w:trPr>
          <w:trHeight w:val="206"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109/23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117/16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132/12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145/11</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144/09</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139/05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118/23</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119/16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122/13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133/12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114/10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117/08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140/05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114/22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123/13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134/12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115/10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122/08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143/05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115/22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129/13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136/12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120/10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124/08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131/04</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116/22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143/16</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130/13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137/12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121/10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130/08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132/04</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7" w:hRule="exact"/>
        </w:trPr>
        <w:tc>
          <w:tcPr>
            <w:tcW w:w="551" w:type="dxa"/>
            <w:tcBorders>
              <w:left w:val="single" w:sz="5" w:space="0" w:color="000000"/>
              <w:right w:val="single" w:sz="5" w:space="0" w:color="000000"/>
            </w:tcBorders>
          </w:tcPr>
          <w:p>
            <w:pPr>
              <w:pStyle w:val="TableParagraph"/>
              <w:spacing w:before="12"/>
              <w:ind w:right="14"/>
              <w:jc w:val="center"/>
              <w:rPr>
                <w:rFonts w:ascii="Calibri"/>
                <w:sz w:val="15"/>
              </w:rPr>
            </w:pPr>
            <w:r>
              <w:rPr>
                <w:rFonts w:ascii="Calibri"/>
                <w:w w:val="115"/>
                <w:sz w:val="15"/>
              </w:rPr>
              <w:t>117/22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113/15</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Alto</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131/13</w:t>
            </w:r>
          </w:p>
        </w:tc>
        <w:tc>
          <w:tcPr>
            <w:tcW w:w="677" w:type="dxa"/>
            <w:tcBorders>
              <w:left w:val="single" w:sz="5" w:space="0" w:color="000000"/>
              <w:right w:val="single" w:sz="5" w:space="0" w:color="000000"/>
            </w:tcBorders>
          </w:tcPr>
          <w:p>
            <w:pPr>
              <w:pStyle w:val="TableParagraph"/>
              <w:spacing w:before="12"/>
              <w:ind w:left="23"/>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2"/>
              <w:ind w:right="37"/>
              <w:jc w:val="right"/>
              <w:rPr>
                <w:rFonts w:ascii="Calibri"/>
                <w:sz w:val="15"/>
              </w:rPr>
            </w:pPr>
            <w:r>
              <w:rPr>
                <w:rFonts w:ascii="Calibri"/>
                <w:w w:val="110"/>
                <w:sz w:val="15"/>
              </w:rPr>
              <w:t>139/12</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122/10</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97" w:type="dxa"/>
            <w:tcBorders>
              <w:left w:val="single" w:sz="5" w:space="0" w:color="000000"/>
              <w:right w:val="single" w:sz="5" w:space="0" w:color="000000"/>
            </w:tcBorders>
          </w:tcPr>
          <w:p>
            <w:pPr>
              <w:pStyle w:val="TableParagraph"/>
              <w:spacing w:before="12"/>
              <w:ind w:right="82"/>
              <w:jc w:val="right"/>
              <w:rPr>
                <w:rFonts w:ascii="Calibri"/>
                <w:sz w:val="15"/>
              </w:rPr>
            </w:pPr>
            <w:r>
              <w:rPr>
                <w:rFonts w:ascii="Calibri"/>
                <w:w w:val="110"/>
                <w:sz w:val="15"/>
              </w:rPr>
              <w:t>131/08</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c>
          <w:tcPr>
            <w:tcW w:w="551" w:type="dxa"/>
            <w:tcBorders>
              <w:left w:val="single" w:sz="5" w:space="0" w:color="000000"/>
              <w:right w:val="single" w:sz="5" w:space="0" w:color="000000"/>
            </w:tcBorders>
          </w:tcPr>
          <w:p>
            <w:pPr>
              <w:pStyle w:val="TableParagraph"/>
              <w:spacing w:before="12"/>
              <w:ind w:left="22" w:right="-7"/>
              <w:rPr>
                <w:rFonts w:ascii="Calibri"/>
                <w:sz w:val="15"/>
              </w:rPr>
            </w:pPr>
            <w:r>
              <w:rPr>
                <w:rFonts w:ascii="Calibri"/>
                <w:w w:val="115"/>
                <w:sz w:val="15"/>
              </w:rPr>
              <w:t>137/04</w:t>
            </w:r>
          </w:p>
        </w:tc>
        <w:tc>
          <w:tcPr>
            <w:tcW w:w="677" w:type="dxa"/>
            <w:tcBorders>
              <w:left w:val="single" w:sz="5" w:space="0" w:color="000000"/>
              <w:right w:val="single" w:sz="5" w:space="0" w:color="000000"/>
            </w:tcBorders>
          </w:tcPr>
          <w:p>
            <w:pPr>
              <w:pStyle w:val="TableParagraph"/>
              <w:spacing w:before="12"/>
              <w:ind w:left="22"/>
              <w:rPr>
                <w:rFonts w:ascii="Calibri"/>
                <w:sz w:val="15"/>
              </w:rPr>
            </w:pPr>
            <w:r>
              <w:rPr>
                <w:rFonts w:ascii="Calibri"/>
                <w:w w:val="115"/>
                <w:sz w:val="15"/>
              </w:rPr>
              <w:t>Grave</w:t>
            </w:r>
          </w:p>
        </w:tc>
      </w:tr>
      <w:tr>
        <w:trPr>
          <w:trHeight w:val="206" w:hRule="exact"/>
        </w:trPr>
        <w:tc>
          <w:tcPr>
            <w:tcW w:w="551" w:type="dxa"/>
            <w:tcBorders>
              <w:left w:val="single" w:sz="5" w:space="0" w:color="000000"/>
              <w:right w:val="single" w:sz="5" w:space="0" w:color="000000"/>
            </w:tcBorders>
          </w:tcPr>
          <w:p>
            <w:pPr/>
          </w:p>
        </w:tc>
        <w:tc>
          <w:tcPr>
            <w:tcW w:w="677" w:type="dxa"/>
            <w:tcBorders>
              <w:left w:val="single" w:sz="5" w:space="0" w:color="000000"/>
              <w:right w:val="single" w:sz="5" w:space="0" w:color="000000"/>
            </w:tcBorders>
          </w:tcPr>
          <w:p>
            <w:pPr/>
          </w:p>
        </w:tc>
        <w:tc>
          <w:tcPr>
            <w:tcW w:w="551" w:type="dxa"/>
            <w:tcBorders>
              <w:left w:val="single" w:sz="5" w:space="0" w:color="000000"/>
              <w:right w:val="single" w:sz="5" w:space="0" w:color="000000"/>
            </w:tcBorders>
          </w:tcPr>
          <w:p>
            <w:pPr/>
          </w:p>
        </w:tc>
        <w:tc>
          <w:tcPr>
            <w:tcW w:w="677" w:type="dxa"/>
            <w:tcBorders>
              <w:left w:val="single" w:sz="5" w:space="0" w:color="000000"/>
              <w:right w:val="single" w:sz="5" w:space="0" w:color="000000"/>
            </w:tcBorders>
          </w:tcPr>
          <w:p>
            <w:pPr/>
          </w:p>
        </w:tc>
        <w:tc>
          <w:tcPr>
            <w:tcW w:w="551" w:type="dxa"/>
            <w:tcBorders>
              <w:left w:val="single" w:sz="5" w:space="0" w:color="000000"/>
              <w:right w:val="single" w:sz="5" w:space="0" w:color="000000"/>
            </w:tcBorders>
          </w:tcPr>
          <w:p>
            <w:pPr/>
          </w:p>
        </w:tc>
        <w:tc>
          <w:tcPr>
            <w:tcW w:w="677" w:type="dxa"/>
            <w:tcBorders>
              <w:left w:val="single" w:sz="5" w:space="0" w:color="000000"/>
              <w:right w:val="single" w:sz="5" w:space="0" w:color="000000"/>
            </w:tcBorders>
          </w:tcPr>
          <w:p>
            <w:pPr/>
          </w:p>
        </w:tc>
        <w:tc>
          <w:tcPr>
            <w:tcW w:w="551" w:type="dxa"/>
            <w:tcBorders>
              <w:left w:val="single" w:sz="5" w:space="0" w:color="000000"/>
              <w:right w:val="single" w:sz="5" w:space="0" w:color="000000"/>
            </w:tcBorders>
          </w:tcPr>
          <w:p>
            <w:pPr/>
          </w:p>
        </w:tc>
        <w:tc>
          <w:tcPr>
            <w:tcW w:w="677" w:type="dxa"/>
            <w:tcBorders>
              <w:left w:val="single" w:sz="5" w:space="0" w:color="000000"/>
              <w:right w:val="single" w:sz="5" w:space="0" w:color="000000"/>
            </w:tcBorders>
          </w:tcPr>
          <w:p>
            <w:pPr/>
          </w:p>
        </w:tc>
        <w:tc>
          <w:tcPr>
            <w:tcW w:w="551" w:type="dxa"/>
            <w:tcBorders>
              <w:left w:val="single" w:sz="5" w:space="0" w:color="000000"/>
              <w:right w:val="single" w:sz="5" w:space="0" w:color="000000"/>
            </w:tcBorders>
          </w:tcPr>
          <w:p>
            <w:pPr/>
          </w:p>
        </w:tc>
        <w:tc>
          <w:tcPr>
            <w:tcW w:w="677" w:type="dxa"/>
            <w:tcBorders>
              <w:left w:val="single" w:sz="5" w:space="0" w:color="000000"/>
              <w:right w:val="single" w:sz="5" w:space="0" w:color="000000"/>
            </w:tcBorders>
          </w:tcPr>
          <w:p>
            <w:pPr/>
          </w:p>
        </w:tc>
        <w:tc>
          <w:tcPr>
            <w:tcW w:w="597" w:type="dxa"/>
            <w:tcBorders>
              <w:left w:val="single" w:sz="5" w:space="0" w:color="000000"/>
              <w:right w:val="single" w:sz="5" w:space="0" w:color="000000"/>
            </w:tcBorders>
          </w:tcPr>
          <w:p>
            <w:pPr>
              <w:pStyle w:val="TableParagraph"/>
              <w:spacing w:before="11"/>
              <w:ind w:right="82"/>
              <w:jc w:val="right"/>
              <w:rPr>
                <w:rFonts w:ascii="Calibri"/>
                <w:sz w:val="15"/>
              </w:rPr>
            </w:pPr>
            <w:r>
              <w:rPr>
                <w:rFonts w:ascii="Calibri"/>
                <w:w w:val="110"/>
                <w:sz w:val="15"/>
              </w:rPr>
              <w:t>132/08</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Extremo</w:t>
            </w:r>
          </w:p>
        </w:tc>
        <w:tc>
          <w:tcPr>
            <w:tcW w:w="551" w:type="dxa"/>
            <w:tcBorders>
              <w:left w:val="single" w:sz="5" w:space="0" w:color="000000"/>
              <w:right w:val="single" w:sz="5" w:space="0" w:color="000000"/>
            </w:tcBorders>
          </w:tcPr>
          <w:p>
            <w:pPr>
              <w:pStyle w:val="TableParagraph"/>
              <w:spacing w:before="11"/>
              <w:ind w:left="22" w:right="-7"/>
              <w:rPr>
                <w:rFonts w:ascii="Calibri"/>
                <w:sz w:val="15"/>
              </w:rPr>
            </w:pPr>
            <w:r>
              <w:rPr>
                <w:rFonts w:ascii="Calibri"/>
                <w:w w:val="115"/>
                <w:sz w:val="15"/>
              </w:rPr>
              <w:t>135/01</w:t>
            </w:r>
          </w:p>
        </w:tc>
        <w:tc>
          <w:tcPr>
            <w:tcW w:w="677" w:type="dxa"/>
            <w:tcBorders>
              <w:left w:val="single" w:sz="5" w:space="0" w:color="000000"/>
              <w:right w:val="single" w:sz="5" w:space="0" w:color="000000"/>
            </w:tcBorders>
          </w:tcPr>
          <w:p>
            <w:pPr>
              <w:pStyle w:val="TableParagraph"/>
              <w:spacing w:before="11"/>
              <w:ind w:left="22"/>
              <w:rPr>
                <w:rFonts w:ascii="Calibri"/>
                <w:sz w:val="15"/>
              </w:rPr>
            </w:pPr>
            <w:r>
              <w:rPr>
                <w:rFonts w:ascii="Calibri"/>
                <w:w w:val="115"/>
                <w:sz w:val="15"/>
              </w:rPr>
              <w:t>Alto</w:t>
            </w:r>
          </w:p>
        </w:tc>
      </w:tr>
    </w:tbl>
    <w:p>
      <w:pPr>
        <w:spacing w:after="0"/>
        <w:rPr>
          <w:rFonts w:ascii="Calibri"/>
          <w:sz w:val="15"/>
        </w:rPr>
        <w:sectPr>
          <w:pgSz w:w="12240" w:h="15840"/>
          <w:pgMar w:header="0" w:footer="1003" w:top="1360" w:bottom="1200" w:left="1600" w:right="1580"/>
        </w:sectPr>
      </w:pPr>
    </w:p>
    <w:p>
      <w:pPr>
        <w:pStyle w:val="BodyText"/>
        <w:spacing w:before="52" w:after="5"/>
        <w:ind w:left="102"/>
      </w:pPr>
      <w:r>
        <w:rPr/>
        <w:t>Figura 17. Riesgo a incendios forestales.</w:t>
      </w:r>
    </w:p>
    <w:p>
      <w:pPr>
        <w:pStyle w:val="BodyText"/>
        <w:ind w:left="330"/>
        <w:rPr>
          <w:sz w:val="20"/>
        </w:rPr>
      </w:pPr>
      <w:r>
        <w:rPr>
          <w:sz w:val="20"/>
        </w:rPr>
        <w:drawing>
          <wp:inline distT="0" distB="0" distL="0" distR="0">
            <wp:extent cx="5249190" cy="7872031"/>
            <wp:effectExtent l="0" t="0" r="0" b="0"/>
            <wp:docPr id="41" name="image24.jpeg" descr=""/>
            <wp:cNvGraphicFramePr>
              <a:graphicFrameLocks noChangeAspect="1"/>
            </wp:cNvGraphicFramePr>
            <a:graphic>
              <a:graphicData uri="http://schemas.openxmlformats.org/drawingml/2006/picture">
                <pic:pic>
                  <pic:nvPicPr>
                    <pic:cNvPr id="42" name="image24.jpeg"/>
                    <pic:cNvPicPr/>
                  </pic:nvPicPr>
                  <pic:blipFill>
                    <a:blip r:embed="rId53" cstate="print"/>
                    <a:stretch>
                      <a:fillRect/>
                    </a:stretch>
                  </pic:blipFill>
                  <pic:spPr>
                    <a:xfrm>
                      <a:off x="0" y="0"/>
                      <a:ext cx="5249190" cy="7872031"/>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BodyText"/>
        <w:spacing w:line="360" w:lineRule="auto" w:before="54"/>
        <w:ind w:left="102" w:right="116"/>
        <w:jc w:val="both"/>
      </w:pPr>
      <w:r>
        <w:rPr/>
        <w:t>Con relación a cada uno de los índices generados para obtener el mapa de riesgo, se muestra en el cuadro 17, el número de cuadrantes que se tienen en cada categoría.</w:t>
      </w:r>
    </w:p>
    <w:p>
      <w:pPr>
        <w:pStyle w:val="BodyText"/>
      </w:pPr>
    </w:p>
    <w:p>
      <w:pPr>
        <w:pStyle w:val="BodyText"/>
        <w:spacing w:before="5"/>
      </w:pPr>
    </w:p>
    <w:p>
      <w:pPr>
        <w:pStyle w:val="BodyText"/>
        <w:ind w:left="102"/>
        <w:jc w:val="both"/>
      </w:pPr>
      <w:r>
        <w:rPr/>
        <w:t>Cuadro 17. Número de cuadrantes en cada categoría por variable.</w:t>
      </w:r>
    </w:p>
    <w:p>
      <w:pPr>
        <w:pStyle w:val="BodyText"/>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1008"/>
        <w:gridCol w:w="961"/>
        <w:gridCol w:w="1135"/>
        <w:gridCol w:w="595"/>
        <w:gridCol w:w="963"/>
        <w:gridCol w:w="710"/>
        <w:gridCol w:w="1277"/>
        <w:gridCol w:w="576"/>
        <w:gridCol w:w="713"/>
      </w:tblGrid>
      <w:tr>
        <w:trPr>
          <w:trHeight w:val="173" w:hRule="exact"/>
        </w:trPr>
        <w:tc>
          <w:tcPr>
            <w:tcW w:w="890" w:type="dxa"/>
          </w:tcPr>
          <w:p>
            <w:pPr>
              <w:pStyle w:val="TableParagraph"/>
              <w:spacing w:line="159" w:lineRule="exact" w:before="0"/>
              <w:ind w:left="115"/>
              <w:rPr>
                <w:b/>
                <w:sz w:val="14"/>
              </w:rPr>
            </w:pPr>
            <w:r>
              <w:rPr>
                <w:b/>
                <w:sz w:val="14"/>
              </w:rPr>
              <w:t>Categoría</w:t>
            </w:r>
          </w:p>
        </w:tc>
        <w:tc>
          <w:tcPr>
            <w:tcW w:w="1008" w:type="dxa"/>
          </w:tcPr>
          <w:p>
            <w:pPr>
              <w:pStyle w:val="TableParagraph"/>
              <w:spacing w:line="159" w:lineRule="exact" w:before="0"/>
              <w:ind w:right="129"/>
              <w:jc w:val="right"/>
              <w:rPr>
                <w:b/>
                <w:sz w:val="14"/>
              </w:rPr>
            </w:pPr>
            <w:r>
              <w:rPr>
                <w:b/>
                <w:sz w:val="14"/>
              </w:rPr>
              <w:t>Frecuencia</w:t>
            </w:r>
          </w:p>
        </w:tc>
        <w:tc>
          <w:tcPr>
            <w:tcW w:w="961" w:type="dxa"/>
          </w:tcPr>
          <w:p>
            <w:pPr>
              <w:pStyle w:val="TableParagraph"/>
              <w:spacing w:line="159" w:lineRule="exact" w:before="0"/>
              <w:ind w:right="153"/>
              <w:jc w:val="right"/>
              <w:rPr>
                <w:b/>
                <w:sz w:val="14"/>
              </w:rPr>
            </w:pPr>
            <w:r>
              <w:rPr>
                <w:b/>
                <w:sz w:val="14"/>
              </w:rPr>
              <w:t>Gravedad</w:t>
            </w:r>
          </w:p>
        </w:tc>
        <w:tc>
          <w:tcPr>
            <w:tcW w:w="1135" w:type="dxa"/>
          </w:tcPr>
          <w:p>
            <w:pPr>
              <w:pStyle w:val="TableParagraph"/>
              <w:spacing w:line="159" w:lineRule="exact" w:before="0"/>
              <w:ind w:left="187"/>
              <w:rPr>
                <w:b/>
                <w:sz w:val="14"/>
              </w:rPr>
            </w:pPr>
            <w:r>
              <w:rPr>
                <w:b/>
                <w:sz w:val="14"/>
              </w:rPr>
              <w:t>Causalidad</w:t>
            </w:r>
          </w:p>
        </w:tc>
        <w:tc>
          <w:tcPr>
            <w:tcW w:w="595" w:type="dxa"/>
          </w:tcPr>
          <w:p>
            <w:pPr>
              <w:pStyle w:val="TableParagraph"/>
              <w:spacing w:line="159" w:lineRule="exact" w:before="0"/>
              <w:ind w:left="194"/>
              <w:rPr>
                <w:b/>
                <w:sz w:val="14"/>
              </w:rPr>
            </w:pPr>
            <w:r>
              <w:rPr>
                <w:b/>
                <w:sz w:val="14"/>
              </w:rPr>
              <w:t>RE</w:t>
            </w:r>
          </w:p>
        </w:tc>
        <w:tc>
          <w:tcPr>
            <w:tcW w:w="963" w:type="dxa"/>
          </w:tcPr>
          <w:p>
            <w:pPr>
              <w:pStyle w:val="TableParagraph"/>
              <w:spacing w:line="159" w:lineRule="exact" w:before="0"/>
              <w:ind w:right="144"/>
              <w:jc w:val="right"/>
              <w:rPr>
                <w:b/>
                <w:sz w:val="14"/>
              </w:rPr>
            </w:pPr>
            <w:r>
              <w:rPr>
                <w:b/>
                <w:sz w:val="14"/>
              </w:rPr>
              <w:t>Pendiente</w:t>
            </w:r>
          </w:p>
        </w:tc>
        <w:tc>
          <w:tcPr>
            <w:tcW w:w="710" w:type="dxa"/>
          </w:tcPr>
          <w:p>
            <w:pPr>
              <w:pStyle w:val="TableParagraph"/>
              <w:spacing w:line="159" w:lineRule="exact" w:before="0"/>
              <w:ind w:right="160"/>
              <w:jc w:val="right"/>
              <w:rPr>
                <w:b/>
                <w:sz w:val="14"/>
              </w:rPr>
            </w:pPr>
            <w:r>
              <w:rPr>
                <w:b/>
                <w:w w:val="95"/>
                <w:sz w:val="14"/>
              </w:rPr>
              <w:t>Clima</w:t>
            </w:r>
          </w:p>
        </w:tc>
        <w:tc>
          <w:tcPr>
            <w:tcW w:w="1277" w:type="dxa"/>
          </w:tcPr>
          <w:p>
            <w:pPr>
              <w:pStyle w:val="TableParagraph"/>
              <w:spacing w:line="159" w:lineRule="exact" w:before="0"/>
              <w:ind w:left="170"/>
              <w:rPr>
                <w:b/>
                <w:sz w:val="14"/>
              </w:rPr>
            </w:pPr>
            <w:r>
              <w:rPr>
                <w:b/>
                <w:sz w:val="14"/>
              </w:rPr>
              <w:t>Combustibles</w:t>
            </w:r>
          </w:p>
        </w:tc>
        <w:tc>
          <w:tcPr>
            <w:tcW w:w="576" w:type="dxa"/>
          </w:tcPr>
          <w:p>
            <w:pPr>
              <w:pStyle w:val="TableParagraph"/>
              <w:spacing w:line="159" w:lineRule="exact" w:before="0"/>
              <w:ind w:left="175"/>
              <w:rPr>
                <w:b/>
                <w:sz w:val="14"/>
              </w:rPr>
            </w:pPr>
            <w:r>
              <w:rPr>
                <w:b/>
                <w:sz w:val="14"/>
              </w:rPr>
              <w:t>PM</w:t>
            </w:r>
          </w:p>
        </w:tc>
        <w:tc>
          <w:tcPr>
            <w:tcW w:w="713" w:type="dxa"/>
          </w:tcPr>
          <w:p>
            <w:pPr>
              <w:pStyle w:val="TableParagraph"/>
              <w:spacing w:line="159" w:lineRule="exact" w:before="0"/>
              <w:ind w:right="119"/>
              <w:jc w:val="right"/>
              <w:rPr>
                <w:b/>
                <w:sz w:val="14"/>
              </w:rPr>
            </w:pPr>
            <w:r>
              <w:rPr>
                <w:b/>
                <w:sz w:val="14"/>
              </w:rPr>
              <w:t>Riesgo</w:t>
            </w:r>
          </w:p>
        </w:tc>
      </w:tr>
      <w:tr>
        <w:trPr>
          <w:trHeight w:val="170" w:hRule="exact"/>
        </w:trPr>
        <w:tc>
          <w:tcPr>
            <w:tcW w:w="890" w:type="dxa"/>
          </w:tcPr>
          <w:p>
            <w:pPr>
              <w:pStyle w:val="TableParagraph"/>
              <w:spacing w:line="157" w:lineRule="exact" w:before="0"/>
              <w:ind w:left="100"/>
              <w:rPr>
                <w:b/>
                <w:sz w:val="14"/>
              </w:rPr>
            </w:pPr>
            <w:r>
              <w:rPr>
                <w:b/>
                <w:sz w:val="14"/>
              </w:rPr>
              <w:t>Muy bajo</w:t>
            </w:r>
          </w:p>
        </w:tc>
        <w:tc>
          <w:tcPr>
            <w:tcW w:w="1008" w:type="dxa"/>
          </w:tcPr>
          <w:p>
            <w:pPr>
              <w:pStyle w:val="TableParagraph"/>
              <w:spacing w:line="159" w:lineRule="exact" w:before="0"/>
              <w:ind w:right="103"/>
              <w:jc w:val="right"/>
              <w:rPr>
                <w:sz w:val="14"/>
              </w:rPr>
            </w:pPr>
            <w:r>
              <w:rPr>
                <w:sz w:val="14"/>
              </w:rPr>
              <w:t>624</w:t>
            </w:r>
          </w:p>
        </w:tc>
        <w:tc>
          <w:tcPr>
            <w:tcW w:w="961" w:type="dxa"/>
          </w:tcPr>
          <w:p>
            <w:pPr>
              <w:pStyle w:val="TableParagraph"/>
              <w:spacing w:line="159" w:lineRule="exact" w:before="0"/>
              <w:ind w:right="103"/>
              <w:jc w:val="right"/>
              <w:rPr>
                <w:sz w:val="14"/>
              </w:rPr>
            </w:pPr>
            <w:r>
              <w:rPr>
                <w:sz w:val="14"/>
              </w:rPr>
              <w:t>197</w:t>
            </w:r>
          </w:p>
        </w:tc>
        <w:tc>
          <w:tcPr>
            <w:tcW w:w="1135" w:type="dxa"/>
          </w:tcPr>
          <w:p>
            <w:pPr>
              <w:pStyle w:val="TableParagraph"/>
              <w:spacing w:line="159" w:lineRule="exact" w:before="0"/>
              <w:ind w:right="106"/>
              <w:jc w:val="right"/>
              <w:rPr>
                <w:sz w:val="14"/>
              </w:rPr>
            </w:pPr>
            <w:r>
              <w:rPr>
                <w:sz w:val="14"/>
              </w:rPr>
              <w:t>510</w:t>
            </w:r>
          </w:p>
        </w:tc>
        <w:tc>
          <w:tcPr>
            <w:tcW w:w="595" w:type="dxa"/>
          </w:tcPr>
          <w:p>
            <w:pPr>
              <w:pStyle w:val="TableParagraph"/>
              <w:spacing w:line="159" w:lineRule="exact" w:before="0"/>
              <w:ind w:right="103"/>
              <w:jc w:val="right"/>
              <w:rPr>
                <w:sz w:val="14"/>
              </w:rPr>
            </w:pPr>
            <w:r>
              <w:rPr>
                <w:sz w:val="14"/>
              </w:rPr>
              <w:t>767</w:t>
            </w:r>
          </w:p>
        </w:tc>
        <w:tc>
          <w:tcPr>
            <w:tcW w:w="963" w:type="dxa"/>
          </w:tcPr>
          <w:p>
            <w:pPr/>
          </w:p>
        </w:tc>
        <w:tc>
          <w:tcPr>
            <w:tcW w:w="710" w:type="dxa"/>
          </w:tcPr>
          <w:p>
            <w:pPr>
              <w:pStyle w:val="TableParagraph"/>
              <w:spacing w:line="159" w:lineRule="exact" w:before="0"/>
              <w:ind w:right="103"/>
              <w:jc w:val="right"/>
              <w:rPr>
                <w:sz w:val="14"/>
              </w:rPr>
            </w:pPr>
            <w:r>
              <w:rPr>
                <w:w w:val="99"/>
                <w:sz w:val="14"/>
              </w:rPr>
              <w:t>1</w:t>
            </w:r>
          </w:p>
        </w:tc>
        <w:tc>
          <w:tcPr>
            <w:tcW w:w="1277" w:type="dxa"/>
          </w:tcPr>
          <w:p>
            <w:pPr>
              <w:pStyle w:val="TableParagraph"/>
              <w:spacing w:line="159" w:lineRule="exact" w:before="0"/>
              <w:ind w:right="103"/>
              <w:jc w:val="right"/>
              <w:rPr>
                <w:sz w:val="14"/>
              </w:rPr>
            </w:pPr>
            <w:r>
              <w:rPr>
                <w:sz w:val="14"/>
              </w:rPr>
              <w:t>20</w:t>
            </w:r>
          </w:p>
        </w:tc>
        <w:tc>
          <w:tcPr>
            <w:tcW w:w="576" w:type="dxa"/>
          </w:tcPr>
          <w:p>
            <w:pPr>
              <w:pStyle w:val="TableParagraph"/>
              <w:spacing w:line="159" w:lineRule="exact" w:before="0"/>
              <w:ind w:left="228"/>
              <w:rPr>
                <w:sz w:val="14"/>
              </w:rPr>
            </w:pPr>
            <w:r>
              <w:rPr>
                <w:sz w:val="14"/>
              </w:rPr>
              <w:t>152</w:t>
            </w:r>
          </w:p>
        </w:tc>
        <w:tc>
          <w:tcPr>
            <w:tcW w:w="713" w:type="dxa"/>
          </w:tcPr>
          <w:p>
            <w:pPr>
              <w:pStyle w:val="TableParagraph"/>
              <w:spacing w:line="159" w:lineRule="exact" w:before="0"/>
              <w:ind w:right="103"/>
              <w:jc w:val="right"/>
              <w:rPr>
                <w:sz w:val="14"/>
              </w:rPr>
            </w:pPr>
            <w:r>
              <w:rPr>
                <w:sz w:val="14"/>
              </w:rPr>
              <w:t>135</w:t>
            </w:r>
          </w:p>
        </w:tc>
      </w:tr>
      <w:tr>
        <w:trPr>
          <w:trHeight w:val="170" w:hRule="exact"/>
        </w:trPr>
        <w:tc>
          <w:tcPr>
            <w:tcW w:w="890" w:type="dxa"/>
          </w:tcPr>
          <w:p>
            <w:pPr>
              <w:pStyle w:val="TableParagraph"/>
              <w:spacing w:line="157" w:lineRule="exact" w:before="0"/>
              <w:ind w:left="100"/>
              <w:rPr>
                <w:b/>
                <w:sz w:val="14"/>
              </w:rPr>
            </w:pPr>
            <w:r>
              <w:rPr>
                <w:b/>
                <w:sz w:val="14"/>
              </w:rPr>
              <w:t>Bajo</w:t>
            </w:r>
          </w:p>
        </w:tc>
        <w:tc>
          <w:tcPr>
            <w:tcW w:w="1008" w:type="dxa"/>
          </w:tcPr>
          <w:p>
            <w:pPr>
              <w:pStyle w:val="TableParagraph"/>
              <w:spacing w:line="159" w:lineRule="exact" w:before="0"/>
              <w:ind w:right="103"/>
              <w:jc w:val="right"/>
              <w:rPr>
                <w:sz w:val="14"/>
              </w:rPr>
            </w:pPr>
            <w:r>
              <w:rPr>
                <w:sz w:val="14"/>
              </w:rPr>
              <w:t>137</w:t>
            </w:r>
          </w:p>
        </w:tc>
        <w:tc>
          <w:tcPr>
            <w:tcW w:w="961" w:type="dxa"/>
          </w:tcPr>
          <w:p>
            <w:pPr>
              <w:pStyle w:val="TableParagraph"/>
              <w:spacing w:line="159" w:lineRule="exact" w:before="0"/>
              <w:ind w:right="103"/>
              <w:jc w:val="right"/>
              <w:rPr>
                <w:sz w:val="14"/>
              </w:rPr>
            </w:pPr>
            <w:r>
              <w:rPr>
                <w:sz w:val="14"/>
              </w:rPr>
              <w:t>28</w:t>
            </w:r>
          </w:p>
        </w:tc>
        <w:tc>
          <w:tcPr>
            <w:tcW w:w="1135" w:type="dxa"/>
          </w:tcPr>
          <w:p>
            <w:pPr>
              <w:pStyle w:val="TableParagraph"/>
              <w:spacing w:line="159" w:lineRule="exact" w:before="0"/>
              <w:ind w:right="106"/>
              <w:jc w:val="right"/>
              <w:rPr>
                <w:sz w:val="14"/>
              </w:rPr>
            </w:pPr>
            <w:r>
              <w:rPr>
                <w:sz w:val="14"/>
              </w:rPr>
              <w:t>152</w:t>
            </w:r>
          </w:p>
        </w:tc>
        <w:tc>
          <w:tcPr>
            <w:tcW w:w="595" w:type="dxa"/>
          </w:tcPr>
          <w:p>
            <w:pPr>
              <w:pStyle w:val="TableParagraph"/>
              <w:spacing w:line="159" w:lineRule="exact" w:before="0"/>
              <w:ind w:right="103"/>
              <w:jc w:val="right"/>
              <w:rPr>
                <w:sz w:val="14"/>
              </w:rPr>
            </w:pPr>
            <w:r>
              <w:rPr>
                <w:sz w:val="14"/>
              </w:rPr>
              <w:t>48</w:t>
            </w:r>
          </w:p>
        </w:tc>
        <w:tc>
          <w:tcPr>
            <w:tcW w:w="963" w:type="dxa"/>
          </w:tcPr>
          <w:p>
            <w:pPr>
              <w:pStyle w:val="TableParagraph"/>
              <w:spacing w:line="159" w:lineRule="exact" w:before="0"/>
              <w:ind w:right="103"/>
              <w:jc w:val="right"/>
              <w:rPr>
                <w:sz w:val="14"/>
              </w:rPr>
            </w:pPr>
            <w:r>
              <w:rPr>
                <w:sz w:val="14"/>
              </w:rPr>
              <w:t>209</w:t>
            </w:r>
          </w:p>
        </w:tc>
        <w:tc>
          <w:tcPr>
            <w:tcW w:w="710" w:type="dxa"/>
          </w:tcPr>
          <w:p>
            <w:pPr>
              <w:pStyle w:val="TableParagraph"/>
              <w:spacing w:line="159" w:lineRule="exact" w:before="0"/>
              <w:ind w:right="106"/>
              <w:jc w:val="right"/>
              <w:rPr>
                <w:sz w:val="14"/>
              </w:rPr>
            </w:pPr>
            <w:r>
              <w:rPr>
                <w:sz w:val="14"/>
              </w:rPr>
              <w:t>16</w:t>
            </w:r>
          </w:p>
        </w:tc>
        <w:tc>
          <w:tcPr>
            <w:tcW w:w="1277" w:type="dxa"/>
          </w:tcPr>
          <w:p>
            <w:pPr>
              <w:pStyle w:val="TableParagraph"/>
              <w:spacing w:line="159" w:lineRule="exact" w:before="0"/>
              <w:ind w:right="103"/>
              <w:jc w:val="right"/>
              <w:rPr>
                <w:sz w:val="14"/>
              </w:rPr>
            </w:pPr>
            <w:r>
              <w:rPr>
                <w:sz w:val="14"/>
              </w:rPr>
              <w:t>106</w:t>
            </w:r>
          </w:p>
        </w:tc>
        <w:tc>
          <w:tcPr>
            <w:tcW w:w="576" w:type="dxa"/>
          </w:tcPr>
          <w:p>
            <w:pPr>
              <w:pStyle w:val="TableParagraph"/>
              <w:spacing w:line="159" w:lineRule="exact" w:before="0"/>
              <w:ind w:left="228"/>
              <w:rPr>
                <w:sz w:val="14"/>
              </w:rPr>
            </w:pPr>
            <w:r>
              <w:rPr>
                <w:sz w:val="14"/>
              </w:rPr>
              <w:t>303</w:t>
            </w:r>
          </w:p>
        </w:tc>
        <w:tc>
          <w:tcPr>
            <w:tcW w:w="713" w:type="dxa"/>
          </w:tcPr>
          <w:p>
            <w:pPr>
              <w:pStyle w:val="TableParagraph"/>
              <w:spacing w:line="159" w:lineRule="exact" w:before="0"/>
              <w:ind w:right="103"/>
              <w:jc w:val="right"/>
              <w:rPr>
                <w:sz w:val="14"/>
              </w:rPr>
            </w:pPr>
            <w:r>
              <w:rPr>
                <w:sz w:val="14"/>
              </w:rPr>
              <w:t>447</w:t>
            </w:r>
          </w:p>
        </w:tc>
      </w:tr>
      <w:tr>
        <w:trPr>
          <w:trHeight w:val="170" w:hRule="exact"/>
        </w:trPr>
        <w:tc>
          <w:tcPr>
            <w:tcW w:w="890" w:type="dxa"/>
          </w:tcPr>
          <w:p>
            <w:pPr>
              <w:pStyle w:val="TableParagraph"/>
              <w:spacing w:line="157" w:lineRule="exact" w:before="0"/>
              <w:ind w:left="100"/>
              <w:rPr>
                <w:b/>
                <w:sz w:val="14"/>
              </w:rPr>
            </w:pPr>
            <w:r>
              <w:rPr>
                <w:b/>
                <w:sz w:val="14"/>
              </w:rPr>
              <w:t>Moderado</w:t>
            </w:r>
          </w:p>
        </w:tc>
        <w:tc>
          <w:tcPr>
            <w:tcW w:w="1008" w:type="dxa"/>
          </w:tcPr>
          <w:p>
            <w:pPr>
              <w:pStyle w:val="TableParagraph"/>
              <w:spacing w:line="159" w:lineRule="exact" w:before="0"/>
              <w:ind w:right="103"/>
              <w:jc w:val="right"/>
              <w:rPr>
                <w:sz w:val="14"/>
              </w:rPr>
            </w:pPr>
            <w:r>
              <w:rPr>
                <w:sz w:val="14"/>
              </w:rPr>
              <w:t>89</w:t>
            </w:r>
          </w:p>
        </w:tc>
        <w:tc>
          <w:tcPr>
            <w:tcW w:w="961" w:type="dxa"/>
          </w:tcPr>
          <w:p>
            <w:pPr>
              <w:pStyle w:val="TableParagraph"/>
              <w:spacing w:line="159" w:lineRule="exact" w:before="0"/>
              <w:ind w:right="103"/>
              <w:jc w:val="right"/>
              <w:rPr>
                <w:sz w:val="14"/>
              </w:rPr>
            </w:pPr>
            <w:r>
              <w:rPr>
                <w:sz w:val="14"/>
              </w:rPr>
              <w:t>69</w:t>
            </w:r>
          </w:p>
        </w:tc>
        <w:tc>
          <w:tcPr>
            <w:tcW w:w="1135" w:type="dxa"/>
          </w:tcPr>
          <w:p>
            <w:pPr>
              <w:pStyle w:val="TableParagraph"/>
              <w:spacing w:line="159" w:lineRule="exact" w:before="0"/>
              <w:ind w:right="106"/>
              <w:jc w:val="right"/>
              <w:rPr>
                <w:sz w:val="14"/>
              </w:rPr>
            </w:pPr>
            <w:r>
              <w:rPr>
                <w:sz w:val="14"/>
              </w:rPr>
              <w:t>98</w:t>
            </w:r>
          </w:p>
        </w:tc>
        <w:tc>
          <w:tcPr>
            <w:tcW w:w="595" w:type="dxa"/>
          </w:tcPr>
          <w:p>
            <w:pPr>
              <w:pStyle w:val="TableParagraph"/>
              <w:spacing w:line="159" w:lineRule="exact" w:before="0"/>
              <w:ind w:right="103"/>
              <w:jc w:val="right"/>
              <w:rPr>
                <w:sz w:val="14"/>
              </w:rPr>
            </w:pPr>
            <w:r>
              <w:rPr>
                <w:sz w:val="14"/>
              </w:rPr>
              <w:t>37</w:t>
            </w:r>
          </w:p>
        </w:tc>
        <w:tc>
          <w:tcPr>
            <w:tcW w:w="963" w:type="dxa"/>
          </w:tcPr>
          <w:p>
            <w:pPr>
              <w:pStyle w:val="TableParagraph"/>
              <w:spacing w:line="159" w:lineRule="exact" w:before="0"/>
              <w:ind w:right="103"/>
              <w:jc w:val="right"/>
              <w:rPr>
                <w:sz w:val="14"/>
              </w:rPr>
            </w:pPr>
            <w:r>
              <w:rPr>
                <w:sz w:val="14"/>
              </w:rPr>
              <w:t>422</w:t>
            </w:r>
          </w:p>
        </w:tc>
        <w:tc>
          <w:tcPr>
            <w:tcW w:w="710" w:type="dxa"/>
          </w:tcPr>
          <w:p>
            <w:pPr>
              <w:pStyle w:val="TableParagraph"/>
              <w:spacing w:line="159" w:lineRule="exact" w:before="0"/>
              <w:ind w:right="106"/>
              <w:jc w:val="right"/>
              <w:rPr>
                <w:sz w:val="14"/>
              </w:rPr>
            </w:pPr>
            <w:r>
              <w:rPr>
                <w:sz w:val="14"/>
              </w:rPr>
              <w:t>308</w:t>
            </w:r>
          </w:p>
        </w:tc>
        <w:tc>
          <w:tcPr>
            <w:tcW w:w="1277" w:type="dxa"/>
          </w:tcPr>
          <w:p>
            <w:pPr>
              <w:pStyle w:val="TableParagraph"/>
              <w:spacing w:line="159" w:lineRule="exact" w:before="0"/>
              <w:ind w:right="103"/>
              <w:jc w:val="right"/>
              <w:rPr>
                <w:sz w:val="14"/>
              </w:rPr>
            </w:pPr>
            <w:r>
              <w:rPr>
                <w:sz w:val="14"/>
              </w:rPr>
              <w:t>153</w:t>
            </w:r>
          </w:p>
        </w:tc>
        <w:tc>
          <w:tcPr>
            <w:tcW w:w="576" w:type="dxa"/>
          </w:tcPr>
          <w:p>
            <w:pPr>
              <w:pStyle w:val="TableParagraph"/>
              <w:spacing w:line="159" w:lineRule="exact" w:before="0"/>
              <w:ind w:left="228"/>
              <w:rPr>
                <w:sz w:val="14"/>
              </w:rPr>
            </w:pPr>
            <w:r>
              <w:rPr>
                <w:sz w:val="14"/>
              </w:rPr>
              <w:t>309</w:t>
            </w:r>
          </w:p>
        </w:tc>
        <w:tc>
          <w:tcPr>
            <w:tcW w:w="713" w:type="dxa"/>
          </w:tcPr>
          <w:p>
            <w:pPr>
              <w:pStyle w:val="TableParagraph"/>
              <w:spacing w:line="159" w:lineRule="exact" w:before="0"/>
              <w:ind w:right="103"/>
              <w:jc w:val="right"/>
              <w:rPr>
                <w:sz w:val="14"/>
              </w:rPr>
            </w:pPr>
            <w:r>
              <w:rPr>
                <w:sz w:val="14"/>
              </w:rPr>
              <w:t>244</w:t>
            </w:r>
          </w:p>
        </w:tc>
      </w:tr>
      <w:tr>
        <w:trPr>
          <w:trHeight w:val="173" w:hRule="exact"/>
        </w:trPr>
        <w:tc>
          <w:tcPr>
            <w:tcW w:w="890" w:type="dxa"/>
          </w:tcPr>
          <w:p>
            <w:pPr>
              <w:pStyle w:val="TableParagraph"/>
              <w:spacing w:line="157" w:lineRule="exact" w:before="0"/>
              <w:ind w:left="100"/>
              <w:rPr>
                <w:b/>
                <w:sz w:val="14"/>
              </w:rPr>
            </w:pPr>
            <w:r>
              <w:rPr>
                <w:b/>
                <w:sz w:val="14"/>
              </w:rPr>
              <w:t>Alto</w:t>
            </w:r>
          </w:p>
        </w:tc>
        <w:tc>
          <w:tcPr>
            <w:tcW w:w="1008" w:type="dxa"/>
          </w:tcPr>
          <w:p>
            <w:pPr>
              <w:pStyle w:val="TableParagraph"/>
              <w:spacing w:line="159" w:lineRule="exact" w:before="0"/>
              <w:ind w:right="103"/>
              <w:jc w:val="right"/>
              <w:rPr>
                <w:sz w:val="14"/>
              </w:rPr>
            </w:pPr>
            <w:r>
              <w:rPr>
                <w:sz w:val="14"/>
              </w:rPr>
              <w:t>74</w:t>
            </w:r>
          </w:p>
        </w:tc>
        <w:tc>
          <w:tcPr>
            <w:tcW w:w="961" w:type="dxa"/>
          </w:tcPr>
          <w:p>
            <w:pPr>
              <w:pStyle w:val="TableParagraph"/>
              <w:spacing w:line="159" w:lineRule="exact" w:before="0"/>
              <w:ind w:right="103"/>
              <w:jc w:val="right"/>
              <w:rPr>
                <w:sz w:val="14"/>
              </w:rPr>
            </w:pPr>
            <w:r>
              <w:rPr>
                <w:sz w:val="14"/>
              </w:rPr>
              <w:t>133</w:t>
            </w:r>
          </w:p>
        </w:tc>
        <w:tc>
          <w:tcPr>
            <w:tcW w:w="1135" w:type="dxa"/>
          </w:tcPr>
          <w:p>
            <w:pPr>
              <w:pStyle w:val="TableParagraph"/>
              <w:spacing w:line="159" w:lineRule="exact" w:before="0"/>
              <w:ind w:right="106"/>
              <w:jc w:val="right"/>
              <w:rPr>
                <w:sz w:val="14"/>
              </w:rPr>
            </w:pPr>
            <w:r>
              <w:rPr>
                <w:sz w:val="14"/>
              </w:rPr>
              <w:t>68</w:t>
            </w:r>
          </w:p>
        </w:tc>
        <w:tc>
          <w:tcPr>
            <w:tcW w:w="595" w:type="dxa"/>
          </w:tcPr>
          <w:p>
            <w:pPr>
              <w:pStyle w:val="TableParagraph"/>
              <w:spacing w:line="159" w:lineRule="exact" w:before="0"/>
              <w:ind w:right="103"/>
              <w:jc w:val="right"/>
              <w:rPr>
                <w:sz w:val="14"/>
              </w:rPr>
            </w:pPr>
            <w:r>
              <w:rPr>
                <w:sz w:val="14"/>
              </w:rPr>
              <w:t>45</w:t>
            </w:r>
          </w:p>
        </w:tc>
        <w:tc>
          <w:tcPr>
            <w:tcW w:w="963" w:type="dxa"/>
          </w:tcPr>
          <w:p>
            <w:pPr>
              <w:pStyle w:val="TableParagraph"/>
              <w:spacing w:line="159" w:lineRule="exact" w:before="0"/>
              <w:ind w:right="103"/>
              <w:jc w:val="right"/>
              <w:rPr>
                <w:sz w:val="14"/>
              </w:rPr>
            </w:pPr>
            <w:r>
              <w:rPr>
                <w:sz w:val="14"/>
              </w:rPr>
              <w:t>305</w:t>
            </w:r>
          </w:p>
        </w:tc>
        <w:tc>
          <w:tcPr>
            <w:tcW w:w="710" w:type="dxa"/>
          </w:tcPr>
          <w:p>
            <w:pPr>
              <w:pStyle w:val="TableParagraph"/>
              <w:spacing w:line="159" w:lineRule="exact" w:before="0"/>
              <w:ind w:right="106"/>
              <w:jc w:val="right"/>
              <w:rPr>
                <w:sz w:val="14"/>
              </w:rPr>
            </w:pPr>
            <w:r>
              <w:rPr>
                <w:sz w:val="14"/>
              </w:rPr>
              <w:t>285</w:t>
            </w:r>
          </w:p>
        </w:tc>
        <w:tc>
          <w:tcPr>
            <w:tcW w:w="1277" w:type="dxa"/>
          </w:tcPr>
          <w:p>
            <w:pPr>
              <w:pStyle w:val="TableParagraph"/>
              <w:spacing w:line="159" w:lineRule="exact" w:before="0"/>
              <w:ind w:right="103"/>
              <w:jc w:val="right"/>
              <w:rPr>
                <w:sz w:val="14"/>
              </w:rPr>
            </w:pPr>
            <w:r>
              <w:rPr>
                <w:sz w:val="14"/>
              </w:rPr>
              <w:t>346</w:t>
            </w:r>
          </w:p>
        </w:tc>
        <w:tc>
          <w:tcPr>
            <w:tcW w:w="576" w:type="dxa"/>
          </w:tcPr>
          <w:p>
            <w:pPr>
              <w:pStyle w:val="TableParagraph"/>
              <w:spacing w:line="159" w:lineRule="exact" w:before="0"/>
              <w:ind w:left="228"/>
              <w:rPr>
                <w:sz w:val="14"/>
              </w:rPr>
            </w:pPr>
            <w:r>
              <w:rPr>
                <w:sz w:val="14"/>
              </w:rPr>
              <w:t>189</w:t>
            </w:r>
          </w:p>
        </w:tc>
        <w:tc>
          <w:tcPr>
            <w:tcW w:w="713" w:type="dxa"/>
          </w:tcPr>
          <w:p>
            <w:pPr>
              <w:pStyle w:val="TableParagraph"/>
              <w:spacing w:line="159" w:lineRule="exact" w:before="0"/>
              <w:ind w:right="103"/>
              <w:jc w:val="right"/>
              <w:rPr>
                <w:sz w:val="14"/>
              </w:rPr>
            </w:pPr>
            <w:r>
              <w:rPr>
                <w:sz w:val="14"/>
              </w:rPr>
              <w:t>54</w:t>
            </w:r>
          </w:p>
        </w:tc>
      </w:tr>
      <w:tr>
        <w:trPr>
          <w:trHeight w:val="170" w:hRule="exact"/>
        </w:trPr>
        <w:tc>
          <w:tcPr>
            <w:tcW w:w="890" w:type="dxa"/>
          </w:tcPr>
          <w:p>
            <w:pPr>
              <w:pStyle w:val="TableParagraph"/>
              <w:spacing w:line="157" w:lineRule="exact" w:before="0"/>
              <w:ind w:left="100"/>
              <w:rPr>
                <w:b/>
                <w:sz w:val="14"/>
              </w:rPr>
            </w:pPr>
            <w:r>
              <w:rPr>
                <w:b/>
                <w:sz w:val="14"/>
              </w:rPr>
              <w:t>Grave</w:t>
            </w:r>
          </w:p>
        </w:tc>
        <w:tc>
          <w:tcPr>
            <w:tcW w:w="1008" w:type="dxa"/>
          </w:tcPr>
          <w:p>
            <w:pPr>
              <w:pStyle w:val="TableParagraph"/>
              <w:spacing w:line="159" w:lineRule="exact" w:before="0"/>
              <w:ind w:right="103"/>
              <w:jc w:val="right"/>
              <w:rPr>
                <w:sz w:val="14"/>
              </w:rPr>
            </w:pPr>
            <w:r>
              <w:rPr>
                <w:sz w:val="14"/>
              </w:rPr>
              <w:t>74</w:t>
            </w:r>
          </w:p>
        </w:tc>
        <w:tc>
          <w:tcPr>
            <w:tcW w:w="961" w:type="dxa"/>
          </w:tcPr>
          <w:p>
            <w:pPr>
              <w:pStyle w:val="TableParagraph"/>
              <w:spacing w:line="159" w:lineRule="exact" w:before="0"/>
              <w:ind w:right="103"/>
              <w:jc w:val="right"/>
              <w:rPr>
                <w:sz w:val="14"/>
              </w:rPr>
            </w:pPr>
            <w:r>
              <w:rPr>
                <w:sz w:val="14"/>
              </w:rPr>
              <w:t>195</w:t>
            </w:r>
          </w:p>
        </w:tc>
        <w:tc>
          <w:tcPr>
            <w:tcW w:w="1135" w:type="dxa"/>
          </w:tcPr>
          <w:p>
            <w:pPr>
              <w:pStyle w:val="TableParagraph"/>
              <w:spacing w:line="159" w:lineRule="exact" w:before="0"/>
              <w:ind w:right="106"/>
              <w:jc w:val="right"/>
              <w:rPr>
                <w:sz w:val="14"/>
              </w:rPr>
            </w:pPr>
            <w:r>
              <w:rPr>
                <w:sz w:val="14"/>
              </w:rPr>
              <w:t>77</w:t>
            </w:r>
          </w:p>
        </w:tc>
        <w:tc>
          <w:tcPr>
            <w:tcW w:w="595" w:type="dxa"/>
          </w:tcPr>
          <w:p>
            <w:pPr>
              <w:pStyle w:val="TableParagraph"/>
              <w:spacing w:line="159" w:lineRule="exact" w:before="0"/>
              <w:ind w:right="103"/>
              <w:jc w:val="right"/>
              <w:rPr>
                <w:sz w:val="14"/>
              </w:rPr>
            </w:pPr>
            <w:r>
              <w:rPr>
                <w:sz w:val="14"/>
              </w:rPr>
              <w:t>49</w:t>
            </w:r>
          </w:p>
        </w:tc>
        <w:tc>
          <w:tcPr>
            <w:tcW w:w="963" w:type="dxa"/>
          </w:tcPr>
          <w:p>
            <w:pPr>
              <w:pStyle w:val="TableParagraph"/>
              <w:spacing w:line="159" w:lineRule="exact" w:before="0"/>
              <w:ind w:right="103"/>
              <w:jc w:val="right"/>
              <w:rPr>
                <w:sz w:val="14"/>
              </w:rPr>
            </w:pPr>
            <w:r>
              <w:rPr>
                <w:sz w:val="14"/>
              </w:rPr>
              <w:t>109</w:t>
            </w:r>
          </w:p>
        </w:tc>
        <w:tc>
          <w:tcPr>
            <w:tcW w:w="710" w:type="dxa"/>
          </w:tcPr>
          <w:p>
            <w:pPr>
              <w:pStyle w:val="TableParagraph"/>
              <w:spacing w:line="159" w:lineRule="exact" w:before="0"/>
              <w:ind w:right="106"/>
              <w:jc w:val="right"/>
              <w:rPr>
                <w:sz w:val="14"/>
              </w:rPr>
            </w:pPr>
            <w:r>
              <w:rPr>
                <w:sz w:val="14"/>
              </w:rPr>
              <w:t>272</w:t>
            </w:r>
          </w:p>
        </w:tc>
        <w:tc>
          <w:tcPr>
            <w:tcW w:w="1277" w:type="dxa"/>
          </w:tcPr>
          <w:p>
            <w:pPr>
              <w:pStyle w:val="TableParagraph"/>
              <w:spacing w:line="159" w:lineRule="exact" w:before="0"/>
              <w:ind w:right="103"/>
              <w:jc w:val="right"/>
              <w:rPr>
                <w:sz w:val="14"/>
              </w:rPr>
            </w:pPr>
            <w:r>
              <w:rPr>
                <w:sz w:val="14"/>
              </w:rPr>
              <w:t>288</w:t>
            </w:r>
          </w:p>
        </w:tc>
        <w:tc>
          <w:tcPr>
            <w:tcW w:w="576" w:type="dxa"/>
          </w:tcPr>
          <w:p>
            <w:pPr>
              <w:pStyle w:val="TableParagraph"/>
              <w:spacing w:line="159" w:lineRule="exact" w:before="0"/>
              <w:ind w:right="106"/>
              <w:jc w:val="right"/>
              <w:rPr>
                <w:sz w:val="14"/>
              </w:rPr>
            </w:pPr>
            <w:r>
              <w:rPr>
                <w:sz w:val="14"/>
              </w:rPr>
              <w:t>82</w:t>
            </w:r>
          </w:p>
        </w:tc>
        <w:tc>
          <w:tcPr>
            <w:tcW w:w="713" w:type="dxa"/>
          </w:tcPr>
          <w:p>
            <w:pPr>
              <w:pStyle w:val="TableParagraph"/>
              <w:spacing w:line="159" w:lineRule="exact" w:before="0"/>
              <w:ind w:right="103"/>
              <w:jc w:val="right"/>
              <w:rPr>
                <w:sz w:val="14"/>
              </w:rPr>
            </w:pPr>
            <w:r>
              <w:rPr>
                <w:sz w:val="14"/>
              </w:rPr>
              <w:t>111</w:t>
            </w:r>
          </w:p>
        </w:tc>
      </w:tr>
      <w:tr>
        <w:trPr>
          <w:trHeight w:val="170" w:hRule="exact"/>
        </w:trPr>
        <w:tc>
          <w:tcPr>
            <w:tcW w:w="890" w:type="dxa"/>
          </w:tcPr>
          <w:p>
            <w:pPr>
              <w:pStyle w:val="TableParagraph"/>
              <w:spacing w:line="157" w:lineRule="exact" w:before="0"/>
              <w:ind w:left="100"/>
              <w:rPr>
                <w:b/>
                <w:sz w:val="14"/>
              </w:rPr>
            </w:pPr>
            <w:r>
              <w:rPr>
                <w:b/>
                <w:sz w:val="14"/>
              </w:rPr>
              <w:t>Extremo</w:t>
            </w:r>
          </w:p>
        </w:tc>
        <w:tc>
          <w:tcPr>
            <w:tcW w:w="1008" w:type="dxa"/>
          </w:tcPr>
          <w:p>
            <w:pPr>
              <w:pStyle w:val="TableParagraph"/>
              <w:spacing w:line="159" w:lineRule="exact" w:before="0"/>
              <w:ind w:right="103"/>
              <w:jc w:val="right"/>
              <w:rPr>
                <w:sz w:val="14"/>
              </w:rPr>
            </w:pPr>
            <w:r>
              <w:rPr>
                <w:sz w:val="14"/>
              </w:rPr>
              <w:t>47</w:t>
            </w:r>
          </w:p>
        </w:tc>
        <w:tc>
          <w:tcPr>
            <w:tcW w:w="961" w:type="dxa"/>
          </w:tcPr>
          <w:p>
            <w:pPr>
              <w:pStyle w:val="TableParagraph"/>
              <w:spacing w:line="159" w:lineRule="exact" w:before="0"/>
              <w:ind w:right="107"/>
              <w:jc w:val="right"/>
              <w:rPr>
                <w:sz w:val="14"/>
              </w:rPr>
            </w:pPr>
            <w:r>
              <w:rPr>
                <w:sz w:val="14"/>
              </w:rPr>
              <w:t>423</w:t>
            </w:r>
          </w:p>
        </w:tc>
        <w:tc>
          <w:tcPr>
            <w:tcW w:w="1135" w:type="dxa"/>
          </w:tcPr>
          <w:p>
            <w:pPr>
              <w:pStyle w:val="TableParagraph"/>
              <w:spacing w:line="159" w:lineRule="exact" w:before="0"/>
              <w:ind w:right="106"/>
              <w:jc w:val="right"/>
              <w:rPr>
                <w:sz w:val="14"/>
              </w:rPr>
            </w:pPr>
            <w:r>
              <w:rPr>
                <w:sz w:val="14"/>
              </w:rPr>
              <w:t>140</w:t>
            </w:r>
          </w:p>
        </w:tc>
        <w:tc>
          <w:tcPr>
            <w:tcW w:w="595" w:type="dxa"/>
          </w:tcPr>
          <w:p>
            <w:pPr>
              <w:pStyle w:val="TableParagraph"/>
              <w:spacing w:line="159" w:lineRule="exact" w:before="0"/>
              <w:ind w:right="103"/>
              <w:jc w:val="right"/>
              <w:rPr>
                <w:sz w:val="14"/>
              </w:rPr>
            </w:pPr>
            <w:r>
              <w:rPr>
                <w:sz w:val="14"/>
              </w:rPr>
              <w:t>99</w:t>
            </w:r>
          </w:p>
        </w:tc>
        <w:tc>
          <w:tcPr>
            <w:tcW w:w="963" w:type="dxa"/>
          </w:tcPr>
          <w:p>
            <w:pPr/>
          </w:p>
        </w:tc>
        <w:tc>
          <w:tcPr>
            <w:tcW w:w="710" w:type="dxa"/>
          </w:tcPr>
          <w:p>
            <w:pPr>
              <w:pStyle w:val="TableParagraph"/>
              <w:spacing w:line="159" w:lineRule="exact" w:before="0"/>
              <w:ind w:right="106"/>
              <w:jc w:val="right"/>
              <w:rPr>
                <w:sz w:val="14"/>
              </w:rPr>
            </w:pPr>
            <w:r>
              <w:rPr>
                <w:sz w:val="14"/>
              </w:rPr>
              <w:t>163</w:t>
            </w:r>
          </w:p>
        </w:tc>
        <w:tc>
          <w:tcPr>
            <w:tcW w:w="1277" w:type="dxa"/>
          </w:tcPr>
          <w:p>
            <w:pPr>
              <w:pStyle w:val="TableParagraph"/>
              <w:spacing w:line="159" w:lineRule="exact" w:before="0"/>
              <w:ind w:right="103"/>
              <w:jc w:val="right"/>
              <w:rPr>
                <w:sz w:val="14"/>
              </w:rPr>
            </w:pPr>
            <w:r>
              <w:rPr>
                <w:sz w:val="14"/>
              </w:rPr>
              <w:t>132</w:t>
            </w:r>
          </w:p>
        </w:tc>
        <w:tc>
          <w:tcPr>
            <w:tcW w:w="576" w:type="dxa"/>
          </w:tcPr>
          <w:p>
            <w:pPr>
              <w:pStyle w:val="TableParagraph"/>
              <w:spacing w:line="159" w:lineRule="exact" w:before="0"/>
              <w:ind w:right="106"/>
              <w:jc w:val="right"/>
              <w:rPr>
                <w:sz w:val="14"/>
              </w:rPr>
            </w:pPr>
            <w:r>
              <w:rPr>
                <w:sz w:val="14"/>
              </w:rPr>
              <w:t>10</w:t>
            </w:r>
          </w:p>
        </w:tc>
        <w:tc>
          <w:tcPr>
            <w:tcW w:w="713" w:type="dxa"/>
          </w:tcPr>
          <w:p>
            <w:pPr>
              <w:pStyle w:val="TableParagraph"/>
              <w:spacing w:line="159" w:lineRule="exact" w:before="0"/>
              <w:ind w:right="103"/>
              <w:jc w:val="right"/>
              <w:rPr>
                <w:sz w:val="14"/>
              </w:rPr>
            </w:pPr>
            <w:r>
              <w:rPr>
                <w:sz w:val="14"/>
              </w:rPr>
              <w:t>54</w:t>
            </w:r>
          </w:p>
        </w:tc>
      </w:tr>
      <w:tr>
        <w:trPr>
          <w:trHeight w:val="171" w:hRule="exact"/>
        </w:trPr>
        <w:tc>
          <w:tcPr>
            <w:tcW w:w="890" w:type="dxa"/>
          </w:tcPr>
          <w:p>
            <w:pPr>
              <w:pStyle w:val="TableParagraph"/>
              <w:spacing w:line="157" w:lineRule="exact" w:before="0"/>
              <w:ind w:left="100"/>
              <w:rPr>
                <w:b/>
                <w:sz w:val="14"/>
              </w:rPr>
            </w:pPr>
            <w:r>
              <w:rPr>
                <w:b/>
                <w:sz w:val="14"/>
              </w:rPr>
              <w:t>Total</w:t>
            </w:r>
          </w:p>
        </w:tc>
        <w:tc>
          <w:tcPr>
            <w:tcW w:w="1008" w:type="dxa"/>
          </w:tcPr>
          <w:p>
            <w:pPr>
              <w:pStyle w:val="TableParagraph"/>
              <w:spacing w:line="160" w:lineRule="exact" w:before="0"/>
              <w:ind w:right="103"/>
              <w:jc w:val="right"/>
              <w:rPr>
                <w:sz w:val="14"/>
              </w:rPr>
            </w:pPr>
            <w:r>
              <w:rPr>
                <w:sz w:val="14"/>
              </w:rPr>
              <w:t>1045</w:t>
            </w:r>
          </w:p>
        </w:tc>
        <w:tc>
          <w:tcPr>
            <w:tcW w:w="961" w:type="dxa"/>
          </w:tcPr>
          <w:p>
            <w:pPr>
              <w:pStyle w:val="TableParagraph"/>
              <w:spacing w:line="160" w:lineRule="exact" w:before="0"/>
              <w:ind w:right="103"/>
              <w:jc w:val="right"/>
              <w:rPr>
                <w:sz w:val="14"/>
              </w:rPr>
            </w:pPr>
            <w:r>
              <w:rPr>
                <w:sz w:val="14"/>
              </w:rPr>
              <w:t>1045</w:t>
            </w:r>
          </w:p>
        </w:tc>
        <w:tc>
          <w:tcPr>
            <w:tcW w:w="1135" w:type="dxa"/>
          </w:tcPr>
          <w:p>
            <w:pPr>
              <w:pStyle w:val="TableParagraph"/>
              <w:spacing w:line="160" w:lineRule="exact" w:before="0"/>
              <w:ind w:right="105"/>
              <w:jc w:val="right"/>
              <w:rPr>
                <w:sz w:val="14"/>
              </w:rPr>
            </w:pPr>
            <w:r>
              <w:rPr>
                <w:sz w:val="14"/>
              </w:rPr>
              <w:t>1045</w:t>
            </w:r>
          </w:p>
        </w:tc>
        <w:tc>
          <w:tcPr>
            <w:tcW w:w="595" w:type="dxa"/>
          </w:tcPr>
          <w:p>
            <w:pPr>
              <w:pStyle w:val="TableParagraph"/>
              <w:spacing w:line="160" w:lineRule="exact" w:before="0"/>
              <w:ind w:right="103"/>
              <w:jc w:val="right"/>
              <w:rPr>
                <w:sz w:val="14"/>
              </w:rPr>
            </w:pPr>
            <w:r>
              <w:rPr>
                <w:sz w:val="14"/>
              </w:rPr>
              <w:t>1045</w:t>
            </w:r>
          </w:p>
        </w:tc>
        <w:tc>
          <w:tcPr>
            <w:tcW w:w="963" w:type="dxa"/>
          </w:tcPr>
          <w:p>
            <w:pPr>
              <w:pStyle w:val="TableParagraph"/>
              <w:spacing w:line="160" w:lineRule="exact" w:before="0"/>
              <w:ind w:right="103"/>
              <w:jc w:val="right"/>
              <w:rPr>
                <w:sz w:val="14"/>
              </w:rPr>
            </w:pPr>
            <w:r>
              <w:rPr>
                <w:sz w:val="14"/>
              </w:rPr>
              <w:t>1045</w:t>
            </w:r>
          </w:p>
        </w:tc>
        <w:tc>
          <w:tcPr>
            <w:tcW w:w="710" w:type="dxa"/>
          </w:tcPr>
          <w:p>
            <w:pPr>
              <w:pStyle w:val="TableParagraph"/>
              <w:spacing w:line="160" w:lineRule="exact" w:before="0"/>
              <w:ind w:right="105"/>
              <w:jc w:val="right"/>
              <w:rPr>
                <w:sz w:val="14"/>
              </w:rPr>
            </w:pPr>
            <w:r>
              <w:rPr>
                <w:sz w:val="14"/>
              </w:rPr>
              <w:t>1045</w:t>
            </w:r>
          </w:p>
        </w:tc>
        <w:tc>
          <w:tcPr>
            <w:tcW w:w="1277" w:type="dxa"/>
          </w:tcPr>
          <w:p>
            <w:pPr>
              <w:pStyle w:val="TableParagraph"/>
              <w:spacing w:line="160" w:lineRule="exact" w:before="0"/>
              <w:ind w:right="103"/>
              <w:jc w:val="right"/>
              <w:rPr>
                <w:sz w:val="14"/>
              </w:rPr>
            </w:pPr>
            <w:r>
              <w:rPr>
                <w:sz w:val="14"/>
              </w:rPr>
              <w:t>1045</w:t>
            </w:r>
          </w:p>
        </w:tc>
        <w:tc>
          <w:tcPr>
            <w:tcW w:w="576" w:type="dxa"/>
          </w:tcPr>
          <w:p>
            <w:pPr>
              <w:pStyle w:val="TableParagraph"/>
              <w:spacing w:line="160" w:lineRule="exact" w:before="0"/>
              <w:ind w:left="148"/>
              <w:rPr>
                <w:sz w:val="14"/>
              </w:rPr>
            </w:pPr>
            <w:r>
              <w:rPr>
                <w:sz w:val="14"/>
              </w:rPr>
              <w:t>1045</w:t>
            </w:r>
          </w:p>
        </w:tc>
        <w:tc>
          <w:tcPr>
            <w:tcW w:w="713" w:type="dxa"/>
          </w:tcPr>
          <w:p>
            <w:pPr>
              <w:pStyle w:val="TableParagraph"/>
              <w:spacing w:line="160" w:lineRule="exact" w:before="0"/>
              <w:ind w:right="103"/>
              <w:jc w:val="right"/>
              <w:rPr>
                <w:sz w:val="14"/>
              </w:rPr>
            </w:pPr>
            <w:r>
              <w:rPr>
                <w:sz w:val="14"/>
              </w:rPr>
              <w:t>1045</w:t>
            </w:r>
          </w:p>
        </w:tc>
      </w:tr>
    </w:tbl>
    <w:p>
      <w:pPr>
        <w:pStyle w:val="BodyText"/>
        <w:spacing w:before="6"/>
        <w:rPr>
          <w:sz w:val="17"/>
        </w:rPr>
      </w:pPr>
    </w:p>
    <w:p>
      <w:pPr>
        <w:pStyle w:val="BodyText"/>
        <w:spacing w:before="70"/>
        <w:ind w:left="102"/>
      </w:pPr>
      <w:r>
        <w:rPr/>
        <w:t>Con base en el cuadro 17, se presentan gráficos representativos de la distribución de los cuadrantes en cada categoría por variable.</w:t>
      </w:r>
    </w:p>
    <w:p>
      <w:pPr>
        <w:pStyle w:val="BodyText"/>
      </w:pPr>
    </w:p>
    <w:p>
      <w:pPr>
        <w:pStyle w:val="BodyText"/>
        <w:spacing w:before="2"/>
      </w:pPr>
    </w:p>
    <w:p>
      <w:pPr>
        <w:pStyle w:val="BodyText"/>
        <w:ind w:left="102"/>
      </w:pPr>
      <w:r>
        <w:rPr/>
        <w:pict>
          <v:group style="position:absolute;margin-left:124.875pt;margin-top:20.420851pt;width:360.75pt;height:216.75pt;mso-position-horizontal-relative:page;mso-position-vertical-relative:paragraph;z-index:1840;mso-wrap-distance-left:0;mso-wrap-distance-right:0" coordorigin="2498,408" coordsize="7215,4335">
            <v:shape style="position:absolute;left:3110;top:1333;width:5172;height:3166" type="#_x0000_t75" stroked="false">
              <v:imagedata r:id="rId54" o:title=""/>
            </v:shape>
            <v:line style="position:absolute" from="3902,2108" to="3436,1892" stroked="true" strokeweight=".75pt" strokecolor="#000000"/>
            <v:rect style="position:absolute;left:8503;top:1758;width:110;height:110" filled="true" fillcolor="#4571a7" stroked="false">
              <v:fill type="solid"/>
            </v:rect>
            <v:rect style="position:absolute;left:8503;top:2119;width:110;height:110" filled="true" fillcolor="#e36c09" stroked="false">
              <v:fill type="solid"/>
            </v:rect>
            <v:rect style="position:absolute;left:8503;top:2481;width:110;height:110" filled="true" fillcolor="#88a44e" stroked="false">
              <v:fill type="solid"/>
            </v:rect>
            <v:rect style="position:absolute;left:8503;top:2843;width:110;height:110" filled="true" fillcolor="#70578f" stroked="false">
              <v:fill type="solid"/>
            </v:rect>
            <v:rect style="position:absolute;left:8503;top:3204;width:110;height:110" filled="true" fillcolor="#00af50" stroked="false">
              <v:fill type="solid"/>
            </v:rect>
            <v:rect style="position:absolute;left:8503;top:3566;width:110;height:110" filled="true" fillcolor="#ff0000" stroked="false">
              <v:fill type="solid"/>
            </v:rect>
            <v:rect style="position:absolute;left:2505;top:416;width:7200;height:4320" filled="false" stroked="true" strokeweight=".75pt" strokecolor="#858585"/>
            <v:shape style="position:absolute;left:3564;top:683;width:5085;height:281" type="#_x0000_t202" filled="false" stroked="false">
              <v:textbox inset="0,0,0,0">
                <w:txbxContent>
                  <w:p>
                    <w:pPr>
                      <w:spacing w:line="281" w:lineRule="exact" w:before="0"/>
                      <w:ind w:left="0" w:right="-3" w:firstLine="0"/>
                      <w:jc w:val="left"/>
                      <w:rPr>
                        <w:rFonts w:ascii="Calibri" w:hAnsi="Calibri"/>
                        <w:b/>
                        <w:sz w:val="28"/>
                      </w:rPr>
                    </w:pPr>
                    <w:r>
                      <w:rPr>
                        <w:rFonts w:ascii="Calibri" w:hAnsi="Calibri"/>
                        <w:b/>
                        <w:sz w:val="28"/>
                      </w:rPr>
                      <w:t>Índice de frecuencia del periodo</w:t>
                    </w:r>
                    <w:r>
                      <w:rPr>
                        <w:rFonts w:ascii="Calibri" w:hAnsi="Calibri"/>
                        <w:b/>
                        <w:spacing w:val="-21"/>
                        <w:sz w:val="28"/>
                      </w:rPr>
                      <w:t> </w:t>
                    </w:r>
                    <w:r>
                      <w:rPr>
                        <w:rFonts w:ascii="Calibri" w:hAnsi="Calibri"/>
                        <w:b/>
                        <w:sz w:val="28"/>
                      </w:rPr>
                      <w:t>1998-2012.</w:t>
                    </w:r>
                  </w:p>
                </w:txbxContent>
              </v:textbox>
              <w10:wrap type="none"/>
            </v:shape>
            <v:shape style="position:absolute;left:2775;top:1747;width:702;height:200" type="#_x0000_t202" filled="false" stroked="false">
              <v:textbox inset="0,0,0,0">
                <w:txbxContent>
                  <w:p>
                    <w:pPr>
                      <w:spacing w:line="199" w:lineRule="exact" w:before="0"/>
                      <w:ind w:left="0" w:right="0" w:firstLine="0"/>
                      <w:jc w:val="left"/>
                      <w:rPr>
                        <w:rFonts w:ascii="Calibri"/>
                        <w:sz w:val="20"/>
                      </w:rPr>
                    </w:pPr>
                    <w:r>
                      <w:rPr>
                        <w:rFonts w:ascii="Calibri"/>
                        <w:sz w:val="20"/>
                      </w:rPr>
                      <w:t>74, 7% </w:t>
                    </w:r>
                    <w:r>
                      <w:rPr>
                        <w:rFonts w:ascii="Calibri"/>
                        <w:w w:val="99"/>
                        <w:sz w:val="20"/>
                        <w:u w:val="single"/>
                      </w:rPr>
                      <w:t> </w:t>
                    </w:r>
                    <w:r>
                      <w:rPr>
                        <w:rFonts w:ascii="Calibri"/>
                        <w:sz w:val="20"/>
                        <w:u w:val="single"/>
                      </w:rPr>
                      <w:t> </w:t>
                    </w:r>
                  </w:p>
                </w:txbxContent>
              </v:textbox>
              <w10:wrap type="none"/>
            </v:shape>
            <v:shape style="position:absolute;left:4411;top:1702;width:1246;height:200" type="#_x0000_t202" filled="false" stroked="false">
              <v:textbox inset="0,0,0,0">
                <w:txbxContent>
                  <w:p>
                    <w:pPr>
                      <w:spacing w:line="199" w:lineRule="exact" w:before="0"/>
                      <w:ind w:left="0" w:right="-19" w:firstLine="0"/>
                      <w:jc w:val="left"/>
                      <w:rPr>
                        <w:rFonts w:ascii="Calibri"/>
                        <w:sz w:val="20"/>
                      </w:rPr>
                    </w:pPr>
                    <w:r>
                      <w:rPr>
                        <w:rFonts w:ascii="Calibri"/>
                        <w:sz w:val="20"/>
                      </w:rPr>
                      <w:t>74, 7%    47,</w:t>
                    </w:r>
                    <w:r>
                      <w:rPr>
                        <w:rFonts w:ascii="Calibri"/>
                        <w:spacing w:val="-21"/>
                        <w:sz w:val="20"/>
                      </w:rPr>
                      <w:t> </w:t>
                    </w:r>
                    <w:r>
                      <w:rPr>
                        <w:rFonts w:ascii="Calibri"/>
                        <w:sz w:val="20"/>
                      </w:rPr>
                      <w:t>4%</w:t>
                    </w:r>
                  </w:p>
                </w:txbxContent>
              </v:textbox>
              <w10:wrap type="none"/>
            </v:shape>
            <v:shape style="position:absolute;left:2595;top:2168;width:764;height:200" type="#_x0000_t202" filled="false" stroked="false">
              <v:textbox inset="0,0,0,0">
                <w:txbxContent>
                  <w:p>
                    <w:pPr>
                      <w:spacing w:line="199" w:lineRule="exact" w:before="0"/>
                      <w:ind w:left="0" w:right="0" w:firstLine="0"/>
                      <w:jc w:val="left"/>
                      <w:rPr>
                        <w:rFonts w:ascii="Calibri"/>
                        <w:sz w:val="20"/>
                      </w:rPr>
                    </w:pPr>
                    <w:r>
                      <w:rPr>
                        <w:rFonts w:ascii="Calibri"/>
                        <w:sz w:val="20"/>
                      </w:rPr>
                      <w:t>89, 9% </w:t>
                    </w:r>
                    <w:r>
                      <w:rPr>
                        <w:rFonts w:ascii="Calibri"/>
                        <w:w w:val="99"/>
                        <w:sz w:val="20"/>
                        <w:u w:val="single"/>
                      </w:rPr>
                      <w:t> </w:t>
                    </w:r>
                    <w:r>
                      <w:rPr>
                        <w:rFonts w:ascii="Calibri"/>
                        <w:sz w:val="20"/>
                        <w:u w:val="single"/>
                      </w:rPr>
                      <w:t> </w:t>
                    </w:r>
                  </w:p>
                </w:txbxContent>
              </v:textbox>
              <w10:wrap type="none"/>
            </v:shape>
            <v:shape style="position:absolute;left:8662;top:1721;width:765;height:561" type="#_x0000_t202" filled="false" stroked="false">
              <v:textbox inset="0,0,0,0">
                <w:txbxContent>
                  <w:p>
                    <w:pPr>
                      <w:spacing w:line="203" w:lineRule="exact" w:before="0"/>
                      <w:ind w:left="0" w:right="-18" w:firstLine="0"/>
                      <w:jc w:val="left"/>
                      <w:rPr>
                        <w:rFonts w:ascii="Calibri"/>
                        <w:sz w:val="20"/>
                      </w:rPr>
                    </w:pPr>
                    <w:r>
                      <w:rPr>
                        <w:rFonts w:ascii="Calibri"/>
                        <w:sz w:val="20"/>
                      </w:rPr>
                      <w:t>Muy</w:t>
                    </w:r>
                    <w:r>
                      <w:rPr>
                        <w:rFonts w:ascii="Calibri"/>
                        <w:spacing w:val="-4"/>
                        <w:sz w:val="20"/>
                      </w:rPr>
                      <w:t> </w:t>
                    </w:r>
                    <w:r>
                      <w:rPr>
                        <w:rFonts w:ascii="Calibri"/>
                        <w:sz w:val="20"/>
                      </w:rPr>
                      <w:t>bajo</w:t>
                    </w:r>
                  </w:p>
                  <w:p>
                    <w:pPr>
                      <w:spacing w:line="240" w:lineRule="exact" w:before="117"/>
                      <w:ind w:left="0" w:right="-18" w:firstLine="0"/>
                      <w:jc w:val="left"/>
                      <w:rPr>
                        <w:rFonts w:ascii="Calibri"/>
                        <w:sz w:val="20"/>
                      </w:rPr>
                    </w:pPr>
                    <w:r>
                      <w:rPr>
                        <w:rFonts w:ascii="Calibri"/>
                        <w:sz w:val="20"/>
                      </w:rPr>
                      <w:t>Bajo</w:t>
                    </w:r>
                  </w:p>
                </w:txbxContent>
              </v:textbox>
              <w10:wrap type="none"/>
            </v:shape>
            <v:shape style="position:absolute;left:7007;top:2528;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624,</w:t>
                    </w:r>
                    <w:r>
                      <w:rPr>
                        <w:rFonts w:ascii="Calibri"/>
                        <w:spacing w:val="-4"/>
                        <w:sz w:val="20"/>
                      </w:rPr>
                      <w:t> </w:t>
                    </w:r>
                    <w:r>
                      <w:rPr>
                        <w:rFonts w:ascii="Calibri"/>
                        <w:sz w:val="20"/>
                      </w:rPr>
                      <w:t>60%</w:t>
                    </w:r>
                  </w:p>
                </w:txbxContent>
              </v:textbox>
              <w10:wrap type="none"/>
            </v:shape>
            <v:shape style="position:absolute;left:2641;top:333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137,</w:t>
                    </w:r>
                    <w:r>
                      <w:rPr>
                        <w:rFonts w:ascii="Calibri"/>
                        <w:spacing w:val="-4"/>
                        <w:sz w:val="20"/>
                      </w:rPr>
                      <w:t> </w:t>
                    </w:r>
                    <w:r>
                      <w:rPr>
                        <w:rFonts w:ascii="Calibri"/>
                        <w:sz w:val="20"/>
                      </w:rPr>
                      <w:t>13%</w:t>
                    </w:r>
                  </w:p>
                </w:txbxContent>
              </v:textbox>
              <w10:wrap type="none"/>
            </v:shape>
            <v:shape style="position:absolute;left:8662;top:2445;width:856;height:1284" type="#_x0000_t202" filled="false" stroked="false">
              <v:textbox inset="0,0,0,0">
                <w:txbxContent>
                  <w:p>
                    <w:pPr>
                      <w:spacing w:line="203" w:lineRule="exact" w:before="0"/>
                      <w:ind w:left="0" w:right="0" w:firstLine="0"/>
                      <w:jc w:val="left"/>
                      <w:rPr>
                        <w:rFonts w:ascii="Calibri"/>
                        <w:sz w:val="20"/>
                      </w:rPr>
                    </w:pPr>
                    <w:r>
                      <w:rPr>
                        <w:rFonts w:ascii="Calibri"/>
                        <w:w w:val="95"/>
                        <w:sz w:val="20"/>
                      </w:rPr>
                      <w:t>Moderado</w:t>
                    </w:r>
                  </w:p>
                  <w:p>
                    <w:pPr>
                      <w:spacing w:before="117"/>
                      <w:ind w:left="0" w:right="0" w:firstLine="0"/>
                      <w:jc w:val="left"/>
                      <w:rPr>
                        <w:rFonts w:ascii="Calibri"/>
                        <w:sz w:val="20"/>
                      </w:rPr>
                    </w:pPr>
                    <w:r>
                      <w:rPr>
                        <w:rFonts w:ascii="Calibri"/>
                        <w:sz w:val="20"/>
                      </w:rPr>
                      <w:t>Alto</w:t>
                    </w:r>
                  </w:p>
                  <w:p>
                    <w:pPr>
                      <w:spacing w:line="360" w:lineRule="atLeast" w:before="2"/>
                      <w:ind w:left="0" w:right="150" w:firstLine="0"/>
                      <w:jc w:val="left"/>
                      <w:rPr>
                        <w:rFonts w:ascii="Calibri"/>
                        <w:sz w:val="20"/>
                      </w:rPr>
                    </w:pPr>
                    <w:r>
                      <w:rPr>
                        <w:rFonts w:ascii="Calibri"/>
                        <w:sz w:val="20"/>
                      </w:rPr>
                      <w:t>Grave Extremo</w:t>
                    </w:r>
                  </w:p>
                </w:txbxContent>
              </v:textbox>
              <w10:wrap type="none"/>
            </v:shape>
            <w10:wrap type="topAndBottom"/>
          </v:group>
        </w:pict>
      </w:r>
      <w:r>
        <w:rPr/>
        <w:t>Figura 18. Gráfico del índice de frecuencia por cuadrante.</w:t>
      </w:r>
    </w:p>
    <w:p>
      <w:pPr>
        <w:spacing w:after="0"/>
        <w:sectPr>
          <w:pgSz w:w="12240" w:h="15840"/>
          <w:pgMar w:header="0" w:footer="1003" w:top="1360" w:bottom="1200" w:left="1600" w:right="1580"/>
        </w:sectPr>
      </w:pPr>
    </w:p>
    <w:p>
      <w:pPr>
        <w:pStyle w:val="BodyText"/>
        <w:spacing w:before="54"/>
        <w:ind w:left="102"/>
      </w:pPr>
      <w:r>
        <w:rPr/>
        <w:pict>
          <v:group style="position:absolute;margin-left:126.375pt;margin-top:23.150879pt;width:360.75pt;height:216.75pt;mso-position-horizontal-relative:page;mso-position-vertical-relative:paragraph;z-index:2032;mso-wrap-distance-left:0;mso-wrap-distance-right:0" coordorigin="2528,463" coordsize="7215,4335">
            <v:shape style="position:absolute;left:2662;top:1289;width:5290;height:3226" type="#_x0000_t75" stroked="false">
              <v:imagedata r:id="rId55" o:title=""/>
            </v:shape>
            <v:rect style="position:absolute;left:8518;top:1932;width:110;height:110" filled="true" fillcolor="#375f92" stroked="false">
              <v:fill type="solid"/>
            </v:rect>
            <v:rect style="position:absolute;left:8518;top:2294;width:110;height:110" filled="true" fillcolor="#e36c09" stroked="false">
              <v:fill type="solid"/>
            </v:rect>
            <v:rect style="position:absolute;left:8518;top:2656;width:110;height:110" filled="true" fillcolor="#88a44e" stroked="false">
              <v:fill type="solid"/>
            </v:rect>
            <v:rect style="position:absolute;left:8518;top:3017;width:110;height:110" filled="true" fillcolor="#70578f" stroked="false">
              <v:fill type="solid"/>
            </v:rect>
            <v:rect style="position:absolute;left:8518;top:3379;width:110;height:110" filled="true" fillcolor="#00af50" stroked="false">
              <v:fill type="solid"/>
            </v:rect>
            <v:rect style="position:absolute;left:8518;top:3741;width:110;height:110" filled="true" fillcolor="#ff0000" stroked="false">
              <v:fill type="solid"/>
            </v:rect>
            <v:rect style="position:absolute;left:2535;top:471;width:7200;height:4320" filled="false" stroked="true" strokeweight=".75pt" strokecolor="#858585"/>
            <v:shape style="position:absolute;left:3698;top:757;width:4878;height:281" type="#_x0000_t202" filled="false" stroked="false">
              <v:textbox inset="0,0,0,0">
                <w:txbxContent>
                  <w:p>
                    <w:pPr>
                      <w:spacing w:line="281" w:lineRule="exact" w:before="0"/>
                      <w:ind w:left="0" w:right="-6" w:firstLine="0"/>
                      <w:jc w:val="left"/>
                      <w:rPr>
                        <w:rFonts w:ascii="Calibri" w:hAnsi="Calibri"/>
                        <w:b/>
                        <w:sz w:val="28"/>
                      </w:rPr>
                    </w:pPr>
                    <w:r>
                      <w:rPr>
                        <w:rFonts w:ascii="Calibri" w:hAnsi="Calibri"/>
                        <w:b/>
                        <w:sz w:val="28"/>
                      </w:rPr>
                      <w:t>Índice de </w:t>
                    </w:r>
                    <w:r>
                      <w:rPr>
                        <w:rFonts w:ascii="Calibri" w:hAnsi="Calibri"/>
                        <w:b/>
                        <w:spacing w:val="-3"/>
                        <w:sz w:val="28"/>
                      </w:rPr>
                      <w:t>gravedad </w:t>
                    </w:r>
                    <w:r>
                      <w:rPr>
                        <w:rFonts w:ascii="Calibri" w:hAnsi="Calibri"/>
                        <w:b/>
                        <w:sz w:val="28"/>
                      </w:rPr>
                      <w:t>de periodo 1998-2012.</w:t>
                    </w:r>
                  </w:p>
                </w:txbxContent>
              </v:textbox>
              <w10:wrap type="none"/>
            </v:shape>
            <v:shape style="position:absolute;left:5912;top:1651;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197,</w:t>
                    </w:r>
                    <w:r>
                      <w:rPr>
                        <w:rFonts w:ascii="Calibri"/>
                        <w:spacing w:val="-4"/>
                        <w:sz w:val="20"/>
                      </w:rPr>
                      <w:t> </w:t>
                    </w:r>
                    <w:r>
                      <w:rPr>
                        <w:rFonts w:ascii="Calibri"/>
                        <w:sz w:val="20"/>
                      </w:rPr>
                      <w:t>19%</w:t>
                    </w:r>
                  </w:p>
                </w:txbxContent>
              </v:textbox>
              <w10:wrap type="none"/>
            </v:shape>
            <v:shape style="position:absolute;left:3196;top:202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423,</w:t>
                    </w:r>
                    <w:r>
                      <w:rPr>
                        <w:rFonts w:ascii="Calibri"/>
                        <w:spacing w:val="-4"/>
                        <w:sz w:val="20"/>
                      </w:rPr>
                      <w:t> </w:t>
                    </w:r>
                    <w:r>
                      <w:rPr>
                        <w:rFonts w:ascii="Calibri"/>
                        <w:sz w:val="20"/>
                      </w:rPr>
                      <w:t>40%</w:t>
                    </w:r>
                  </w:p>
                </w:txbxContent>
              </v:textbox>
              <w10:wrap type="none"/>
            </v:shape>
            <v:shape style="position:absolute;left:7651;top:1876;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28,</w:t>
                    </w:r>
                    <w:r>
                      <w:rPr>
                        <w:rFonts w:ascii="Calibri"/>
                        <w:spacing w:val="-2"/>
                        <w:sz w:val="20"/>
                      </w:rPr>
                      <w:t> </w:t>
                    </w:r>
                    <w:r>
                      <w:rPr>
                        <w:rFonts w:ascii="Calibri"/>
                        <w:sz w:val="20"/>
                      </w:rPr>
                      <w:t>3%</w:t>
                    </w:r>
                  </w:p>
                </w:txbxContent>
              </v:textbox>
              <w10:wrap type="none"/>
            </v:shape>
            <v:shape style="position:absolute;left:6752;top:2341;width:916;height:740" type="#_x0000_t202" filled="false" stroked="false">
              <v:textbox inset="0,0,0,0">
                <w:txbxContent>
                  <w:p>
                    <w:pPr>
                      <w:spacing w:line="203" w:lineRule="exact" w:before="0"/>
                      <w:ind w:left="375" w:right="-20" w:firstLine="0"/>
                      <w:jc w:val="left"/>
                      <w:rPr>
                        <w:rFonts w:ascii="Calibri"/>
                        <w:sz w:val="20"/>
                      </w:rPr>
                    </w:pPr>
                    <w:r>
                      <w:rPr>
                        <w:rFonts w:ascii="Calibri"/>
                        <w:sz w:val="20"/>
                      </w:rPr>
                      <w:t>69,</w:t>
                    </w:r>
                    <w:r>
                      <w:rPr>
                        <w:rFonts w:ascii="Calibri"/>
                        <w:spacing w:val="-2"/>
                        <w:sz w:val="20"/>
                      </w:rPr>
                      <w:t> </w:t>
                    </w:r>
                    <w:r>
                      <w:rPr>
                        <w:rFonts w:ascii="Calibri"/>
                        <w:sz w:val="20"/>
                      </w:rPr>
                      <w:t>6%</w:t>
                    </w:r>
                  </w:p>
                  <w:p>
                    <w:pPr>
                      <w:spacing w:line="240" w:lineRule="auto" w:before="8"/>
                      <w:rPr>
                        <w:sz w:val="25"/>
                      </w:rPr>
                    </w:pPr>
                  </w:p>
                  <w:p>
                    <w:pPr>
                      <w:spacing w:line="240" w:lineRule="exact" w:before="0"/>
                      <w:ind w:left="0" w:right="-20" w:firstLine="0"/>
                      <w:jc w:val="left"/>
                      <w:rPr>
                        <w:rFonts w:ascii="Calibri"/>
                        <w:sz w:val="20"/>
                      </w:rPr>
                    </w:pPr>
                    <w:r>
                      <w:rPr>
                        <w:rFonts w:ascii="Calibri"/>
                        <w:sz w:val="20"/>
                      </w:rPr>
                      <w:t>133, 13%</w:t>
                    </w:r>
                  </w:p>
                </w:txbxContent>
              </v:textbox>
              <w10:wrap type="none"/>
            </v:shape>
            <v:shape style="position:absolute;left:4892;top:349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195,</w:t>
                    </w:r>
                    <w:r>
                      <w:rPr>
                        <w:rFonts w:ascii="Calibri"/>
                        <w:spacing w:val="-4"/>
                        <w:sz w:val="20"/>
                      </w:rPr>
                      <w:t> </w:t>
                    </w:r>
                    <w:r>
                      <w:rPr>
                        <w:rFonts w:ascii="Calibri"/>
                        <w:sz w:val="20"/>
                      </w:rPr>
                      <w:t>19%</w:t>
                    </w:r>
                  </w:p>
                </w:txbxContent>
              </v:textbox>
              <w10:wrap type="none"/>
            </v:shape>
            <v:shape style="position:absolute;left:8677;top:1895;width:856;height:2008" type="#_x0000_t202" filled="false" stroked="false">
              <v:textbox inset="0,0,0,0">
                <w:txbxContent>
                  <w:p>
                    <w:pPr>
                      <w:spacing w:line="203" w:lineRule="exact" w:before="0"/>
                      <w:ind w:left="0" w:right="0" w:firstLine="0"/>
                      <w:jc w:val="left"/>
                      <w:rPr>
                        <w:rFonts w:ascii="Calibri"/>
                        <w:sz w:val="20"/>
                      </w:rPr>
                    </w:pPr>
                    <w:r>
                      <w:rPr>
                        <w:rFonts w:ascii="Calibri"/>
                        <w:sz w:val="20"/>
                      </w:rPr>
                      <w:t>Muy bajo</w:t>
                    </w:r>
                  </w:p>
                  <w:p>
                    <w:pPr>
                      <w:spacing w:line="355" w:lineRule="auto" w:before="118"/>
                      <w:ind w:left="0" w:right="20" w:firstLine="0"/>
                      <w:jc w:val="left"/>
                      <w:rPr>
                        <w:rFonts w:ascii="Calibri"/>
                        <w:sz w:val="20"/>
                      </w:rPr>
                    </w:pPr>
                    <w:r>
                      <w:rPr>
                        <w:rFonts w:ascii="Calibri"/>
                        <w:sz w:val="20"/>
                      </w:rPr>
                      <w:t>Bajo </w:t>
                    </w:r>
                    <w:r>
                      <w:rPr>
                        <w:rFonts w:ascii="Calibri"/>
                        <w:w w:val="95"/>
                        <w:sz w:val="20"/>
                      </w:rPr>
                      <w:t>Moderado </w:t>
                    </w:r>
                    <w:r>
                      <w:rPr>
                        <w:rFonts w:ascii="Calibri"/>
                        <w:sz w:val="20"/>
                      </w:rPr>
                      <w:t>Alto Grave</w:t>
                    </w:r>
                  </w:p>
                  <w:p>
                    <w:pPr>
                      <w:spacing w:line="240" w:lineRule="exact" w:before="0"/>
                      <w:ind w:left="0" w:right="0" w:firstLine="0"/>
                      <w:jc w:val="left"/>
                      <w:rPr>
                        <w:rFonts w:ascii="Calibri"/>
                        <w:sz w:val="20"/>
                      </w:rPr>
                    </w:pPr>
                    <w:r>
                      <w:rPr>
                        <w:rFonts w:ascii="Calibri"/>
                        <w:sz w:val="20"/>
                      </w:rPr>
                      <w:t>Extremo</w:t>
                    </w:r>
                  </w:p>
                </w:txbxContent>
              </v:textbox>
              <w10:wrap type="none"/>
            </v:shape>
            <w10:wrap type="topAndBottom"/>
          </v:group>
        </w:pict>
      </w:r>
      <w:r>
        <w:rPr/>
        <w:t>Figura 19. Gráfico del índice de gravedad por cuadrante.</w:t>
      </w:r>
    </w:p>
    <w:p>
      <w:pPr>
        <w:pStyle w:val="BodyText"/>
      </w:pPr>
    </w:p>
    <w:p>
      <w:pPr>
        <w:pStyle w:val="BodyText"/>
      </w:pPr>
    </w:p>
    <w:p>
      <w:pPr>
        <w:pStyle w:val="BodyText"/>
        <w:spacing w:before="3"/>
        <w:rPr>
          <w:sz w:val="23"/>
        </w:rPr>
      </w:pPr>
    </w:p>
    <w:p>
      <w:pPr>
        <w:pStyle w:val="BodyText"/>
        <w:ind w:left="102"/>
      </w:pPr>
      <w:r>
        <w:rPr/>
        <w:pict>
          <v:group style="position:absolute;margin-left:124.875pt;margin-top:20.410873pt;width:360.75pt;height:216.75pt;mso-position-horizontal-relative:page;mso-position-vertical-relative:paragraph;z-index:2296;mso-wrap-distance-left:0;mso-wrap-distance-right:0" coordorigin="2498,408" coordsize="7215,4335">
            <v:shape style="position:absolute;left:3091;top:1487;width:5071;height:3019" type="#_x0000_t75" stroked="false">
              <v:imagedata r:id="rId56" o:title=""/>
            </v:shape>
            <v:line style="position:absolute" from="3672,2040" to="3662,1983" stroked="true" strokeweight=".75pt" strokecolor="#000000"/>
            <v:rect style="position:absolute;left:8488;top:1878;width:110;height:110" filled="true" fillcolor="#375f92" stroked="false">
              <v:fill type="solid"/>
            </v:rect>
            <v:rect style="position:absolute;left:8488;top:2239;width:110;height:110" filled="true" fillcolor="#e36c09" stroked="false">
              <v:fill type="solid"/>
            </v:rect>
            <v:rect style="position:absolute;left:8488;top:2601;width:110;height:110" filled="true" fillcolor="#88a44e" stroked="false">
              <v:fill type="solid"/>
            </v:rect>
            <v:rect style="position:absolute;left:8488;top:2963;width:110;height:110" filled="true" fillcolor="#70578f" stroked="false">
              <v:fill type="solid"/>
            </v:rect>
            <v:rect style="position:absolute;left:8488;top:3324;width:110;height:110" filled="true" fillcolor="#00af50" stroked="false">
              <v:fill type="solid"/>
            </v:rect>
            <v:rect style="position:absolute;left:8488;top:3686;width:110;height:110" filled="true" fillcolor="#ff0000" stroked="false">
              <v:fill type="solid"/>
            </v:rect>
            <v:rect style="position:absolute;left:2505;top:416;width:7200;height:4320" filled="false" stroked="true" strokeweight=".75pt" strokecolor="#858585"/>
            <v:shape style="position:absolute;left:3552;top:723;width:5106;height:282" type="#_x0000_t202" filled="false" stroked="false">
              <v:textbox inset="0,0,0,0">
                <w:txbxContent>
                  <w:p>
                    <w:pPr>
                      <w:spacing w:line="281" w:lineRule="exact" w:before="0"/>
                      <w:ind w:left="0" w:right="-9" w:firstLine="0"/>
                      <w:jc w:val="left"/>
                      <w:rPr>
                        <w:rFonts w:ascii="Calibri" w:hAnsi="Calibri"/>
                        <w:b/>
                        <w:sz w:val="28"/>
                      </w:rPr>
                    </w:pPr>
                    <w:r>
                      <w:rPr>
                        <w:rFonts w:ascii="Calibri" w:hAnsi="Calibri"/>
                        <w:b/>
                        <w:sz w:val="28"/>
                      </w:rPr>
                      <w:t>Índice de causalidad del periodo</w:t>
                    </w:r>
                    <w:r>
                      <w:rPr>
                        <w:rFonts w:ascii="Calibri" w:hAnsi="Calibri"/>
                        <w:b/>
                        <w:spacing w:val="-14"/>
                        <w:sz w:val="28"/>
                      </w:rPr>
                      <w:t> </w:t>
                    </w:r>
                    <w:r>
                      <w:rPr>
                        <w:rFonts w:ascii="Calibri" w:hAnsi="Calibri"/>
                        <w:b/>
                        <w:sz w:val="28"/>
                      </w:rPr>
                      <w:t>1998-2012.</w:t>
                    </w:r>
                  </w:p>
                </w:txbxContent>
              </v:textbox>
              <w10:wrap type="none"/>
            </v:shape>
            <v:shape style="position:absolute;left:3000;top:1837;width:702;height:200" type="#_x0000_t202" filled="false" stroked="false">
              <v:textbox inset="0,0,0,0">
                <w:txbxContent>
                  <w:p>
                    <w:pPr>
                      <w:spacing w:line="199" w:lineRule="exact" w:before="0"/>
                      <w:ind w:left="0" w:right="0" w:firstLine="0"/>
                      <w:jc w:val="left"/>
                      <w:rPr>
                        <w:rFonts w:ascii="Calibri"/>
                        <w:sz w:val="20"/>
                      </w:rPr>
                    </w:pPr>
                    <w:r>
                      <w:rPr>
                        <w:rFonts w:ascii="Calibri"/>
                        <w:sz w:val="20"/>
                      </w:rPr>
                      <w:t>77, 7% </w:t>
                    </w:r>
                    <w:r>
                      <w:rPr>
                        <w:rFonts w:ascii="Calibri"/>
                        <w:w w:val="99"/>
                        <w:sz w:val="20"/>
                        <w:u w:val="single"/>
                      </w:rPr>
                      <w:t> </w:t>
                    </w:r>
                    <w:r>
                      <w:rPr>
                        <w:rFonts w:ascii="Calibri"/>
                        <w:sz w:val="20"/>
                        <w:u w:val="single"/>
                      </w:rPr>
                      <w:t> </w:t>
                    </w:r>
                  </w:p>
                </w:txbxContent>
              </v:textbox>
              <w10:wrap type="none"/>
            </v:shape>
            <v:shape style="position:absolute;left:4592;top:1747;width:744;height:200" type="#_x0000_t202" filled="false" stroked="false">
              <v:textbox inset="0,0,0,0">
                <w:txbxContent>
                  <w:p>
                    <w:pPr>
                      <w:spacing w:line="199" w:lineRule="exact" w:before="0"/>
                      <w:ind w:left="0" w:right="-18" w:firstLine="0"/>
                      <w:jc w:val="left"/>
                      <w:rPr>
                        <w:rFonts w:ascii="Calibri"/>
                        <w:sz w:val="20"/>
                      </w:rPr>
                    </w:pPr>
                    <w:r>
                      <w:rPr>
                        <w:rFonts w:ascii="Calibri"/>
                        <w:sz w:val="20"/>
                      </w:rPr>
                      <w:t>140,</w:t>
                    </w:r>
                    <w:r>
                      <w:rPr>
                        <w:rFonts w:ascii="Calibri"/>
                        <w:spacing w:val="-3"/>
                        <w:sz w:val="20"/>
                      </w:rPr>
                      <w:t> </w:t>
                    </w:r>
                    <w:r>
                      <w:rPr>
                        <w:rFonts w:ascii="Calibri"/>
                        <w:sz w:val="20"/>
                      </w:rPr>
                      <w:t>13%</w:t>
                    </w:r>
                  </w:p>
                </w:txbxContent>
              </v:textbox>
              <w10:wrap type="none"/>
            </v:shape>
            <v:shape style="position:absolute;left:8647;top:1841;width:767;height:200" type="#_x0000_t202" filled="false" stroked="false">
              <v:textbox inset="0,0,0,0">
                <w:txbxContent>
                  <w:p>
                    <w:pPr>
                      <w:spacing w:line="199" w:lineRule="exact" w:before="0"/>
                      <w:ind w:left="0" w:right="-19" w:firstLine="0"/>
                      <w:jc w:val="left"/>
                      <w:rPr>
                        <w:rFonts w:ascii="Calibri"/>
                        <w:sz w:val="20"/>
                      </w:rPr>
                    </w:pPr>
                    <w:r>
                      <w:rPr>
                        <w:rFonts w:ascii="Calibri"/>
                        <w:sz w:val="20"/>
                      </w:rPr>
                      <w:t>Muy bajo</w:t>
                    </w:r>
                  </w:p>
                </w:txbxContent>
              </v:textbox>
              <w10:wrap type="none"/>
            </v:shape>
            <v:shape style="position:absolute;left:2580;top:2408;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68,</w:t>
                    </w:r>
                    <w:r>
                      <w:rPr>
                        <w:rFonts w:ascii="Calibri"/>
                        <w:spacing w:val="-2"/>
                        <w:sz w:val="20"/>
                      </w:rPr>
                      <w:t> </w:t>
                    </w:r>
                    <w:r>
                      <w:rPr>
                        <w:rFonts w:ascii="Calibri"/>
                        <w:sz w:val="20"/>
                      </w:rPr>
                      <w:t>7%</w:t>
                    </w:r>
                  </w:p>
                </w:txbxContent>
              </v:textbox>
              <w10:wrap type="none"/>
            </v:shape>
            <v:shape style="position:absolute;left:7037;top:231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510,</w:t>
                    </w:r>
                    <w:r>
                      <w:rPr>
                        <w:rFonts w:ascii="Calibri"/>
                        <w:spacing w:val="-4"/>
                        <w:sz w:val="20"/>
                      </w:rPr>
                      <w:t> </w:t>
                    </w:r>
                    <w:r>
                      <w:rPr>
                        <w:rFonts w:ascii="Calibri"/>
                        <w:sz w:val="20"/>
                      </w:rPr>
                      <w:t>49%</w:t>
                    </w:r>
                  </w:p>
                </w:txbxContent>
              </v:textbox>
              <w10:wrap type="none"/>
            </v:shape>
            <v:shape style="position:absolute;left:3420;top:2857;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98,</w:t>
                    </w:r>
                    <w:r>
                      <w:rPr>
                        <w:rFonts w:ascii="Calibri"/>
                        <w:spacing w:val="-2"/>
                        <w:sz w:val="20"/>
                      </w:rPr>
                      <w:t> </w:t>
                    </w:r>
                    <w:r>
                      <w:rPr>
                        <w:rFonts w:ascii="Calibri"/>
                        <w:sz w:val="20"/>
                      </w:rPr>
                      <w:t>9%</w:t>
                    </w:r>
                  </w:p>
                </w:txbxContent>
              </v:textbox>
              <w10:wrap type="none"/>
            </v:shape>
            <v:shape style="position:absolute;left:8647;top:2203;width:859;height:923" type="#_x0000_t202" filled="false" stroked="false">
              <v:textbox inset="0,0,0,0">
                <w:txbxContent>
                  <w:p>
                    <w:pPr>
                      <w:spacing w:line="203" w:lineRule="exact" w:before="0"/>
                      <w:ind w:left="0" w:right="-19" w:firstLine="0"/>
                      <w:jc w:val="left"/>
                      <w:rPr>
                        <w:rFonts w:ascii="Calibri"/>
                        <w:sz w:val="20"/>
                      </w:rPr>
                    </w:pPr>
                    <w:r>
                      <w:rPr>
                        <w:rFonts w:ascii="Calibri"/>
                        <w:sz w:val="20"/>
                      </w:rPr>
                      <w:t>Bajo</w:t>
                    </w:r>
                  </w:p>
                  <w:p>
                    <w:pPr>
                      <w:spacing w:line="360" w:lineRule="atLeast" w:before="2"/>
                      <w:ind w:left="0" w:right="-19" w:firstLine="0"/>
                      <w:jc w:val="left"/>
                      <w:rPr>
                        <w:rFonts w:ascii="Calibri"/>
                        <w:sz w:val="20"/>
                      </w:rPr>
                    </w:pPr>
                    <w:r>
                      <w:rPr>
                        <w:rFonts w:ascii="Calibri"/>
                        <w:sz w:val="20"/>
                      </w:rPr>
                      <w:t>Moderado</w:t>
                    </w:r>
                    <w:r>
                      <w:rPr>
                        <w:rFonts w:ascii="Calibri"/>
                        <w:w w:val="99"/>
                        <w:sz w:val="20"/>
                      </w:rPr>
                      <w:t> </w:t>
                    </w:r>
                    <w:r>
                      <w:rPr>
                        <w:rFonts w:ascii="Calibri"/>
                        <w:sz w:val="20"/>
                      </w:rPr>
                      <w:t>Alto</w:t>
                    </w:r>
                  </w:p>
                </w:txbxContent>
              </v:textbox>
              <w10:wrap type="none"/>
            </v:shape>
            <v:shape style="position:absolute;left:4441;top:3428;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152,</w:t>
                    </w:r>
                    <w:r>
                      <w:rPr>
                        <w:rFonts w:ascii="Calibri"/>
                        <w:spacing w:val="-4"/>
                        <w:sz w:val="20"/>
                      </w:rPr>
                      <w:t> </w:t>
                    </w:r>
                    <w:r>
                      <w:rPr>
                        <w:rFonts w:ascii="Calibri"/>
                        <w:sz w:val="20"/>
                      </w:rPr>
                      <w:t>15%</w:t>
                    </w:r>
                  </w:p>
                </w:txbxContent>
              </v:textbox>
              <w10:wrap type="none"/>
            </v:shape>
            <v:shape style="position:absolute;left:8647;top:3288;width:688;height:561" type="#_x0000_t202" filled="false" stroked="false">
              <v:textbox inset="0,0,0,0">
                <w:txbxContent>
                  <w:p>
                    <w:pPr>
                      <w:spacing w:line="203" w:lineRule="exact" w:before="0"/>
                      <w:ind w:left="0" w:right="-18" w:firstLine="0"/>
                      <w:jc w:val="left"/>
                      <w:rPr>
                        <w:rFonts w:ascii="Calibri"/>
                        <w:sz w:val="20"/>
                      </w:rPr>
                    </w:pPr>
                    <w:r>
                      <w:rPr>
                        <w:rFonts w:ascii="Calibri"/>
                        <w:sz w:val="20"/>
                      </w:rPr>
                      <w:t>Grave</w:t>
                    </w:r>
                  </w:p>
                  <w:p>
                    <w:pPr>
                      <w:spacing w:line="240" w:lineRule="exact" w:before="117"/>
                      <w:ind w:left="0" w:right="-18" w:firstLine="0"/>
                      <w:jc w:val="left"/>
                      <w:rPr>
                        <w:rFonts w:ascii="Calibri"/>
                        <w:sz w:val="20"/>
                      </w:rPr>
                    </w:pPr>
                    <w:r>
                      <w:rPr>
                        <w:rFonts w:ascii="Calibri"/>
                        <w:sz w:val="20"/>
                      </w:rPr>
                      <w:t>Extremo</w:t>
                    </w:r>
                  </w:p>
                </w:txbxContent>
              </v:textbox>
              <w10:wrap type="none"/>
            </v:shape>
            <w10:wrap type="topAndBottom"/>
          </v:group>
        </w:pict>
      </w:r>
      <w:r>
        <w:rPr/>
        <w:t>Figura 20. Gráfico del índice de causalidad por cuadrante.</w:t>
      </w:r>
    </w:p>
    <w:p>
      <w:pPr>
        <w:spacing w:after="0"/>
        <w:sectPr>
          <w:pgSz w:w="12240" w:h="15840"/>
          <w:pgMar w:header="0" w:footer="1003" w:top="1360" w:bottom="1200" w:left="1600" w:right="1580"/>
        </w:sectPr>
      </w:pPr>
    </w:p>
    <w:p>
      <w:pPr>
        <w:pStyle w:val="BodyText"/>
        <w:spacing w:before="54"/>
        <w:ind w:left="102"/>
      </w:pPr>
      <w:r>
        <w:rPr/>
        <w:pict>
          <v:group style="position:absolute;margin-left:124.875pt;margin-top:23.150879pt;width:360.75pt;height:216.75pt;mso-position-horizontal-relative:page;mso-position-vertical-relative:paragraph;z-index:2488;mso-wrap-distance-left:0;mso-wrap-distance-right:0" coordorigin="2498,463" coordsize="7215,4335">
            <v:shape style="position:absolute;left:3091;top:1349;width:5210;height:3185" type="#_x0000_t75" stroked="false">
              <v:imagedata r:id="rId57" o:title=""/>
            </v:shape>
            <v:line style="position:absolute" from="3436,2142" to="3273,2127" stroked="true" strokeweight=".75pt" strokecolor="#000000"/>
            <v:line style="position:absolute" from="3750,1915" to="3467,1798" stroked="true" strokeweight=".75pt" strokecolor="#000000"/>
            <v:rect style="position:absolute;left:8488;top:1932;width:110;height:110" filled="true" fillcolor="#375f92" stroked="false">
              <v:fill type="solid"/>
            </v:rect>
            <v:rect style="position:absolute;left:8488;top:2294;width:110;height:110" filled="true" fillcolor="#e36c09" stroked="false">
              <v:fill type="solid"/>
            </v:rect>
            <v:rect style="position:absolute;left:8488;top:2656;width:110;height:110" filled="true" fillcolor="#88a44e" stroked="false">
              <v:fill type="solid"/>
            </v:rect>
            <v:rect style="position:absolute;left:8488;top:3017;width:110;height:110" filled="true" fillcolor="#70578f" stroked="false">
              <v:fill type="solid"/>
            </v:rect>
            <v:rect style="position:absolute;left:8488;top:3379;width:110;height:110" filled="true" fillcolor="#00af50" stroked="false">
              <v:fill type="solid"/>
            </v:rect>
            <v:rect style="position:absolute;left:8488;top:3741;width:110;height:110" filled="true" fillcolor="#ff0000" stroked="false">
              <v:fill type="solid"/>
            </v:rect>
            <v:rect style="position:absolute;left:2505;top:471;width:7200;height:4320" filled="false" stroked="true" strokeweight=".75pt" strokecolor="#858585"/>
            <v:shape style="position:absolute;left:5070;top:677;width:2070;height:281" type="#_x0000_t202" filled="false" stroked="false">
              <v:textbox inset="0,0,0,0">
                <w:txbxContent>
                  <w:p>
                    <w:pPr>
                      <w:spacing w:line="281" w:lineRule="exact" w:before="0"/>
                      <w:ind w:left="0" w:right="-12" w:firstLine="0"/>
                      <w:jc w:val="left"/>
                      <w:rPr>
                        <w:rFonts w:ascii="Calibri" w:hAnsi="Calibri"/>
                        <w:b/>
                        <w:sz w:val="28"/>
                      </w:rPr>
                    </w:pPr>
                    <w:r>
                      <w:rPr>
                        <w:rFonts w:ascii="Calibri" w:hAnsi="Calibri"/>
                        <w:b/>
                        <w:sz w:val="28"/>
                      </w:rPr>
                      <w:t>Riesgo</w:t>
                    </w:r>
                    <w:r>
                      <w:rPr>
                        <w:rFonts w:ascii="Calibri" w:hAnsi="Calibri"/>
                        <w:b/>
                        <w:spacing w:val="-16"/>
                        <w:sz w:val="28"/>
                      </w:rPr>
                      <w:t> </w:t>
                    </w:r>
                    <w:r>
                      <w:rPr>
                        <w:rFonts w:ascii="Calibri" w:hAnsi="Calibri"/>
                        <w:b/>
                        <w:sz w:val="28"/>
                      </w:rPr>
                      <w:t>estadístico</w:t>
                    </w:r>
                  </w:p>
                </w:txbxContent>
              </v:textbox>
              <w10:wrap type="none"/>
            </v:shape>
            <v:shape style="position:absolute;left:3616;top:1471;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49,</w:t>
                    </w:r>
                    <w:r>
                      <w:rPr>
                        <w:rFonts w:ascii="Calibri"/>
                        <w:spacing w:val="-2"/>
                        <w:sz w:val="20"/>
                      </w:rPr>
                      <w:t> </w:t>
                    </w:r>
                    <w:r>
                      <w:rPr>
                        <w:rFonts w:ascii="Calibri"/>
                        <w:sz w:val="20"/>
                      </w:rPr>
                      <w:t>5%</w:t>
                    </w:r>
                  </w:p>
                </w:txbxContent>
              </v:textbox>
              <w10:wrap type="none"/>
            </v:shape>
            <v:shape style="position:absolute;left:2580;top:1651;width:928;height:875" type="#_x0000_t202" filled="false" stroked="false">
              <v:textbox inset="0,0,0,0">
                <w:txbxContent>
                  <w:p>
                    <w:pPr>
                      <w:spacing w:line="203" w:lineRule="exact" w:before="0"/>
                      <w:ind w:left="225" w:right="0" w:firstLine="0"/>
                      <w:jc w:val="left"/>
                      <w:rPr>
                        <w:rFonts w:ascii="Calibri"/>
                        <w:sz w:val="20"/>
                      </w:rPr>
                    </w:pPr>
                    <w:r>
                      <w:rPr>
                        <w:rFonts w:ascii="Calibri"/>
                        <w:sz w:val="20"/>
                      </w:rPr>
                      <w:t>45, 4% </w:t>
                    </w:r>
                    <w:r>
                      <w:rPr>
                        <w:rFonts w:ascii="Calibri"/>
                        <w:w w:val="99"/>
                        <w:sz w:val="20"/>
                        <w:u w:val="single"/>
                      </w:rPr>
                      <w:t> </w:t>
                    </w:r>
                    <w:r>
                      <w:rPr>
                        <w:rFonts w:ascii="Calibri"/>
                        <w:sz w:val="20"/>
                        <w:u w:val="single"/>
                      </w:rPr>
                      <w:t> </w:t>
                    </w:r>
                  </w:p>
                  <w:p>
                    <w:pPr>
                      <w:spacing w:before="86"/>
                      <w:ind w:left="30" w:right="0" w:firstLine="0"/>
                      <w:jc w:val="left"/>
                      <w:rPr>
                        <w:rFonts w:ascii="Calibri"/>
                        <w:sz w:val="20"/>
                      </w:rPr>
                    </w:pPr>
                    <w:r>
                      <w:rPr>
                        <w:rFonts w:ascii="Calibri"/>
                        <w:sz w:val="20"/>
                      </w:rPr>
                      <w:t>37, 4% </w:t>
                    </w:r>
                    <w:r>
                      <w:rPr>
                        <w:rFonts w:ascii="Calibri"/>
                        <w:w w:val="99"/>
                        <w:sz w:val="20"/>
                        <w:u w:val="single"/>
                      </w:rPr>
                      <w:t> </w:t>
                    </w:r>
                    <w:r>
                      <w:rPr>
                        <w:rFonts w:ascii="Calibri"/>
                        <w:sz w:val="20"/>
                        <w:u w:val="single"/>
                      </w:rPr>
                      <w:t> </w:t>
                    </w:r>
                  </w:p>
                  <w:p>
                    <w:pPr>
                      <w:spacing w:line="240" w:lineRule="exact" w:before="101"/>
                      <w:ind w:left="0" w:right="0" w:firstLine="0"/>
                      <w:jc w:val="left"/>
                      <w:rPr>
                        <w:rFonts w:ascii="Calibri"/>
                        <w:sz w:val="20"/>
                      </w:rPr>
                    </w:pPr>
                    <w:r>
                      <w:rPr>
                        <w:rFonts w:ascii="Calibri"/>
                        <w:sz w:val="20"/>
                      </w:rPr>
                      <w:t>48, 5%</w:t>
                    </w:r>
                  </w:p>
                </w:txbxContent>
              </v:textbox>
              <w10:wrap type="none"/>
            </v:shape>
            <v:shape style="position:absolute;left:4951;top:1591;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99,</w:t>
                    </w:r>
                    <w:r>
                      <w:rPr>
                        <w:rFonts w:ascii="Calibri"/>
                        <w:spacing w:val="-2"/>
                        <w:sz w:val="20"/>
                      </w:rPr>
                      <w:t> </w:t>
                    </w:r>
                    <w:r>
                      <w:rPr>
                        <w:rFonts w:ascii="Calibri"/>
                        <w:sz w:val="20"/>
                      </w:rPr>
                      <w:t>9%</w:t>
                    </w:r>
                  </w:p>
                </w:txbxContent>
              </v:textbox>
              <w10:wrap type="none"/>
            </v:shape>
            <v:shape style="position:absolute;left:8647;top:1895;width:859;height:923" type="#_x0000_t202" filled="false" stroked="false">
              <v:textbox inset="0,0,0,0">
                <w:txbxContent>
                  <w:p>
                    <w:pPr>
                      <w:spacing w:line="203" w:lineRule="exact" w:before="0"/>
                      <w:ind w:left="0" w:right="-19" w:firstLine="0"/>
                      <w:jc w:val="left"/>
                      <w:rPr>
                        <w:rFonts w:ascii="Calibri"/>
                        <w:sz w:val="20"/>
                      </w:rPr>
                    </w:pPr>
                    <w:r>
                      <w:rPr>
                        <w:rFonts w:ascii="Calibri"/>
                        <w:sz w:val="20"/>
                      </w:rPr>
                      <w:t>Muy bajo</w:t>
                    </w:r>
                  </w:p>
                  <w:p>
                    <w:pPr>
                      <w:spacing w:line="360" w:lineRule="atLeast" w:before="2"/>
                      <w:ind w:left="0" w:right="-19" w:firstLine="0"/>
                      <w:jc w:val="left"/>
                      <w:rPr>
                        <w:rFonts w:ascii="Calibri"/>
                        <w:sz w:val="20"/>
                      </w:rPr>
                    </w:pPr>
                    <w:r>
                      <w:rPr>
                        <w:rFonts w:ascii="Calibri"/>
                        <w:sz w:val="20"/>
                      </w:rPr>
                      <w:t>Bajo Moderado</w:t>
                    </w:r>
                  </w:p>
                </w:txbxContent>
              </v:textbox>
              <w10:wrap type="none"/>
            </v:shape>
            <v:shape style="position:absolute;left:6947;top:304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767,</w:t>
                    </w:r>
                    <w:r>
                      <w:rPr>
                        <w:rFonts w:ascii="Calibri"/>
                        <w:spacing w:val="-4"/>
                        <w:sz w:val="20"/>
                      </w:rPr>
                      <w:t> </w:t>
                    </w:r>
                    <w:r>
                      <w:rPr>
                        <w:rFonts w:ascii="Calibri"/>
                        <w:sz w:val="20"/>
                      </w:rPr>
                      <w:t>73%</w:t>
                    </w:r>
                  </w:p>
                </w:txbxContent>
              </v:textbox>
              <w10:wrap type="none"/>
            </v:shape>
            <v:shape style="position:absolute;left:8647;top:2980;width:688;height:923" type="#_x0000_t202" filled="false" stroked="false">
              <v:textbox inset="0,0,0,0">
                <w:txbxContent>
                  <w:p>
                    <w:pPr>
                      <w:spacing w:line="203" w:lineRule="exact" w:before="0"/>
                      <w:ind w:left="0" w:right="-18" w:firstLine="0"/>
                      <w:jc w:val="left"/>
                      <w:rPr>
                        <w:rFonts w:ascii="Calibri"/>
                        <w:sz w:val="20"/>
                      </w:rPr>
                    </w:pPr>
                    <w:r>
                      <w:rPr>
                        <w:rFonts w:ascii="Calibri"/>
                        <w:sz w:val="20"/>
                      </w:rPr>
                      <w:t>Alto</w:t>
                    </w:r>
                  </w:p>
                  <w:p>
                    <w:pPr>
                      <w:spacing w:line="362" w:lineRule="exact" w:before="18"/>
                      <w:ind w:left="0" w:right="-18" w:firstLine="0"/>
                      <w:jc w:val="left"/>
                      <w:rPr>
                        <w:rFonts w:ascii="Calibri"/>
                        <w:sz w:val="20"/>
                      </w:rPr>
                    </w:pPr>
                    <w:r>
                      <w:rPr>
                        <w:rFonts w:ascii="Calibri"/>
                        <w:sz w:val="20"/>
                      </w:rPr>
                      <w:t>Grave Extremo</w:t>
                    </w:r>
                  </w:p>
                </w:txbxContent>
              </v:textbox>
              <w10:wrap type="none"/>
            </v:shape>
            <w10:wrap type="topAndBottom"/>
          </v:group>
        </w:pict>
      </w:r>
      <w:r>
        <w:rPr/>
        <w:t>Figura 21. Gráfico de riesgo estadístico por cuadrante.</w:t>
      </w:r>
    </w:p>
    <w:p>
      <w:pPr>
        <w:pStyle w:val="BodyText"/>
      </w:pPr>
    </w:p>
    <w:p>
      <w:pPr>
        <w:pStyle w:val="BodyText"/>
      </w:pPr>
    </w:p>
    <w:p>
      <w:pPr>
        <w:pStyle w:val="BodyText"/>
        <w:spacing w:before="3"/>
        <w:rPr>
          <w:sz w:val="23"/>
        </w:rPr>
      </w:pPr>
    </w:p>
    <w:p>
      <w:pPr>
        <w:pStyle w:val="BodyText"/>
        <w:ind w:left="102"/>
      </w:pPr>
      <w:r>
        <w:rPr/>
        <w:pict>
          <v:group style="position:absolute;margin-left:127.125pt;margin-top:20.410873pt;width:359.6pt;height:216.75pt;mso-position-horizontal-relative:page;mso-position-vertical-relative:paragraph;z-index:2680;mso-wrap-distance-left:0;mso-wrap-distance-right:0" coordorigin="2543,408" coordsize="7192,4335">
            <v:shape style="position:absolute;left:2736;top:1266;width:5450;height:3259" type="#_x0000_t75" stroked="false">
              <v:imagedata r:id="rId58" o:title=""/>
            </v:shape>
            <v:rect style="position:absolute;left:8510;top:1878;width:110;height:110" filled="true" fillcolor="#375f92" stroked="false">
              <v:fill type="solid"/>
            </v:rect>
            <v:rect style="position:absolute;left:8510;top:2239;width:110;height:110" filled="true" fillcolor="#e36c09" stroked="false">
              <v:fill type="solid"/>
            </v:rect>
            <v:rect style="position:absolute;left:8510;top:2601;width:110;height:110" filled="true" fillcolor="#88a44e" stroked="false">
              <v:fill type="solid"/>
            </v:rect>
            <v:rect style="position:absolute;left:8510;top:2963;width:110;height:110" filled="true" fillcolor="#6f2f9f" stroked="false">
              <v:fill type="solid"/>
            </v:rect>
            <v:rect style="position:absolute;left:8510;top:3324;width:110;height:110" filled="true" fillcolor="#00af50" stroked="false">
              <v:fill type="solid"/>
            </v:rect>
            <v:rect style="position:absolute;left:8510;top:3686;width:110;height:110" filled="true" fillcolor="#ff0000" stroked="false">
              <v:fill type="solid"/>
            </v:rect>
            <v:rect style="position:absolute;left:2550;top:416;width:7177;height:4320" filled="false" stroked="true" strokeweight=".75pt" strokecolor="#858585"/>
            <v:shape style="position:absolute;left:4248;top:623;width:3780;height:709" type="#_x0000_t202" filled="false" stroked="false">
              <v:textbox inset="0,0,0,0">
                <w:txbxContent>
                  <w:p>
                    <w:pPr>
                      <w:spacing w:line="286" w:lineRule="exact" w:before="0"/>
                      <w:ind w:left="0" w:right="-8" w:firstLine="0"/>
                      <w:jc w:val="left"/>
                      <w:rPr>
                        <w:rFonts w:ascii="Calibri"/>
                        <w:b/>
                        <w:sz w:val="28"/>
                      </w:rPr>
                    </w:pPr>
                    <w:r>
                      <w:rPr>
                        <w:rFonts w:ascii="Calibri"/>
                        <w:b/>
                        <w:sz w:val="28"/>
                      </w:rPr>
                      <w:t>Peligrosidad de los</w:t>
                    </w:r>
                    <w:r>
                      <w:rPr>
                        <w:rFonts w:ascii="Calibri"/>
                        <w:b/>
                        <w:spacing w:val="-19"/>
                        <w:sz w:val="28"/>
                      </w:rPr>
                      <w:t> </w:t>
                    </w:r>
                    <w:r>
                      <w:rPr>
                        <w:rFonts w:ascii="Calibri"/>
                        <w:b/>
                        <w:sz w:val="28"/>
                      </w:rPr>
                      <w:t>combustibles</w:t>
                    </w:r>
                  </w:p>
                  <w:p>
                    <w:pPr>
                      <w:spacing w:line="240" w:lineRule="exact" w:before="182"/>
                      <w:ind w:left="1078" w:right="-8" w:firstLine="0"/>
                      <w:jc w:val="left"/>
                      <w:rPr>
                        <w:rFonts w:ascii="Calibri"/>
                        <w:sz w:val="20"/>
                      </w:rPr>
                    </w:pPr>
                    <w:r>
                      <w:rPr>
                        <w:rFonts w:ascii="Calibri"/>
                        <w:sz w:val="20"/>
                      </w:rPr>
                      <w:t>20, 2%</w:t>
                    </w:r>
                  </w:p>
                </w:txbxContent>
              </v:textbox>
              <w10:wrap type="none"/>
            </v:shape>
            <v:shape style="position:absolute;left:4412;top:1522;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132,</w:t>
                    </w:r>
                    <w:r>
                      <w:rPr>
                        <w:rFonts w:ascii="Calibri"/>
                        <w:spacing w:val="-4"/>
                        <w:sz w:val="20"/>
                      </w:rPr>
                      <w:t> </w:t>
                    </w:r>
                    <w:r>
                      <w:rPr>
                        <w:rFonts w:ascii="Calibri"/>
                        <w:sz w:val="20"/>
                      </w:rPr>
                      <w:t>13%</w:t>
                    </w:r>
                  </w:p>
                </w:txbxContent>
              </v:textbox>
              <w10:wrap type="none"/>
            </v:shape>
            <v:shape style="position:absolute;left:5837;top:153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106,</w:t>
                    </w:r>
                    <w:r>
                      <w:rPr>
                        <w:rFonts w:ascii="Calibri"/>
                        <w:spacing w:val="-4"/>
                        <w:sz w:val="20"/>
                      </w:rPr>
                      <w:t> </w:t>
                    </w:r>
                    <w:r>
                      <w:rPr>
                        <w:rFonts w:ascii="Calibri"/>
                        <w:sz w:val="20"/>
                      </w:rPr>
                      <w:t>10%</w:t>
                    </w:r>
                  </w:p>
                </w:txbxContent>
              </v:textbox>
              <w10:wrap type="none"/>
            </v:shape>
            <v:shape style="position:absolute;left:6947;top:2048;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153,</w:t>
                    </w:r>
                    <w:r>
                      <w:rPr>
                        <w:rFonts w:ascii="Calibri"/>
                        <w:spacing w:val="-4"/>
                        <w:sz w:val="20"/>
                      </w:rPr>
                      <w:t> </w:t>
                    </w:r>
                    <w:r>
                      <w:rPr>
                        <w:rFonts w:ascii="Calibri"/>
                        <w:sz w:val="20"/>
                      </w:rPr>
                      <w:t>15%</w:t>
                    </w:r>
                  </w:p>
                </w:txbxContent>
              </v:textbox>
              <w10:wrap type="none"/>
            </v:shape>
            <v:shape style="position:absolute;left:2972;top:2408;width:744;height:200" type="#_x0000_t202" filled="false" stroked="false">
              <v:textbox inset="0,0,0,0">
                <w:txbxContent>
                  <w:p>
                    <w:pPr>
                      <w:spacing w:line="199" w:lineRule="exact" w:before="0"/>
                      <w:ind w:left="0" w:right="-18" w:firstLine="0"/>
                      <w:jc w:val="left"/>
                      <w:rPr>
                        <w:rFonts w:ascii="Calibri"/>
                        <w:sz w:val="20"/>
                      </w:rPr>
                    </w:pPr>
                    <w:r>
                      <w:rPr>
                        <w:rFonts w:ascii="Calibri"/>
                        <w:sz w:val="20"/>
                      </w:rPr>
                      <w:t>288,</w:t>
                    </w:r>
                    <w:r>
                      <w:rPr>
                        <w:rFonts w:ascii="Calibri"/>
                        <w:spacing w:val="-3"/>
                        <w:sz w:val="20"/>
                      </w:rPr>
                      <w:t> </w:t>
                    </w:r>
                    <w:r>
                      <w:rPr>
                        <w:rFonts w:ascii="Calibri"/>
                        <w:sz w:val="20"/>
                      </w:rPr>
                      <w:t>27%</w:t>
                    </w:r>
                  </w:p>
                </w:txbxContent>
              </v:textbox>
              <w10:wrap type="none"/>
            </v:shape>
            <v:shape style="position:absolute;left:6197;top:3308;width:744;height:200" type="#_x0000_t202" filled="false" stroked="false">
              <v:textbox inset="0,0,0,0">
                <w:txbxContent>
                  <w:p>
                    <w:pPr>
                      <w:spacing w:line="199" w:lineRule="exact" w:before="0"/>
                      <w:ind w:left="0" w:right="-18" w:firstLine="0"/>
                      <w:jc w:val="left"/>
                      <w:rPr>
                        <w:rFonts w:ascii="Calibri"/>
                        <w:sz w:val="20"/>
                      </w:rPr>
                    </w:pPr>
                    <w:r>
                      <w:rPr>
                        <w:rFonts w:ascii="Calibri"/>
                        <w:sz w:val="20"/>
                      </w:rPr>
                      <w:t>346,</w:t>
                    </w:r>
                    <w:r>
                      <w:rPr>
                        <w:rFonts w:ascii="Calibri"/>
                        <w:spacing w:val="-3"/>
                        <w:sz w:val="20"/>
                      </w:rPr>
                      <w:t> </w:t>
                    </w:r>
                    <w:r>
                      <w:rPr>
                        <w:rFonts w:ascii="Calibri"/>
                        <w:sz w:val="20"/>
                      </w:rPr>
                      <w:t>33%</w:t>
                    </w:r>
                  </w:p>
                </w:txbxContent>
              </v:textbox>
              <w10:wrap type="none"/>
            </v:shape>
            <v:shape style="position:absolute;left:8669;top:1841;width:856;height:2008" type="#_x0000_t202" filled="false" stroked="false">
              <v:textbox inset="0,0,0,0">
                <w:txbxContent>
                  <w:p>
                    <w:pPr>
                      <w:spacing w:line="203" w:lineRule="exact" w:before="0"/>
                      <w:ind w:left="0" w:right="0" w:firstLine="0"/>
                      <w:jc w:val="left"/>
                      <w:rPr>
                        <w:rFonts w:ascii="Calibri"/>
                        <w:sz w:val="20"/>
                      </w:rPr>
                    </w:pPr>
                    <w:r>
                      <w:rPr>
                        <w:rFonts w:ascii="Calibri"/>
                        <w:sz w:val="20"/>
                      </w:rPr>
                      <w:t>Muy bajo</w:t>
                    </w:r>
                  </w:p>
                  <w:p>
                    <w:pPr>
                      <w:spacing w:line="355" w:lineRule="auto" w:before="117"/>
                      <w:ind w:left="0" w:right="20" w:firstLine="0"/>
                      <w:jc w:val="left"/>
                      <w:rPr>
                        <w:rFonts w:ascii="Calibri"/>
                        <w:sz w:val="20"/>
                      </w:rPr>
                    </w:pPr>
                    <w:r>
                      <w:rPr>
                        <w:rFonts w:ascii="Calibri"/>
                        <w:sz w:val="20"/>
                      </w:rPr>
                      <w:t>Bajo </w:t>
                    </w:r>
                    <w:r>
                      <w:rPr>
                        <w:rFonts w:ascii="Calibri"/>
                        <w:w w:val="95"/>
                        <w:sz w:val="20"/>
                      </w:rPr>
                      <w:t>Moderado </w:t>
                    </w:r>
                    <w:r>
                      <w:rPr>
                        <w:rFonts w:ascii="Calibri"/>
                        <w:sz w:val="20"/>
                      </w:rPr>
                      <w:t>Alto Grave</w:t>
                    </w:r>
                  </w:p>
                  <w:p>
                    <w:pPr>
                      <w:spacing w:line="240" w:lineRule="exact" w:before="0"/>
                      <w:ind w:left="0" w:right="0" w:firstLine="0"/>
                      <w:jc w:val="left"/>
                      <w:rPr>
                        <w:rFonts w:ascii="Calibri"/>
                        <w:sz w:val="20"/>
                      </w:rPr>
                    </w:pPr>
                    <w:r>
                      <w:rPr>
                        <w:rFonts w:ascii="Calibri"/>
                        <w:sz w:val="20"/>
                      </w:rPr>
                      <w:t>Extremo</w:t>
                    </w:r>
                  </w:p>
                </w:txbxContent>
              </v:textbox>
              <w10:wrap type="none"/>
            </v:shape>
            <w10:wrap type="topAndBottom"/>
          </v:group>
        </w:pict>
      </w:r>
      <w:r>
        <w:rPr/>
        <w:t>Figura 22. Gráfico de peligrosidad de los combustibles por cuadrante.</w:t>
      </w:r>
    </w:p>
    <w:p>
      <w:pPr>
        <w:spacing w:after="0"/>
        <w:sectPr>
          <w:pgSz w:w="12240" w:h="15840"/>
          <w:pgMar w:header="0" w:footer="1003" w:top="1360" w:bottom="1200" w:left="1600" w:right="1580"/>
        </w:sectPr>
      </w:pPr>
    </w:p>
    <w:p>
      <w:pPr>
        <w:pStyle w:val="BodyText"/>
        <w:spacing w:before="54"/>
        <w:ind w:left="102"/>
      </w:pPr>
      <w:r>
        <w:rPr/>
        <w:pict>
          <v:group style="position:absolute;margin-left:127.125pt;margin-top:23.150879pt;width:359.9pt;height:216.75pt;mso-position-horizontal-relative:page;mso-position-vertical-relative:paragraph;z-index:2848;mso-wrap-distance-left:0;mso-wrap-distance-right:0" coordorigin="2543,463" coordsize="7198,4335">
            <v:shape style="position:absolute;left:2777;top:1229;width:5398;height:3324" type="#_x0000_t75" stroked="false">
              <v:imagedata r:id="rId59" o:title=""/>
            </v:shape>
            <v:rect style="position:absolute;left:8516;top:2294;width:110;height:110" filled="true" fillcolor="#e36c09" stroked="false">
              <v:fill type="solid"/>
            </v:rect>
            <v:rect style="position:absolute;left:8516;top:2656;width:110;height:110" filled="true" fillcolor="#77923b" stroked="false">
              <v:fill type="solid"/>
            </v:rect>
            <v:rect style="position:absolute;left:8516;top:3017;width:110;height:110" filled="true" fillcolor="#6f2f9f" stroked="false">
              <v:fill type="solid"/>
            </v:rect>
            <v:rect style="position:absolute;left:8516;top:3379;width:110;height:110" filled="true" fillcolor="#00af50" stroked="false">
              <v:fill type="solid"/>
            </v:rect>
            <v:rect style="position:absolute;left:2550;top:471;width:7183;height:4320" filled="false" stroked="true" strokeweight=".75pt" strokecolor="#858585"/>
            <v:shape style="position:absolute;left:4491;top:677;width:3301;height:281" type="#_x0000_t202" filled="false" stroked="false">
              <v:textbox inset="0,0,0,0">
                <w:txbxContent>
                  <w:p>
                    <w:pPr>
                      <w:spacing w:line="281" w:lineRule="exact" w:before="0"/>
                      <w:ind w:left="0" w:right="-8" w:firstLine="0"/>
                      <w:jc w:val="left"/>
                      <w:rPr>
                        <w:rFonts w:ascii="Calibri"/>
                        <w:b/>
                        <w:sz w:val="28"/>
                      </w:rPr>
                    </w:pPr>
                    <w:r>
                      <w:rPr>
                        <w:rFonts w:ascii="Calibri"/>
                        <w:b/>
                        <w:sz w:val="28"/>
                      </w:rPr>
                      <w:t>Peligrosidad de la</w:t>
                    </w:r>
                    <w:r>
                      <w:rPr>
                        <w:rFonts w:ascii="Calibri"/>
                        <w:b/>
                        <w:spacing w:val="-19"/>
                        <w:sz w:val="28"/>
                      </w:rPr>
                      <w:t> </w:t>
                    </w:r>
                    <w:r>
                      <w:rPr>
                        <w:rFonts w:ascii="Calibri"/>
                        <w:b/>
                        <w:sz w:val="28"/>
                      </w:rPr>
                      <w:t>pendiente</w:t>
                    </w:r>
                  </w:p>
                </w:txbxContent>
              </v:textbox>
              <w10:wrap type="none"/>
            </v:shape>
            <v:shape style="position:absolute;left:4547;top:151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109,</w:t>
                    </w:r>
                    <w:r>
                      <w:rPr>
                        <w:rFonts w:ascii="Calibri"/>
                        <w:spacing w:val="-4"/>
                        <w:sz w:val="20"/>
                      </w:rPr>
                      <w:t> </w:t>
                    </w:r>
                    <w:r>
                      <w:rPr>
                        <w:rFonts w:ascii="Calibri"/>
                        <w:sz w:val="20"/>
                      </w:rPr>
                      <w:t>11%</w:t>
                    </w:r>
                  </w:p>
                </w:txbxContent>
              </v:textbox>
              <w10:wrap type="none"/>
            </v:shape>
            <v:shape style="position:absolute;left:6182;top:163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209,</w:t>
                    </w:r>
                    <w:r>
                      <w:rPr>
                        <w:rFonts w:ascii="Calibri"/>
                        <w:spacing w:val="-4"/>
                        <w:sz w:val="20"/>
                      </w:rPr>
                      <w:t> </w:t>
                    </w:r>
                    <w:r>
                      <w:rPr>
                        <w:rFonts w:ascii="Calibri"/>
                        <w:sz w:val="20"/>
                      </w:rPr>
                      <w:t>20%</w:t>
                    </w:r>
                  </w:p>
                </w:txbxContent>
              </v:textbox>
              <w10:wrap type="none"/>
            </v:shape>
            <v:shape style="position:absolute;left:3047;top:232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305,</w:t>
                    </w:r>
                    <w:r>
                      <w:rPr>
                        <w:rFonts w:ascii="Calibri"/>
                        <w:spacing w:val="-4"/>
                        <w:sz w:val="20"/>
                      </w:rPr>
                      <w:t> </w:t>
                    </w:r>
                    <w:r>
                      <w:rPr>
                        <w:rFonts w:ascii="Calibri"/>
                        <w:sz w:val="20"/>
                      </w:rPr>
                      <w:t>29%</w:t>
                    </w:r>
                  </w:p>
                </w:txbxContent>
              </v:textbox>
              <w10:wrap type="none"/>
            </v:shape>
            <v:shape style="position:absolute;left:6542;top:3151;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422,</w:t>
                    </w:r>
                    <w:r>
                      <w:rPr>
                        <w:rFonts w:ascii="Calibri"/>
                        <w:spacing w:val="-4"/>
                        <w:sz w:val="20"/>
                      </w:rPr>
                      <w:t> </w:t>
                    </w:r>
                    <w:r>
                      <w:rPr>
                        <w:rFonts w:ascii="Calibri"/>
                        <w:sz w:val="20"/>
                      </w:rPr>
                      <w:t>40%</w:t>
                    </w:r>
                  </w:p>
                </w:txbxContent>
              </v:textbox>
              <w10:wrap type="none"/>
            </v:shape>
            <v:shape style="position:absolute;left:8675;top:2257;width:856;height:1284" type="#_x0000_t202" filled="false" stroked="false">
              <v:textbox inset="0,0,0,0">
                <w:txbxContent>
                  <w:p>
                    <w:pPr>
                      <w:spacing w:line="203" w:lineRule="exact" w:before="0"/>
                      <w:ind w:left="0" w:right="0" w:firstLine="0"/>
                      <w:jc w:val="left"/>
                      <w:rPr>
                        <w:rFonts w:ascii="Calibri"/>
                        <w:sz w:val="20"/>
                      </w:rPr>
                    </w:pPr>
                    <w:r>
                      <w:rPr>
                        <w:rFonts w:ascii="Calibri"/>
                        <w:sz w:val="20"/>
                      </w:rPr>
                      <w:t>Bajo</w:t>
                    </w:r>
                  </w:p>
                  <w:p>
                    <w:pPr>
                      <w:spacing w:before="117"/>
                      <w:ind w:left="0" w:right="0" w:firstLine="0"/>
                      <w:jc w:val="left"/>
                      <w:rPr>
                        <w:rFonts w:ascii="Calibri"/>
                        <w:sz w:val="20"/>
                      </w:rPr>
                    </w:pPr>
                    <w:r>
                      <w:rPr>
                        <w:rFonts w:ascii="Calibri"/>
                        <w:w w:val="95"/>
                        <w:sz w:val="20"/>
                      </w:rPr>
                      <w:t>Moderado</w:t>
                    </w:r>
                  </w:p>
                  <w:p>
                    <w:pPr>
                      <w:spacing w:line="360" w:lineRule="atLeast" w:before="2"/>
                      <w:ind w:left="0" w:right="150" w:firstLine="0"/>
                      <w:jc w:val="left"/>
                      <w:rPr>
                        <w:rFonts w:ascii="Calibri"/>
                        <w:sz w:val="20"/>
                      </w:rPr>
                    </w:pPr>
                    <w:r>
                      <w:rPr>
                        <w:rFonts w:ascii="Calibri"/>
                        <w:sz w:val="20"/>
                      </w:rPr>
                      <w:t>Alto </w:t>
                    </w:r>
                    <w:r>
                      <w:rPr>
                        <w:rFonts w:ascii="Calibri"/>
                        <w:w w:val="95"/>
                        <w:sz w:val="20"/>
                      </w:rPr>
                      <w:t>Grave</w:t>
                    </w:r>
                  </w:p>
                </w:txbxContent>
              </v:textbox>
              <w10:wrap type="none"/>
            </v:shape>
            <w10:wrap type="topAndBottom"/>
          </v:group>
        </w:pict>
      </w:r>
      <w:r>
        <w:rPr/>
        <w:t>Figura 23. Gráfico de peligrosidad de la pendiente por cuadrante.</w:t>
      </w:r>
    </w:p>
    <w:p>
      <w:pPr>
        <w:pStyle w:val="BodyText"/>
      </w:pPr>
    </w:p>
    <w:p>
      <w:pPr>
        <w:pStyle w:val="BodyText"/>
      </w:pPr>
    </w:p>
    <w:p>
      <w:pPr>
        <w:pStyle w:val="BodyText"/>
        <w:spacing w:before="3"/>
        <w:rPr>
          <w:sz w:val="23"/>
        </w:rPr>
      </w:pPr>
    </w:p>
    <w:p>
      <w:pPr>
        <w:pStyle w:val="BodyText"/>
        <w:ind w:left="102"/>
      </w:pPr>
      <w:r>
        <w:rPr/>
        <w:pict>
          <v:group style="position:absolute;margin-left:127.125pt;margin-top:20.410873pt;width:359.9pt;height:216.75pt;mso-position-horizontal-relative:page;mso-position-vertical-relative:paragraph;z-index:2968;mso-wrap-distance-left:0;mso-wrap-distance-right:0" coordorigin="2543,408" coordsize="7198,4335">
            <v:shape style="position:absolute;left:2736;top:1405;width:5237;height:3120" type="#_x0000_t75" stroked="false">
              <v:imagedata r:id="rId60" o:title=""/>
            </v:shape>
            <v:line style="position:absolute" from="5360,1507" to="5353,1323" stroked="true" strokeweight=".75pt" strokecolor="#000000"/>
            <v:line style="position:absolute" from="5468,1507" to="5488,1313" stroked="true" strokeweight=".75pt" strokecolor="#000000"/>
            <v:rect style="position:absolute;left:8516;top:1878;width:110;height:110" filled="true" fillcolor="#4571a7" stroked="false">
              <v:fill type="solid"/>
            </v:rect>
            <v:rect style="position:absolute;left:8516;top:2239;width:110;height:110" filled="true" fillcolor="#e36c09" stroked="false">
              <v:fill type="solid"/>
            </v:rect>
            <v:rect style="position:absolute;left:8516;top:2601;width:110;height:110" filled="true" fillcolor="#88a44e" stroked="false">
              <v:fill type="solid"/>
            </v:rect>
            <v:rect style="position:absolute;left:8516;top:2963;width:110;height:110" filled="true" fillcolor="#70578f" stroked="false">
              <v:fill type="solid"/>
            </v:rect>
            <v:rect style="position:absolute;left:8516;top:3324;width:110;height:110" filled="true" fillcolor="#00af50" stroked="false">
              <v:fill type="solid"/>
            </v:rect>
            <v:rect style="position:absolute;left:8516;top:3686;width:110;height:110" filled="true" fillcolor="#ff0000" stroked="false">
              <v:fill type="solid"/>
            </v:rect>
            <v:rect style="position:absolute;left:2550;top:416;width:7183;height:4320" filled="false" stroked="true" strokeweight=".75pt" strokecolor="#858585"/>
            <v:shape style="position:absolute;left:4172;top:623;width:3233;height:1565" type="#_x0000_t202" filled="false" stroked="false">
              <v:textbox inset="0,0,0,0">
                <w:txbxContent>
                  <w:p>
                    <w:pPr>
                      <w:spacing w:line="286" w:lineRule="exact" w:before="0"/>
                      <w:ind w:left="705" w:right="-9" w:firstLine="0"/>
                      <w:jc w:val="left"/>
                      <w:rPr>
                        <w:rFonts w:ascii="Calibri" w:hAnsi="Calibri"/>
                        <w:b/>
                        <w:sz w:val="28"/>
                      </w:rPr>
                    </w:pPr>
                    <w:r>
                      <w:rPr>
                        <w:rFonts w:ascii="Calibri" w:hAnsi="Calibri"/>
                        <w:b/>
                        <w:sz w:val="28"/>
                      </w:rPr>
                      <w:t>Peligrosidad</w:t>
                    </w:r>
                    <w:r>
                      <w:rPr>
                        <w:rFonts w:ascii="Calibri" w:hAnsi="Calibri"/>
                        <w:b/>
                        <w:spacing w:val="-18"/>
                        <w:sz w:val="28"/>
                      </w:rPr>
                      <w:t> </w:t>
                    </w:r>
                    <w:r>
                      <w:rPr>
                        <w:rFonts w:ascii="Calibri" w:hAnsi="Calibri"/>
                        <w:b/>
                        <w:sz w:val="28"/>
                      </w:rPr>
                      <w:t>climática</w:t>
                    </w:r>
                  </w:p>
                  <w:p>
                    <w:pPr>
                      <w:spacing w:before="227"/>
                      <w:ind w:left="614" w:right="-9" w:firstLine="0"/>
                      <w:jc w:val="left"/>
                      <w:rPr>
                        <w:rFonts w:ascii="Calibri"/>
                        <w:sz w:val="20"/>
                      </w:rPr>
                    </w:pPr>
                    <w:r>
                      <w:rPr>
                        <w:rFonts w:ascii="Calibri"/>
                        <w:sz w:val="20"/>
                      </w:rPr>
                      <w:t>1, 0%        16, 2%</w:t>
                    </w:r>
                  </w:p>
                  <w:p>
                    <w:pPr>
                      <w:spacing w:line="240" w:lineRule="auto" w:before="1"/>
                      <w:rPr>
                        <w:sz w:val="23"/>
                      </w:rPr>
                    </w:pPr>
                  </w:p>
                  <w:p>
                    <w:pPr>
                      <w:spacing w:before="0"/>
                      <w:ind w:left="0" w:right="-9" w:firstLine="0"/>
                      <w:jc w:val="left"/>
                      <w:rPr>
                        <w:rFonts w:ascii="Calibri"/>
                        <w:sz w:val="20"/>
                      </w:rPr>
                    </w:pPr>
                    <w:r>
                      <w:rPr>
                        <w:rFonts w:ascii="Calibri"/>
                        <w:sz w:val="20"/>
                      </w:rPr>
                      <w:t>163, 16%</w:t>
                    </w:r>
                  </w:p>
                  <w:p>
                    <w:pPr>
                      <w:spacing w:line="240" w:lineRule="exact" w:before="56"/>
                      <w:ind w:left="0" w:right="132" w:firstLine="0"/>
                      <w:jc w:val="right"/>
                      <w:rPr>
                        <w:rFonts w:ascii="Calibri"/>
                        <w:sz w:val="20"/>
                      </w:rPr>
                    </w:pPr>
                    <w:r>
                      <w:rPr>
                        <w:rFonts w:ascii="Calibri"/>
                        <w:sz w:val="20"/>
                      </w:rPr>
                      <w:t>308, 29%</w:t>
                    </w:r>
                  </w:p>
                </w:txbxContent>
              </v:textbox>
              <w10:wrap type="none"/>
            </v:shape>
            <v:shape style="position:absolute;left:2956;top:261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272,</w:t>
                    </w:r>
                    <w:r>
                      <w:rPr>
                        <w:rFonts w:ascii="Calibri"/>
                        <w:spacing w:val="-4"/>
                        <w:sz w:val="20"/>
                      </w:rPr>
                      <w:t> </w:t>
                    </w:r>
                    <w:r>
                      <w:rPr>
                        <w:rFonts w:ascii="Calibri"/>
                        <w:sz w:val="20"/>
                      </w:rPr>
                      <w:t>26%</w:t>
                    </w:r>
                  </w:p>
                </w:txbxContent>
              </v:textbox>
              <w10:wrap type="none"/>
            </v:shape>
            <v:shape style="position:absolute;left:5777;top:3428;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285,</w:t>
                    </w:r>
                    <w:r>
                      <w:rPr>
                        <w:rFonts w:ascii="Calibri"/>
                        <w:spacing w:val="-4"/>
                        <w:sz w:val="20"/>
                      </w:rPr>
                      <w:t> </w:t>
                    </w:r>
                    <w:r>
                      <w:rPr>
                        <w:rFonts w:ascii="Calibri"/>
                        <w:sz w:val="20"/>
                      </w:rPr>
                      <w:t>27%</w:t>
                    </w:r>
                  </w:p>
                </w:txbxContent>
              </v:textbox>
              <w10:wrap type="none"/>
            </v:shape>
            <v:shape style="position:absolute;left:8675;top:1841;width:856;height:2008" type="#_x0000_t202" filled="false" stroked="false">
              <v:textbox inset="0,0,0,0">
                <w:txbxContent>
                  <w:p>
                    <w:pPr>
                      <w:spacing w:line="203" w:lineRule="exact" w:before="0"/>
                      <w:ind w:left="0" w:right="0" w:firstLine="0"/>
                      <w:jc w:val="left"/>
                      <w:rPr>
                        <w:rFonts w:ascii="Calibri"/>
                        <w:sz w:val="20"/>
                      </w:rPr>
                    </w:pPr>
                    <w:r>
                      <w:rPr>
                        <w:rFonts w:ascii="Calibri"/>
                        <w:sz w:val="20"/>
                      </w:rPr>
                      <w:t>Muy bajo</w:t>
                    </w:r>
                  </w:p>
                  <w:p>
                    <w:pPr>
                      <w:spacing w:line="355" w:lineRule="auto" w:before="117"/>
                      <w:ind w:left="0" w:right="20" w:firstLine="0"/>
                      <w:jc w:val="left"/>
                      <w:rPr>
                        <w:rFonts w:ascii="Calibri"/>
                        <w:sz w:val="20"/>
                      </w:rPr>
                    </w:pPr>
                    <w:r>
                      <w:rPr>
                        <w:rFonts w:ascii="Calibri"/>
                        <w:sz w:val="20"/>
                      </w:rPr>
                      <w:t>Bajo </w:t>
                    </w:r>
                    <w:r>
                      <w:rPr>
                        <w:rFonts w:ascii="Calibri"/>
                        <w:w w:val="95"/>
                        <w:sz w:val="20"/>
                      </w:rPr>
                      <w:t>Moderado </w:t>
                    </w:r>
                    <w:r>
                      <w:rPr>
                        <w:rFonts w:ascii="Calibri"/>
                        <w:sz w:val="20"/>
                      </w:rPr>
                      <w:t>Alto Grave</w:t>
                    </w:r>
                  </w:p>
                  <w:p>
                    <w:pPr>
                      <w:spacing w:line="240" w:lineRule="exact" w:before="0"/>
                      <w:ind w:left="0" w:right="0" w:firstLine="0"/>
                      <w:jc w:val="left"/>
                      <w:rPr>
                        <w:rFonts w:ascii="Calibri"/>
                        <w:sz w:val="20"/>
                      </w:rPr>
                    </w:pPr>
                    <w:r>
                      <w:rPr>
                        <w:rFonts w:ascii="Calibri"/>
                        <w:sz w:val="20"/>
                      </w:rPr>
                      <w:t>Extremo</w:t>
                    </w:r>
                  </w:p>
                </w:txbxContent>
              </v:textbox>
              <w10:wrap type="none"/>
            </v:shape>
            <w10:wrap type="topAndBottom"/>
          </v:group>
        </w:pict>
      </w:r>
      <w:r>
        <w:rPr/>
        <w:t>Figura 24. Gráfico de peligrosidad climática por cuadrante.</w:t>
      </w:r>
    </w:p>
    <w:p>
      <w:pPr>
        <w:spacing w:after="0"/>
        <w:sectPr>
          <w:pgSz w:w="12240" w:h="15840"/>
          <w:pgMar w:header="0" w:footer="1003" w:top="1360" w:bottom="1200" w:left="1600" w:right="1580"/>
        </w:sectPr>
      </w:pPr>
    </w:p>
    <w:p>
      <w:pPr>
        <w:pStyle w:val="BodyText"/>
        <w:spacing w:before="54"/>
        <w:ind w:left="102"/>
      </w:pPr>
      <w:r>
        <w:rPr/>
        <w:pict>
          <v:group style="position:absolute;margin-left:126.375pt;margin-top:23.150879pt;width:359.9pt;height:216.75pt;mso-position-horizontal-relative:page;mso-position-vertical-relative:paragraph;z-index:3160;mso-wrap-distance-left:0;mso-wrap-distance-right:0" coordorigin="2528,463" coordsize="7198,4335">
            <v:shape style="position:absolute;left:2662;top:1208;width:5537;height:3406" type="#_x0000_t75" stroked="false">
              <v:imagedata r:id="rId62" o:title=""/>
            </v:shape>
            <v:rect style="position:absolute;left:8501;top:1932;width:110;height:110" filled="true" fillcolor="#4571a7" stroked="false">
              <v:fill type="solid"/>
            </v:rect>
            <v:rect style="position:absolute;left:8501;top:2294;width:110;height:110" filled="true" fillcolor="#e36c09" stroked="false">
              <v:fill type="solid"/>
            </v:rect>
            <v:rect style="position:absolute;left:8501;top:2656;width:110;height:110" filled="true" fillcolor="#88a44e" stroked="false">
              <v:fill type="solid"/>
            </v:rect>
            <v:rect style="position:absolute;left:8501;top:3017;width:110;height:110" filled="true" fillcolor="#70578f" stroked="false">
              <v:fill type="solid"/>
            </v:rect>
            <v:rect style="position:absolute;left:8501;top:3379;width:110;height:110" filled="true" fillcolor="#00af50" stroked="false">
              <v:fill type="solid"/>
            </v:rect>
            <v:rect style="position:absolute;left:8501;top:3741;width:110;height:110" filled="true" fillcolor="#ff0000" stroked="false">
              <v:fill type="solid"/>
            </v:rect>
            <v:rect style="position:absolute;left:2535;top:471;width:7183;height:4320" filled="false" stroked="true" strokeweight=".75pt" strokecolor="#858585"/>
            <v:shape style="position:absolute;left:4802;top:677;width:2649;height:634" type="#_x0000_t202" filled="false" stroked="false">
              <v:textbox inset="0,0,0,0">
                <w:txbxContent>
                  <w:p>
                    <w:pPr>
                      <w:spacing w:line="286" w:lineRule="exact" w:before="0"/>
                      <w:ind w:left="0" w:right="-11" w:firstLine="0"/>
                      <w:jc w:val="left"/>
                      <w:rPr>
                        <w:rFonts w:ascii="Calibri"/>
                        <w:b/>
                        <w:sz w:val="28"/>
                      </w:rPr>
                    </w:pPr>
                    <w:r>
                      <w:rPr>
                        <w:rFonts w:ascii="Calibri"/>
                        <w:b/>
                        <w:sz w:val="28"/>
                      </w:rPr>
                      <w:t>Peligrosidad del</w:t>
                    </w:r>
                    <w:r>
                      <w:rPr>
                        <w:rFonts w:ascii="Calibri"/>
                        <w:b/>
                        <w:spacing w:val="-15"/>
                        <w:sz w:val="28"/>
                      </w:rPr>
                      <w:t> </w:t>
                    </w:r>
                    <w:r>
                      <w:rPr>
                        <w:rFonts w:ascii="Calibri"/>
                        <w:b/>
                        <w:sz w:val="28"/>
                      </w:rPr>
                      <w:t>medio</w:t>
                    </w:r>
                  </w:p>
                  <w:p>
                    <w:pPr>
                      <w:spacing w:line="240" w:lineRule="exact" w:before="107"/>
                      <w:ind w:left="283" w:right="-11" w:firstLine="0"/>
                      <w:jc w:val="left"/>
                      <w:rPr>
                        <w:rFonts w:ascii="Calibri"/>
                        <w:sz w:val="20"/>
                      </w:rPr>
                    </w:pPr>
                    <w:r>
                      <w:rPr>
                        <w:rFonts w:ascii="Calibri"/>
                        <w:sz w:val="20"/>
                      </w:rPr>
                      <w:t>10, 1%</w:t>
                    </w:r>
                  </w:p>
                </w:txbxContent>
              </v:textbox>
              <w10:wrap type="none"/>
            </v:shape>
            <v:shape style="position:absolute;left:4606;top:1471;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82,</w:t>
                    </w:r>
                    <w:r>
                      <w:rPr>
                        <w:rFonts w:ascii="Calibri"/>
                        <w:spacing w:val="-2"/>
                        <w:sz w:val="20"/>
                      </w:rPr>
                      <w:t> </w:t>
                    </w:r>
                    <w:r>
                      <w:rPr>
                        <w:rFonts w:ascii="Calibri"/>
                        <w:sz w:val="20"/>
                      </w:rPr>
                      <w:t>8%</w:t>
                    </w:r>
                  </w:p>
                </w:txbxContent>
              </v:textbox>
              <w10:wrap type="none"/>
            </v:shape>
            <v:shape style="position:absolute;left:5852;top:1531;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152,</w:t>
                    </w:r>
                    <w:r>
                      <w:rPr>
                        <w:rFonts w:ascii="Calibri"/>
                        <w:spacing w:val="-4"/>
                        <w:sz w:val="20"/>
                      </w:rPr>
                      <w:t> </w:t>
                    </w:r>
                    <w:r>
                      <w:rPr>
                        <w:rFonts w:ascii="Calibri"/>
                        <w:sz w:val="20"/>
                      </w:rPr>
                      <w:t>14%</w:t>
                    </w:r>
                  </w:p>
                </w:txbxContent>
              </v:textbox>
              <w10:wrap type="none"/>
            </v:shape>
            <v:shape style="position:absolute;left:3227;top:1966;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189,</w:t>
                    </w:r>
                    <w:r>
                      <w:rPr>
                        <w:rFonts w:ascii="Calibri"/>
                        <w:spacing w:val="-4"/>
                        <w:sz w:val="20"/>
                      </w:rPr>
                      <w:t> </w:t>
                    </w:r>
                    <w:r>
                      <w:rPr>
                        <w:rFonts w:ascii="Calibri"/>
                        <w:sz w:val="20"/>
                      </w:rPr>
                      <w:t>18%</w:t>
                    </w:r>
                  </w:p>
                </w:txbxContent>
              </v:textbox>
              <w10:wrap type="none"/>
            </v:shape>
            <v:shape style="position:absolute;left:7202;top:2581;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303,</w:t>
                    </w:r>
                    <w:r>
                      <w:rPr>
                        <w:rFonts w:ascii="Calibri"/>
                        <w:spacing w:val="-4"/>
                        <w:sz w:val="20"/>
                      </w:rPr>
                      <w:t> </w:t>
                    </w:r>
                    <w:r>
                      <w:rPr>
                        <w:rFonts w:ascii="Calibri"/>
                        <w:sz w:val="20"/>
                      </w:rPr>
                      <w:t>29%</w:t>
                    </w:r>
                  </w:p>
                </w:txbxContent>
              </v:textbox>
              <w10:wrap type="none"/>
            </v:shape>
            <v:shape style="position:absolute;left:3752;top:3271;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309,</w:t>
                    </w:r>
                    <w:r>
                      <w:rPr>
                        <w:rFonts w:ascii="Calibri"/>
                        <w:spacing w:val="-4"/>
                        <w:sz w:val="20"/>
                      </w:rPr>
                      <w:t> </w:t>
                    </w:r>
                    <w:r>
                      <w:rPr>
                        <w:rFonts w:ascii="Calibri"/>
                        <w:sz w:val="20"/>
                      </w:rPr>
                      <w:t>30%</w:t>
                    </w:r>
                  </w:p>
                </w:txbxContent>
              </v:textbox>
              <w10:wrap type="none"/>
            </v:shape>
            <v:shape style="position:absolute;left:8660;top:1895;width:856;height:2008" type="#_x0000_t202" filled="false" stroked="false">
              <v:textbox inset="0,0,0,0">
                <w:txbxContent>
                  <w:p>
                    <w:pPr>
                      <w:spacing w:line="203" w:lineRule="exact" w:before="0"/>
                      <w:ind w:left="0" w:right="0" w:firstLine="0"/>
                      <w:jc w:val="left"/>
                      <w:rPr>
                        <w:rFonts w:ascii="Calibri"/>
                        <w:sz w:val="20"/>
                      </w:rPr>
                    </w:pPr>
                    <w:r>
                      <w:rPr>
                        <w:rFonts w:ascii="Calibri"/>
                        <w:sz w:val="20"/>
                      </w:rPr>
                      <w:t>Muy bajo</w:t>
                    </w:r>
                  </w:p>
                  <w:p>
                    <w:pPr>
                      <w:spacing w:line="355" w:lineRule="auto" w:before="118"/>
                      <w:ind w:left="0" w:right="20" w:firstLine="0"/>
                      <w:jc w:val="left"/>
                      <w:rPr>
                        <w:rFonts w:ascii="Calibri"/>
                        <w:sz w:val="20"/>
                      </w:rPr>
                    </w:pPr>
                    <w:r>
                      <w:rPr>
                        <w:rFonts w:ascii="Calibri"/>
                        <w:sz w:val="20"/>
                      </w:rPr>
                      <w:t>Bajo </w:t>
                    </w:r>
                    <w:r>
                      <w:rPr>
                        <w:rFonts w:ascii="Calibri"/>
                        <w:w w:val="95"/>
                        <w:sz w:val="20"/>
                      </w:rPr>
                      <w:t>Moderado </w:t>
                    </w:r>
                    <w:r>
                      <w:rPr>
                        <w:rFonts w:ascii="Calibri"/>
                        <w:sz w:val="20"/>
                      </w:rPr>
                      <w:t>Alto Grave</w:t>
                    </w:r>
                  </w:p>
                  <w:p>
                    <w:pPr>
                      <w:spacing w:line="240" w:lineRule="exact" w:before="0"/>
                      <w:ind w:left="0" w:right="0" w:firstLine="0"/>
                      <w:jc w:val="left"/>
                      <w:rPr>
                        <w:rFonts w:ascii="Calibri"/>
                        <w:sz w:val="20"/>
                      </w:rPr>
                    </w:pPr>
                    <w:r>
                      <w:rPr>
                        <w:rFonts w:ascii="Calibri"/>
                        <w:sz w:val="20"/>
                      </w:rPr>
                      <w:t>Extremo</w:t>
                    </w:r>
                  </w:p>
                </w:txbxContent>
              </v:textbox>
              <w10:wrap type="none"/>
            </v:shape>
            <w10:wrap type="topAndBottom"/>
          </v:group>
        </w:pict>
      </w:r>
      <w:r>
        <w:rPr/>
        <w:t>Figura 25. Gráfico de peligrosidad del medio por cuadrante.</w:t>
      </w:r>
    </w:p>
    <w:p>
      <w:pPr>
        <w:pStyle w:val="BodyText"/>
      </w:pPr>
    </w:p>
    <w:p>
      <w:pPr>
        <w:pStyle w:val="BodyText"/>
      </w:pPr>
    </w:p>
    <w:p>
      <w:pPr>
        <w:pStyle w:val="BodyText"/>
        <w:spacing w:before="3"/>
        <w:rPr>
          <w:sz w:val="23"/>
        </w:rPr>
      </w:pPr>
    </w:p>
    <w:p>
      <w:pPr>
        <w:pStyle w:val="BodyText"/>
        <w:ind w:left="102"/>
      </w:pPr>
      <w:r>
        <w:rPr/>
        <w:pict>
          <v:group style="position:absolute;margin-left:127.875pt;margin-top:20.410873pt;width:357.5pt;height:216.75pt;mso-position-horizontal-relative:page;mso-position-vertical-relative:paragraph;z-index:3328;mso-wrap-distance-left:0;mso-wrap-distance-right:0" coordorigin="2558,408" coordsize="7150,4335">
            <v:shape style="position:absolute;left:2750;top:1194;width:5381;height:3326" type="#_x0000_t75" stroked="false">
              <v:imagedata r:id="rId63" o:title=""/>
            </v:shape>
            <v:rect style="position:absolute;left:8483;top:1878;width:110;height:110" filled="true" fillcolor="#375f92" stroked="false">
              <v:fill type="solid"/>
            </v:rect>
            <v:rect style="position:absolute;left:8483;top:2239;width:110;height:110" filled="true" fillcolor="#e36c09" stroked="false">
              <v:fill type="solid"/>
            </v:rect>
            <v:rect style="position:absolute;left:8483;top:2601;width:110;height:110" filled="true" fillcolor="#88a44e" stroked="false">
              <v:fill type="solid"/>
            </v:rect>
            <v:rect style="position:absolute;left:8483;top:2963;width:110;height:110" filled="true" fillcolor="#70578f" stroked="false">
              <v:fill type="solid"/>
            </v:rect>
            <v:rect style="position:absolute;left:8483;top:3324;width:110;height:110" filled="true" fillcolor="#00af50" stroked="false">
              <v:fill type="solid"/>
            </v:rect>
            <v:rect style="position:absolute;left:8483;top:3686;width:110;height:110" filled="true" fillcolor="#ff0000" stroked="false">
              <v:fill type="solid"/>
            </v:rect>
            <v:rect style="position:absolute;left:2565;top:416;width:7135;height:4320" filled="false" stroked="true" strokeweight=".75pt" strokecolor="#858585"/>
            <v:shape style="position:absolute;left:4463;top:623;width:3338;height:1084" type="#_x0000_t202" filled="false" stroked="false">
              <v:textbox inset="0,0,0,0">
                <w:txbxContent>
                  <w:p>
                    <w:pPr>
                      <w:spacing w:line="286" w:lineRule="exact" w:before="0"/>
                      <w:ind w:left="0" w:right="0" w:firstLine="0"/>
                      <w:jc w:val="center"/>
                      <w:rPr>
                        <w:rFonts w:ascii="Calibri"/>
                        <w:b/>
                        <w:sz w:val="28"/>
                      </w:rPr>
                    </w:pPr>
                    <w:r>
                      <w:rPr>
                        <w:rFonts w:ascii="Calibri"/>
                        <w:b/>
                        <w:sz w:val="28"/>
                      </w:rPr>
                      <w:t>Riesgo a incendios</w:t>
                    </w:r>
                    <w:r>
                      <w:rPr>
                        <w:rFonts w:ascii="Calibri"/>
                        <w:b/>
                        <w:spacing w:val="-19"/>
                        <w:sz w:val="28"/>
                      </w:rPr>
                      <w:t> </w:t>
                    </w:r>
                    <w:r>
                      <w:rPr>
                        <w:rFonts w:ascii="Calibri"/>
                        <w:b/>
                        <w:sz w:val="28"/>
                      </w:rPr>
                      <w:t>forestales</w:t>
                    </w:r>
                  </w:p>
                  <w:p>
                    <w:pPr>
                      <w:spacing w:before="167"/>
                      <w:ind w:left="338" w:right="0" w:firstLine="0"/>
                      <w:jc w:val="left"/>
                      <w:rPr>
                        <w:rFonts w:ascii="Calibri"/>
                        <w:sz w:val="20"/>
                      </w:rPr>
                    </w:pPr>
                    <w:r>
                      <w:rPr>
                        <w:rFonts w:ascii="Calibri"/>
                        <w:sz w:val="20"/>
                      </w:rPr>
                      <w:t>54, 5%</w:t>
                    </w:r>
                  </w:p>
                  <w:p>
                    <w:pPr>
                      <w:spacing w:line="240" w:lineRule="exact" w:before="145"/>
                      <w:ind w:left="0" w:right="25" w:firstLine="0"/>
                      <w:jc w:val="center"/>
                      <w:rPr>
                        <w:rFonts w:ascii="Calibri"/>
                        <w:sz w:val="20"/>
                      </w:rPr>
                    </w:pPr>
                    <w:r>
                      <w:rPr>
                        <w:rFonts w:ascii="Calibri"/>
                        <w:sz w:val="20"/>
                      </w:rPr>
                      <w:t>135, 13%</w:t>
                    </w:r>
                  </w:p>
                </w:txbxContent>
              </v:textbox>
              <w10:wrap type="none"/>
            </v:shape>
            <v:shape style="position:absolute;left:2641;top:1702;width:541;height:200" type="#_x0000_t202" filled="false" stroked="false">
              <v:textbox inset="0,0,0,0">
                <w:txbxContent>
                  <w:p>
                    <w:pPr>
                      <w:spacing w:line="199" w:lineRule="exact" w:before="0"/>
                      <w:ind w:left="0" w:right="-20" w:firstLine="0"/>
                      <w:jc w:val="left"/>
                      <w:rPr>
                        <w:rFonts w:ascii="Calibri"/>
                        <w:sz w:val="20"/>
                      </w:rPr>
                    </w:pPr>
                    <w:r>
                      <w:rPr>
                        <w:rFonts w:ascii="Calibri"/>
                        <w:sz w:val="20"/>
                      </w:rPr>
                      <w:t>54,</w:t>
                    </w:r>
                    <w:r>
                      <w:rPr>
                        <w:rFonts w:ascii="Calibri"/>
                        <w:spacing w:val="-2"/>
                        <w:sz w:val="20"/>
                      </w:rPr>
                      <w:t> </w:t>
                    </w:r>
                    <w:r>
                      <w:rPr>
                        <w:rFonts w:ascii="Calibri"/>
                        <w:sz w:val="20"/>
                      </w:rPr>
                      <w:t>5%</w:t>
                    </w:r>
                  </w:p>
                </w:txbxContent>
              </v:textbox>
              <w10:wrap type="none"/>
            </v:shape>
            <v:shape style="position:absolute;left:3947;top:1612;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111,</w:t>
                    </w:r>
                    <w:r>
                      <w:rPr>
                        <w:rFonts w:ascii="Calibri"/>
                        <w:spacing w:val="-4"/>
                        <w:sz w:val="20"/>
                      </w:rPr>
                      <w:t> </w:t>
                    </w:r>
                    <w:r>
                      <w:rPr>
                        <w:rFonts w:ascii="Calibri"/>
                        <w:sz w:val="20"/>
                      </w:rPr>
                      <w:t>11%</w:t>
                    </w:r>
                  </w:p>
                </w:txbxContent>
              </v:textbox>
              <w10:wrap type="none"/>
            </v:shape>
            <v:shape style="position:absolute;left:3092;top:2737;width:743;height:200" type="#_x0000_t202" filled="false" stroked="false">
              <v:textbox inset="0,0,0,0">
                <w:txbxContent>
                  <w:p>
                    <w:pPr>
                      <w:spacing w:line="199" w:lineRule="exact" w:before="0"/>
                      <w:ind w:left="0" w:right="-18" w:firstLine="0"/>
                      <w:jc w:val="left"/>
                      <w:rPr>
                        <w:rFonts w:ascii="Calibri"/>
                        <w:sz w:val="20"/>
                      </w:rPr>
                    </w:pPr>
                    <w:r>
                      <w:rPr>
                        <w:rFonts w:ascii="Calibri"/>
                        <w:sz w:val="20"/>
                      </w:rPr>
                      <w:t>244,</w:t>
                    </w:r>
                    <w:r>
                      <w:rPr>
                        <w:rFonts w:ascii="Calibri"/>
                        <w:spacing w:val="-4"/>
                        <w:sz w:val="20"/>
                      </w:rPr>
                      <w:t> </w:t>
                    </w:r>
                    <w:r>
                      <w:rPr>
                        <w:rFonts w:ascii="Calibri"/>
                        <w:sz w:val="20"/>
                      </w:rPr>
                      <w:t>23%</w:t>
                    </w:r>
                  </w:p>
                </w:txbxContent>
              </v:textbox>
              <w10:wrap type="none"/>
            </v:shape>
            <v:shape style="position:absolute;left:6902;top:2873;width:744;height:200" type="#_x0000_t202" filled="false" stroked="false">
              <v:textbox inset="0,0,0,0">
                <w:txbxContent>
                  <w:p>
                    <w:pPr>
                      <w:spacing w:line="199" w:lineRule="exact" w:before="0"/>
                      <w:ind w:left="0" w:right="-18" w:firstLine="0"/>
                      <w:jc w:val="left"/>
                      <w:rPr>
                        <w:rFonts w:ascii="Calibri"/>
                        <w:sz w:val="20"/>
                      </w:rPr>
                    </w:pPr>
                    <w:r>
                      <w:rPr>
                        <w:rFonts w:ascii="Calibri"/>
                        <w:sz w:val="20"/>
                      </w:rPr>
                      <w:t>447,</w:t>
                    </w:r>
                    <w:r>
                      <w:rPr>
                        <w:rFonts w:ascii="Calibri"/>
                        <w:spacing w:val="-3"/>
                        <w:sz w:val="20"/>
                      </w:rPr>
                      <w:t> </w:t>
                    </w:r>
                    <w:r>
                      <w:rPr>
                        <w:rFonts w:ascii="Calibri"/>
                        <w:sz w:val="20"/>
                      </w:rPr>
                      <w:t>43%</w:t>
                    </w:r>
                  </w:p>
                </w:txbxContent>
              </v:textbox>
              <w10:wrap type="none"/>
            </v:shape>
            <v:shape style="position:absolute;left:8642;top:1841;width:856;height:2008" type="#_x0000_t202" filled="false" stroked="false">
              <v:textbox inset="0,0,0,0">
                <w:txbxContent>
                  <w:p>
                    <w:pPr>
                      <w:spacing w:line="203" w:lineRule="exact" w:before="0"/>
                      <w:ind w:left="0" w:right="0" w:firstLine="0"/>
                      <w:jc w:val="left"/>
                      <w:rPr>
                        <w:rFonts w:ascii="Calibri"/>
                        <w:sz w:val="20"/>
                      </w:rPr>
                    </w:pPr>
                    <w:r>
                      <w:rPr>
                        <w:rFonts w:ascii="Calibri"/>
                        <w:sz w:val="20"/>
                      </w:rPr>
                      <w:t>Muy bajo</w:t>
                    </w:r>
                  </w:p>
                  <w:p>
                    <w:pPr>
                      <w:spacing w:line="355" w:lineRule="auto" w:before="117"/>
                      <w:ind w:left="0" w:right="20" w:firstLine="0"/>
                      <w:jc w:val="left"/>
                      <w:rPr>
                        <w:rFonts w:ascii="Calibri"/>
                        <w:sz w:val="20"/>
                      </w:rPr>
                    </w:pPr>
                    <w:r>
                      <w:rPr>
                        <w:rFonts w:ascii="Calibri"/>
                        <w:sz w:val="20"/>
                      </w:rPr>
                      <w:t>Bajo </w:t>
                    </w:r>
                    <w:r>
                      <w:rPr>
                        <w:rFonts w:ascii="Calibri"/>
                        <w:w w:val="95"/>
                        <w:sz w:val="20"/>
                      </w:rPr>
                      <w:t>Moderado </w:t>
                    </w:r>
                    <w:r>
                      <w:rPr>
                        <w:rFonts w:ascii="Calibri"/>
                        <w:sz w:val="20"/>
                      </w:rPr>
                      <w:t>Alto Grave</w:t>
                    </w:r>
                  </w:p>
                  <w:p>
                    <w:pPr>
                      <w:spacing w:line="240" w:lineRule="exact" w:before="0"/>
                      <w:ind w:left="0" w:right="0" w:firstLine="0"/>
                      <w:jc w:val="left"/>
                      <w:rPr>
                        <w:rFonts w:ascii="Calibri"/>
                        <w:sz w:val="20"/>
                      </w:rPr>
                    </w:pPr>
                    <w:r>
                      <w:rPr>
                        <w:rFonts w:ascii="Calibri"/>
                        <w:sz w:val="20"/>
                      </w:rPr>
                      <w:t>Extremo</w:t>
                    </w:r>
                  </w:p>
                </w:txbxContent>
              </v:textbox>
              <w10:wrap type="none"/>
            </v:shape>
            <w10:wrap type="topAndBottom"/>
          </v:group>
        </w:pict>
      </w:r>
      <w:r>
        <w:rPr/>
        <w:t>Figura 26. Gráfico de riesgo a incendios forestales por cuadrante.</w:t>
      </w:r>
    </w:p>
    <w:p>
      <w:pPr>
        <w:spacing w:after="0"/>
        <w:sectPr>
          <w:footerReference w:type="default" r:id="rId61"/>
          <w:pgSz w:w="12240" w:h="15840"/>
          <w:pgMar w:footer="1003" w:header="0" w:top="1360" w:bottom="1200" w:left="1600" w:right="1580"/>
        </w:sectPr>
      </w:pPr>
    </w:p>
    <w:p>
      <w:pPr>
        <w:pStyle w:val="Heading1"/>
        <w:numPr>
          <w:ilvl w:val="1"/>
          <w:numId w:val="16"/>
        </w:numPr>
        <w:tabs>
          <w:tab w:pos="822" w:val="left" w:leader="none"/>
        </w:tabs>
        <w:spacing w:line="240" w:lineRule="auto" w:before="54" w:after="0"/>
        <w:ind w:left="822" w:right="0" w:hanging="360"/>
        <w:jc w:val="left"/>
      </w:pPr>
      <w:bookmarkStart w:name="_bookmark53" w:id="101"/>
      <w:bookmarkEnd w:id="101"/>
      <w:r>
        <w:rPr>
          <w:b w:val="0"/>
        </w:rPr>
      </w:r>
      <w:bookmarkStart w:name="_bookmark53" w:id="102"/>
      <w:bookmarkEnd w:id="102"/>
      <w:r>
        <w:rPr/>
        <w:t>C</w:t>
      </w:r>
      <w:r>
        <w:rPr/>
        <w:t>omparación de áreas quemadas con el mapa de riesgo a</w:t>
      </w:r>
      <w:r>
        <w:rPr>
          <w:spacing w:val="-24"/>
        </w:rPr>
        <w:t> </w:t>
      </w:r>
      <w:r>
        <w:rPr/>
        <w:t>incendios</w:t>
      </w:r>
    </w:p>
    <w:p>
      <w:pPr>
        <w:pStyle w:val="BodyText"/>
        <w:rPr>
          <w:b/>
        </w:rPr>
      </w:pPr>
    </w:p>
    <w:p>
      <w:pPr>
        <w:pStyle w:val="BodyText"/>
        <w:spacing w:line="360" w:lineRule="auto" w:before="180"/>
        <w:ind w:left="102" w:right="116"/>
        <w:jc w:val="both"/>
      </w:pPr>
      <w:r>
        <w:rPr/>
        <w:t>En la figura 27, se puede apreciar que las áreas quemadas del año 2011 producto del análisis de la imagen de satélite, corresponden a cuadrantes marcados con riesgo.</w:t>
      </w:r>
    </w:p>
    <w:p>
      <w:pPr>
        <w:pStyle w:val="BodyText"/>
        <w:spacing w:before="5"/>
        <w:ind w:left="102"/>
        <w:jc w:val="both"/>
      </w:pPr>
      <w:r>
        <w:rPr/>
        <w:drawing>
          <wp:anchor distT="0" distB="0" distL="0" distR="0" allowOverlap="1" layoutInCell="1" locked="0" behindDoc="0" simplePos="0" relativeHeight="3352">
            <wp:simplePos x="0" y="0"/>
            <wp:positionH relativeFrom="page">
              <wp:posOffset>1640839</wp:posOffset>
            </wp:positionH>
            <wp:positionV relativeFrom="paragraph">
              <wp:posOffset>266393</wp:posOffset>
            </wp:positionV>
            <wp:extent cx="4432604" cy="6647402"/>
            <wp:effectExtent l="0" t="0" r="0" b="0"/>
            <wp:wrapTopAndBottom/>
            <wp:docPr id="43" name="image34.jpeg" descr=""/>
            <wp:cNvGraphicFramePr>
              <a:graphicFrameLocks noChangeAspect="1"/>
            </wp:cNvGraphicFramePr>
            <a:graphic>
              <a:graphicData uri="http://schemas.openxmlformats.org/drawingml/2006/picture">
                <pic:pic>
                  <pic:nvPicPr>
                    <pic:cNvPr id="44" name="image34.jpeg"/>
                    <pic:cNvPicPr/>
                  </pic:nvPicPr>
                  <pic:blipFill>
                    <a:blip r:embed="rId65" cstate="print"/>
                    <a:stretch>
                      <a:fillRect/>
                    </a:stretch>
                  </pic:blipFill>
                  <pic:spPr>
                    <a:xfrm>
                      <a:off x="0" y="0"/>
                      <a:ext cx="4432604" cy="6647402"/>
                    </a:xfrm>
                    <a:prstGeom prst="rect">
                      <a:avLst/>
                    </a:prstGeom>
                  </pic:spPr>
                </pic:pic>
              </a:graphicData>
            </a:graphic>
          </wp:anchor>
        </w:drawing>
      </w:r>
      <w:r>
        <w:rPr/>
        <w:t>Figura 27. Riesgo de incendios y zonas quemadas del año 2011.</w:t>
      </w:r>
    </w:p>
    <w:p>
      <w:pPr>
        <w:spacing w:after="0"/>
        <w:jc w:val="both"/>
        <w:sectPr>
          <w:footerReference w:type="default" r:id="rId64"/>
          <w:pgSz w:w="12240" w:h="15840"/>
          <w:pgMar w:footer="1003" w:header="0" w:top="1360" w:bottom="1200" w:left="1600" w:right="1580"/>
          <w:pgNumType w:start="91"/>
        </w:sectPr>
      </w:pPr>
    </w:p>
    <w:p>
      <w:pPr>
        <w:pStyle w:val="BodyText"/>
        <w:spacing w:line="360" w:lineRule="auto" w:before="54"/>
        <w:ind w:left="102" w:right="115"/>
        <w:jc w:val="both"/>
      </w:pPr>
      <w:r>
        <w:rPr/>
        <w:t>De acuerdo con el cuadro 18, donde se analiza el mapa de riesgo y las zonas quemadas del año 2011, la categoría de riesgo muy bajo, tiene un total de </w:t>
      </w:r>
      <w:r>
        <w:rPr>
          <w:spacing w:val="-2"/>
        </w:rPr>
        <w:t>135 </w:t>
      </w:r>
      <w:r>
        <w:rPr/>
        <w:t>cuadrantes de los cuales 17 presentan áreas quemadas. En la categoría de riesgo bajo, se tienen 447 cuadrantes de los cuales 104 corresponden a áreas  quemadas. La categoría moderado tiene un total de 244 cuadrantes de los </w:t>
      </w:r>
      <w:r>
        <w:rPr>
          <w:spacing w:val="42"/>
        </w:rPr>
        <w:t> </w:t>
      </w:r>
      <w:r>
        <w:rPr/>
        <w:t>cuales</w:t>
      </w:r>
    </w:p>
    <w:p>
      <w:pPr>
        <w:pStyle w:val="BodyText"/>
        <w:spacing w:line="360" w:lineRule="auto" w:before="5"/>
        <w:ind w:left="102" w:right="116"/>
        <w:jc w:val="both"/>
      </w:pPr>
      <w:r>
        <w:rPr/>
        <w:t>62 tienen áreas quemadas. La categoría de riesgo alto tiene un total de 54 cuadrantes de los cuales 22 corresponden a áreas quemadas. En la categoría de riesgo grave, se tienen 111 cuadrantes de los cuales 62 corresponden a áreas quemadas y finalmente, en la categoría de riesgo extremo se tiene un total de 54 cuadrantes de los cuales 36 presentan áreas quemadas.</w:t>
      </w:r>
    </w:p>
    <w:p>
      <w:pPr>
        <w:pStyle w:val="BodyText"/>
      </w:pPr>
    </w:p>
    <w:p>
      <w:pPr>
        <w:pStyle w:val="BodyText"/>
        <w:spacing w:before="2"/>
      </w:pPr>
    </w:p>
    <w:p>
      <w:pPr>
        <w:pStyle w:val="BodyText"/>
        <w:spacing w:line="360" w:lineRule="auto" w:before="1" w:after="5"/>
        <w:ind w:left="102" w:right="116"/>
        <w:jc w:val="both"/>
      </w:pPr>
      <w:r>
        <w:rPr/>
        <w:t>Cuadro 18. Cuadrantes quemados y no quemados por categoría de riesgo del año 2011.</w:t>
      </w:r>
    </w:p>
    <w:tbl>
      <w:tblPr>
        <w:tblW w:w="0" w:type="auto"/>
        <w:jc w:val="left"/>
        <w:tblInd w:w="13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41"/>
        <w:gridCol w:w="1082"/>
        <w:gridCol w:w="1380"/>
        <w:gridCol w:w="1457"/>
        <w:gridCol w:w="1143"/>
      </w:tblGrid>
      <w:tr>
        <w:trPr>
          <w:trHeight w:val="336" w:hRule="exact"/>
        </w:trPr>
        <w:tc>
          <w:tcPr>
            <w:tcW w:w="1241" w:type="dxa"/>
            <w:vMerge w:val="restart"/>
          </w:tcPr>
          <w:p>
            <w:pPr>
              <w:pStyle w:val="TableParagraph"/>
              <w:spacing w:before="54"/>
              <w:ind w:left="192" w:right="163" w:hanging="17"/>
              <w:rPr>
                <w:rFonts w:ascii="Calibri"/>
                <w:b/>
                <w:sz w:val="22"/>
              </w:rPr>
            </w:pPr>
            <w:r>
              <w:rPr>
                <w:rFonts w:ascii="Calibri"/>
                <w:b/>
                <w:sz w:val="22"/>
              </w:rPr>
              <w:t>Indicador de riesgo</w:t>
            </w:r>
          </w:p>
        </w:tc>
        <w:tc>
          <w:tcPr>
            <w:tcW w:w="1082" w:type="dxa"/>
            <w:vMerge w:val="restart"/>
          </w:tcPr>
          <w:p>
            <w:pPr>
              <w:pStyle w:val="TableParagraph"/>
              <w:spacing w:before="189"/>
              <w:ind w:left="93"/>
              <w:rPr>
                <w:rFonts w:ascii="Calibri" w:hAnsi="Calibri"/>
                <w:b/>
                <w:sz w:val="22"/>
              </w:rPr>
            </w:pPr>
            <w:r>
              <w:rPr>
                <w:rFonts w:ascii="Calibri" w:hAnsi="Calibri"/>
                <w:b/>
                <w:sz w:val="22"/>
              </w:rPr>
              <w:t>Categoría</w:t>
            </w:r>
          </w:p>
        </w:tc>
        <w:tc>
          <w:tcPr>
            <w:tcW w:w="1380" w:type="dxa"/>
            <w:vMerge w:val="restart"/>
          </w:tcPr>
          <w:p>
            <w:pPr>
              <w:pStyle w:val="TableParagraph"/>
              <w:spacing w:before="54"/>
              <w:ind w:left="158" w:right="142" w:firstLine="7"/>
              <w:rPr>
                <w:rFonts w:ascii="Calibri" w:hAnsi="Calibri"/>
                <w:b/>
                <w:sz w:val="22"/>
              </w:rPr>
            </w:pPr>
            <w:r>
              <w:rPr>
                <w:rFonts w:ascii="Calibri" w:hAnsi="Calibri"/>
                <w:b/>
                <w:sz w:val="22"/>
              </w:rPr>
              <w:t>Número de Cuadrantes</w:t>
            </w:r>
          </w:p>
        </w:tc>
        <w:tc>
          <w:tcPr>
            <w:tcW w:w="2600" w:type="dxa"/>
            <w:gridSpan w:val="2"/>
          </w:tcPr>
          <w:p>
            <w:pPr>
              <w:pStyle w:val="TableParagraph"/>
              <w:spacing w:before="45"/>
              <w:ind w:left="1046" w:right="1047"/>
              <w:jc w:val="center"/>
              <w:rPr>
                <w:rFonts w:ascii="Calibri"/>
                <w:b/>
                <w:sz w:val="22"/>
              </w:rPr>
            </w:pPr>
            <w:r>
              <w:rPr>
                <w:rFonts w:ascii="Calibri"/>
                <w:b/>
                <w:sz w:val="22"/>
              </w:rPr>
              <w:t>2011</w:t>
            </w:r>
          </w:p>
        </w:tc>
      </w:tr>
      <w:tr>
        <w:trPr>
          <w:trHeight w:val="334" w:hRule="exact"/>
        </w:trPr>
        <w:tc>
          <w:tcPr>
            <w:tcW w:w="1241" w:type="dxa"/>
            <w:vMerge/>
          </w:tcPr>
          <w:p>
            <w:pPr/>
          </w:p>
        </w:tc>
        <w:tc>
          <w:tcPr>
            <w:tcW w:w="1082" w:type="dxa"/>
            <w:vMerge/>
          </w:tcPr>
          <w:p>
            <w:pPr/>
          </w:p>
        </w:tc>
        <w:tc>
          <w:tcPr>
            <w:tcW w:w="1380" w:type="dxa"/>
            <w:vMerge/>
          </w:tcPr>
          <w:p>
            <w:pPr/>
          </w:p>
        </w:tc>
        <w:tc>
          <w:tcPr>
            <w:tcW w:w="1457" w:type="dxa"/>
          </w:tcPr>
          <w:p>
            <w:pPr>
              <w:pStyle w:val="TableParagraph"/>
              <w:spacing w:before="42"/>
              <w:ind w:right="104"/>
              <w:jc w:val="right"/>
              <w:rPr>
                <w:rFonts w:ascii="Calibri"/>
                <w:b/>
                <w:sz w:val="22"/>
              </w:rPr>
            </w:pPr>
            <w:r>
              <w:rPr>
                <w:rFonts w:ascii="Calibri"/>
                <w:b/>
                <w:sz w:val="22"/>
              </w:rPr>
              <w:t>No quemados</w:t>
            </w:r>
          </w:p>
        </w:tc>
        <w:tc>
          <w:tcPr>
            <w:tcW w:w="1143" w:type="dxa"/>
          </w:tcPr>
          <w:p>
            <w:pPr>
              <w:pStyle w:val="TableParagraph"/>
              <w:spacing w:before="42"/>
              <w:ind w:right="71"/>
              <w:jc w:val="right"/>
              <w:rPr>
                <w:rFonts w:ascii="Calibri"/>
                <w:b/>
                <w:sz w:val="22"/>
              </w:rPr>
            </w:pPr>
            <w:r>
              <w:rPr>
                <w:rFonts w:ascii="Calibri"/>
                <w:b/>
                <w:sz w:val="22"/>
              </w:rPr>
              <w:t>Quemados</w:t>
            </w:r>
          </w:p>
        </w:tc>
      </w:tr>
      <w:tr>
        <w:trPr>
          <w:trHeight w:val="317" w:hRule="exact"/>
        </w:trPr>
        <w:tc>
          <w:tcPr>
            <w:tcW w:w="1241" w:type="dxa"/>
            <w:tcBorders>
              <w:bottom w:val="single" w:sz="4" w:space="0" w:color="000000"/>
              <w:right w:val="single" w:sz="4" w:space="0" w:color="000000"/>
            </w:tcBorders>
          </w:tcPr>
          <w:p>
            <w:pPr>
              <w:pStyle w:val="TableParagraph"/>
              <w:spacing w:before="30"/>
              <w:ind w:right="4"/>
              <w:jc w:val="center"/>
              <w:rPr>
                <w:rFonts w:ascii="Calibri"/>
                <w:sz w:val="22"/>
              </w:rPr>
            </w:pPr>
            <w:r>
              <w:rPr>
                <w:rFonts w:ascii="Calibri"/>
                <w:w w:val="100"/>
                <w:sz w:val="22"/>
              </w:rPr>
              <w:t>1</w:t>
            </w:r>
          </w:p>
        </w:tc>
        <w:tc>
          <w:tcPr>
            <w:tcW w:w="1082" w:type="dxa"/>
            <w:tcBorders>
              <w:left w:val="single" w:sz="4" w:space="0" w:color="000000"/>
              <w:bottom w:val="single" w:sz="4" w:space="0" w:color="000000"/>
              <w:right w:val="single" w:sz="4" w:space="0" w:color="000000"/>
            </w:tcBorders>
          </w:tcPr>
          <w:p>
            <w:pPr>
              <w:pStyle w:val="TableParagraph"/>
              <w:spacing w:before="30"/>
              <w:ind w:left="64"/>
              <w:rPr>
                <w:rFonts w:ascii="Calibri"/>
                <w:sz w:val="22"/>
              </w:rPr>
            </w:pPr>
            <w:r>
              <w:rPr>
                <w:rFonts w:ascii="Calibri"/>
                <w:sz w:val="22"/>
              </w:rPr>
              <w:t>Muy bajo</w:t>
            </w:r>
          </w:p>
        </w:tc>
        <w:tc>
          <w:tcPr>
            <w:tcW w:w="1380" w:type="dxa"/>
            <w:tcBorders>
              <w:left w:val="single" w:sz="4" w:space="0" w:color="000000"/>
              <w:bottom w:val="single" w:sz="4" w:space="0" w:color="000000"/>
              <w:right w:val="single" w:sz="4" w:space="0" w:color="000000"/>
            </w:tcBorders>
          </w:tcPr>
          <w:p>
            <w:pPr>
              <w:pStyle w:val="TableParagraph"/>
              <w:spacing w:before="30"/>
              <w:ind w:right="61"/>
              <w:jc w:val="right"/>
              <w:rPr>
                <w:rFonts w:ascii="Calibri"/>
                <w:sz w:val="22"/>
              </w:rPr>
            </w:pPr>
            <w:r>
              <w:rPr>
                <w:rFonts w:ascii="Calibri"/>
                <w:sz w:val="22"/>
              </w:rPr>
              <w:t>135</w:t>
            </w:r>
          </w:p>
        </w:tc>
        <w:tc>
          <w:tcPr>
            <w:tcW w:w="1457" w:type="dxa"/>
            <w:tcBorders>
              <w:left w:val="single" w:sz="4" w:space="0" w:color="000000"/>
              <w:bottom w:val="single" w:sz="4" w:space="0" w:color="000000"/>
              <w:right w:val="single" w:sz="4" w:space="0" w:color="000000"/>
            </w:tcBorders>
          </w:tcPr>
          <w:p>
            <w:pPr>
              <w:pStyle w:val="TableParagraph"/>
              <w:spacing w:before="30"/>
              <w:ind w:right="61"/>
              <w:jc w:val="right"/>
              <w:rPr>
                <w:rFonts w:ascii="Calibri"/>
                <w:sz w:val="22"/>
              </w:rPr>
            </w:pPr>
            <w:r>
              <w:rPr>
                <w:rFonts w:ascii="Calibri"/>
                <w:sz w:val="22"/>
              </w:rPr>
              <w:t>118</w:t>
            </w:r>
          </w:p>
        </w:tc>
        <w:tc>
          <w:tcPr>
            <w:tcW w:w="1143" w:type="dxa"/>
            <w:tcBorders>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17</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2</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Bajo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447</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343</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104</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3</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Moderado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244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182</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62</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4</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Alto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54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32</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22</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5</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Grave</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111</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49</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62</w:t>
            </w:r>
          </w:p>
        </w:tc>
      </w:tr>
      <w:tr>
        <w:trPr>
          <w:trHeight w:val="312" w:hRule="exact"/>
        </w:trPr>
        <w:tc>
          <w:tcPr>
            <w:tcW w:w="1241" w:type="dxa"/>
            <w:tcBorders>
              <w:top w:val="single" w:sz="4" w:space="0" w:color="000000"/>
              <w:bottom w:val="single" w:sz="4" w:space="0" w:color="000000"/>
              <w:right w:val="single" w:sz="4" w:space="0" w:color="000000"/>
            </w:tcBorders>
          </w:tcPr>
          <w:p>
            <w:pPr>
              <w:pStyle w:val="TableParagraph"/>
              <w:spacing w:before="30"/>
              <w:ind w:right="4"/>
              <w:jc w:val="center"/>
              <w:rPr>
                <w:rFonts w:ascii="Calibri"/>
                <w:sz w:val="22"/>
              </w:rPr>
            </w:pPr>
            <w:r>
              <w:rPr>
                <w:rFonts w:ascii="Calibri"/>
                <w:w w:val="100"/>
                <w:sz w:val="22"/>
              </w:rPr>
              <w:t>6</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rFonts w:ascii="Calibri"/>
                <w:sz w:val="22"/>
              </w:rPr>
            </w:pPr>
            <w:r>
              <w:rPr>
                <w:rFonts w:ascii="Calibri"/>
                <w:sz w:val="22"/>
              </w:rPr>
              <w:t>Extremo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54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18</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36</w:t>
            </w:r>
          </w:p>
        </w:tc>
      </w:tr>
      <w:tr>
        <w:trPr>
          <w:trHeight w:val="310" w:hRule="exact"/>
        </w:trPr>
        <w:tc>
          <w:tcPr>
            <w:tcW w:w="1241" w:type="dxa"/>
            <w:tcBorders>
              <w:top w:val="single" w:sz="4" w:space="0" w:color="000000"/>
              <w:bottom w:val="single" w:sz="4" w:space="0" w:color="000000"/>
              <w:right w:val="single" w:sz="4" w:space="0" w:color="000000"/>
            </w:tcBorders>
          </w:tcPr>
          <w:p>
            <w:pP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Total</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2"/>
              <w:jc w:val="right"/>
              <w:rPr>
                <w:rFonts w:ascii="Calibri"/>
                <w:sz w:val="22"/>
              </w:rPr>
            </w:pPr>
            <w:r>
              <w:rPr>
                <w:rFonts w:ascii="Calibri"/>
                <w:sz w:val="22"/>
              </w:rPr>
              <w:t>1045</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742</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303</w:t>
            </w:r>
          </w:p>
        </w:tc>
      </w:tr>
      <w:tr>
        <w:trPr>
          <w:trHeight w:val="329" w:hRule="exact"/>
        </w:trPr>
        <w:tc>
          <w:tcPr>
            <w:tcW w:w="1241" w:type="dxa"/>
            <w:tcBorders>
              <w:top w:val="single" w:sz="4" w:space="0" w:color="000000"/>
              <w:right w:val="single" w:sz="4" w:space="0" w:color="000000"/>
            </w:tcBorders>
          </w:tcPr>
          <w:p>
            <w:pPr/>
          </w:p>
        </w:tc>
        <w:tc>
          <w:tcPr>
            <w:tcW w:w="1082" w:type="dxa"/>
            <w:tcBorders>
              <w:top w:val="single" w:sz="4" w:space="0" w:color="000000"/>
              <w:left w:val="single" w:sz="4" w:space="0" w:color="000000"/>
              <w:right w:val="single" w:sz="4" w:space="0" w:color="000000"/>
            </w:tcBorders>
          </w:tcPr>
          <w:p>
            <w:pPr>
              <w:pStyle w:val="TableParagraph"/>
              <w:spacing w:before="42"/>
              <w:ind w:left="64"/>
              <w:rPr>
                <w:rFonts w:ascii="Calibri"/>
                <w:sz w:val="22"/>
              </w:rPr>
            </w:pPr>
            <w:r>
              <w:rPr>
                <w:rFonts w:ascii="Calibri"/>
                <w:sz w:val="22"/>
              </w:rPr>
              <w:t>Total</w:t>
            </w:r>
          </w:p>
        </w:tc>
        <w:tc>
          <w:tcPr>
            <w:tcW w:w="1380" w:type="dxa"/>
            <w:tcBorders>
              <w:top w:val="single" w:sz="4" w:space="0" w:color="000000"/>
              <w:left w:val="single" w:sz="4" w:space="0" w:color="000000"/>
              <w:right w:val="single" w:sz="4" w:space="0" w:color="000000"/>
            </w:tcBorders>
          </w:tcPr>
          <w:p>
            <w:pPr/>
          </w:p>
        </w:tc>
        <w:tc>
          <w:tcPr>
            <w:tcW w:w="2600" w:type="dxa"/>
            <w:gridSpan w:val="2"/>
            <w:tcBorders>
              <w:top w:val="single" w:sz="4" w:space="0" w:color="000000"/>
              <w:left w:val="single" w:sz="4" w:space="0" w:color="000000"/>
              <w:right w:val="single" w:sz="4" w:space="0" w:color="000000"/>
            </w:tcBorders>
          </w:tcPr>
          <w:p>
            <w:pPr>
              <w:pStyle w:val="TableParagraph"/>
              <w:spacing w:before="42"/>
              <w:ind w:left="1051" w:right="1052"/>
              <w:jc w:val="center"/>
              <w:rPr>
                <w:rFonts w:ascii="Calibri"/>
                <w:sz w:val="22"/>
              </w:rPr>
            </w:pPr>
            <w:r>
              <w:rPr>
                <w:rFonts w:ascii="Calibri"/>
                <w:sz w:val="22"/>
              </w:rPr>
              <w:t>1045</w:t>
            </w:r>
          </w:p>
        </w:tc>
      </w:tr>
    </w:tbl>
    <w:p>
      <w:pPr>
        <w:pStyle w:val="BodyText"/>
        <w:rPr>
          <w:sz w:val="20"/>
        </w:rPr>
      </w:pPr>
    </w:p>
    <w:p>
      <w:pPr>
        <w:pStyle w:val="BodyText"/>
        <w:spacing w:before="9"/>
        <w:rPr>
          <w:sz w:val="21"/>
        </w:rPr>
      </w:pPr>
    </w:p>
    <w:p>
      <w:pPr>
        <w:pStyle w:val="BodyText"/>
        <w:spacing w:line="360" w:lineRule="auto" w:before="69"/>
        <w:ind w:left="102" w:right="119"/>
        <w:jc w:val="both"/>
      </w:pPr>
      <w:r>
        <w:rPr/>
        <w:t>En la figura 28, se puede apreciar que el número de cuadrantes no quemados de las categorías de riesgo muy bajo, bajo, moderado y alto del año 2011, es mayor que el número de cuadrantes quemados. En cambio, el número de cuadrantes quemados de las categorías grave y extremo son mayores que el número de cuadrantes no quemados. Con esto se comprueba que el mapa de riesgo tiene exactitud, pues se está quemando más en los cuadrantes con categoría grave y extrema.</w:t>
      </w:r>
    </w:p>
    <w:p>
      <w:pPr>
        <w:spacing w:after="0" w:line="360" w:lineRule="auto"/>
        <w:jc w:val="both"/>
        <w:sectPr>
          <w:pgSz w:w="12240" w:h="15840"/>
          <w:pgMar w:header="0" w:footer="1003" w:top="1360" w:bottom="1200" w:left="1600" w:right="1580"/>
        </w:sectPr>
      </w:pPr>
    </w:p>
    <w:p>
      <w:pPr>
        <w:pStyle w:val="BodyText"/>
        <w:spacing w:line="360" w:lineRule="auto" w:before="54" w:after="5"/>
        <w:ind w:left="102" w:right="125"/>
        <w:jc w:val="both"/>
      </w:pPr>
      <w:r>
        <w:rPr/>
        <w:t>Figura 28. Gráfico de cuadrantes quemados y no quemados por categoría de riesgo del año 2011.</w:t>
      </w:r>
    </w:p>
    <w:p>
      <w:pPr>
        <w:pStyle w:val="BodyText"/>
        <w:ind w:left="1527"/>
        <w:rPr>
          <w:sz w:val="20"/>
        </w:rPr>
      </w:pPr>
      <w:r>
        <w:rPr>
          <w:sz w:val="20"/>
        </w:rPr>
        <w:drawing>
          <wp:inline distT="0" distB="0" distL="0" distR="0">
            <wp:extent cx="3817554" cy="2949702"/>
            <wp:effectExtent l="0" t="0" r="0" b="0"/>
            <wp:docPr id="45" name="image35.png" descr=""/>
            <wp:cNvGraphicFramePr>
              <a:graphicFrameLocks noChangeAspect="1"/>
            </wp:cNvGraphicFramePr>
            <a:graphic>
              <a:graphicData uri="http://schemas.openxmlformats.org/drawingml/2006/picture">
                <pic:pic>
                  <pic:nvPicPr>
                    <pic:cNvPr id="46" name="image35.png"/>
                    <pic:cNvPicPr/>
                  </pic:nvPicPr>
                  <pic:blipFill>
                    <a:blip r:embed="rId66" cstate="print"/>
                    <a:stretch>
                      <a:fillRect/>
                    </a:stretch>
                  </pic:blipFill>
                  <pic:spPr>
                    <a:xfrm>
                      <a:off x="0" y="0"/>
                      <a:ext cx="3817554" cy="2949702"/>
                    </a:xfrm>
                    <a:prstGeom prst="rect">
                      <a:avLst/>
                    </a:prstGeom>
                  </pic:spPr>
                </pic:pic>
              </a:graphicData>
            </a:graphic>
          </wp:inline>
        </w:drawing>
      </w:r>
      <w:r>
        <w:rPr>
          <w:sz w:val="20"/>
        </w:rPr>
      </w:r>
    </w:p>
    <w:p>
      <w:pPr>
        <w:pStyle w:val="BodyText"/>
        <w:spacing w:before="11"/>
        <w:rPr>
          <w:sz w:val="21"/>
        </w:rPr>
      </w:pPr>
    </w:p>
    <w:p>
      <w:pPr>
        <w:pStyle w:val="BodyText"/>
        <w:spacing w:line="360" w:lineRule="auto"/>
        <w:ind w:left="102" w:right="119"/>
        <w:jc w:val="both"/>
      </w:pPr>
      <w:r>
        <w:rPr/>
        <w:t>En el cuadro 19, se aprecia que la categoría de riesgo muy bajo es la que  presenta menor superficie quemada, en cambio, la categoría de riesgo baja es la de mayor superficie quemada. Las categorías alta grave y extrema tienen una suma total de superficie quemada de 1,825.73</w:t>
      </w:r>
      <w:r>
        <w:rPr>
          <w:spacing w:val="-17"/>
        </w:rPr>
        <w:t> </w:t>
      </w:r>
      <w:r>
        <w:rPr/>
        <w:t>has.</w:t>
      </w:r>
    </w:p>
    <w:p>
      <w:pPr>
        <w:pStyle w:val="BodyText"/>
        <w:spacing w:before="2"/>
      </w:pPr>
    </w:p>
    <w:p>
      <w:pPr>
        <w:pStyle w:val="BodyText"/>
        <w:ind w:left="102"/>
        <w:jc w:val="both"/>
      </w:pPr>
      <w:r>
        <w:rPr/>
        <w:t>Cuadro 19. Superficie quemada por categoría de riesgo del año 2011.</w:t>
      </w:r>
    </w:p>
    <w:p>
      <w:pPr>
        <w:pStyle w:val="BodyText"/>
        <w:spacing w:before="7"/>
        <w:rPr>
          <w:sz w:val="11"/>
        </w:rPr>
      </w:pPr>
    </w:p>
    <w:tbl>
      <w:tblPr>
        <w:tblW w:w="0" w:type="auto"/>
        <w:jc w:val="left"/>
        <w:tblInd w:w="2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085"/>
        <w:gridCol w:w="1200"/>
        <w:gridCol w:w="1200"/>
      </w:tblGrid>
      <w:tr>
        <w:trPr>
          <w:trHeight w:val="1363" w:hRule="exact"/>
        </w:trPr>
        <w:tc>
          <w:tcPr>
            <w:tcW w:w="1200" w:type="dxa"/>
          </w:tcPr>
          <w:p>
            <w:pPr>
              <w:pStyle w:val="TableParagraph"/>
              <w:spacing w:before="0"/>
              <w:rPr>
                <w:sz w:val="22"/>
              </w:rPr>
            </w:pPr>
          </w:p>
          <w:p>
            <w:pPr>
              <w:pStyle w:val="TableParagraph"/>
              <w:spacing w:before="6"/>
              <w:rPr>
                <w:sz w:val="25"/>
              </w:rPr>
            </w:pPr>
          </w:p>
          <w:p>
            <w:pPr>
              <w:pStyle w:val="TableParagraph"/>
              <w:spacing w:before="0"/>
              <w:ind w:left="64"/>
              <w:rPr>
                <w:rFonts w:ascii="Calibri"/>
                <w:b/>
                <w:sz w:val="22"/>
              </w:rPr>
            </w:pPr>
            <w:r>
              <w:rPr>
                <w:rFonts w:ascii="Calibri"/>
                <w:b/>
                <w:sz w:val="22"/>
              </w:rPr>
              <w:t>Indicador</w:t>
            </w:r>
          </w:p>
        </w:tc>
        <w:tc>
          <w:tcPr>
            <w:tcW w:w="1085" w:type="dxa"/>
          </w:tcPr>
          <w:p>
            <w:pPr>
              <w:pStyle w:val="TableParagraph"/>
              <w:spacing w:before="0"/>
              <w:rPr>
                <w:sz w:val="22"/>
              </w:rPr>
            </w:pPr>
          </w:p>
          <w:p>
            <w:pPr>
              <w:pStyle w:val="TableParagraph"/>
              <w:spacing w:before="6"/>
              <w:rPr>
                <w:sz w:val="25"/>
              </w:rPr>
            </w:pPr>
          </w:p>
          <w:p>
            <w:pPr>
              <w:pStyle w:val="TableParagraph"/>
              <w:spacing w:before="0"/>
              <w:ind w:left="64"/>
              <w:rPr>
                <w:rFonts w:ascii="Calibri" w:hAnsi="Calibri"/>
                <w:b/>
                <w:sz w:val="22"/>
              </w:rPr>
            </w:pPr>
            <w:r>
              <w:rPr>
                <w:rFonts w:ascii="Calibri" w:hAnsi="Calibri"/>
                <w:b/>
                <w:sz w:val="22"/>
              </w:rPr>
              <w:t>Categoría</w:t>
            </w:r>
          </w:p>
        </w:tc>
        <w:tc>
          <w:tcPr>
            <w:tcW w:w="1200" w:type="dxa"/>
            <w:tcBorders>
              <w:top w:val="single" w:sz="8" w:space="0" w:color="000000"/>
              <w:bottom w:val="single" w:sz="8" w:space="0" w:color="000000"/>
              <w:right w:val="single" w:sz="8" w:space="0" w:color="000000"/>
            </w:tcBorders>
          </w:tcPr>
          <w:p>
            <w:pPr>
              <w:pStyle w:val="TableParagraph"/>
              <w:spacing w:before="0"/>
              <w:rPr>
                <w:sz w:val="22"/>
              </w:rPr>
            </w:pPr>
          </w:p>
          <w:p>
            <w:pPr>
              <w:pStyle w:val="TableParagraph"/>
              <w:spacing w:before="154"/>
              <w:ind w:left="86" w:right="60" w:hanging="8"/>
              <w:rPr>
                <w:rFonts w:ascii="Calibri" w:hAnsi="Calibri"/>
                <w:b/>
                <w:sz w:val="22"/>
              </w:rPr>
            </w:pPr>
            <w:r>
              <w:rPr>
                <w:rFonts w:ascii="Calibri" w:hAnsi="Calibri"/>
                <w:b/>
                <w:sz w:val="22"/>
              </w:rPr>
              <w:t>Número de cuadrantes</w:t>
            </w:r>
          </w:p>
        </w:tc>
        <w:tc>
          <w:tcPr>
            <w:tcW w:w="1200" w:type="dxa"/>
            <w:tcBorders>
              <w:top w:val="single" w:sz="8" w:space="0" w:color="000000"/>
              <w:left w:val="single" w:sz="8" w:space="0" w:color="000000"/>
              <w:bottom w:val="single" w:sz="8" w:space="0" w:color="000000"/>
              <w:right w:val="single" w:sz="8" w:space="0" w:color="000000"/>
            </w:tcBorders>
          </w:tcPr>
          <w:p>
            <w:pPr>
              <w:pStyle w:val="TableParagraph"/>
              <w:spacing w:before="4"/>
              <w:ind w:left="115" w:right="112" w:hanging="1"/>
              <w:jc w:val="center"/>
              <w:rPr>
                <w:rFonts w:ascii="Calibri" w:hAnsi="Calibri"/>
                <w:b/>
                <w:sz w:val="22"/>
              </w:rPr>
            </w:pPr>
            <w:r>
              <w:rPr>
                <w:rFonts w:ascii="Calibri" w:hAnsi="Calibri"/>
                <w:b/>
                <w:sz w:val="22"/>
              </w:rPr>
              <w:t>Superficie quemada del año 2011 en hectáreas.</w:t>
            </w:r>
          </w:p>
        </w:tc>
      </w:tr>
      <w:tr>
        <w:trPr>
          <w:trHeight w:val="322" w:hRule="exact"/>
        </w:trPr>
        <w:tc>
          <w:tcPr>
            <w:tcW w:w="1200" w:type="dxa"/>
            <w:tcBorders>
              <w:left w:val="single" w:sz="8" w:space="0" w:color="000000"/>
            </w:tcBorders>
          </w:tcPr>
          <w:p>
            <w:pPr>
              <w:pStyle w:val="TableParagraph"/>
              <w:spacing w:before="40"/>
              <w:ind w:right="1"/>
              <w:jc w:val="center"/>
              <w:rPr>
                <w:rFonts w:ascii="Calibri"/>
                <w:sz w:val="22"/>
              </w:rPr>
            </w:pPr>
            <w:r>
              <w:rPr>
                <w:rFonts w:ascii="Calibri"/>
                <w:w w:val="100"/>
                <w:sz w:val="22"/>
              </w:rPr>
              <w:t>1</w:t>
            </w:r>
          </w:p>
        </w:tc>
        <w:tc>
          <w:tcPr>
            <w:tcW w:w="1085" w:type="dxa"/>
          </w:tcPr>
          <w:p>
            <w:pPr>
              <w:pStyle w:val="TableParagraph"/>
              <w:spacing w:before="40"/>
              <w:ind w:left="64"/>
              <w:rPr>
                <w:rFonts w:ascii="Calibri"/>
                <w:sz w:val="22"/>
              </w:rPr>
            </w:pPr>
            <w:r>
              <w:rPr>
                <w:rFonts w:ascii="Calibri"/>
                <w:sz w:val="22"/>
              </w:rPr>
              <w:t>Muy bajo</w:t>
            </w:r>
          </w:p>
        </w:tc>
        <w:tc>
          <w:tcPr>
            <w:tcW w:w="1200" w:type="dxa"/>
            <w:tcBorders>
              <w:top w:val="single" w:sz="8" w:space="0" w:color="000000"/>
            </w:tcBorders>
          </w:tcPr>
          <w:p>
            <w:pPr>
              <w:pStyle w:val="TableParagraph"/>
              <w:spacing w:before="35"/>
              <w:ind w:right="61"/>
              <w:jc w:val="right"/>
              <w:rPr>
                <w:rFonts w:ascii="Calibri"/>
                <w:sz w:val="22"/>
              </w:rPr>
            </w:pPr>
            <w:r>
              <w:rPr>
                <w:rFonts w:ascii="Calibri"/>
                <w:sz w:val="22"/>
              </w:rPr>
              <w:t>135</w:t>
            </w:r>
          </w:p>
        </w:tc>
        <w:tc>
          <w:tcPr>
            <w:tcW w:w="1200" w:type="dxa"/>
            <w:tcBorders>
              <w:top w:val="single" w:sz="8" w:space="0" w:color="000000"/>
              <w:right w:val="single" w:sz="8" w:space="0" w:color="000000"/>
            </w:tcBorders>
          </w:tcPr>
          <w:p>
            <w:pPr>
              <w:pStyle w:val="TableParagraph"/>
              <w:spacing w:before="35"/>
              <w:ind w:right="56"/>
              <w:jc w:val="right"/>
              <w:rPr>
                <w:rFonts w:ascii="Calibri"/>
                <w:sz w:val="22"/>
              </w:rPr>
            </w:pPr>
            <w:r>
              <w:rPr>
                <w:rFonts w:ascii="Calibri"/>
                <w:sz w:val="22"/>
              </w:rPr>
              <w:t>54.64</w:t>
            </w:r>
          </w:p>
        </w:tc>
      </w:tr>
      <w:tr>
        <w:trPr>
          <w:trHeight w:val="310" w:hRule="exact"/>
        </w:trPr>
        <w:tc>
          <w:tcPr>
            <w:tcW w:w="1200" w:type="dxa"/>
            <w:tcBorders>
              <w:left w:val="single" w:sz="8" w:space="0" w:color="000000"/>
            </w:tcBorders>
          </w:tcPr>
          <w:p>
            <w:pPr>
              <w:pStyle w:val="TableParagraph"/>
              <w:spacing w:before="28"/>
              <w:ind w:right="1"/>
              <w:jc w:val="center"/>
              <w:rPr>
                <w:rFonts w:ascii="Calibri"/>
                <w:sz w:val="22"/>
              </w:rPr>
            </w:pPr>
            <w:r>
              <w:rPr>
                <w:rFonts w:ascii="Calibri"/>
                <w:w w:val="100"/>
                <w:sz w:val="22"/>
              </w:rPr>
              <w:t>2</w:t>
            </w:r>
          </w:p>
        </w:tc>
        <w:tc>
          <w:tcPr>
            <w:tcW w:w="1085" w:type="dxa"/>
          </w:tcPr>
          <w:p>
            <w:pPr>
              <w:pStyle w:val="TableParagraph"/>
              <w:spacing w:before="28"/>
              <w:ind w:left="64"/>
              <w:rPr>
                <w:rFonts w:ascii="Calibri"/>
                <w:sz w:val="22"/>
              </w:rPr>
            </w:pPr>
            <w:r>
              <w:rPr>
                <w:rFonts w:ascii="Calibri"/>
                <w:sz w:val="22"/>
              </w:rPr>
              <w:t>Bajo</w:t>
            </w:r>
          </w:p>
        </w:tc>
        <w:tc>
          <w:tcPr>
            <w:tcW w:w="1200" w:type="dxa"/>
          </w:tcPr>
          <w:p>
            <w:pPr>
              <w:pStyle w:val="TableParagraph"/>
              <w:spacing w:before="28"/>
              <w:ind w:right="61"/>
              <w:jc w:val="right"/>
              <w:rPr>
                <w:rFonts w:ascii="Calibri"/>
                <w:sz w:val="22"/>
              </w:rPr>
            </w:pPr>
            <w:r>
              <w:rPr>
                <w:rFonts w:ascii="Calibri"/>
                <w:sz w:val="22"/>
              </w:rPr>
              <w:t>447</w:t>
            </w:r>
          </w:p>
        </w:tc>
        <w:tc>
          <w:tcPr>
            <w:tcW w:w="1200" w:type="dxa"/>
            <w:tcBorders>
              <w:right w:val="single" w:sz="8" w:space="0" w:color="000000"/>
            </w:tcBorders>
          </w:tcPr>
          <w:p>
            <w:pPr>
              <w:pStyle w:val="TableParagraph"/>
              <w:spacing w:before="28"/>
              <w:ind w:right="57"/>
              <w:jc w:val="right"/>
              <w:rPr>
                <w:rFonts w:ascii="Calibri"/>
                <w:sz w:val="22"/>
              </w:rPr>
            </w:pPr>
            <w:r>
              <w:rPr>
                <w:rFonts w:ascii="Calibri"/>
                <w:sz w:val="22"/>
              </w:rPr>
              <w:t>1340.24</w:t>
            </w:r>
          </w:p>
        </w:tc>
      </w:tr>
      <w:tr>
        <w:trPr>
          <w:trHeight w:val="310" w:hRule="exact"/>
        </w:trPr>
        <w:tc>
          <w:tcPr>
            <w:tcW w:w="1200" w:type="dxa"/>
            <w:tcBorders>
              <w:left w:val="single" w:sz="8" w:space="0" w:color="000000"/>
            </w:tcBorders>
          </w:tcPr>
          <w:p>
            <w:pPr>
              <w:pStyle w:val="TableParagraph"/>
              <w:spacing w:before="28"/>
              <w:ind w:right="1"/>
              <w:jc w:val="center"/>
              <w:rPr>
                <w:rFonts w:ascii="Calibri"/>
                <w:sz w:val="22"/>
              </w:rPr>
            </w:pPr>
            <w:r>
              <w:rPr>
                <w:rFonts w:ascii="Calibri"/>
                <w:w w:val="100"/>
                <w:sz w:val="22"/>
              </w:rPr>
              <w:t>3</w:t>
            </w:r>
          </w:p>
        </w:tc>
        <w:tc>
          <w:tcPr>
            <w:tcW w:w="1085" w:type="dxa"/>
          </w:tcPr>
          <w:p>
            <w:pPr>
              <w:pStyle w:val="TableParagraph"/>
              <w:spacing w:before="28"/>
              <w:ind w:left="64"/>
              <w:rPr>
                <w:rFonts w:ascii="Calibri"/>
                <w:sz w:val="22"/>
              </w:rPr>
            </w:pPr>
            <w:r>
              <w:rPr>
                <w:rFonts w:ascii="Calibri"/>
                <w:sz w:val="22"/>
              </w:rPr>
              <w:t>Moderado</w:t>
            </w:r>
          </w:p>
        </w:tc>
        <w:tc>
          <w:tcPr>
            <w:tcW w:w="1200" w:type="dxa"/>
          </w:tcPr>
          <w:p>
            <w:pPr>
              <w:pStyle w:val="TableParagraph"/>
              <w:spacing w:before="28"/>
              <w:ind w:right="61"/>
              <w:jc w:val="right"/>
              <w:rPr>
                <w:rFonts w:ascii="Calibri"/>
                <w:sz w:val="22"/>
              </w:rPr>
            </w:pPr>
            <w:r>
              <w:rPr>
                <w:rFonts w:ascii="Calibri"/>
                <w:sz w:val="22"/>
              </w:rPr>
              <w:t>244</w:t>
            </w:r>
          </w:p>
        </w:tc>
        <w:tc>
          <w:tcPr>
            <w:tcW w:w="1200" w:type="dxa"/>
            <w:tcBorders>
              <w:right w:val="single" w:sz="8" w:space="0" w:color="000000"/>
            </w:tcBorders>
          </w:tcPr>
          <w:p>
            <w:pPr>
              <w:pStyle w:val="TableParagraph"/>
              <w:spacing w:before="28"/>
              <w:ind w:right="56"/>
              <w:jc w:val="right"/>
              <w:rPr>
                <w:rFonts w:ascii="Calibri"/>
                <w:sz w:val="22"/>
              </w:rPr>
            </w:pPr>
            <w:r>
              <w:rPr>
                <w:rFonts w:ascii="Calibri"/>
                <w:sz w:val="22"/>
              </w:rPr>
              <w:t>825.39</w:t>
            </w:r>
          </w:p>
        </w:tc>
      </w:tr>
      <w:tr>
        <w:trPr>
          <w:trHeight w:val="310" w:hRule="exact"/>
        </w:trPr>
        <w:tc>
          <w:tcPr>
            <w:tcW w:w="1200" w:type="dxa"/>
            <w:tcBorders>
              <w:left w:val="single" w:sz="8" w:space="0" w:color="000000"/>
            </w:tcBorders>
          </w:tcPr>
          <w:p>
            <w:pPr>
              <w:pStyle w:val="TableParagraph"/>
              <w:spacing w:before="28"/>
              <w:ind w:right="1"/>
              <w:jc w:val="center"/>
              <w:rPr>
                <w:rFonts w:ascii="Calibri"/>
                <w:sz w:val="22"/>
              </w:rPr>
            </w:pPr>
            <w:r>
              <w:rPr>
                <w:rFonts w:ascii="Calibri"/>
                <w:w w:val="100"/>
                <w:sz w:val="22"/>
              </w:rPr>
              <w:t>4</w:t>
            </w:r>
          </w:p>
        </w:tc>
        <w:tc>
          <w:tcPr>
            <w:tcW w:w="1085" w:type="dxa"/>
          </w:tcPr>
          <w:p>
            <w:pPr>
              <w:pStyle w:val="TableParagraph"/>
              <w:spacing w:before="28"/>
              <w:ind w:left="64"/>
              <w:rPr>
                <w:rFonts w:ascii="Calibri"/>
                <w:sz w:val="22"/>
              </w:rPr>
            </w:pPr>
            <w:r>
              <w:rPr>
                <w:rFonts w:ascii="Calibri"/>
                <w:sz w:val="22"/>
              </w:rPr>
              <w:t>Alto</w:t>
            </w:r>
          </w:p>
        </w:tc>
        <w:tc>
          <w:tcPr>
            <w:tcW w:w="1200" w:type="dxa"/>
          </w:tcPr>
          <w:p>
            <w:pPr>
              <w:pStyle w:val="TableParagraph"/>
              <w:spacing w:before="28"/>
              <w:ind w:right="60"/>
              <w:jc w:val="right"/>
              <w:rPr>
                <w:rFonts w:ascii="Calibri"/>
                <w:sz w:val="22"/>
              </w:rPr>
            </w:pPr>
            <w:r>
              <w:rPr>
                <w:rFonts w:ascii="Calibri"/>
                <w:sz w:val="22"/>
              </w:rPr>
              <w:t>54</w:t>
            </w:r>
          </w:p>
        </w:tc>
        <w:tc>
          <w:tcPr>
            <w:tcW w:w="1200" w:type="dxa"/>
            <w:tcBorders>
              <w:right w:val="single" w:sz="8" w:space="0" w:color="000000"/>
            </w:tcBorders>
          </w:tcPr>
          <w:p>
            <w:pPr>
              <w:pStyle w:val="TableParagraph"/>
              <w:spacing w:before="28"/>
              <w:ind w:right="56"/>
              <w:jc w:val="right"/>
              <w:rPr>
                <w:rFonts w:ascii="Calibri"/>
                <w:sz w:val="22"/>
              </w:rPr>
            </w:pPr>
            <w:r>
              <w:rPr>
                <w:rFonts w:ascii="Calibri"/>
                <w:sz w:val="22"/>
              </w:rPr>
              <w:t>313.89</w:t>
            </w:r>
          </w:p>
        </w:tc>
      </w:tr>
      <w:tr>
        <w:trPr>
          <w:trHeight w:val="310" w:hRule="exact"/>
        </w:trPr>
        <w:tc>
          <w:tcPr>
            <w:tcW w:w="1200" w:type="dxa"/>
            <w:tcBorders>
              <w:left w:val="single" w:sz="8" w:space="0" w:color="000000"/>
            </w:tcBorders>
          </w:tcPr>
          <w:p>
            <w:pPr>
              <w:pStyle w:val="TableParagraph"/>
              <w:spacing w:before="28"/>
              <w:ind w:right="1"/>
              <w:jc w:val="center"/>
              <w:rPr>
                <w:rFonts w:ascii="Calibri"/>
                <w:sz w:val="22"/>
              </w:rPr>
            </w:pPr>
            <w:r>
              <w:rPr>
                <w:rFonts w:ascii="Calibri"/>
                <w:w w:val="100"/>
                <w:sz w:val="22"/>
              </w:rPr>
              <w:t>5</w:t>
            </w:r>
          </w:p>
        </w:tc>
        <w:tc>
          <w:tcPr>
            <w:tcW w:w="1085" w:type="dxa"/>
          </w:tcPr>
          <w:p>
            <w:pPr>
              <w:pStyle w:val="TableParagraph"/>
              <w:spacing w:before="28"/>
              <w:ind w:left="64"/>
              <w:rPr>
                <w:rFonts w:ascii="Calibri"/>
                <w:sz w:val="22"/>
              </w:rPr>
            </w:pPr>
            <w:r>
              <w:rPr>
                <w:rFonts w:ascii="Calibri"/>
                <w:sz w:val="22"/>
              </w:rPr>
              <w:t>Grave</w:t>
            </w:r>
          </w:p>
        </w:tc>
        <w:tc>
          <w:tcPr>
            <w:tcW w:w="1200" w:type="dxa"/>
          </w:tcPr>
          <w:p>
            <w:pPr>
              <w:pStyle w:val="TableParagraph"/>
              <w:spacing w:before="28"/>
              <w:ind w:right="61"/>
              <w:jc w:val="right"/>
              <w:rPr>
                <w:rFonts w:ascii="Calibri"/>
                <w:sz w:val="22"/>
              </w:rPr>
            </w:pPr>
            <w:r>
              <w:rPr>
                <w:rFonts w:ascii="Calibri"/>
                <w:sz w:val="22"/>
              </w:rPr>
              <w:t>111</w:t>
            </w:r>
          </w:p>
        </w:tc>
        <w:tc>
          <w:tcPr>
            <w:tcW w:w="1200" w:type="dxa"/>
            <w:tcBorders>
              <w:right w:val="single" w:sz="8" w:space="0" w:color="000000"/>
            </w:tcBorders>
          </w:tcPr>
          <w:p>
            <w:pPr>
              <w:pStyle w:val="TableParagraph"/>
              <w:spacing w:before="28"/>
              <w:ind w:right="56"/>
              <w:jc w:val="right"/>
              <w:rPr>
                <w:rFonts w:ascii="Calibri"/>
                <w:sz w:val="22"/>
              </w:rPr>
            </w:pPr>
            <w:r>
              <w:rPr>
                <w:rFonts w:ascii="Calibri"/>
                <w:sz w:val="22"/>
              </w:rPr>
              <w:t>907.83</w:t>
            </w:r>
          </w:p>
        </w:tc>
      </w:tr>
      <w:tr>
        <w:trPr>
          <w:trHeight w:val="331" w:hRule="exact"/>
        </w:trPr>
        <w:tc>
          <w:tcPr>
            <w:tcW w:w="1200" w:type="dxa"/>
            <w:tcBorders>
              <w:left w:val="single" w:sz="8" w:space="0" w:color="000000"/>
              <w:bottom w:val="single" w:sz="8" w:space="0" w:color="000000"/>
            </w:tcBorders>
          </w:tcPr>
          <w:p>
            <w:pPr>
              <w:pStyle w:val="TableParagraph"/>
              <w:spacing w:before="45"/>
              <w:ind w:right="1"/>
              <w:jc w:val="center"/>
              <w:rPr>
                <w:rFonts w:ascii="Calibri"/>
                <w:sz w:val="22"/>
              </w:rPr>
            </w:pPr>
            <w:r>
              <w:rPr>
                <w:rFonts w:ascii="Calibri"/>
                <w:w w:val="100"/>
                <w:sz w:val="22"/>
              </w:rPr>
              <w:t>6</w:t>
            </w:r>
          </w:p>
        </w:tc>
        <w:tc>
          <w:tcPr>
            <w:tcW w:w="1085" w:type="dxa"/>
            <w:tcBorders>
              <w:bottom w:val="single" w:sz="8" w:space="0" w:color="000000"/>
            </w:tcBorders>
          </w:tcPr>
          <w:p>
            <w:pPr>
              <w:pStyle w:val="TableParagraph"/>
              <w:spacing w:before="45"/>
              <w:ind w:left="64"/>
              <w:rPr>
                <w:rFonts w:ascii="Calibri"/>
                <w:sz w:val="22"/>
              </w:rPr>
            </w:pPr>
            <w:r>
              <w:rPr>
                <w:rFonts w:ascii="Calibri"/>
                <w:sz w:val="22"/>
              </w:rPr>
              <w:t>Extremo</w:t>
            </w:r>
          </w:p>
        </w:tc>
        <w:tc>
          <w:tcPr>
            <w:tcW w:w="1200" w:type="dxa"/>
            <w:tcBorders>
              <w:bottom w:val="single" w:sz="8" w:space="0" w:color="000000"/>
            </w:tcBorders>
          </w:tcPr>
          <w:p>
            <w:pPr>
              <w:pStyle w:val="TableParagraph"/>
              <w:spacing w:before="45"/>
              <w:ind w:right="60"/>
              <w:jc w:val="right"/>
              <w:rPr>
                <w:rFonts w:ascii="Calibri"/>
                <w:sz w:val="22"/>
              </w:rPr>
            </w:pPr>
            <w:r>
              <w:rPr>
                <w:rFonts w:ascii="Calibri"/>
                <w:sz w:val="22"/>
              </w:rPr>
              <w:t>54</w:t>
            </w:r>
          </w:p>
        </w:tc>
        <w:tc>
          <w:tcPr>
            <w:tcW w:w="1200" w:type="dxa"/>
            <w:tcBorders>
              <w:bottom w:val="single" w:sz="8" w:space="0" w:color="000000"/>
              <w:right w:val="single" w:sz="8" w:space="0" w:color="000000"/>
            </w:tcBorders>
          </w:tcPr>
          <w:p>
            <w:pPr>
              <w:pStyle w:val="TableParagraph"/>
              <w:spacing w:before="45"/>
              <w:ind w:right="56"/>
              <w:jc w:val="right"/>
              <w:rPr>
                <w:rFonts w:ascii="Calibri"/>
                <w:sz w:val="22"/>
              </w:rPr>
            </w:pPr>
            <w:r>
              <w:rPr>
                <w:rFonts w:ascii="Calibri"/>
                <w:sz w:val="22"/>
              </w:rPr>
              <w:t>604.01</w:t>
            </w:r>
          </w:p>
        </w:tc>
      </w:tr>
    </w:tbl>
    <w:p>
      <w:pPr>
        <w:spacing w:after="0"/>
        <w:jc w:val="right"/>
        <w:rPr>
          <w:rFonts w:ascii="Calibri"/>
          <w:sz w:val="22"/>
        </w:rPr>
        <w:sectPr>
          <w:pgSz w:w="12240" w:h="15840"/>
          <w:pgMar w:header="0" w:footer="1003" w:top="1360" w:bottom="1200" w:left="1600" w:right="1580"/>
        </w:sectPr>
      </w:pPr>
    </w:p>
    <w:p>
      <w:pPr>
        <w:pStyle w:val="BodyText"/>
        <w:spacing w:before="54"/>
        <w:ind w:left="102"/>
      </w:pPr>
      <w:r>
        <w:rPr/>
        <w:t>Figura 29. Superficie quemada por categoría de riesgo del año 2011.</w:t>
      </w:r>
    </w:p>
    <w:p>
      <w:pPr>
        <w:pStyle w:val="BodyText"/>
        <w:spacing w:before="9"/>
        <w:rPr>
          <w:sz w:val="8"/>
        </w:rPr>
      </w:pPr>
      <w:r>
        <w:rPr/>
        <w:drawing>
          <wp:anchor distT="0" distB="0" distL="0" distR="0" allowOverlap="1" layoutInCell="1" locked="0" behindDoc="0" simplePos="0" relativeHeight="3376">
            <wp:simplePos x="0" y="0"/>
            <wp:positionH relativeFrom="page">
              <wp:posOffset>2220595</wp:posOffset>
            </wp:positionH>
            <wp:positionV relativeFrom="paragraph">
              <wp:posOffset>89370</wp:posOffset>
            </wp:positionV>
            <wp:extent cx="3333668" cy="2066544"/>
            <wp:effectExtent l="0" t="0" r="0" b="0"/>
            <wp:wrapTopAndBottom/>
            <wp:docPr id="47" name="image36.png" descr=""/>
            <wp:cNvGraphicFramePr>
              <a:graphicFrameLocks noChangeAspect="1"/>
            </wp:cNvGraphicFramePr>
            <a:graphic>
              <a:graphicData uri="http://schemas.openxmlformats.org/drawingml/2006/picture">
                <pic:pic>
                  <pic:nvPicPr>
                    <pic:cNvPr id="48" name="image36.png"/>
                    <pic:cNvPicPr/>
                  </pic:nvPicPr>
                  <pic:blipFill>
                    <a:blip r:embed="rId67" cstate="print"/>
                    <a:stretch>
                      <a:fillRect/>
                    </a:stretch>
                  </pic:blipFill>
                  <pic:spPr>
                    <a:xfrm>
                      <a:off x="0" y="0"/>
                      <a:ext cx="3333668" cy="2066544"/>
                    </a:xfrm>
                    <a:prstGeom prst="rect">
                      <a:avLst/>
                    </a:prstGeom>
                  </pic:spPr>
                </pic:pic>
              </a:graphicData>
            </a:graphic>
          </wp:anchor>
        </w:drawing>
      </w:r>
    </w:p>
    <w:p>
      <w:pPr>
        <w:pStyle w:val="BodyText"/>
      </w:pPr>
    </w:p>
    <w:p>
      <w:pPr>
        <w:pStyle w:val="BodyText"/>
        <w:spacing w:before="11"/>
        <w:rPr>
          <w:sz w:val="20"/>
        </w:rPr>
      </w:pPr>
    </w:p>
    <w:p>
      <w:pPr>
        <w:pStyle w:val="BodyText"/>
        <w:ind w:left="102" w:right="431"/>
      </w:pPr>
      <w:r>
        <w:rPr/>
        <w:t>En la figura 30, se aprecia el mapa de riesgo con las áreas quemadas del año 2014, producto del análisis de la imagen de satélite.</w:t>
      </w:r>
    </w:p>
    <w:p>
      <w:pPr>
        <w:spacing w:after="0"/>
        <w:sectPr>
          <w:pgSz w:w="12240" w:h="15840"/>
          <w:pgMar w:header="0" w:footer="1003" w:top="1360" w:bottom="1200" w:left="1600" w:right="1580"/>
        </w:sectPr>
      </w:pPr>
    </w:p>
    <w:p>
      <w:pPr>
        <w:pStyle w:val="BodyText"/>
        <w:spacing w:before="52" w:after="5"/>
        <w:ind w:left="102"/>
      </w:pPr>
      <w:r>
        <w:rPr/>
        <w:t>Figura 30. Riesgo de incendios y zonas quemadas del año 2014.</w:t>
      </w:r>
    </w:p>
    <w:p>
      <w:pPr>
        <w:pStyle w:val="BodyText"/>
        <w:ind w:left="303"/>
        <w:rPr>
          <w:sz w:val="20"/>
        </w:rPr>
      </w:pPr>
      <w:r>
        <w:rPr>
          <w:sz w:val="20"/>
        </w:rPr>
        <w:drawing>
          <wp:inline distT="0" distB="0" distL="0" distR="0">
            <wp:extent cx="5279183" cy="7917084"/>
            <wp:effectExtent l="0" t="0" r="0" b="0"/>
            <wp:docPr id="49" name="image37.jpeg" descr=""/>
            <wp:cNvGraphicFramePr>
              <a:graphicFrameLocks noChangeAspect="1"/>
            </wp:cNvGraphicFramePr>
            <a:graphic>
              <a:graphicData uri="http://schemas.openxmlformats.org/drawingml/2006/picture">
                <pic:pic>
                  <pic:nvPicPr>
                    <pic:cNvPr id="50" name="image37.jpeg"/>
                    <pic:cNvPicPr/>
                  </pic:nvPicPr>
                  <pic:blipFill>
                    <a:blip r:embed="rId68" cstate="print"/>
                    <a:stretch>
                      <a:fillRect/>
                    </a:stretch>
                  </pic:blipFill>
                  <pic:spPr>
                    <a:xfrm>
                      <a:off x="0" y="0"/>
                      <a:ext cx="5279183" cy="7917084"/>
                    </a:xfrm>
                    <a:prstGeom prst="rect">
                      <a:avLst/>
                    </a:prstGeom>
                  </pic:spPr>
                </pic:pic>
              </a:graphicData>
            </a:graphic>
          </wp:inline>
        </w:drawing>
      </w:r>
      <w:r>
        <w:rPr>
          <w:sz w:val="20"/>
        </w:rPr>
      </w:r>
    </w:p>
    <w:p>
      <w:pPr>
        <w:spacing w:after="0"/>
        <w:rPr>
          <w:sz w:val="20"/>
        </w:rPr>
        <w:sectPr>
          <w:pgSz w:w="12240" w:h="15840"/>
          <w:pgMar w:header="0" w:footer="1003" w:top="1360" w:bottom="1200" w:left="1600" w:right="1580"/>
        </w:sectPr>
      </w:pPr>
    </w:p>
    <w:p>
      <w:pPr>
        <w:pStyle w:val="BodyText"/>
        <w:spacing w:line="360" w:lineRule="auto" w:before="54"/>
        <w:ind w:left="102" w:right="117"/>
        <w:jc w:val="both"/>
      </w:pPr>
      <w:r>
        <w:rPr/>
        <w:t>De acuerdo con el cuadro 20, donde se analiza el mapa de riesgo y las áreas quemadas del año 2014, la categoría de riesgo muy bajo tiene un total de 135 cuadrantes, de los cuales se quemaron 16. En la categoría bajo de 447 cuadrantes, se quemaron 149. En la categoría moderado de los 244 cuadrantes, se quemaron 75. En la categoría de riesgo alto de 54 cuadrantes se quemaron 19. En la categoría de riesgo grave de 111 cuadrantes se quemaron 76. Finalmente, en la categoría de riesgo extremo de 54 cuadrantes se quemaron 39. El año 2014 presentó 71 cuadrantes más afectados que el año</w:t>
      </w:r>
      <w:r>
        <w:rPr>
          <w:spacing w:val="-23"/>
        </w:rPr>
        <w:t> </w:t>
      </w:r>
      <w:r>
        <w:rPr/>
        <w:t>2011.</w:t>
      </w:r>
    </w:p>
    <w:p>
      <w:pPr>
        <w:pStyle w:val="BodyText"/>
      </w:pPr>
    </w:p>
    <w:p>
      <w:pPr>
        <w:pStyle w:val="BodyText"/>
        <w:spacing w:before="3"/>
      </w:pPr>
    </w:p>
    <w:p>
      <w:pPr>
        <w:pStyle w:val="BodyText"/>
        <w:spacing w:line="360" w:lineRule="auto" w:after="5"/>
        <w:ind w:left="102" w:right="119"/>
        <w:jc w:val="both"/>
      </w:pPr>
      <w:r>
        <w:rPr/>
        <w:t>Cuadro 20. Cuadrantes quemados y no quemados por categoría de riesgo del año 2014.</w:t>
      </w:r>
    </w:p>
    <w:tbl>
      <w:tblPr>
        <w:tblW w:w="0" w:type="auto"/>
        <w:jc w:val="left"/>
        <w:tblInd w:w="13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41"/>
        <w:gridCol w:w="1082"/>
        <w:gridCol w:w="1380"/>
        <w:gridCol w:w="1457"/>
        <w:gridCol w:w="1143"/>
      </w:tblGrid>
      <w:tr>
        <w:trPr>
          <w:trHeight w:val="336" w:hRule="exact"/>
        </w:trPr>
        <w:tc>
          <w:tcPr>
            <w:tcW w:w="1241" w:type="dxa"/>
            <w:vMerge w:val="restart"/>
          </w:tcPr>
          <w:p>
            <w:pPr>
              <w:pStyle w:val="TableParagraph"/>
              <w:spacing w:before="54"/>
              <w:ind w:left="201" w:right="172" w:hanging="15"/>
              <w:rPr>
                <w:rFonts w:ascii="Calibri"/>
                <w:sz w:val="22"/>
              </w:rPr>
            </w:pPr>
            <w:r>
              <w:rPr>
                <w:rFonts w:ascii="Calibri"/>
                <w:sz w:val="22"/>
              </w:rPr>
              <w:t>Indicador de riesgo</w:t>
            </w:r>
          </w:p>
        </w:tc>
        <w:tc>
          <w:tcPr>
            <w:tcW w:w="1082" w:type="dxa"/>
            <w:vMerge w:val="restart"/>
          </w:tcPr>
          <w:p>
            <w:pPr>
              <w:pStyle w:val="TableParagraph"/>
              <w:spacing w:before="189"/>
              <w:ind w:left="100"/>
              <w:rPr>
                <w:rFonts w:ascii="Calibri" w:hAnsi="Calibri"/>
                <w:sz w:val="22"/>
              </w:rPr>
            </w:pPr>
            <w:r>
              <w:rPr>
                <w:rFonts w:ascii="Calibri" w:hAnsi="Calibri"/>
                <w:sz w:val="22"/>
              </w:rPr>
              <w:t>Categoría</w:t>
            </w:r>
          </w:p>
        </w:tc>
        <w:tc>
          <w:tcPr>
            <w:tcW w:w="1380" w:type="dxa"/>
            <w:vMerge w:val="restart"/>
          </w:tcPr>
          <w:p>
            <w:pPr>
              <w:pStyle w:val="TableParagraph"/>
              <w:spacing w:before="54"/>
              <w:ind w:left="149" w:right="149"/>
              <w:jc w:val="center"/>
              <w:rPr>
                <w:rFonts w:ascii="Calibri" w:hAnsi="Calibri"/>
                <w:sz w:val="22"/>
              </w:rPr>
            </w:pPr>
            <w:r>
              <w:rPr>
                <w:rFonts w:ascii="Calibri" w:hAnsi="Calibri"/>
                <w:sz w:val="22"/>
              </w:rPr>
              <w:t>Núm.</w:t>
            </w:r>
          </w:p>
          <w:p>
            <w:pPr>
              <w:pStyle w:val="TableParagraph"/>
              <w:spacing w:before="0"/>
              <w:ind w:left="151" w:right="149"/>
              <w:jc w:val="center"/>
              <w:rPr>
                <w:rFonts w:ascii="Calibri"/>
                <w:sz w:val="22"/>
              </w:rPr>
            </w:pPr>
            <w:r>
              <w:rPr>
                <w:rFonts w:ascii="Calibri"/>
                <w:sz w:val="22"/>
              </w:rPr>
              <w:t>Cuadrantes</w:t>
            </w:r>
          </w:p>
        </w:tc>
        <w:tc>
          <w:tcPr>
            <w:tcW w:w="2600" w:type="dxa"/>
            <w:gridSpan w:val="2"/>
          </w:tcPr>
          <w:p>
            <w:pPr>
              <w:pStyle w:val="TableParagraph"/>
              <w:spacing w:before="45"/>
              <w:ind w:left="1046" w:right="1047"/>
              <w:jc w:val="center"/>
              <w:rPr>
                <w:rFonts w:ascii="Calibri"/>
                <w:sz w:val="22"/>
              </w:rPr>
            </w:pPr>
            <w:r>
              <w:rPr>
                <w:rFonts w:ascii="Calibri"/>
                <w:sz w:val="22"/>
              </w:rPr>
              <w:t>2014</w:t>
            </w:r>
          </w:p>
        </w:tc>
      </w:tr>
      <w:tr>
        <w:trPr>
          <w:trHeight w:val="334" w:hRule="exact"/>
        </w:trPr>
        <w:tc>
          <w:tcPr>
            <w:tcW w:w="1241" w:type="dxa"/>
            <w:vMerge/>
          </w:tcPr>
          <w:p>
            <w:pPr/>
          </w:p>
        </w:tc>
        <w:tc>
          <w:tcPr>
            <w:tcW w:w="1082" w:type="dxa"/>
            <w:vMerge/>
          </w:tcPr>
          <w:p>
            <w:pPr/>
          </w:p>
        </w:tc>
        <w:tc>
          <w:tcPr>
            <w:tcW w:w="1380" w:type="dxa"/>
            <w:vMerge/>
          </w:tcPr>
          <w:p>
            <w:pPr/>
          </w:p>
        </w:tc>
        <w:tc>
          <w:tcPr>
            <w:tcW w:w="1457" w:type="dxa"/>
          </w:tcPr>
          <w:p>
            <w:pPr>
              <w:pStyle w:val="TableParagraph"/>
              <w:spacing w:before="45"/>
              <w:ind w:left="59"/>
              <w:rPr>
                <w:rFonts w:ascii="Calibri"/>
                <w:sz w:val="22"/>
              </w:rPr>
            </w:pPr>
            <w:r>
              <w:rPr>
                <w:rFonts w:ascii="Calibri"/>
                <w:sz w:val="22"/>
              </w:rPr>
              <w:t>No quemados</w:t>
            </w:r>
          </w:p>
        </w:tc>
        <w:tc>
          <w:tcPr>
            <w:tcW w:w="1143" w:type="dxa"/>
          </w:tcPr>
          <w:p>
            <w:pPr>
              <w:pStyle w:val="TableParagraph"/>
              <w:spacing w:before="45"/>
              <w:ind w:right="87"/>
              <w:jc w:val="right"/>
              <w:rPr>
                <w:rFonts w:ascii="Calibri"/>
                <w:sz w:val="22"/>
              </w:rPr>
            </w:pPr>
            <w:r>
              <w:rPr>
                <w:rFonts w:ascii="Calibri"/>
                <w:sz w:val="22"/>
              </w:rPr>
              <w:t>Quemados</w:t>
            </w:r>
          </w:p>
        </w:tc>
      </w:tr>
      <w:tr>
        <w:trPr>
          <w:trHeight w:val="317" w:hRule="exact"/>
        </w:trPr>
        <w:tc>
          <w:tcPr>
            <w:tcW w:w="1241" w:type="dxa"/>
            <w:tcBorders>
              <w:bottom w:val="single" w:sz="4" w:space="0" w:color="000000"/>
              <w:right w:val="single" w:sz="4" w:space="0" w:color="000000"/>
            </w:tcBorders>
          </w:tcPr>
          <w:p>
            <w:pPr>
              <w:pStyle w:val="TableParagraph"/>
              <w:spacing w:before="30"/>
              <w:ind w:right="4"/>
              <w:jc w:val="center"/>
              <w:rPr>
                <w:rFonts w:ascii="Calibri"/>
                <w:sz w:val="22"/>
              </w:rPr>
            </w:pPr>
            <w:r>
              <w:rPr>
                <w:rFonts w:ascii="Calibri"/>
                <w:w w:val="100"/>
                <w:sz w:val="22"/>
              </w:rPr>
              <w:t>1</w:t>
            </w:r>
          </w:p>
        </w:tc>
        <w:tc>
          <w:tcPr>
            <w:tcW w:w="1082" w:type="dxa"/>
            <w:tcBorders>
              <w:left w:val="single" w:sz="4" w:space="0" w:color="000000"/>
              <w:bottom w:val="single" w:sz="4" w:space="0" w:color="000000"/>
              <w:right w:val="single" w:sz="4" w:space="0" w:color="000000"/>
            </w:tcBorders>
          </w:tcPr>
          <w:p>
            <w:pPr>
              <w:pStyle w:val="TableParagraph"/>
              <w:spacing w:before="30"/>
              <w:ind w:left="64"/>
              <w:rPr>
                <w:rFonts w:ascii="Calibri"/>
                <w:sz w:val="22"/>
              </w:rPr>
            </w:pPr>
            <w:r>
              <w:rPr>
                <w:rFonts w:ascii="Calibri"/>
                <w:sz w:val="22"/>
              </w:rPr>
              <w:t>Muy bajo</w:t>
            </w:r>
          </w:p>
        </w:tc>
        <w:tc>
          <w:tcPr>
            <w:tcW w:w="1380" w:type="dxa"/>
            <w:tcBorders>
              <w:left w:val="single" w:sz="4" w:space="0" w:color="000000"/>
              <w:bottom w:val="single" w:sz="4" w:space="0" w:color="000000"/>
              <w:right w:val="single" w:sz="4" w:space="0" w:color="000000"/>
            </w:tcBorders>
          </w:tcPr>
          <w:p>
            <w:pPr>
              <w:pStyle w:val="TableParagraph"/>
              <w:spacing w:before="30"/>
              <w:ind w:right="61"/>
              <w:jc w:val="right"/>
              <w:rPr>
                <w:rFonts w:ascii="Calibri"/>
                <w:sz w:val="22"/>
              </w:rPr>
            </w:pPr>
            <w:r>
              <w:rPr>
                <w:rFonts w:ascii="Calibri"/>
                <w:sz w:val="22"/>
              </w:rPr>
              <w:t>135</w:t>
            </w:r>
          </w:p>
        </w:tc>
        <w:tc>
          <w:tcPr>
            <w:tcW w:w="1457" w:type="dxa"/>
            <w:tcBorders>
              <w:left w:val="single" w:sz="4" w:space="0" w:color="000000"/>
              <w:bottom w:val="single" w:sz="4" w:space="0" w:color="000000"/>
              <w:right w:val="single" w:sz="4" w:space="0" w:color="000000"/>
            </w:tcBorders>
          </w:tcPr>
          <w:p>
            <w:pPr>
              <w:pStyle w:val="TableParagraph"/>
              <w:spacing w:before="30"/>
              <w:ind w:right="61"/>
              <w:jc w:val="right"/>
              <w:rPr>
                <w:rFonts w:ascii="Calibri"/>
                <w:sz w:val="22"/>
              </w:rPr>
            </w:pPr>
            <w:r>
              <w:rPr>
                <w:rFonts w:ascii="Calibri"/>
                <w:sz w:val="22"/>
              </w:rPr>
              <w:t>119</w:t>
            </w:r>
          </w:p>
        </w:tc>
        <w:tc>
          <w:tcPr>
            <w:tcW w:w="1143" w:type="dxa"/>
            <w:tcBorders>
              <w:left w:val="single" w:sz="4" w:space="0" w:color="000000"/>
              <w:bottom w:val="single" w:sz="4" w:space="0" w:color="000000"/>
            </w:tcBorders>
          </w:tcPr>
          <w:p>
            <w:pPr>
              <w:pStyle w:val="TableParagraph"/>
              <w:spacing w:before="30"/>
              <w:ind w:right="55"/>
              <w:jc w:val="right"/>
              <w:rPr>
                <w:rFonts w:ascii="Calibri"/>
                <w:sz w:val="22"/>
              </w:rPr>
            </w:pPr>
            <w:r>
              <w:rPr>
                <w:rFonts w:ascii="Calibri"/>
                <w:sz w:val="22"/>
              </w:rPr>
              <w:t>16</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2</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Bajo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447</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298</w:t>
            </w:r>
          </w:p>
        </w:tc>
        <w:tc>
          <w:tcPr>
            <w:tcW w:w="1143" w:type="dxa"/>
            <w:tcBorders>
              <w:top w:val="single" w:sz="4" w:space="0" w:color="000000"/>
              <w:left w:val="single" w:sz="4" w:space="0" w:color="000000"/>
              <w:bottom w:val="single" w:sz="4" w:space="0" w:color="000000"/>
            </w:tcBorders>
          </w:tcPr>
          <w:p>
            <w:pPr>
              <w:pStyle w:val="TableParagraph"/>
              <w:spacing w:before="28"/>
              <w:ind w:right="56"/>
              <w:jc w:val="right"/>
              <w:rPr>
                <w:rFonts w:ascii="Calibri"/>
                <w:sz w:val="22"/>
              </w:rPr>
            </w:pPr>
            <w:r>
              <w:rPr>
                <w:rFonts w:ascii="Calibri"/>
                <w:sz w:val="22"/>
              </w:rPr>
              <w:t>149</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3</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Moderado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244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169</w:t>
            </w:r>
          </w:p>
        </w:tc>
        <w:tc>
          <w:tcPr>
            <w:tcW w:w="1143" w:type="dxa"/>
            <w:tcBorders>
              <w:top w:val="single" w:sz="4" w:space="0" w:color="000000"/>
              <w:left w:val="single" w:sz="4" w:space="0" w:color="000000"/>
              <w:bottom w:val="single" w:sz="4" w:space="0" w:color="000000"/>
            </w:tcBorders>
          </w:tcPr>
          <w:p>
            <w:pPr>
              <w:pStyle w:val="TableParagraph"/>
              <w:spacing w:before="28"/>
              <w:ind w:right="55"/>
              <w:jc w:val="right"/>
              <w:rPr>
                <w:rFonts w:ascii="Calibri"/>
                <w:sz w:val="22"/>
              </w:rPr>
            </w:pPr>
            <w:r>
              <w:rPr>
                <w:rFonts w:ascii="Calibri"/>
                <w:sz w:val="22"/>
              </w:rPr>
              <w:t>75</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28"/>
              <w:ind w:right="4"/>
              <w:jc w:val="center"/>
              <w:rPr>
                <w:rFonts w:ascii="Calibri"/>
                <w:sz w:val="22"/>
              </w:rPr>
            </w:pPr>
            <w:r>
              <w:rPr>
                <w:rFonts w:ascii="Calibri"/>
                <w:w w:val="100"/>
                <w:sz w:val="22"/>
              </w:rPr>
              <w:t>4</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Alto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54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sz w:val="22"/>
              </w:rPr>
            </w:pPr>
            <w:r>
              <w:rPr>
                <w:rFonts w:ascii="Calibri"/>
                <w:sz w:val="22"/>
              </w:rPr>
              <w:t>35</w:t>
            </w:r>
          </w:p>
        </w:tc>
        <w:tc>
          <w:tcPr>
            <w:tcW w:w="1143" w:type="dxa"/>
            <w:tcBorders>
              <w:top w:val="single" w:sz="4" w:space="0" w:color="000000"/>
              <w:left w:val="single" w:sz="4" w:space="0" w:color="000000"/>
              <w:bottom w:val="single" w:sz="4" w:space="0" w:color="000000"/>
            </w:tcBorders>
          </w:tcPr>
          <w:p>
            <w:pPr>
              <w:pStyle w:val="TableParagraph"/>
              <w:spacing w:before="28"/>
              <w:ind w:right="55"/>
              <w:jc w:val="right"/>
              <w:rPr>
                <w:rFonts w:ascii="Calibri"/>
                <w:sz w:val="22"/>
              </w:rPr>
            </w:pPr>
            <w:r>
              <w:rPr>
                <w:rFonts w:ascii="Calibri"/>
                <w:sz w:val="22"/>
              </w:rPr>
              <w:t>19</w:t>
            </w:r>
          </w:p>
        </w:tc>
      </w:tr>
      <w:tr>
        <w:trPr>
          <w:trHeight w:val="310" w:hRule="exact"/>
        </w:trPr>
        <w:tc>
          <w:tcPr>
            <w:tcW w:w="1241" w:type="dxa"/>
            <w:tcBorders>
              <w:top w:val="single" w:sz="4" w:space="0" w:color="000000"/>
              <w:bottom w:val="single" w:sz="4" w:space="0" w:color="000000"/>
              <w:right w:val="single" w:sz="4" w:space="0" w:color="000000"/>
            </w:tcBorders>
          </w:tcPr>
          <w:p>
            <w:pPr>
              <w:pStyle w:val="TableParagraph"/>
              <w:spacing w:before="30"/>
              <w:ind w:right="4"/>
              <w:jc w:val="center"/>
              <w:rPr>
                <w:rFonts w:ascii="Calibri"/>
                <w:sz w:val="22"/>
              </w:rPr>
            </w:pPr>
            <w:r>
              <w:rPr>
                <w:rFonts w:ascii="Calibri"/>
                <w:w w:val="100"/>
                <w:sz w:val="22"/>
              </w:rPr>
              <w:t>5</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rFonts w:ascii="Calibri"/>
                <w:sz w:val="22"/>
              </w:rPr>
            </w:pPr>
            <w:r>
              <w:rPr>
                <w:rFonts w:ascii="Calibri"/>
                <w:sz w:val="22"/>
              </w:rPr>
              <w:t>Grave</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30"/>
              <w:ind w:right="61"/>
              <w:jc w:val="right"/>
              <w:rPr>
                <w:rFonts w:ascii="Calibri"/>
                <w:sz w:val="22"/>
              </w:rPr>
            </w:pPr>
            <w:r>
              <w:rPr>
                <w:rFonts w:ascii="Calibri"/>
                <w:sz w:val="22"/>
              </w:rPr>
              <w:t>111</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35</w:t>
            </w:r>
          </w:p>
        </w:tc>
        <w:tc>
          <w:tcPr>
            <w:tcW w:w="1143" w:type="dxa"/>
            <w:tcBorders>
              <w:top w:val="single" w:sz="4" w:space="0" w:color="000000"/>
              <w:left w:val="single" w:sz="4" w:space="0" w:color="000000"/>
              <w:bottom w:val="single" w:sz="4" w:space="0" w:color="000000"/>
            </w:tcBorders>
          </w:tcPr>
          <w:p>
            <w:pPr>
              <w:pStyle w:val="TableParagraph"/>
              <w:spacing w:before="30"/>
              <w:ind w:right="55"/>
              <w:jc w:val="right"/>
              <w:rPr>
                <w:rFonts w:ascii="Calibri"/>
                <w:sz w:val="22"/>
              </w:rPr>
            </w:pPr>
            <w:r>
              <w:rPr>
                <w:rFonts w:ascii="Calibri"/>
                <w:sz w:val="22"/>
              </w:rPr>
              <w:t>76</w:t>
            </w:r>
          </w:p>
        </w:tc>
      </w:tr>
      <w:tr>
        <w:trPr>
          <w:trHeight w:val="312" w:hRule="exact"/>
        </w:trPr>
        <w:tc>
          <w:tcPr>
            <w:tcW w:w="1241" w:type="dxa"/>
            <w:tcBorders>
              <w:top w:val="single" w:sz="4" w:space="0" w:color="000000"/>
              <w:bottom w:val="single" w:sz="4" w:space="0" w:color="000000"/>
              <w:right w:val="single" w:sz="4" w:space="0" w:color="000000"/>
            </w:tcBorders>
          </w:tcPr>
          <w:p>
            <w:pPr>
              <w:pStyle w:val="TableParagraph"/>
              <w:spacing w:before="30"/>
              <w:ind w:right="4"/>
              <w:jc w:val="center"/>
              <w:rPr>
                <w:rFonts w:ascii="Calibri"/>
                <w:sz w:val="22"/>
              </w:rPr>
            </w:pPr>
            <w:r>
              <w:rPr>
                <w:rFonts w:ascii="Calibri"/>
                <w:w w:val="100"/>
                <w:sz w:val="22"/>
              </w:rPr>
              <w:t>6</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rFonts w:ascii="Calibri"/>
                <w:sz w:val="22"/>
              </w:rPr>
            </w:pPr>
            <w:r>
              <w:rPr>
                <w:rFonts w:ascii="Calibri"/>
                <w:sz w:val="22"/>
              </w:rPr>
              <w:t>Extremo</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54</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30"/>
              <w:ind w:right="60"/>
              <w:jc w:val="right"/>
              <w:rPr>
                <w:rFonts w:ascii="Calibri"/>
                <w:sz w:val="22"/>
              </w:rPr>
            </w:pPr>
            <w:r>
              <w:rPr>
                <w:rFonts w:ascii="Calibri"/>
                <w:sz w:val="22"/>
              </w:rPr>
              <w:t>15</w:t>
            </w:r>
          </w:p>
        </w:tc>
        <w:tc>
          <w:tcPr>
            <w:tcW w:w="1143" w:type="dxa"/>
            <w:tcBorders>
              <w:top w:val="single" w:sz="4" w:space="0" w:color="000000"/>
              <w:left w:val="single" w:sz="4" w:space="0" w:color="000000"/>
              <w:bottom w:val="single" w:sz="4" w:space="0" w:color="000000"/>
            </w:tcBorders>
          </w:tcPr>
          <w:p>
            <w:pPr>
              <w:pStyle w:val="TableParagraph"/>
              <w:spacing w:before="30"/>
              <w:ind w:right="55"/>
              <w:jc w:val="right"/>
              <w:rPr>
                <w:rFonts w:ascii="Calibri"/>
                <w:sz w:val="22"/>
              </w:rPr>
            </w:pPr>
            <w:r>
              <w:rPr>
                <w:rFonts w:ascii="Calibri"/>
                <w:sz w:val="22"/>
              </w:rPr>
              <w:t>39</w:t>
            </w:r>
          </w:p>
        </w:tc>
      </w:tr>
      <w:tr>
        <w:trPr>
          <w:trHeight w:val="310" w:hRule="exact"/>
        </w:trPr>
        <w:tc>
          <w:tcPr>
            <w:tcW w:w="1241" w:type="dxa"/>
            <w:tcBorders>
              <w:top w:val="single" w:sz="4" w:space="0" w:color="000000"/>
              <w:bottom w:val="single" w:sz="4" w:space="0" w:color="000000"/>
              <w:right w:val="single" w:sz="4" w:space="0" w:color="000000"/>
            </w:tcBorders>
          </w:tcPr>
          <w:p>
            <w:pP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28"/>
              <w:ind w:left="64"/>
              <w:rPr>
                <w:rFonts w:ascii="Calibri"/>
                <w:sz w:val="22"/>
              </w:rPr>
            </w:pPr>
            <w:r>
              <w:rPr>
                <w:rFonts w:ascii="Calibri"/>
                <w:sz w:val="22"/>
              </w:rPr>
              <w:t>Total</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28"/>
              <w:ind w:right="62"/>
              <w:jc w:val="right"/>
              <w:rPr>
                <w:rFonts w:ascii="Calibri"/>
                <w:sz w:val="22"/>
              </w:rPr>
            </w:pPr>
            <w:r>
              <w:rPr>
                <w:rFonts w:ascii="Calibri"/>
                <w:sz w:val="22"/>
              </w:rPr>
              <w:t>1045</w:t>
            </w:r>
          </w:p>
        </w:tc>
        <w:tc>
          <w:tcPr>
            <w:tcW w:w="1457"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sz w:val="22"/>
              </w:rPr>
              <w:t>671</w:t>
            </w:r>
          </w:p>
        </w:tc>
        <w:tc>
          <w:tcPr>
            <w:tcW w:w="1143" w:type="dxa"/>
            <w:tcBorders>
              <w:top w:val="single" w:sz="4" w:space="0" w:color="000000"/>
              <w:left w:val="single" w:sz="4" w:space="0" w:color="000000"/>
              <w:bottom w:val="single" w:sz="4" w:space="0" w:color="000000"/>
            </w:tcBorders>
          </w:tcPr>
          <w:p>
            <w:pPr>
              <w:pStyle w:val="TableParagraph"/>
              <w:spacing w:before="28"/>
              <w:ind w:right="56"/>
              <w:jc w:val="right"/>
              <w:rPr>
                <w:rFonts w:ascii="Calibri"/>
                <w:sz w:val="22"/>
              </w:rPr>
            </w:pPr>
            <w:r>
              <w:rPr>
                <w:rFonts w:ascii="Calibri"/>
                <w:sz w:val="22"/>
              </w:rPr>
              <w:t>374</w:t>
            </w:r>
          </w:p>
        </w:tc>
      </w:tr>
      <w:tr>
        <w:trPr>
          <w:trHeight w:val="331" w:hRule="exact"/>
        </w:trPr>
        <w:tc>
          <w:tcPr>
            <w:tcW w:w="1241" w:type="dxa"/>
            <w:tcBorders>
              <w:top w:val="single" w:sz="4" w:space="0" w:color="000000"/>
              <w:right w:val="single" w:sz="4" w:space="0" w:color="000000"/>
            </w:tcBorders>
          </w:tcPr>
          <w:p>
            <w:pPr/>
          </w:p>
        </w:tc>
        <w:tc>
          <w:tcPr>
            <w:tcW w:w="1082" w:type="dxa"/>
            <w:tcBorders>
              <w:top w:val="single" w:sz="4" w:space="0" w:color="000000"/>
              <w:left w:val="single" w:sz="4" w:space="0" w:color="000000"/>
              <w:right w:val="single" w:sz="4" w:space="0" w:color="000000"/>
            </w:tcBorders>
          </w:tcPr>
          <w:p>
            <w:pPr>
              <w:pStyle w:val="TableParagraph"/>
              <w:spacing w:before="42"/>
              <w:ind w:left="64"/>
              <w:rPr>
                <w:rFonts w:ascii="Calibri"/>
                <w:sz w:val="22"/>
              </w:rPr>
            </w:pPr>
            <w:r>
              <w:rPr>
                <w:rFonts w:ascii="Calibri"/>
                <w:sz w:val="22"/>
              </w:rPr>
              <w:t>Total</w:t>
            </w:r>
          </w:p>
        </w:tc>
        <w:tc>
          <w:tcPr>
            <w:tcW w:w="1380" w:type="dxa"/>
            <w:tcBorders>
              <w:top w:val="single" w:sz="4" w:space="0" w:color="000000"/>
              <w:left w:val="single" w:sz="4" w:space="0" w:color="000000"/>
              <w:right w:val="single" w:sz="4" w:space="0" w:color="000000"/>
            </w:tcBorders>
          </w:tcPr>
          <w:p>
            <w:pPr/>
          </w:p>
        </w:tc>
        <w:tc>
          <w:tcPr>
            <w:tcW w:w="2600" w:type="dxa"/>
            <w:gridSpan w:val="2"/>
            <w:tcBorders>
              <w:top w:val="single" w:sz="4" w:space="0" w:color="000000"/>
              <w:left w:val="single" w:sz="4" w:space="0" w:color="000000"/>
            </w:tcBorders>
          </w:tcPr>
          <w:p>
            <w:pPr>
              <w:pStyle w:val="TableParagraph"/>
              <w:spacing w:before="42"/>
              <w:ind w:left="1050" w:right="1048"/>
              <w:jc w:val="center"/>
              <w:rPr>
                <w:rFonts w:ascii="Calibri"/>
                <w:sz w:val="22"/>
              </w:rPr>
            </w:pPr>
            <w:r>
              <w:rPr>
                <w:rFonts w:ascii="Calibri"/>
                <w:sz w:val="22"/>
              </w:rPr>
              <w:t>1045</w:t>
            </w:r>
          </w:p>
        </w:tc>
      </w:tr>
    </w:tbl>
    <w:p>
      <w:pPr>
        <w:pStyle w:val="BodyText"/>
        <w:rPr>
          <w:sz w:val="20"/>
        </w:rPr>
      </w:pPr>
    </w:p>
    <w:p>
      <w:pPr>
        <w:pStyle w:val="BodyText"/>
        <w:spacing w:before="6"/>
        <w:rPr>
          <w:sz w:val="21"/>
        </w:rPr>
      </w:pPr>
    </w:p>
    <w:p>
      <w:pPr>
        <w:pStyle w:val="BodyText"/>
        <w:spacing w:line="360" w:lineRule="auto" w:before="70"/>
        <w:ind w:left="102" w:right="116"/>
        <w:jc w:val="both"/>
      </w:pPr>
      <w:r>
        <w:rPr/>
        <w:t>En la figura 31, se aprecia que el número de cuadrantes no quemados de las categorías de riesgo muy bajo, bajo, moderado y alto es mayor que el número de cuadrantes quemados. Sin embargo, en las categorías grave y extremo, el número de cuadrantes quemados es mayor que el número de cuadrantes no quemados. Este patrón es el mismo que en el caso del año 2011.</w:t>
      </w:r>
    </w:p>
    <w:p>
      <w:pPr>
        <w:spacing w:after="0" w:line="360" w:lineRule="auto"/>
        <w:jc w:val="both"/>
        <w:sectPr>
          <w:pgSz w:w="12240" w:h="15840"/>
          <w:pgMar w:header="0" w:footer="1003" w:top="1360" w:bottom="1200" w:left="1600" w:right="1580"/>
        </w:sectPr>
      </w:pPr>
    </w:p>
    <w:p>
      <w:pPr>
        <w:pStyle w:val="BodyText"/>
        <w:spacing w:line="360" w:lineRule="auto" w:before="54" w:after="5"/>
        <w:ind w:left="102" w:right="125"/>
        <w:jc w:val="both"/>
      </w:pPr>
      <w:r>
        <w:rPr/>
        <w:t>Figura 31. Gráfico de cuadrantes quemados y no quemados por categoría de riesgo del año 2014.</w:t>
      </w:r>
    </w:p>
    <w:p>
      <w:pPr>
        <w:pStyle w:val="BodyText"/>
        <w:ind w:left="1327"/>
        <w:rPr>
          <w:sz w:val="20"/>
        </w:rPr>
      </w:pPr>
      <w:r>
        <w:rPr>
          <w:sz w:val="20"/>
        </w:rPr>
        <w:drawing>
          <wp:inline distT="0" distB="0" distL="0" distR="0">
            <wp:extent cx="4032615" cy="3194113"/>
            <wp:effectExtent l="0" t="0" r="0" b="0"/>
            <wp:docPr id="51" name="image38.png" descr=""/>
            <wp:cNvGraphicFramePr>
              <a:graphicFrameLocks noChangeAspect="1"/>
            </wp:cNvGraphicFramePr>
            <a:graphic>
              <a:graphicData uri="http://schemas.openxmlformats.org/drawingml/2006/picture">
                <pic:pic>
                  <pic:nvPicPr>
                    <pic:cNvPr id="52" name="image38.png"/>
                    <pic:cNvPicPr/>
                  </pic:nvPicPr>
                  <pic:blipFill>
                    <a:blip r:embed="rId69" cstate="print"/>
                    <a:stretch>
                      <a:fillRect/>
                    </a:stretch>
                  </pic:blipFill>
                  <pic:spPr>
                    <a:xfrm>
                      <a:off x="0" y="0"/>
                      <a:ext cx="4032615" cy="3194113"/>
                    </a:xfrm>
                    <a:prstGeom prst="rect">
                      <a:avLst/>
                    </a:prstGeom>
                  </pic:spPr>
                </pic:pic>
              </a:graphicData>
            </a:graphic>
          </wp:inline>
        </w:drawing>
      </w:r>
      <w:r>
        <w:rPr>
          <w:sz w:val="20"/>
        </w:rPr>
      </w:r>
    </w:p>
    <w:p>
      <w:pPr>
        <w:pStyle w:val="BodyText"/>
      </w:pPr>
    </w:p>
    <w:p>
      <w:pPr>
        <w:pStyle w:val="BodyText"/>
        <w:spacing w:before="3"/>
        <w:rPr>
          <w:sz w:val="26"/>
        </w:rPr>
      </w:pPr>
    </w:p>
    <w:p>
      <w:pPr>
        <w:pStyle w:val="BodyText"/>
        <w:spacing w:line="360" w:lineRule="auto"/>
        <w:ind w:left="102" w:right="123"/>
        <w:jc w:val="both"/>
      </w:pPr>
      <w:r>
        <w:rPr/>
        <w:t>En el cuadro 21, se observa que la mayor superficie quemada se encuentra en la categoría de riesgo bajo, mientras que la menor superficie se encuentra en la categoría de riesgo muy bajo. Las categorías de riesgo alta, grave y extremo tienen una suma total de superficie quemada de 1,544.75</w:t>
      </w:r>
      <w:r>
        <w:rPr>
          <w:spacing w:val="-26"/>
        </w:rPr>
        <w:t> </w:t>
      </w:r>
      <w:r>
        <w:rPr/>
        <w:t>has.</w:t>
      </w:r>
    </w:p>
    <w:p>
      <w:pPr>
        <w:pStyle w:val="BodyText"/>
        <w:spacing w:before="5"/>
      </w:pPr>
    </w:p>
    <w:p>
      <w:pPr>
        <w:pStyle w:val="BodyText"/>
        <w:ind w:left="102"/>
        <w:jc w:val="both"/>
      </w:pPr>
      <w:r>
        <w:rPr/>
        <w:t>Cuadro 21. Superficie quemada por categoría de riesgo del año 2014.</w:t>
      </w:r>
    </w:p>
    <w:p>
      <w:pPr>
        <w:pStyle w:val="BodyText"/>
        <w:spacing w:before="7"/>
        <w:rPr>
          <w:sz w:val="11"/>
        </w:rPr>
      </w:pPr>
    </w:p>
    <w:tbl>
      <w:tblPr>
        <w:tblW w:w="0" w:type="auto"/>
        <w:jc w:val="left"/>
        <w:tblInd w:w="2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
        <w:gridCol w:w="1082"/>
        <w:gridCol w:w="1200"/>
        <w:gridCol w:w="1200"/>
      </w:tblGrid>
      <w:tr>
        <w:trPr>
          <w:trHeight w:val="1236" w:hRule="exact"/>
        </w:trPr>
        <w:tc>
          <w:tcPr>
            <w:tcW w:w="1006" w:type="dxa"/>
          </w:tcPr>
          <w:p>
            <w:pPr>
              <w:pStyle w:val="TableParagraph"/>
              <w:spacing w:before="0"/>
              <w:rPr>
                <w:sz w:val="22"/>
              </w:rPr>
            </w:pPr>
          </w:p>
          <w:p>
            <w:pPr>
              <w:pStyle w:val="TableParagraph"/>
              <w:spacing w:before="10"/>
              <w:rPr>
                <w:sz w:val="19"/>
              </w:rPr>
            </w:pPr>
          </w:p>
          <w:p>
            <w:pPr>
              <w:pStyle w:val="TableParagraph"/>
              <w:spacing w:before="0"/>
              <w:ind w:left="46" w:right="46"/>
              <w:jc w:val="center"/>
              <w:rPr>
                <w:rFonts w:ascii="Calibri"/>
                <w:b/>
                <w:sz w:val="22"/>
              </w:rPr>
            </w:pPr>
            <w:r>
              <w:rPr>
                <w:rFonts w:ascii="Calibri"/>
                <w:b/>
                <w:sz w:val="22"/>
              </w:rPr>
              <w:t>Indicador</w:t>
            </w:r>
          </w:p>
        </w:tc>
        <w:tc>
          <w:tcPr>
            <w:tcW w:w="1082" w:type="dxa"/>
          </w:tcPr>
          <w:p>
            <w:pPr>
              <w:pStyle w:val="TableParagraph"/>
              <w:spacing w:before="0"/>
              <w:rPr>
                <w:sz w:val="22"/>
              </w:rPr>
            </w:pPr>
          </w:p>
          <w:p>
            <w:pPr>
              <w:pStyle w:val="TableParagraph"/>
              <w:spacing w:before="10"/>
              <w:rPr>
                <w:sz w:val="19"/>
              </w:rPr>
            </w:pPr>
          </w:p>
          <w:p>
            <w:pPr>
              <w:pStyle w:val="TableParagraph"/>
              <w:spacing w:before="0"/>
              <w:ind w:left="64"/>
              <w:rPr>
                <w:rFonts w:ascii="Calibri" w:hAnsi="Calibri"/>
                <w:b/>
                <w:sz w:val="22"/>
              </w:rPr>
            </w:pPr>
            <w:r>
              <w:rPr>
                <w:rFonts w:ascii="Calibri" w:hAnsi="Calibri"/>
                <w:b/>
                <w:sz w:val="22"/>
              </w:rPr>
              <w:t>Categoría</w:t>
            </w:r>
          </w:p>
        </w:tc>
        <w:tc>
          <w:tcPr>
            <w:tcW w:w="1200" w:type="dxa"/>
            <w:tcBorders>
              <w:top w:val="single" w:sz="8" w:space="0" w:color="000000"/>
              <w:bottom w:val="single" w:sz="8" w:space="0" w:color="000000"/>
              <w:right w:val="single" w:sz="8" w:space="0" w:color="000000"/>
            </w:tcBorders>
          </w:tcPr>
          <w:p>
            <w:pPr>
              <w:pStyle w:val="TableParagraph"/>
              <w:spacing w:before="9"/>
              <w:rPr>
                <w:sz w:val="29"/>
              </w:rPr>
            </w:pPr>
          </w:p>
          <w:p>
            <w:pPr>
              <w:pStyle w:val="TableParagraph"/>
              <w:spacing w:before="0"/>
              <w:ind w:left="86" w:right="60" w:hanging="8"/>
              <w:rPr>
                <w:rFonts w:ascii="Calibri" w:hAnsi="Calibri"/>
                <w:b/>
                <w:sz w:val="22"/>
              </w:rPr>
            </w:pPr>
            <w:r>
              <w:rPr>
                <w:rFonts w:ascii="Calibri" w:hAnsi="Calibri"/>
                <w:b/>
                <w:sz w:val="22"/>
              </w:rPr>
              <w:t>Número de cuadrantes</w:t>
            </w:r>
          </w:p>
        </w:tc>
        <w:tc>
          <w:tcPr>
            <w:tcW w:w="1200" w:type="dxa"/>
            <w:tcBorders>
              <w:top w:val="single" w:sz="8" w:space="0" w:color="000000"/>
              <w:left w:val="single" w:sz="8" w:space="0" w:color="000000"/>
              <w:bottom w:val="single" w:sz="8" w:space="0" w:color="000000"/>
              <w:right w:val="single" w:sz="8" w:space="0" w:color="000000"/>
            </w:tcBorders>
          </w:tcPr>
          <w:p>
            <w:pPr>
              <w:pStyle w:val="TableParagraph"/>
              <w:spacing w:before="143"/>
              <w:ind w:left="134" w:right="132"/>
              <w:jc w:val="center"/>
              <w:rPr>
                <w:rFonts w:ascii="Calibri" w:hAnsi="Calibri"/>
                <w:b/>
                <w:sz w:val="22"/>
              </w:rPr>
            </w:pPr>
            <w:r>
              <w:rPr>
                <w:rFonts w:ascii="Calibri" w:hAnsi="Calibri"/>
                <w:b/>
                <w:sz w:val="22"/>
              </w:rPr>
              <w:t>Superficie quemada del año 2014</w:t>
            </w:r>
          </w:p>
        </w:tc>
      </w:tr>
      <w:tr>
        <w:trPr>
          <w:trHeight w:val="320" w:hRule="exact"/>
        </w:trPr>
        <w:tc>
          <w:tcPr>
            <w:tcW w:w="1006" w:type="dxa"/>
            <w:tcBorders>
              <w:left w:val="single" w:sz="8" w:space="0" w:color="000000"/>
            </w:tcBorders>
          </w:tcPr>
          <w:p>
            <w:pPr>
              <w:pStyle w:val="TableParagraph"/>
              <w:spacing w:before="38"/>
              <w:ind w:right="3"/>
              <w:jc w:val="center"/>
              <w:rPr>
                <w:rFonts w:ascii="Calibri"/>
                <w:sz w:val="22"/>
              </w:rPr>
            </w:pPr>
            <w:r>
              <w:rPr>
                <w:rFonts w:ascii="Calibri"/>
                <w:w w:val="100"/>
                <w:sz w:val="22"/>
              </w:rPr>
              <w:t>1</w:t>
            </w:r>
          </w:p>
        </w:tc>
        <w:tc>
          <w:tcPr>
            <w:tcW w:w="1082" w:type="dxa"/>
          </w:tcPr>
          <w:p>
            <w:pPr>
              <w:pStyle w:val="TableParagraph"/>
              <w:spacing w:before="38"/>
              <w:ind w:left="64"/>
              <w:rPr>
                <w:rFonts w:ascii="Calibri"/>
                <w:sz w:val="22"/>
              </w:rPr>
            </w:pPr>
            <w:r>
              <w:rPr>
                <w:rFonts w:ascii="Calibri"/>
                <w:sz w:val="22"/>
              </w:rPr>
              <w:t>Muy bajo</w:t>
            </w:r>
          </w:p>
        </w:tc>
        <w:tc>
          <w:tcPr>
            <w:tcW w:w="1200" w:type="dxa"/>
            <w:tcBorders>
              <w:top w:val="single" w:sz="8" w:space="0" w:color="000000"/>
            </w:tcBorders>
          </w:tcPr>
          <w:p>
            <w:pPr>
              <w:pStyle w:val="TableParagraph"/>
              <w:spacing w:before="33"/>
              <w:ind w:right="61"/>
              <w:jc w:val="right"/>
              <w:rPr>
                <w:rFonts w:ascii="Calibri"/>
                <w:sz w:val="22"/>
              </w:rPr>
            </w:pPr>
            <w:r>
              <w:rPr>
                <w:rFonts w:ascii="Calibri"/>
                <w:sz w:val="22"/>
              </w:rPr>
              <w:t>135</w:t>
            </w:r>
          </w:p>
        </w:tc>
        <w:tc>
          <w:tcPr>
            <w:tcW w:w="1200" w:type="dxa"/>
            <w:tcBorders>
              <w:top w:val="single" w:sz="8" w:space="0" w:color="000000"/>
              <w:right w:val="single" w:sz="8" w:space="0" w:color="000000"/>
            </w:tcBorders>
          </w:tcPr>
          <w:p>
            <w:pPr>
              <w:pStyle w:val="TableParagraph"/>
              <w:spacing w:before="33"/>
              <w:ind w:right="56"/>
              <w:jc w:val="right"/>
              <w:rPr>
                <w:rFonts w:ascii="Calibri"/>
                <w:sz w:val="22"/>
              </w:rPr>
            </w:pPr>
            <w:r>
              <w:rPr>
                <w:rFonts w:ascii="Calibri"/>
                <w:sz w:val="22"/>
              </w:rPr>
              <w:t>40.24</w:t>
            </w:r>
          </w:p>
        </w:tc>
      </w:tr>
      <w:tr>
        <w:trPr>
          <w:trHeight w:val="310" w:hRule="exact"/>
        </w:trPr>
        <w:tc>
          <w:tcPr>
            <w:tcW w:w="1006" w:type="dxa"/>
            <w:tcBorders>
              <w:left w:val="single" w:sz="8" w:space="0" w:color="000000"/>
            </w:tcBorders>
          </w:tcPr>
          <w:p>
            <w:pPr>
              <w:pStyle w:val="TableParagraph"/>
              <w:spacing w:before="28"/>
              <w:ind w:right="3"/>
              <w:jc w:val="center"/>
              <w:rPr>
                <w:rFonts w:ascii="Calibri"/>
                <w:sz w:val="22"/>
              </w:rPr>
            </w:pPr>
            <w:r>
              <w:rPr>
                <w:rFonts w:ascii="Calibri"/>
                <w:w w:val="100"/>
                <w:sz w:val="22"/>
              </w:rPr>
              <w:t>2</w:t>
            </w:r>
          </w:p>
        </w:tc>
        <w:tc>
          <w:tcPr>
            <w:tcW w:w="1082" w:type="dxa"/>
          </w:tcPr>
          <w:p>
            <w:pPr>
              <w:pStyle w:val="TableParagraph"/>
              <w:spacing w:before="28"/>
              <w:ind w:left="64"/>
              <w:rPr>
                <w:rFonts w:ascii="Calibri"/>
                <w:sz w:val="22"/>
              </w:rPr>
            </w:pPr>
            <w:r>
              <w:rPr>
                <w:rFonts w:ascii="Calibri"/>
                <w:sz w:val="22"/>
              </w:rPr>
              <w:t>Bajo</w:t>
            </w:r>
          </w:p>
        </w:tc>
        <w:tc>
          <w:tcPr>
            <w:tcW w:w="1200" w:type="dxa"/>
          </w:tcPr>
          <w:p>
            <w:pPr>
              <w:pStyle w:val="TableParagraph"/>
              <w:spacing w:before="28"/>
              <w:ind w:right="61"/>
              <w:jc w:val="right"/>
              <w:rPr>
                <w:rFonts w:ascii="Calibri"/>
                <w:sz w:val="22"/>
              </w:rPr>
            </w:pPr>
            <w:r>
              <w:rPr>
                <w:rFonts w:ascii="Calibri"/>
                <w:sz w:val="22"/>
              </w:rPr>
              <w:t>447</w:t>
            </w:r>
          </w:p>
        </w:tc>
        <w:tc>
          <w:tcPr>
            <w:tcW w:w="1200" w:type="dxa"/>
            <w:tcBorders>
              <w:right w:val="single" w:sz="8" w:space="0" w:color="000000"/>
            </w:tcBorders>
          </w:tcPr>
          <w:p>
            <w:pPr>
              <w:pStyle w:val="TableParagraph"/>
              <w:spacing w:before="28"/>
              <w:ind w:right="57"/>
              <w:jc w:val="right"/>
              <w:rPr>
                <w:rFonts w:ascii="Calibri"/>
                <w:sz w:val="22"/>
              </w:rPr>
            </w:pPr>
            <w:r>
              <w:rPr>
                <w:rFonts w:ascii="Calibri"/>
                <w:sz w:val="22"/>
              </w:rPr>
              <w:t>1653.9</w:t>
            </w:r>
          </w:p>
        </w:tc>
      </w:tr>
      <w:tr>
        <w:trPr>
          <w:trHeight w:val="312" w:hRule="exact"/>
        </w:trPr>
        <w:tc>
          <w:tcPr>
            <w:tcW w:w="1006" w:type="dxa"/>
            <w:tcBorders>
              <w:left w:val="single" w:sz="8" w:space="0" w:color="000000"/>
            </w:tcBorders>
          </w:tcPr>
          <w:p>
            <w:pPr>
              <w:pStyle w:val="TableParagraph"/>
              <w:spacing w:before="30"/>
              <w:ind w:right="3"/>
              <w:jc w:val="center"/>
              <w:rPr>
                <w:rFonts w:ascii="Calibri"/>
                <w:sz w:val="22"/>
              </w:rPr>
            </w:pPr>
            <w:r>
              <w:rPr>
                <w:rFonts w:ascii="Calibri"/>
                <w:w w:val="100"/>
                <w:sz w:val="22"/>
              </w:rPr>
              <w:t>3</w:t>
            </w:r>
          </w:p>
        </w:tc>
        <w:tc>
          <w:tcPr>
            <w:tcW w:w="1082" w:type="dxa"/>
          </w:tcPr>
          <w:p>
            <w:pPr>
              <w:pStyle w:val="TableParagraph"/>
              <w:spacing w:before="30"/>
              <w:ind w:left="64"/>
              <w:rPr>
                <w:rFonts w:ascii="Calibri"/>
                <w:sz w:val="22"/>
              </w:rPr>
            </w:pPr>
            <w:r>
              <w:rPr>
                <w:rFonts w:ascii="Calibri"/>
                <w:sz w:val="22"/>
              </w:rPr>
              <w:t>Moderado</w:t>
            </w:r>
          </w:p>
        </w:tc>
        <w:tc>
          <w:tcPr>
            <w:tcW w:w="1200" w:type="dxa"/>
          </w:tcPr>
          <w:p>
            <w:pPr>
              <w:pStyle w:val="TableParagraph"/>
              <w:spacing w:before="30"/>
              <w:ind w:right="61"/>
              <w:jc w:val="right"/>
              <w:rPr>
                <w:rFonts w:ascii="Calibri"/>
                <w:sz w:val="22"/>
              </w:rPr>
            </w:pPr>
            <w:r>
              <w:rPr>
                <w:rFonts w:ascii="Calibri"/>
                <w:sz w:val="22"/>
              </w:rPr>
              <w:t>244</w:t>
            </w:r>
          </w:p>
        </w:tc>
        <w:tc>
          <w:tcPr>
            <w:tcW w:w="1200" w:type="dxa"/>
            <w:tcBorders>
              <w:right w:val="single" w:sz="8" w:space="0" w:color="000000"/>
            </w:tcBorders>
          </w:tcPr>
          <w:p>
            <w:pPr>
              <w:pStyle w:val="TableParagraph"/>
              <w:spacing w:before="30"/>
              <w:ind w:right="56"/>
              <w:jc w:val="right"/>
              <w:rPr>
                <w:rFonts w:ascii="Calibri"/>
                <w:sz w:val="22"/>
              </w:rPr>
            </w:pPr>
            <w:r>
              <w:rPr>
                <w:rFonts w:ascii="Calibri"/>
                <w:sz w:val="22"/>
              </w:rPr>
              <w:t>760.54</w:t>
            </w:r>
          </w:p>
        </w:tc>
      </w:tr>
      <w:tr>
        <w:trPr>
          <w:trHeight w:val="310" w:hRule="exact"/>
        </w:trPr>
        <w:tc>
          <w:tcPr>
            <w:tcW w:w="1006" w:type="dxa"/>
            <w:tcBorders>
              <w:left w:val="single" w:sz="8" w:space="0" w:color="000000"/>
            </w:tcBorders>
          </w:tcPr>
          <w:p>
            <w:pPr>
              <w:pStyle w:val="TableParagraph"/>
              <w:spacing w:before="28"/>
              <w:ind w:right="3"/>
              <w:jc w:val="center"/>
              <w:rPr>
                <w:rFonts w:ascii="Calibri"/>
                <w:sz w:val="22"/>
              </w:rPr>
            </w:pPr>
            <w:r>
              <w:rPr>
                <w:rFonts w:ascii="Calibri"/>
                <w:w w:val="100"/>
                <w:sz w:val="22"/>
              </w:rPr>
              <w:t>4</w:t>
            </w:r>
          </w:p>
        </w:tc>
        <w:tc>
          <w:tcPr>
            <w:tcW w:w="1082" w:type="dxa"/>
          </w:tcPr>
          <w:p>
            <w:pPr>
              <w:pStyle w:val="TableParagraph"/>
              <w:spacing w:before="28"/>
              <w:ind w:left="64"/>
              <w:rPr>
                <w:rFonts w:ascii="Calibri"/>
                <w:sz w:val="22"/>
              </w:rPr>
            </w:pPr>
            <w:r>
              <w:rPr>
                <w:rFonts w:ascii="Calibri"/>
                <w:sz w:val="22"/>
              </w:rPr>
              <w:t>Alto</w:t>
            </w:r>
          </w:p>
        </w:tc>
        <w:tc>
          <w:tcPr>
            <w:tcW w:w="1200" w:type="dxa"/>
          </w:tcPr>
          <w:p>
            <w:pPr>
              <w:pStyle w:val="TableParagraph"/>
              <w:spacing w:before="28"/>
              <w:ind w:right="60"/>
              <w:jc w:val="right"/>
              <w:rPr>
                <w:rFonts w:ascii="Calibri"/>
                <w:sz w:val="22"/>
              </w:rPr>
            </w:pPr>
            <w:r>
              <w:rPr>
                <w:rFonts w:ascii="Calibri"/>
                <w:sz w:val="22"/>
              </w:rPr>
              <w:t>54</w:t>
            </w:r>
          </w:p>
        </w:tc>
        <w:tc>
          <w:tcPr>
            <w:tcW w:w="1200" w:type="dxa"/>
            <w:tcBorders>
              <w:right w:val="single" w:sz="8" w:space="0" w:color="000000"/>
            </w:tcBorders>
          </w:tcPr>
          <w:p>
            <w:pPr>
              <w:pStyle w:val="TableParagraph"/>
              <w:spacing w:before="28"/>
              <w:ind w:right="56"/>
              <w:jc w:val="right"/>
              <w:rPr>
                <w:rFonts w:ascii="Calibri"/>
                <w:sz w:val="22"/>
              </w:rPr>
            </w:pPr>
            <w:r>
              <w:rPr>
                <w:rFonts w:ascii="Calibri"/>
                <w:sz w:val="22"/>
              </w:rPr>
              <w:t>173.03</w:t>
            </w:r>
          </w:p>
        </w:tc>
      </w:tr>
      <w:tr>
        <w:trPr>
          <w:trHeight w:val="310" w:hRule="exact"/>
        </w:trPr>
        <w:tc>
          <w:tcPr>
            <w:tcW w:w="1006" w:type="dxa"/>
            <w:tcBorders>
              <w:left w:val="single" w:sz="8" w:space="0" w:color="000000"/>
            </w:tcBorders>
          </w:tcPr>
          <w:p>
            <w:pPr>
              <w:pStyle w:val="TableParagraph"/>
              <w:spacing w:before="28"/>
              <w:ind w:right="3"/>
              <w:jc w:val="center"/>
              <w:rPr>
                <w:rFonts w:ascii="Calibri"/>
                <w:sz w:val="22"/>
              </w:rPr>
            </w:pPr>
            <w:r>
              <w:rPr>
                <w:rFonts w:ascii="Calibri"/>
                <w:w w:val="100"/>
                <w:sz w:val="22"/>
              </w:rPr>
              <w:t>5</w:t>
            </w:r>
          </w:p>
        </w:tc>
        <w:tc>
          <w:tcPr>
            <w:tcW w:w="1082" w:type="dxa"/>
          </w:tcPr>
          <w:p>
            <w:pPr>
              <w:pStyle w:val="TableParagraph"/>
              <w:spacing w:before="28"/>
              <w:ind w:left="64"/>
              <w:rPr>
                <w:rFonts w:ascii="Calibri"/>
                <w:sz w:val="22"/>
              </w:rPr>
            </w:pPr>
            <w:r>
              <w:rPr>
                <w:rFonts w:ascii="Calibri"/>
                <w:sz w:val="22"/>
              </w:rPr>
              <w:t>Grave</w:t>
            </w:r>
          </w:p>
        </w:tc>
        <w:tc>
          <w:tcPr>
            <w:tcW w:w="1200" w:type="dxa"/>
          </w:tcPr>
          <w:p>
            <w:pPr>
              <w:pStyle w:val="TableParagraph"/>
              <w:spacing w:before="28"/>
              <w:ind w:right="61"/>
              <w:jc w:val="right"/>
              <w:rPr>
                <w:rFonts w:ascii="Calibri"/>
                <w:sz w:val="22"/>
              </w:rPr>
            </w:pPr>
            <w:r>
              <w:rPr>
                <w:rFonts w:ascii="Calibri"/>
                <w:sz w:val="22"/>
              </w:rPr>
              <w:t>111</w:t>
            </w:r>
          </w:p>
        </w:tc>
        <w:tc>
          <w:tcPr>
            <w:tcW w:w="1200" w:type="dxa"/>
            <w:tcBorders>
              <w:right w:val="single" w:sz="8" w:space="0" w:color="000000"/>
            </w:tcBorders>
          </w:tcPr>
          <w:p>
            <w:pPr>
              <w:pStyle w:val="TableParagraph"/>
              <w:spacing w:before="28"/>
              <w:ind w:right="56"/>
              <w:jc w:val="right"/>
              <w:rPr>
                <w:rFonts w:ascii="Calibri"/>
                <w:sz w:val="22"/>
              </w:rPr>
            </w:pPr>
            <w:r>
              <w:rPr>
                <w:rFonts w:ascii="Calibri"/>
                <w:sz w:val="22"/>
              </w:rPr>
              <w:t>878.75</w:t>
            </w:r>
          </w:p>
        </w:tc>
      </w:tr>
      <w:tr>
        <w:trPr>
          <w:trHeight w:val="331" w:hRule="exact"/>
        </w:trPr>
        <w:tc>
          <w:tcPr>
            <w:tcW w:w="1006" w:type="dxa"/>
            <w:tcBorders>
              <w:left w:val="single" w:sz="8" w:space="0" w:color="000000"/>
              <w:bottom w:val="single" w:sz="8" w:space="0" w:color="000000"/>
            </w:tcBorders>
          </w:tcPr>
          <w:p>
            <w:pPr>
              <w:pStyle w:val="TableParagraph"/>
              <w:spacing w:before="42"/>
              <w:ind w:right="3"/>
              <w:jc w:val="center"/>
              <w:rPr>
                <w:rFonts w:ascii="Calibri"/>
                <w:sz w:val="22"/>
              </w:rPr>
            </w:pPr>
            <w:r>
              <w:rPr>
                <w:rFonts w:ascii="Calibri"/>
                <w:w w:val="100"/>
                <w:sz w:val="22"/>
              </w:rPr>
              <w:t>6</w:t>
            </w:r>
          </w:p>
        </w:tc>
        <w:tc>
          <w:tcPr>
            <w:tcW w:w="1082" w:type="dxa"/>
            <w:tcBorders>
              <w:bottom w:val="single" w:sz="8" w:space="0" w:color="000000"/>
            </w:tcBorders>
          </w:tcPr>
          <w:p>
            <w:pPr>
              <w:pStyle w:val="TableParagraph"/>
              <w:spacing w:before="42"/>
              <w:ind w:left="64"/>
              <w:rPr>
                <w:rFonts w:ascii="Calibri"/>
                <w:sz w:val="22"/>
              </w:rPr>
            </w:pPr>
            <w:r>
              <w:rPr>
                <w:rFonts w:ascii="Calibri"/>
                <w:sz w:val="22"/>
              </w:rPr>
              <w:t>Extremo</w:t>
            </w:r>
          </w:p>
        </w:tc>
        <w:tc>
          <w:tcPr>
            <w:tcW w:w="1200" w:type="dxa"/>
            <w:tcBorders>
              <w:bottom w:val="single" w:sz="8" w:space="0" w:color="000000"/>
            </w:tcBorders>
          </w:tcPr>
          <w:p>
            <w:pPr>
              <w:pStyle w:val="TableParagraph"/>
              <w:spacing w:before="42"/>
              <w:ind w:right="60"/>
              <w:jc w:val="right"/>
              <w:rPr>
                <w:rFonts w:ascii="Calibri"/>
                <w:sz w:val="22"/>
              </w:rPr>
            </w:pPr>
            <w:r>
              <w:rPr>
                <w:rFonts w:ascii="Calibri"/>
                <w:sz w:val="22"/>
              </w:rPr>
              <w:t>54</w:t>
            </w:r>
          </w:p>
        </w:tc>
        <w:tc>
          <w:tcPr>
            <w:tcW w:w="1200" w:type="dxa"/>
            <w:tcBorders>
              <w:bottom w:val="single" w:sz="8" w:space="0" w:color="000000"/>
              <w:right w:val="single" w:sz="8" w:space="0" w:color="000000"/>
            </w:tcBorders>
          </w:tcPr>
          <w:p>
            <w:pPr>
              <w:pStyle w:val="TableParagraph"/>
              <w:spacing w:before="42"/>
              <w:ind w:right="56"/>
              <w:jc w:val="right"/>
              <w:rPr>
                <w:rFonts w:ascii="Calibri"/>
                <w:sz w:val="22"/>
              </w:rPr>
            </w:pPr>
            <w:r>
              <w:rPr>
                <w:rFonts w:ascii="Calibri"/>
                <w:sz w:val="22"/>
              </w:rPr>
              <w:t>492.97</w:t>
            </w:r>
          </w:p>
        </w:tc>
      </w:tr>
    </w:tbl>
    <w:p>
      <w:pPr>
        <w:spacing w:after="0"/>
        <w:jc w:val="right"/>
        <w:rPr>
          <w:rFonts w:ascii="Calibri"/>
          <w:sz w:val="22"/>
        </w:rPr>
        <w:sectPr>
          <w:pgSz w:w="12240" w:h="15840"/>
          <w:pgMar w:header="0" w:footer="1003" w:top="1360" w:bottom="1200" w:left="1600" w:right="1580"/>
        </w:sectPr>
      </w:pPr>
    </w:p>
    <w:p>
      <w:pPr>
        <w:pStyle w:val="BodyText"/>
        <w:spacing w:before="54"/>
        <w:ind w:left="102"/>
        <w:jc w:val="both"/>
      </w:pPr>
      <w:r>
        <w:rPr/>
        <w:t>Figura 32. Superficie quemada por categoría de riesgo del año 2014.</w:t>
      </w:r>
    </w:p>
    <w:p>
      <w:pPr>
        <w:pStyle w:val="BodyText"/>
        <w:spacing w:before="9"/>
        <w:rPr>
          <w:sz w:val="8"/>
        </w:rPr>
      </w:pPr>
      <w:r>
        <w:rPr/>
        <w:drawing>
          <wp:anchor distT="0" distB="0" distL="0" distR="0" allowOverlap="1" layoutInCell="1" locked="0" behindDoc="0" simplePos="0" relativeHeight="3400">
            <wp:simplePos x="0" y="0"/>
            <wp:positionH relativeFrom="page">
              <wp:posOffset>2165095</wp:posOffset>
            </wp:positionH>
            <wp:positionV relativeFrom="paragraph">
              <wp:posOffset>89370</wp:posOffset>
            </wp:positionV>
            <wp:extent cx="3438109" cy="2066544"/>
            <wp:effectExtent l="0" t="0" r="0" b="0"/>
            <wp:wrapTopAndBottom/>
            <wp:docPr id="53" name="image39.png" descr=""/>
            <wp:cNvGraphicFramePr>
              <a:graphicFrameLocks noChangeAspect="1"/>
            </wp:cNvGraphicFramePr>
            <a:graphic>
              <a:graphicData uri="http://schemas.openxmlformats.org/drawingml/2006/picture">
                <pic:pic>
                  <pic:nvPicPr>
                    <pic:cNvPr id="54" name="image39.png"/>
                    <pic:cNvPicPr/>
                  </pic:nvPicPr>
                  <pic:blipFill>
                    <a:blip r:embed="rId70" cstate="print"/>
                    <a:stretch>
                      <a:fillRect/>
                    </a:stretch>
                  </pic:blipFill>
                  <pic:spPr>
                    <a:xfrm>
                      <a:off x="0" y="0"/>
                      <a:ext cx="3438109" cy="2066544"/>
                    </a:xfrm>
                    <a:prstGeom prst="rect">
                      <a:avLst/>
                    </a:prstGeom>
                  </pic:spPr>
                </pic:pic>
              </a:graphicData>
            </a:graphic>
          </wp:anchor>
        </w:drawing>
      </w:r>
    </w:p>
    <w:p>
      <w:pPr>
        <w:pStyle w:val="BodyText"/>
      </w:pPr>
    </w:p>
    <w:p>
      <w:pPr>
        <w:pStyle w:val="BodyText"/>
      </w:pPr>
    </w:p>
    <w:p>
      <w:pPr>
        <w:pStyle w:val="BodyText"/>
      </w:pPr>
    </w:p>
    <w:p>
      <w:pPr>
        <w:pStyle w:val="BodyText"/>
      </w:pPr>
    </w:p>
    <w:p>
      <w:pPr>
        <w:pStyle w:val="Heading1"/>
        <w:numPr>
          <w:ilvl w:val="1"/>
          <w:numId w:val="16"/>
        </w:numPr>
        <w:tabs>
          <w:tab w:pos="822" w:val="left" w:leader="none"/>
        </w:tabs>
        <w:spacing w:line="240" w:lineRule="auto" w:before="174" w:after="0"/>
        <w:ind w:left="822" w:right="0" w:hanging="360"/>
        <w:jc w:val="left"/>
      </w:pPr>
      <w:bookmarkStart w:name="_bookmark54" w:id="103"/>
      <w:bookmarkEnd w:id="103"/>
      <w:r>
        <w:rPr>
          <w:b w:val="0"/>
        </w:rPr>
      </w:r>
      <w:bookmarkStart w:name="_bookmark54" w:id="104"/>
      <w:bookmarkEnd w:id="104"/>
      <w:r>
        <w:rPr/>
        <w:t>A</w:t>
      </w:r>
      <w:r>
        <w:rPr/>
        <w:t>utocorrelación</w:t>
      </w:r>
      <w:r>
        <w:rPr>
          <w:spacing w:val="-6"/>
        </w:rPr>
        <w:t> </w:t>
      </w:r>
      <w:r>
        <w:rPr/>
        <w:t>espacial</w:t>
      </w:r>
    </w:p>
    <w:p>
      <w:pPr>
        <w:pStyle w:val="BodyText"/>
        <w:rPr>
          <w:b/>
        </w:rPr>
      </w:pPr>
    </w:p>
    <w:p>
      <w:pPr>
        <w:pStyle w:val="BodyText"/>
        <w:spacing w:before="9"/>
        <w:rPr>
          <w:b/>
          <w:sz w:val="23"/>
        </w:rPr>
      </w:pPr>
    </w:p>
    <w:p>
      <w:pPr>
        <w:pStyle w:val="BodyText"/>
        <w:spacing w:line="360" w:lineRule="auto"/>
        <w:ind w:left="102" w:right="112"/>
        <w:jc w:val="both"/>
      </w:pPr>
      <w:r>
        <w:rPr/>
        <w:t>La autocorrelación espacial se realizó para evaluar, si la distribución espacial de los incendios forestales en el Suelo de Conservación del Distrito Federal,  responde a un patrón de dispersión o concentración, si son similares a otros y  para conocer si tienen una autocorrelación positiva o negativa. Con base en esta evaluación se obtuvo lo</w:t>
      </w:r>
      <w:r>
        <w:rPr>
          <w:spacing w:val="-6"/>
        </w:rPr>
        <w:t> </w:t>
      </w:r>
      <w:r>
        <w:rPr/>
        <w:t>siguiente:</w:t>
      </w:r>
    </w:p>
    <w:p>
      <w:pPr>
        <w:pStyle w:val="BodyText"/>
        <w:spacing w:before="5"/>
        <w:rPr>
          <w:sz w:val="35"/>
        </w:rPr>
      </w:pPr>
    </w:p>
    <w:p>
      <w:pPr>
        <w:pStyle w:val="BodyText"/>
        <w:spacing w:line="360" w:lineRule="auto" w:before="1"/>
        <w:ind w:left="102" w:right="116"/>
        <w:jc w:val="both"/>
      </w:pPr>
      <w:r>
        <w:rPr/>
        <w:t>En la figura 33, la autocorrelación espacial de las áreas quemadas del año 2011 con las del año 2014 es positiva con un valor del índice de Moran de 0.33, por lo tanto, se trata de unidades con valores de análisis positivos similares e indican  que algunas de las zonas incendiadas del año 2011 se repitieron en el año</w:t>
      </w:r>
      <w:r>
        <w:rPr>
          <w:spacing w:val="-28"/>
        </w:rPr>
        <w:t> </w:t>
      </w:r>
      <w:r>
        <w:rPr/>
        <w:t>2014.</w:t>
      </w:r>
    </w:p>
    <w:p>
      <w:pPr>
        <w:spacing w:after="0" w:line="360" w:lineRule="auto"/>
        <w:jc w:val="both"/>
        <w:sectPr>
          <w:pgSz w:w="12240" w:h="15840"/>
          <w:pgMar w:header="0" w:footer="1003" w:top="1360" w:bottom="1200" w:left="1600" w:right="1580"/>
        </w:sectPr>
      </w:pPr>
    </w:p>
    <w:p>
      <w:pPr>
        <w:pStyle w:val="BodyText"/>
        <w:spacing w:before="54"/>
        <w:ind w:left="102"/>
        <w:jc w:val="both"/>
      </w:pPr>
      <w:r>
        <w:rPr/>
        <w:t>Figura 33: Autocorrelación espacial entre áreas quemadas del año 2011 y 2014.</w:t>
      </w:r>
    </w:p>
    <w:p>
      <w:pPr>
        <w:pStyle w:val="BodyText"/>
        <w:spacing w:before="1"/>
        <w:rPr>
          <w:sz w:val="10"/>
        </w:rPr>
      </w:pPr>
      <w:r>
        <w:rPr/>
        <w:pict>
          <v:group style="position:absolute;margin-left:191.744995pt;margin-top:7.772051pt;width:230pt;height:202pt;mso-position-horizontal-relative:page;mso-position-vertical-relative:paragraph;z-index:3424;mso-wrap-distance-left:0;mso-wrap-distance-right:0" coordorigin="3835,155" coordsize="4600,4040">
            <v:shape style="position:absolute;left:3850;top:171;width:4569;height:4010" type="#_x0000_t75" stroked="false">
              <v:imagedata r:id="rId71" o:title=""/>
            </v:shape>
            <v:rect style="position:absolute;left:3842;top:163;width:4584;height:4025" filled="false" stroked="true" strokeweight=".75pt" strokecolor="#000000"/>
            <w10:wrap type="topAndBottom"/>
          </v:group>
        </w:pict>
      </w:r>
    </w:p>
    <w:p>
      <w:pPr>
        <w:pStyle w:val="BodyText"/>
      </w:pPr>
    </w:p>
    <w:p>
      <w:pPr>
        <w:pStyle w:val="BodyText"/>
      </w:pPr>
    </w:p>
    <w:p>
      <w:pPr>
        <w:pStyle w:val="BodyText"/>
        <w:spacing w:line="350" w:lineRule="auto" w:before="173"/>
        <w:ind w:left="102" w:right="116"/>
        <w:jc w:val="both"/>
      </w:pPr>
      <w:r>
        <w:rPr/>
        <w:t>En la figura 34, la autocorrelación espacial de las zonas incendiadas del año 2011 es de 0.55. Se trata de un índice de Moran positivo con valores similares, tiene  una R</w:t>
      </w:r>
      <w:r>
        <w:rPr>
          <w:position w:val="11"/>
          <w:sz w:val="16"/>
        </w:rPr>
        <w:t>2 </w:t>
      </w:r>
      <w:r>
        <w:rPr/>
        <w:t>de 0.59 indicando que aunque es bajo el porcentaje, hay buena asociación lineal.</w:t>
      </w:r>
    </w:p>
    <w:p>
      <w:pPr>
        <w:pStyle w:val="BodyText"/>
      </w:pPr>
    </w:p>
    <w:p>
      <w:pPr>
        <w:pStyle w:val="BodyText"/>
        <w:spacing w:before="153"/>
        <w:ind w:left="102"/>
        <w:jc w:val="both"/>
      </w:pPr>
      <w:r>
        <w:rPr/>
        <w:t>Figura 34. Autocorrelación espacial de zonas incendiadas en el año 2011.</w:t>
      </w:r>
    </w:p>
    <w:p>
      <w:pPr>
        <w:pStyle w:val="BodyText"/>
        <w:spacing w:before="10"/>
        <w:rPr>
          <w:sz w:val="9"/>
        </w:rPr>
      </w:pPr>
      <w:r>
        <w:rPr/>
        <w:pict>
          <v:group style="position:absolute;margin-left:199.925003pt;margin-top:7.67204pt;width:213.65pt;height:199.9pt;mso-position-horizontal-relative:page;mso-position-vertical-relative:paragraph;z-index:3448;mso-wrap-distance-left:0;mso-wrap-distance-right:0" coordorigin="3999,153" coordsize="4273,3998">
            <v:shape style="position:absolute;left:4014;top:169;width:4243;height:3968" type="#_x0000_t75" stroked="false">
              <v:imagedata r:id="rId72" o:title=""/>
            </v:shape>
            <v:rect style="position:absolute;left:4006;top:161;width:4258;height:3983" filled="false" stroked="true" strokeweight=".75pt" strokecolor="#000000"/>
            <w10:wrap type="topAndBottom"/>
          </v:group>
        </w:pict>
      </w:r>
    </w:p>
    <w:p>
      <w:pPr>
        <w:spacing w:after="0"/>
        <w:rPr>
          <w:sz w:val="9"/>
        </w:rPr>
        <w:sectPr>
          <w:pgSz w:w="12240" w:h="15840"/>
          <w:pgMar w:header="0" w:footer="1003" w:top="1360" w:bottom="1200" w:left="1600" w:right="1580"/>
        </w:sectPr>
      </w:pPr>
    </w:p>
    <w:p>
      <w:pPr>
        <w:pStyle w:val="BodyText"/>
        <w:spacing w:line="261" w:lineRule="auto" w:before="54"/>
        <w:ind w:left="102" w:right="114"/>
        <w:jc w:val="both"/>
      </w:pPr>
      <w:r>
        <w:rPr/>
        <w:t>En la figura 35, se observa una autocorrelación espacial de las zonas incendiadas del año 2014 de 0.46, el cual es positivo e indica valores similares y tiene una R</w:t>
      </w:r>
      <w:r>
        <w:rPr>
          <w:position w:val="11"/>
          <w:sz w:val="16"/>
        </w:rPr>
        <w:t>2 </w:t>
      </w:r>
      <w:r>
        <w:rPr/>
        <w:t>de 0.46.</w:t>
      </w:r>
    </w:p>
    <w:p>
      <w:pPr>
        <w:pStyle w:val="BodyText"/>
        <w:spacing w:before="216"/>
        <w:ind w:left="102"/>
        <w:jc w:val="both"/>
      </w:pPr>
      <w:r>
        <w:rPr/>
        <w:t>Figura 35. Autocorrelación espacial de zonas incendiadas en el año 2014.</w:t>
      </w:r>
    </w:p>
    <w:p>
      <w:pPr>
        <w:pStyle w:val="BodyText"/>
        <w:spacing w:before="1"/>
        <w:rPr>
          <w:sz w:val="10"/>
        </w:rPr>
      </w:pPr>
      <w:r>
        <w:rPr/>
        <w:pict>
          <v:group style="position:absolute;margin-left:192.695007pt;margin-top:7.782014pt;width:228.1pt;height:199.9pt;mso-position-horizontal-relative:page;mso-position-vertical-relative:paragraph;z-index:3472;mso-wrap-distance-left:0;mso-wrap-distance-right:0" coordorigin="3854,156" coordsize="4562,3998">
            <v:shape style="position:absolute;left:3869;top:171;width:4532;height:3968" type="#_x0000_t75" stroked="false">
              <v:imagedata r:id="rId74" o:title=""/>
            </v:shape>
            <v:rect style="position:absolute;left:3861;top:163;width:4547;height:3983" filled="false" stroked="true" strokeweight=".75pt" strokecolor="#000000"/>
            <w10:wrap type="topAndBottom"/>
          </v:group>
        </w:pict>
      </w:r>
    </w:p>
    <w:p>
      <w:pPr>
        <w:pStyle w:val="BodyText"/>
      </w:pPr>
    </w:p>
    <w:p>
      <w:pPr>
        <w:pStyle w:val="BodyText"/>
      </w:pPr>
    </w:p>
    <w:p>
      <w:pPr>
        <w:pStyle w:val="BodyText"/>
        <w:spacing w:line="261" w:lineRule="auto" w:before="162"/>
        <w:ind w:left="102" w:right="117"/>
        <w:jc w:val="both"/>
      </w:pPr>
      <w:r>
        <w:rPr/>
        <w:t>En la figura 36, la autocorrelación espacial de la frecuencia de incendios es de 0.38, corresponde a un índice de Moran positivo con valores similares y presenta un R</w:t>
      </w:r>
      <w:r>
        <w:rPr>
          <w:position w:val="11"/>
          <w:sz w:val="16"/>
        </w:rPr>
        <w:t>2 </w:t>
      </w:r>
      <w:r>
        <w:rPr/>
        <w:t>bajo de 0.36</w:t>
      </w:r>
    </w:p>
    <w:p>
      <w:pPr>
        <w:pStyle w:val="BodyText"/>
        <w:spacing w:line="360" w:lineRule="auto" w:before="215" w:after="19"/>
        <w:ind w:left="102" w:right="125"/>
        <w:jc w:val="both"/>
      </w:pPr>
      <w:r>
        <w:rPr/>
        <w:t>Figura 36. Autocorrelación espacial del índice de frecuencia de incendios forestales.</w:t>
      </w:r>
    </w:p>
    <w:p>
      <w:pPr>
        <w:pStyle w:val="BodyText"/>
        <w:ind w:left="2252"/>
        <w:rPr>
          <w:sz w:val="20"/>
        </w:rPr>
      </w:pPr>
      <w:r>
        <w:rPr>
          <w:sz w:val="20"/>
        </w:rPr>
        <w:pict>
          <v:group style="width:228.25pt;height:199.75pt;mso-position-horizontal-relative:char;mso-position-vertical-relative:line" coordorigin="0,0" coordsize="4565,3995">
            <v:shape style="position:absolute;left:15;top:15;width:4535;height:3965" type="#_x0000_t75" stroked="false">
              <v:imagedata r:id="rId75" o:title=""/>
            </v:shape>
            <v:rect style="position:absolute;left:8;top:8;width:4550;height:3980" filled="false" stroked="true" strokeweight=".75pt" strokecolor="#000000"/>
          </v:group>
        </w:pict>
      </w:r>
      <w:r>
        <w:rPr>
          <w:sz w:val="20"/>
        </w:rPr>
      </w:r>
    </w:p>
    <w:p>
      <w:pPr>
        <w:spacing w:after="0"/>
        <w:rPr>
          <w:sz w:val="20"/>
        </w:rPr>
        <w:sectPr>
          <w:footerReference w:type="default" r:id="rId73"/>
          <w:pgSz w:w="12240" w:h="15840"/>
          <w:pgMar w:footer="1003" w:header="0" w:top="1360" w:bottom="1200" w:left="1600" w:right="1580"/>
          <w:pgNumType w:start="100"/>
        </w:sectPr>
      </w:pPr>
    </w:p>
    <w:p>
      <w:pPr>
        <w:pStyle w:val="BodyText"/>
        <w:spacing w:line="268" w:lineRule="auto" w:before="54"/>
        <w:ind w:left="102" w:right="118"/>
        <w:jc w:val="both"/>
      </w:pPr>
      <w:r>
        <w:rPr/>
        <w:t>La figura 37, relaciona las zonas quemadas en el año 2011 con respecto del mapa de riesgo. Muestra una autocorrelación espacial positiva con un valor de índice de Moran de 0.17 y una R</w:t>
      </w:r>
      <w:r>
        <w:rPr>
          <w:position w:val="11"/>
          <w:sz w:val="16"/>
        </w:rPr>
        <w:t>2 </w:t>
      </w:r>
      <w:r>
        <w:rPr/>
        <w:t>de 0.058. El gráfico indica que los valores tienden a agruparse en el cuadrante I superior y II inferior. Si hay una relación aunque baja de las áreas incendiadas en el año 2011 con respecto al riesgo de incendios.</w:t>
      </w:r>
    </w:p>
    <w:p>
      <w:pPr>
        <w:pStyle w:val="BodyText"/>
        <w:spacing w:line="360" w:lineRule="auto" w:before="210" w:after="21"/>
        <w:ind w:left="102" w:right="124"/>
        <w:jc w:val="both"/>
      </w:pPr>
      <w:r>
        <w:rPr/>
        <w:t>Figura 37. Autocorrelación espacial entre las áreas quemadas del año 2011 y el mapa de riesgo a incendios forestales.</w:t>
      </w:r>
    </w:p>
    <w:p>
      <w:pPr>
        <w:pStyle w:val="BodyText"/>
        <w:ind w:left="2252"/>
        <w:rPr>
          <w:sz w:val="20"/>
        </w:rPr>
      </w:pPr>
      <w:r>
        <w:rPr>
          <w:sz w:val="20"/>
        </w:rPr>
        <w:pict>
          <v:group style="width:228.25pt;height:199.75pt;mso-position-horizontal-relative:char;mso-position-vertical-relative:line" coordorigin="0,0" coordsize="4565,3995">
            <v:shape style="position:absolute;left:15;top:15;width:4535;height:3965" type="#_x0000_t75" stroked="false">
              <v:imagedata r:id="rId76" o:title=""/>
            </v:shape>
            <v:rect style="position:absolute;left:8;top:8;width:4550;height:3980" filled="false" stroked="true" strokeweight=".75pt" strokecolor="#000000"/>
          </v:group>
        </w:pict>
      </w:r>
      <w:r>
        <w:rPr>
          <w:sz w:val="20"/>
        </w:rPr>
      </w:r>
    </w:p>
    <w:p>
      <w:pPr>
        <w:pStyle w:val="BodyText"/>
      </w:pPr>
    </w:p>
    <w:p>
      <w:pPr>
        <w:pStyle w:val="BodyText"/>
      </w:pPr>
    </w:p>
    <w:p>
      <w:pPr>
        <w:pStyle w:val="BodyText"/>
        <w:spacing w:line="268" w:lineRule="auto" w:before="162"/>
        <w:ind w:left="102" w:right="117"/>
        <w:jc w:val="both"/>
      </w:pPr>
      <w:r>
        <w:rPr/>
        <w:t>La figura 38, muestra la autocorrelación espacial entre las zonas incendiadas en el año 2014 y el riesgo a incendios. Se observa un índice de Moran positivo de 0.15  y una R</w:t>
      </w:r>
      <w:r>
        <w:rPr>
          <w:position w:val="11"/>
          <w:sz w:val="16"/>
        </w:rPr>
        <w:t>2 </w:t>
      </w:r>
      <w:r>
        <w:rPr/>
        <w:t>de 0.044, indicando que un porcentaje de las áreas incendiadas si corresponden a las zonas de riesgo del mapa. Los puntos de concentran principalmente en el cuadrante número I superior y II</w:t>
      </w:r>
      <w:r>
        <w:rPr>
          <w:spacing w:val="-27"/>
        </w:rPr>
        <w:t> </w:t>
      </w:r>
      <w:r>
        <w:rPr/>
        <w:t>inferior.</w:t>
      </w:r>
    </w:p>
    <w:p>
      <w:pPr>
        <w:spacing w:after="0" w:line="268" w:lineRule="auto"/>
        <w:jc w:val="both"/>
        <w:sectPr>
          <w:pgSz w:w="12240" w:h="15840"/>
          <w:pgMar w:header="0" w:footer="1003" w:top="1360" w:bottom="1200" w:left="1600" w:right="1580"/>
        </w:sectPr>
      </w:pPr>
    </w:p>
    <w:p>
      <w:pPr>
        <w:pStyle w:val="BodyText"/>
        <w:spacing w:line="360" w:lineRule="auto" w:before="54" w:after="19"/>
        <w:ind w:left="102" w:right="124"/>
        <w:jc w:val="both"/>
      </w:pPr>
      <w:r>
        <w:rPr/>
        <w:t>Figura 38. Autocorrelación espacial entre las áreas quemadas del año 2014 y el mapa de riesgo a incendios forestales.</w:t>
      </w:r>
    </w:p>
    <w:p>
      <w:pPr>
        <w:pStyle w:val="BodyText"/>
        <w:ind w:left="2252"/>
        <w:rPr>
          <w:sz w:val="20"/>
        </w:rPr>
      </w:pPr>
      <w:r>
        <w:rPr>
          <w:sz w:val="20"/>
        </w:rPr>
        <w:pict>
          <v:group style="width:228.25pt;height:199.75pt;mso-position-horizontal-relative:char;mso-position-vertical-relative:line" coordorigin="0,0" coordsize="4565,3995">
            <v:shape style="position:absolute;left:15;top:15;width:4535;height:3965" type="#_x0000_t75" stroked="false">
              <v:imagedata r:id="rId77" o:title=""/>
            </v:shape>
            <v:rect style="position:absolute;left:8;top:8;width:4550;height:3980" filled="false" stroked="true" strokeweight=".75pt" strokecolor="#000000"/>
          </v:group>
        </w:pict>
      </w:r>
      <w:r>
        <w:rPr>
          <w:sz w:val="20"/>
        </w:rPr>
      </w:r>
    </w:p>
    <w:p>
      <w:pPr>
        <w:pStyle w:val="BodyText"/>
      </w:pPr>
    </w:p>
    <w:p>
      <w:pPr>
        <w:pStyle w:val="BodyText"/>
      </w:pPr>
    </w:p>
    <w:p>
      <w:pPr>
        <w:pStyle w:val="BodyText"/>
        <w:spacing w:line="266" w:lineRule="auto" w:before="160"/>
        <w:ind w:left="102" w:right="121"/>
        <w:jc w:val="both"/>
      </w:pPr>
      <w:r>
        <w:rPr/>
        <w:t>En la figura 39, la correlación espacial es positiva con un índice de Moran de 0.22 y un R</w:t>
      </w:r>
      <w:r>
        <w:rPr>
          <w:position w:val="11"/>
          <w:sz w:val="16"/>
        </w:rPr>
        <w:t>2 </w:t>
      </w:r>
      <w:r>
        <w:rPr/>
        <w:t>de 0.18, indicando que la frecuencia y la gravedad coinciden en un 22%. Los puntos están ubicados en mayor proporción en los cuadrantes positivos I y III y en menor proporción en los cuadrantes negativos II y</w:t>
      </w:r>
      <w:r>
        <w:rPr>
          <w:spacing w:val="-19"/>
        </w:rPr>
        <w:t> </w:t>
      </w:r>
      <w:r>
        <w:rPr/>
        <w:t>IV.</w:t>
      </w:r>
    </w:p>
    <w:p>
      <w:pPr>
        <w:pStyle w:val="BodyText"/>
        <w:spacing w:line="360" w:lineRule="auto" w:before="211" w:after="19"/>
        <w:ind w:left="102" w:right="116"/>
        <w:jc w:val="both"/>
      </w:pPr>
      <w:r>
        <w:rPr/>
        <w:t>Figura 39. Autocorrelación espacial entre el índice de frecuencia y el índice de gravedad de incendios forestales.</w:t>
      </w:r>
    </w:p>
    <w:p>
      <w:pPr>
        <w:pStyle w:val="BodyText"/>
        <w:ind w:left="2253"/>
        <w:rPr>
          <w:sz w:val="20"/>
        </w:rPr>
      </w:pPr>
      <w:r>
        <w:rPr>
          <w:sz w:val="20"/>
        </w:rPr>
        <w:pict>
          <v:group style="width:228.1pt;height:199.95pt;mso-position-horizontal-relative:char;mso-position-vertical-relative:line" coordorigin="0,0" coordsize="4562,3999">
            <v:shape style="position:absolute;left:15;top:15;width:4532;height:3969" type="#_x0000_t75" stroked="false">
              <v:imagedata r:id="rId78" o:title=""/>
            </v:shape>
            <v:rect style="position:absolute;left:8;top:8;width:4547;height:3984" filled="false" stroked="true" strokeweight=".75pt" strokecolor="#000000"/>
          </v:group>
        </w:pict>
      </w:r>
      <w:r>
        <w:rPr>
          <w:sz w:val="20"/>
        </w:rPr>
      </w:r>
    </w:p>
    <w:p>
      <w:pPr>
        <w:spacing w:after="0"/>
        <w:rPr>
          <w:sz w:val="20"/>
        </w:rPr>
        <w:sectPr>
          <w:pgSz w:w="12240" w:h="15840"/>
          <w:pgMar w:header="0" w:footer="1003" w:top="1360" w:bottom="1200" w:left="1600" w:right="1580"/>
        </w:sectPr>
      </w:pPr>
    </w:p>
    <w:p>
      <w:pPr>
        <w:pStyle w:val="BodyText"/>
        <w:spacing w:line="261" w:lineRule="auto" w:before="54"/>
        <w:ind w:left="102" w:right="119"/>
        <w:jc w:val="both"/>
      </w:pPr>
      <w:r>
        <w:rPr/>
        <w:t>En la figura 40, se muestra una autocorrelación espacial positiva entre el índice de frecuencia y el riesgo de incendios de 0.36 con una R</w:t>
      </w:r>
      <w:r>
        <w:rPr>
          <w:position w:val="11"/>
          <w:sz w:val="16"/>
        </w:rPr>
        <w:t>2 </w:t>
      </w:r>
      <w:r>
        <w:rPr/>
        <w:t>de 0.256. La relación entre la frecuencia y el riesgo se encuentran concentradas en el cuadrante I y III.</w:t>
      </w:r>
    </w:p>
    <w:p>
      <w:pPr>
        <w:pStyle w:val="BodyText"/>
        <w:spacing w:line="360" w:lineRule="auto" w:before="216" w:after="19"/>
        <w:ind w:left="102" w:right="116"/>
        <w:jc w:val="both"/>
      </w:pPr>
      <w:r>
        <w:rPr/>
        <w:t>Figura 40. Autocorrelación espacial entre el índice de frecuencia y el riesgo de incendios forestales.</w:t>
      </w:r>
    </w:p>
    <w:p>
      <w:pPr>
        <w:pStyle w:val="BodyText"/>
        <w:ind w:left="2299"/>
        <w:rPr>
          <w:sz w:val="20"/>
        </w:rPr>
      </w:pPr>
      <w:r>
        <w:rPr>
          <w:sz w:val="20"/>
        </w:rPr>
        <w:pict>
          <v:group style="width:222.85pt;height:189.85pt;mso-position-horizontal-relative:char;mso-position-vertical-relative:line" coordorigin="0,0" coordsize="4457,3797">
            <v:shape style="position:absolute;left:15;top:15;width:4427;height:3767" type="#_x0000_t75" stroked="false">
              <v:imagedata r:id="rId79" o:title=""/>
            </v:shape>
            <v:rect style="position:absolute;left:8;top:8;width:4442;height:3782" filled="false" stroked="true" strokeweight=".75pt" strokecolor="#000000"/>
          </v:group>
        </w:pict>
      </w:r>
      <w:r>
        <w:rPr>
          <w:sz w:val="20"/>
        </w:rPr>
      </w:r>
    </w:p>
    <w:p>
      <w:pPr>
        <w:pStyle w:val="BodyText"/>
        <w:spacing w:line="276" w:lineRule="auto" w:before="206"/>
        <w:ind w:left="102" w:right="118"/>
        <w:jc w:val="both"/>
      </w:pPr>
      <w:r>
        <w:rPr/>
        <w:t>La figura 41, muestra el mapa de riesgo a incendios forestales por medio de la aplicación de cluster del programa GEODA. En color rojo se observan los cuadrantes con High-High alto riesgo correspondiendo al mapa que se presentó anteriormente en la figura 16.</w:t>
      </w:r>
    </w:p>
    <w:p>
      <w:pPr>
        <w:pStyle w:val="BodyText"/>
        <w:spacing w:before="202"/>
        <w:ind w:left="978"/>
      </w:pPr>
      <w:r>
        <w:rPr/>
        <w:drawing>
          <wp:anchor distT="0" distB="0" distL="0" distR="0" allowOverlap="1" layoutInCell="1" locked="0" behindDoc="0" simplePos="0" relativeHeight="3616">
            <wp:simplePos x="0" y="0"/>
            <wp:positionH relativeFrom="page">
              <wp:posOffset>2424176</wp:posOffset>
            </wp:positionH>
            <wp:positionV relativeFrom="paragraph">
              <wp:posOffset>329842</wp:posOffset>
            </wp:positionV>
            <wp:extent cx="2864028" cy="3214116"/>
            <wp:effectExtent l="0" t="0" r="0" b="0"/>
            <wp:wrapTopAndBottom/>
            <wp:docPr id="55" name="image48.png" descr=""/>
            <wp:cNvGraphicFramePr>
              <a:graphicFrameLocks noChangeAspect="1"/>
            </wp:cNvGraphicFramePr>
            <a:graphic>
              <a:graphicData uri="http://schemas.openxmlformats.org/drawingml/2006/picture">
                <pic:pic>
                  <pic:nvPicPr>
                    <pic:cNvPr id="56" name="image48.png"/>
                    <pic:cNvPicPr/>
                  </pic:nvPicPr>
                  <pic:blipFill>
                    <a:blip r:embed="rId80" cstate="print"/>
                    <a:stretch>
                      <a:fillRect/>
                    </a:stretch>
                  </pic:blipFill>
                  <pic:spPr>
                    <a:xfrm>
                      <a:off x="0" y="0"/>
                      <a:ext cx="2864028" cy="3214116"/>
                    </a:xfrm>
                    <a:prstGeom prst="rect">
                      <a:avLst/>
                    </a:prstGeom>
                  </pic:spPr>
                </pic:pic>
              </a:graphicData>
            </a:graphic>
          </wp:anchor>
        </w:drawing>
      </w:r>
      <w:r>
        <w:rPr/>
        <w:t>Figura 41. Riesgo a incendios forestales con el programa GEODA.</w:t>
      </w:r>
    </w:p>
    <w:p>
      <w:pPr>
        <w:spacing w:after="0"/>
        <w:sectPr>
          <w:pgSz w:w="12240" w:h="15840"/>
          <w:pgMar w:header="0" w:footer="1003" w:top="1360" w:bottom="1200" w:left="1600" w:right="1580"/>
        </w:sectPr>
      </w:pPr>
    </w:p>
    <w:p>
      <w:pPr>
        <w:pStyle w:val="Heading1"/>
        <w:numPr>
          <w:ilvl w:val="0"/>
          <w:numId w:val="16"/>
        </w:numPr>
        <w:tabs>
          <w:tab w:pos="822" w:val="left" w:leader="none"/>
        </w:tabs>
        <w:spacing w:line="278" w:lineRule="auto" w:before="54" w:after="0"/>
        <w:ind w:left="822" w:right="117" w:hanging="360"/>
        <w:jc w:val="left"/>
      </w:pPr>
      <w:bookmarkStart w:name="_bookmark55" w:id="105"/>
      <w:bookmarkEnd w:id="105"/>
      <w:r>
        <w:rPr>
          <w:b w:val="0"/>
        </w:rPr>
      </w:r>
      <w:bookmarkStart w:name="_bookmark55" w:id="106"/>
      <w:bookmarkEnd w:id="106"/>
      <w:r>
        <w:rPr/>
        <w:t>P</w:t>
      </w:r>
      <w:r>
        <w:rPr/>
        <w:t>lan de medidas o acciones enfocadas a la prevención de incendios forestales.</w:t>
      </w:r>
    </w:p>
    <w:p>
      <w:pPr>
        <w:pStyle w:val="BodyText"/>
        <w:rPr>
          <w:b/>
        </w:rPr>
      </w:pPr>
    </w:p>
    <w:p>
      <w:pPr>
        <w:pStyle w:val="BodyText"/>
        <w:rPr>
          <w:b/>
          <w:sz w:val="20"/>
        </w:rPr>
      </w:pPr>
    </w:p>
    <w:p>
      <w:pPr>
        <w:pStyle w:val="BodyText"/>
        <w:spacing w:line="360" w:lineRule="auto"/>
        <w:ind w:left="102" w:right="116"/>
        <w:jc w:val="both"/>
      </w:pPr>
      <w:r>
        <w:rPr/>
        <w:t>La prevención es el conjunto de acciones, normas y trabajos tendientes a evitar que ocurran incendios forestales. La prevención de incendios forestales puede ser: cultural (educación y divulgación), física o ingenieril y jurídica (leyes y  reglamentos) (CENAPRED,</w:t>
      </w:r>
      <w:r>
        <w:rPr>
          <w:spacing w:val="-9"/>
        </w:rPr>
        <w:t> </w:t>
      </w:r>
      <w:r>
        <w:rPr/>
        <w:t>2008).</w:t>
      </w:r>
    </w:p>
    <w:p>
      <w:pPr>
        <w:pStyle w:val="BodyText"/>
      </w:pPr>
    </w:p>
    <w:p>
      <w:pPr>
        <w:pStyle w:val="BodyText"/>
        <w:spacing w:line="362" w:lineRule="auto" w:before="142"/>
        <w:ind w:left="102" w:right="125"/>
        <w:jc w:val="both"/>
      </w:pPr>
      <w:r>
        <w:rPr/>
        <w:t>A continuación se muestran las características de los tipos de prevención de incendios forestales:</w:t>
      </w:r>
    </w:p>
    <w:p>
      <w:pPr>
        <w:pStyle w:val="BodyText"/>
      </w:pPr>
    </w:p>
    <w:p>
      <w:pPr>
        <w:pStyle w:val="BodyText"/>
        <w:spacing w:before="1"/>
        <w:rPr>
          <w:sz w:val="21"/>
        </w:rPr>
      </w:pPr>
    </w:p>
    <w:p>
      <w:pPr>
        <w:pStyle w:val="BodyText"/>
        <w:ind w:left="102"/>
        <w:jc w:val="both"/>
      </w:pPr>
      <w:r>
        <w:rPr/>
        <w:t>Cuadro 22: Prevención cultural.</w:t>
      </w:r>
    </w:p>
    <w:p>
      <w:pPr>
        <w:pStyle w:val="BodyText"/>
        <w:rPr>
          <w:sz w:val="12"/>
        </w:rPr>
      </w:pPr>
    </w:p>
    <w:tbl>
      <w:tblPr>
        <w:tblW w:w="0" w:type="auto"/>
        <w:jc w:val="left"/>
        <w:tblInd w:w="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3"/>
        <w:gridCol w:w="3023"/>
        <w:gridCol w:w="3994"/>
      </w:tblGrid>
      <w:tr>
        <w:trPr>
          <w:trHeight w:val="338" w:hRule="exact"/>
        </w:trPr>
        <w:tc>
          <w:tcPr>
            <w:tcW w:w="1673" w:type="dxa"/>
          </w:tcPr>
          <w:p>
            <w:pPr>
              <w:pStyle w:val="TableParagraph"/>
              <w:spacing w:line="227" w:lineRule="exact" w:before="0"/>
              <w:ind w:left="271" w:right="272"/>
              <w:jc w:val="center"/>
              <w:rPr>
                <w:b/>
                <w:sz w:val="20"/>
              </w:rPr>
            </w:pPr>
            <w:r>
              <w:rPr>
                <w:b/>
                <w:sz w:val="20"/>
              </w:rPr>
              <w:t>Prevención</w:t>
            </w:r>
          </w:p>
        </w:tc>
        <w:tc>
          <w:tcPr>
            <w:tcW w:w="3023" w:type="dxa"/>
          </w:tcPr>
          <w:p>
            <w:pPr>
              <w:pStyle w:val="TableParagraph"/>
              <w:spacing w:line="227" w:lineRule="exact" w:before="0"/>
              <w:ind w:left="1085" w:right="1086"/>
              <w:jc w:val="center"/>
              <w:rPr>
                <w:b/>
                <w:sz w:val="20"/>
              </w:rPr>
            </w:pPr>
            <w:r>
              <w:rPr>
                <w:b/>
                <w:sz w:val="20"/>
              </w:rPr>
              <w:t>Objetivo</w:t>
            </w:r>
          </w:p>
        </w:tc>
        <w:tc>
          <w:tcPr>
            <w:tcW w:w="3994" w:type="dxa"/>
          </w:tcPr>
          <w:p>
            <w:pPr>
              <w:pStyle w:val="TableParagraph"/>
              <w:spacing w:line="227" w:lineRule="exact" w:before="0"/>
              <w:ind w:left="1526" w:right="1529"/>
              <w:jc w:val="center"/>
              <w:rPr>
                <w:b/>
                <w:sz w:val="20"/>
              </w:rPr>
            </w:pPr>
            <w:r>
              <w:rPr>
                <w:b/>
                <w:sz w:val="20"/>
              </w:rPr>
              <w:t>Acciones</w:t>
            </w:r>
          </w:p>
        </w:tc>
      </w:tr>
      <w:tr>
        <w:trPr>
          <w:trHeight w:val="1666" w:hRule="exact"/>
        </w:trPr>
        <w:tc>
          <w:tcPr>
            <w:tcW w:w="1673" w:type="dxa"/>
          </w:tcPr>
          <w:p>
            <w:pPr>
              <w:pStyle w:val="TableParagraph"/>
              <w:spacing w:before="0"/>
              <w:rPr>
                <w:sz w:val="18"/>
              </w:rPr>
            </w:pPr>
          </w:p>
          <w:p>
            <w:pPr>
              <w:pStyle w:val="TableParagraph"/>
              <w:spacing w:before="0"/>
              <w:rPr>
                <w:sz w:val="18"/>
              </w:rPr>
            </w:pPr>
          </w:p>
          <w:p>
            <w:pPr>
              <w:pStyle w:val="TableParagraph"/>
              <w:spacing w:before="11"/>
              <w:rPr>
                <w:sz w:val="26"/>
              </w:rPr>
            </w:pPr>
          </w:p>
          <w:p>
            <w:pPr>
              <w:pStyle w:val="TableParagraph"/>
              <w:spacing w:before="0"/>
              <w:ind w:left="271" w:right="272"/>
              <w:jc w:val="center"/>
              <w:rPr>
                <w:sz w:val="18"/>
              </w:rPr>
            </w:pPr>
            <w:r>
              <w:rPr>
                <w:sz w:val="18"/>
              </w:rPr>
              <w:t>Cultural</w:t>
            </w:r>
          </w:p>
        </w:tc>
        <w:tc>
          <w:tcPr>
            <w:tcW w:w="3023" w:type="dxa"/>
          </w:tcPr>
          <w:p>
            <w:pPr>
              <w:pStyle w:val="TableParagraph"/>
              <w:spacing w:before="0"/>
              <w:ind w:left="103" w:right="104"/>
              <w:jc w:val="both"/>
              <w:rPr>
                <w:sz w:val="18"/>
              </w:rPr>
            </w:pPr>
            <w:r>
              <w:rPr>
                <w:sz w:val="18"/>
              </w:rPr>
              <w:t>Crear conciencia forestal. Difusión del conocimiento en torno al valor que presentan los recursos forestales</w:t>
            </w:r>
          </w:p>
        </w:tc>
        <w:tc>
          <w:tcPr>
            <w:tcW w:w="3994" w:type="dxa"/>
          </w:tcPr>
          <w:p>
            <w:pPr>
              <w:pStyle w:val="TableParagraph"/>
              <w:spacing w:before="0"/>
              <w:ind w:left="100" w:right="100"/>
              <w:jc w:val="both"/>
              <w:rPr>
                <w:sz w:val="18"/>
              </w:rPr>
            </w:pPr>
            <w:r>
              <w:rPr>
                <w:sz w:val="18"/>
              </w:rPr>
              <w:t>Utilizar los medios de comunicación masiva como: programas escolares, pláticas  en centros rurales y urbanos, pláticas de persona a persona, cursos de capacitación a campesinos y empleados de gobierno, colocación de letreros panorámicos (pósters), carteles, calcomanías, folletos, volantes, periódicos, radio, televisión, entre otros.</w:t>
            </w:r>
          </w:p>
        </w:tc>
      </w:tr>
    </w:tbl>
    <w:p>
      <w:pPr>
        <w:pStyle w:val="BodyText"/>
        <w:rPr>
          <w:sz w:val="20"/>
        </w:rPr>
      </w:pPr>
    </w:p>
    <w:p>
      <w:pPr>
        <w:pStyle w:val="BodyText"/>
        <w:spacing w:before="10"/>
        <w:rPr>
          <w:sz w:val="18"/>
        </w:rPr>
      </w:pPr>
    </w:p>
    <w:p>
      <w:pPr>
        <w:pStyle w:val="BodyText"/>
        <w:spacing w:before="69"/>
        <w:ind w:left="102"/>
      </w:pPr>
      <w:r>
        <w:rPr/>
        <w:t>Cuadro 23. Prevención física y legal.</w:t>
      </w:r>
    </w:p>
    <w:p>
      <w:pPr>
        <w:pStyle w:val="BodyText"/>
        <w:rPr>
          <w:sz w:val="12"/>
        </w:rPr>
      </w:pPr>
    </w:p>
    <w:tbl>
      <w:tblPr>
        <w:tblW w:w="0" w:type="auto"/>
        <w:jc w:val="left"/>
        <w:tblInd w:w="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4"/>
        <w:gridCol w:w="1642"/>
        <w:gridCol w:w="2124"/>
        <w:gridCol w:w="3519"/>
      </w:tblGrid>
      <w:tr>
        <w:trPr>
          <w:trHeight w:val="288" w:hRule="exact"/>
        </w:trPr>
        <w:tc>
          <w:tcPr>
            <w:tcW w:w="1404" w:type="dxa"/>
          </w:tcPr>
          <w:p>
            <w:pPr>
              <w:pStyle w:val="TableParagraph"/>
              <w:spacing w:line="225" w:lineRule="exact" w:before="0"/>
              <w:ind w:left="137" w:right="138"/>
              <w:jc w:val="center"/>
              <w:rPr>
                <w:b/>
                <w:sz w:val="20"/>
              </w:rPr>
            </w:pPr>
            <w:r>
              <w:rPr>
                <w:b/>
                <w:sz w:val="20"/>
              </w:rPr>
              <w:t>Prevención</w:t>
            </w:r>
          </w:p>
        </w:tc>
        <w:tc>
          <w:tcPr>
            <w:tcW w:w="1642" w:type="dxa"/>
          </w:tcPr>
          <w:p>
            <w:pPr>
              <w:pStyle w:val="TableParagraph"/>
              <w:spacing w:line="225" w:lineRule="exact" w:before="0"/>
              <w:ind w:left="415" w:right="100"/>
              <w:rPr>
                <w:b/>
                <w:sz w:val="20"/>
              </w:rPr>
            </w:pPr>
            <w:r>
              <w:rPr>
                <w:b/>
                <w:sz w:val="20"/>
              </w:rPr>
              <w:t>Objetivo</w:t>
            </w:r>
          </w:p>
        </w:tc>
        <w:tc>
          <w:tcPr>
            <w:tcW w:w="2124" w:type="dxa"/>
          </w:tcPr>
          <w:p>
            <w:pPr>
              <w:pStyle w:val="TableParagraph"/>
              <w:spacing w:line="225" w:lineRule="exact" w:before="0"/>
              <w:ind w:left="609"/>
              <w:rPr>
                <w:b/>
                <w:sz w:val="20"/>
              </w:rPr>
            </w:pPr>
            <w:r>
              <w:rPr>
                <w:b/>
                <w:sz w:val="20"/>
              </w:rPr>
              <w:t>Acciones</w:t>
            </w:r>
          </w:p>
        </w:tc>
        <w:tc>
          <w:tcPr>
            <w:tcW w:w="3519" w:type="dxa"/>
          </w:tcPr>
          <w:p>
            <w:pPr>
              <w:pStyle w:val="TableParagraph"/>
              <w:spacing w:line="225" w:lineRule="exact" w:before="0"/>
              <w:ind w:left="1334" w:right="1334"/>
              <w:jc w:val="center"/>
              <w:rPr>
                <w:b/>
                <w:sz w:val="20"/>
              </w:rPr>
            </w:pPr>
            <w:r>
              <w:rPr>
                <w:b/>
                <w:sz w:val="20"/>
              </w:rPr>
              <w:t>Objetivo</w:t>
            </w:r>
          </w:p>
        </w:tc>
      </w:tr>
      <w:tr>
        <w:trPr>
          <w:trHeight w:val="1253" w:hRule="exact"/>
        </w:trPr>
        <w:tc>
          <w:tcPr>
            <w:tcW w:w="1404"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10"/>
              <w:rPr>
                <w:sz w:val="21"/>
              </w:rPr>
            </w:pPr>
          </w:p>
          <w:p>
            <w:pPr>
              <w:pStyle w:val="TableParagraph"/>
              <w:spacing w:before="0"/>
              <w:ind w:left="455"/>
              <w:rPr>
                <w:sz w:val="18"/>
              </w:rPr>
            </w:pPr>
            <w:r>
              <w:rPr>
                <w:sz w:val="18"/>
              </w:rPr>
              <w:t>Física</w:t>
            </w:r>
          </w:p>
        </w:tc>
        <w:tc>
          <w:tcPr>
            <w:tcW w:w="1642"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tabs>
                <w:tab w:pos="625" w:val="left" w:leader="none"/>
                <w:tab w:pos="1227" w:val="left" w:leader="none"/>
                <w:tab w:pos="1287" w:val="left" w:leader="none"/>
              </w:tabs>
              <w:spacing w:before="148"/>
              <w:ind w:left="103" w:right="100"/>
              <w:rPr>
                <w:sz w:val="18"/>
              </w:rPr>
            </w:pPr>
            <w:r>
              <w:rPr>
                <w:sz w:val="18"/>
              </w:rPr>
              <w:t>Reducción</w:t>
              <w:tab/>
              <w:tab/>
              <w:t>del peligro inmediato sobre los agentes y/o</w:t>
              <w:tab/>
              <w:t>actividades específicas</w:t>
              <w:tab/>
              <w:t>que causen</w:t>
              <w:tab/>
              <w:tab/>
              <w:t>los incendios forestales.</w:t>
            </w:r>
          </w:p>
        </w:tc>
        <w:tc>
          <w:tcPr>
            <w:tcW w:w="2124" w:type="dxa"/>
          </w:tcPr>
          <w:p>
            <w:pPr>
              <w:pStyle w:val="TableParagraph"/>
              <w:spacing w:line="206" w:lineRule="exact" w:before="0"/>
              <w:ind w:left="100"/>
              <w:rPr>
                <w:sz w:val="18"/>
              </w:rPr>
            </w:pPr>
            <w:r>
              <w:rPr>
                <w:sz w:val="18"/>
              </w:rPr>
              <w:t>Quemas controladas</w:t>
            </w:r>
          </w:p>
        </w:tc>
        <w:tc>
          <w:tcPr>
            <w:tcW w:w="3519" w:type="dxa"/>
          </w:tcPr>
          <w:p>
            <w:pPr>
              <w:pStyle w:val="TableParagraph"/>
              <w:spacing w:before="0"/>
              <w:ind w:left="103" w:right="106"/>
              <w:jc w:val="both"/>
              <w:rPr>
                <w:sz w:val="18"/>
              </w:rPr>
            </w:pPr>
            <w:r>
              <w:rPr>
                <w:sz w:val="18"/>
              </w:rPr>
              <w:t>Disminuir combustibles existentes en el interior del bosque.</w:t>
            </w:r>
          </w:p>
          <w:p>
            <w:pPr>
              <w:pStyle w:val="TableParagraph"/>
              <w:spacing w:before="10"/>
              <w:rPr>
                <w:sz w:val="17"/>
              </w:rPr>
            </w:pPr>
          </w:p>
          <w:p>
            <w:pPr>
              <w:pStyle w:val="TableParagraph"/>
              <w:spacing w:before="0"/>
              <w:ind w:left="103" w:right="106"/>
              <w:jc w:val="both"/>
              <w:rPr>
                <w:sz w:val="18"/>
              </w:rPr>
            </w:pPr>
            <w:r>
              <w:rPr>
                <w:sz w:val="18"/>
              </w:rPr>
              <w:t>Cortar la continuidad horizontal de los combustibles mediante brechas cortafuego o líneas negras.</w:t>
            </w:r>
          </w:p>
        </w:tc>
      </w:tr>
      <w:tr>
        <w:trPr>
          <w:trHeight w:val="422" w:hRule="exact"/>
        </w:trPr>
        <w:tc>
          <w:tcPr>
            <w:tcW w:w="1404" w:type="dxa"/>
            <w:vMerge/>
          </w:tcPr>
          <w:p>
            <w:pPr/>
          </w:p>
        </w:tc>
        <w:tc>
          <w:tcPr>
            <w:tcW w:w="1642" w:type="dxa"/>
            <w:vMerge/>
          </w:tcPr>
          <w:p>
            <w:pPr/>
          </w:p>
        </w:tc>
        <w:tc>
          <w:tcPr>
            <w:tcW w:w="2124" w:type="dxa"/>
          </w:tcPr>
          <w:p>
            <w:pPr>
              <w:pStyle w:val="TableParagraph"/>
              <w:spacing w:line="206" w:lineRule="exact" w:before="0"/>
              <w:ind w:left="100"/>
              <w:rPr>
                <w:sz w:val="18"/>
              </w:rPr>
            </w:pPr>
            <w:r>
              <w:rPr>
                <w:sz w:val="18"/>
              </w:rPr>
              <w:t>Quema en retroceso</w:t>
            </w:r>
          </w:p>
        </w:tc>
        <w:tc>
          <w:tcPr>
            <w:tcW w:w="3519" w:type="dxa"/>
          </w:tcPr>
          <w:p>
            <w:pPr>
              <w:pStyle w:val="TableParagraph"/>
              <w:spacing w:before="0"/>
              <w:ind w:left="103" w:right="74"/>
              <w:rPr>
                <w:sz w:val="18"/>
              </w:rPr>
            </w:pPr>
            <w:r>
              <w:rPr>
                <w:sz w:val="18"/>
              </w:rPr>
              <w:t>Disminuir de combustibles existentes en el interior del bosque.</w:t>
            </w:r>
          </w:p>
        </w:tc>
      </w:tr>
      <w:tr>
        <w:trPr>
          <w:trHeight w:val="425" w:hRule="exact"/>
        </w:trPr>
        <w:tc>
          <w:tcPr>
            <w:tcW w:w="1404" w:type="dxa"/>
            <w:vMerge/>
          </w:tcPr>
          <w:p>
            <w:pPr/>
          </w:p>
        </w:tc>
        <w:tc>
          <w:tcPr>
            <w:tcW w:w="1642" w:type="dxa"/>
            <w:vMerge/>
          </w:tcPr>
          <w:p>
            <w:pPr/>
          </w:p>
        </w:tc>
        <w:tc>
          <w:tcPr>
            <w:tcW w:w="2124" w:type="dxa"/>
          </w:tcPr>
          <w:p>
            <w:pPr>
              <w:pStyle w:val="TableParagraph"/>
              <w:spacing w:before="1"/>
              <w:ind w:left="100"/>
              <w:rPr>
                <w:sz w:val="18"/>
              </w:rPr>
            </w:pPr>
            <w:r>
              <w:rPr>
                <w:sz w:val="18"/>
              </w:rPr>
              <w:t>Quema por fajas</w:t>
            </w:r>
          </w:p>
        </w:tc>
        <w:tc>
          <w:tcPr>
            <w:tcW w:w="3519" w:type="dxa"/>
          </w:tcPr>
          <w:p>
            <w:pPr>
              <w:pStyle w:val="TableParagraph"/>
              <w:spacing w:before="1"/>
              <w:ind w:left="103" w:right="74"/>
              <w:rPr>
                <w:sz w:val="18"/>
              </w:rPr>
            </w:pPr>
            <w:r>
              <w:rPr>
                <w:sz w:val="18"/>
              </w:rPr>
              <w:t>Disminuir de combustibles existentes en el interior del bosque.</w:t>
            </w:r>
          </w:p>
        </w:tc>
      </w:tr>
      <w:tr>
        <w:trPr>
          <w:trHeight w:val="670" w:hRule="exact"/>
        </w:trPr>
        <w:tc>
          <w:tcPr>
            <w:tcW w:w="1404" w:type="dxa"/>
            <w:vMerge/>
          </w:tcPr>
          <w:p>
            <w:pPr/>
          </w:p>
        </w:tc>
        <w:tc>
          <w:tcPr>
            <w:tcW w:w="1642" w:type="dxa"/>
            <w:vMerge/>
          </w:tcPr>
          <w:p>
            <w:pPr/>
          </w:p>
        </w:tc>
        <w:tc>
          <w:tcPr>
            <w:tcW w:w="2124" w:type="dxa"/>
          </w:tcPr>
          <w:p>
            <w:pPr>
              <w:pStyle w:val="TableParagraph"/>
              <w:spacing w:line="206" w:lineRule="exact" w:before="0"/>
              <w:ind w:left="100"/>
              <w:rPr>
                <w:sz w:val="18"/>
              </w:rPr>
            </w:pPr>
            <w:r>
              <w:rPr>
                <w:sz w:val="18"/>
              </w:rPr>
              <w:t>Quema por flancos.</w:t>
            </w:r>
          </w:p>
        </w:tc>
        <w:tc>
          <w:tcPr>
            <w:tcW w:w="3519" w:type="dxa"/>
          </w:tcPr>
          <w:p>
            <w:pPr>
              <w:pStyle w:val="TableParagraph"/>
              <w:spacing w:before="0"/>
              <w:ind w:left="103" w:right="106"/>
              <w:jc w:val="both"/>
              <w:rPr>
                <w:rFonts w:ascii="Calibri" w:hAnsi="Calibri"/>
                <w:sz w:val="18"/>
              </w:rPr>
            </w:pPr>
            <w:r>
              <w:rPr>
                <w:rFonts w:ascii="Calibri" w:hAnsi="Calibri"/>
                <w:sz w:val="18"/>
              </w:rPr>
              <w:t>Reducir combustibles de bosques naturales y de plantaciones medianas, así como para mejoramiento de los pastizales</w:t>
            </w:r>
          </w:p>
        </w:tc>
      </w:tr>
      <w:tr>
        <w:trPr>
          <w:trHeight w:val="425" w:hRule="exact"/>
        </w:trPr>
        <w:tc>
          <w:tcPr>
            <w:tcW w:w="1404" w:type="dxa"/>
            <w:vMerge/>
          </w:tcPr>
          <w:p>
            <w:pPr/>
          </w:p>
        </w:tc>
        <w:tc>
          <w:tcPr>
            <w:tcW w:w="1642" w:type="dxa"/>
            <w:vMerge/>
          </w:tcPr>
          <w:p>
            <w:pPr/>
          </w:p>
        </w:tc>
        <w:tc>
          <w:tcPr>
            <w:tcW w:w="2124" w:type="dxa"/>
          </w:tcPr>
          <w:p>
            <w:pPr>
              <w:pStyle w:val="TableParagraph"/>
              <w:spacing w:line="206" w:lineRule="exact" w:before="0"/>
              <w:ind w:left="100"/>
              <w:rPr>
                <w:sz w:val="18"/>
              </w:rPr>
            </w:pPr>
            <w:r>
              <w:rPr>
                <w:sz w:val="18"/>
              </w:rPr>
              <w:t>Quema por manchones</w:t>
            </w:r>
          </w:p>
        </w:tc>
        <w:tc>
          <w:tcPr>
            <w:tcW w:w="3519" w:type="dxa"/>
          </w:tcPr>
          <w:p>
            <w:pPr>
              <w:pStyle w:val="TableParagraph"/>
              <w:spacing w:before="0"/>
              <w:ind w:left="103" w:right="74"/>
              <w:rPr>
                <w:sz w:val="18"/>
              </w:rPr>
            </w:pPr>
            <w:r>
              <w:rPr>
                <w:sz w:val="18"/>
              </w:rPr>
              <w:t>Disminuir de combustibles existentes en el interior del bosque.</w:t>
            </w:r>
          </w:p>
        </w:tc>
      </w:tr>
      <w:tr>
        <w:trPr>
          <w:trHeight w:val="422" w:hRule="exact"/>
        </w:trPr>
        <w:tc>
          <w:tcPr>
            <w:tcW w:w="1404" w:type="dxa"/>
            <w:vMerge/>
          </w:tcPr>
          <w:p>
            <w:pPr/>
          </w:p>
        </w:tc>
        <w:tc>
          <w:tcPr>
            <w:tcW w:w="1642" w:type="dxa"/>
            <w:vMerge/>
          </w:tcPr>
          <w:p>
            <w:pPr/>
          </w:p>
        </w:tc>
        <w:tc>
          <w:tcPr>
            <w:tcW w:w="2124" w:type="dxa"/>
          </w:tcPr>
          <w:p>
            <w:pPr>
              <w:pStyle w:val="TableParagraph"/>
              <w:spacing w:line="206" w:lineRule="exact" w:before="0"/>
              <w:ind w:left="100"/>
              <w:rPr>
                <w:sz w:val="18"/>
              </w:rPr>
            </w:pPr>
            <w:r>
              <w:rPr>
                <w:sz w:val="18"/>
              </w:rPr>
              <w:t>Quema en círculo</w:t>
            </w:r>
          </w:p>
        </w:tc>
        <w:tc>
          <w:tcPr>
            <w:tcW w:w="3519" w:type="dxa"/>
          </w:tcPr>
          <w:p>
            <w:pPr>
              <w:pStyle w:val="TableParagraph"/>
              <w:spacing w:before="0"/>
              <w:ind w:left="103" w:right="74"/>
              <w:rPr>
                <w:sz w:val="18"/>
              </w:rPr>
            </w:pPr>
            <w:r>
              <w:rPr>
                <w:sz w:val="18"/>
              </w:rPr>
              <w:t>Disminuir de combustibles existentes en el interior del bosque.</w:t>
            </w:r>
          </w:p>
        </w:tc>
      </w:tr>
      <w:tr>
        <w:trPr>
          <w:trHeight w:val="838" w:hRule="exact"/>
        </w:trPr>
        <w:tc>
          <w:tcPr>
            <w:tcW w:w="1404" w:type="dxa"/>
          </w:tcPr>
          <w:p>
            <w:pPr>
              <w:pStyle w:val="TableParagraph"/>
              <w:spacing w:before="0"/>
              <w:rPr>
                <w:sz w:val="18"/>
              </w:rPr>
            </w:pPr>
          </w:p>
          <w:p>
            <w:pPr>
              <w:pStyle w:val="TableParagraph"/>
              <w:spacing w:before="104"/>
              <w:ind w:left="137" w:right="137"/>
              <w:jc w:val="center"/>
              <w:rPr>
                <w:sz w:val="18"/>
              </w:rPr>
            </w:pPr>
            <w:r>
              <w:rPr>
                <w:sz w:val="18"/>
              </w:rPr>
              <w:t>Legal</w:t>
            </w:r>
          </w:p>
        </w:tc>
        <w:tc>
          <w:tcPr>
            <w:tcW w:w="1642" w:type="dxa"/>
          </w:tcPr>
          <w:p>
            <w:pPr>
              <w:pStyle w:val="TableParagraph"/>
              <w:tabs>
                <w:tab w:pos="1388" w:val="left" w:leader="none"/>
              </w:tabs>
              <w:spacing w:before="0"/>
              <w:ind w:left="103" w:right="100"/>
              <w:rPr>
                <w:sz w:val="18"/>
              </w:rPr>
            </w:pPr>
            <w:r>
              <w:rPr>
                <w:sz w:val="18"/>
              </w:rPr>
              <w:t>Difundir</w:t>
              <w:tab/>
              <w:t>la legislación aplicable en la materia,</w:t>
            </w:r>
          </w:p>
        </w:tc>
        <w:tc>
          <w:tcPr>
            <w:tcW w:w="2124" w:type="dxa"/>
          </w:tcPr>
          <w:p>
            <w:pPr>
              <w:pStyle w:val="TableParagraph"/>
              <w:tabs>
                <w:tab w:pos="911" w:val="left" w:leader="none"/>
              </w:tabs>
              <w:spacing w:before="0"/>
              <w:ind w:left="100" w:right="101"/>
              <w:jc w:val="both"/>
              <w:rPr>
                <w:sz w:val="18"/>
              </w:rPr>
            </w:pPr>
            <w:r>
              <w:rPr>
                <w:sz w:val="18"/>
              </w:rPr>
              <w:t>Difundir la legislación utilizando los  medios de</w:t>
              <w:tab/>
            </w:r>
            <w:r>
              <w:rPr>
                <w:spacing w:val="-1"/>
                <w:sz w:val="18"/>
              </w:rPr>
              <w:t>comunicación </w:t>
            </w:r>
            <w:r>
              <w:rPr>
                <w:sz w:val="18"/>
              </w:rPr>
              <w:t>masiva.</w:t>
            </w:r>
          </w:p>
        </w:tc>
        <w:tc>
          <w:tcPr>
            <w:tcW w:w="3519" w:type="dxa"/>
          </w:tcPr>
          <w:p>
            <w:pPr>
              <w:pStyle w:val="TableParagraph"/>
              <w:spacing w:before="102"/>
              <w:ind w:left="103" w:right="104"/>
              <w:jc w:val="both"/>
              <w:rPr>
                <w:sz w:val="18"/>
              </w:rPr>
            </w:pPr>
            <w:r>
              <w:rPr>
                <w:sz w:val="18"/>
              </w:rPr>
              <w:t>Prevenir asi como de sanciones o acciones coercitivas para castigar la indisciplina o la negligencia.</w:t>
            </w:r>
          </w:p>
        </w:tc>
      </w:tr>
    </w:tbl>
    <w:p>
      <w:pPr>
        <w:spacing w:after="0"/>
        <w:jc w:val="both"/>
        <w:rPr>
          <w:sz w:val="18"/>
        </w:rPr>
        <w:sectPr>
          <w:pgSz w:w="12240" w:h="15840"/>
          <w:pgMar w:header="0" w:footer="1003" w:top="1360" w:bottom="1200" w:left="1600" w:right="1580"/>
        </w:sectPr>
      </w:pPr>
    </w:p>
    <w:p>
      <w:pPr>
        <w:pStyle w:val="Heading1"/>
        <w:spacing w:before="54"/>
        <w:ind w:left="461" w:firstLine="0"/>
      </w:pPr>
      <w:bookmarkStart w:name="_bookmark56" w:id="107"/>
      <w:bookmarkEnd w:id="107"/>
      <w:r>
        <w:rPr>
          <w:b w:val="0"/>
        </w:rPr>
      </w:r>
      <w:r>
        <w:rPr/>
        <w:t>7.1 Propuesta de programa de monitoreo y seguimiento</w:t>
      </w:r>
    </w:p>
    <w:p>
      <w:pPr>
        <w:pStyle w:val="BodyText"/>
        <w:rPr>
          <w:b/>
        </w:rPr>
      </w:pPr>
    </w:p>
    <w:p>
      <w:pPr>
        <w:pStyle w:val="BodyText"/>
        <w:rPr>
          <w:b/>
        </w:rPr>
      </w:pPr>
    </w:p>
    <w:p>
      <w:pPr>
        <w:pStyle w:val="BodyText"/>
        <w:spacing w:line="360" w:lineRule="auto"/>
        <w:ind w:left="102" w:right="165"/>
      </w:pPr>
      <w:r>
        <w:rPr/>
        <w:t>Como parte del sistema de alerta temprana se propone el programa de monitoreo y seguimiento que a continuación se</w:t>
      </w:r>
      <w:r>
        <w:rPr>
          <w:spacing w:val="-15"/>
        </w:rPr>
        <w:t> </w:t>
      </w:r>
      <w:r>
        <w:rPr/>
        <w:t>expone:</w:t>
      </w:r>
    </w:p>
    <w:p>
      <w:pPr>
        <w:pStyle w:val="BodyText"/>
      </w:pPr>
    </w:p>
    <w:p>
      <w:pPr>
        <w:pStyle w:val="BodyText"/>
        <w:spacing w:line="360" w:lineRule="auto" w:before="142"/>
        <w:ind w:left="102"/>
      </w:pPr>
      <w:r>
        <w:rPr>
          <w:b/>
        </w:rPr>
        <w:t>Objetivo: </w:t>
      </w:r>
      <w:r>
        <w:rPr/>
        <w:t>Prevenir incendios forestales en el Suelo de Conservación del Distrito Federal.</w:t>
      </w:r>
    </w:p>
    <w:p>
      <w:pPr>
        <w:pStyle w:val="BodyText"/>
      </w:pPr>
    </w:p>
    <w:p>
      <w:pPr>
        <w:pStyle w:val="ListParagraph"/>
        <w:numPr>
          <w:ilvl w:val="0"/>
          <w:numId w:val="18"/>
        </w:numPr>
        <w:tabs>
          <w:tab w:pos="821" w:val="left" w:leader="none"/>
          <w:tab w:pos="822" w:val="left" w:leader="none"/>
        </w:tabs>
        <w:spacing w:line="350" w:lineRule="auto" w:before="143" w:after="0"/>
        <w:ind w:left="822" w:right="118" w:hanging="360"/>
        <w:jc w:val="left"/>
        <w:rPr>
          <w:sz w:val="24"/>
        </w:rPr>
      </w:pPr>
      <w:r>
        <w:rPr>
          <w:sz w:val="24"/>
        </w:rPr>
        <w:t>Instalar estaciones de observación de variables meteorológicas en las  áreas con categoría de riesgo de incendios grave y/o</w:t>
      </w:r>
      <w:r>
        <w:rPr>
          <w:spacing w:val="-21"/>
          <w:sz w:val="24"/>
        </w:rPr>
        <w:t> </w:t>
      </w:r>
      <w:r>
        <w:rPr>
          <w:sz w:val="24"/>
        </w:rPr>
        <w:t>extremo.</w:t>
      </w:r>
    </w:p>
    <w:p>
      <w:pPr>
        <w:pStyle w:val="ListParagraph"/>
        <w:numPr>
          <w:ilvl w:val="0"/>
          <w:numId w:val="18"/>
        </w:numPr>
        <w:tabs>
          <w:tab w:pos="821" w:val="left" w:leader="none"/>
          <w:tab w:pos="822" w:val="left" w:leader="none"/>
        </w:tabs>
        <w:spacing w:line="352" w:lineRule="auto" w:before="14" w:after="0"/>
        <w:ind w:left="822" w:right="124" w:hanging="360"/>
        <w:jc w:val="left"/>
        <w:rPr>
          <w:sz w:val="24"/>
        </w:rPr>
      </w:pPr>
      <w:r>
        <w:rPr>
          <w:sz w:val="24"/>
        </w:rPr>
        <w:t>Los instrumentos con los que se debe de equipar son: termómetro, pluviómetro, higrógrafo y</w:t>
      </w:r>
      <w:r>
        <w:rPr>
          <w:spacing w:val="-11"/>
          <w:sz w:val="24"/>
        </w:rPr>
        <w:t> </w:t>
      </w:r>
      <w:r>
        <w:rPr>
          <w:sz w:val="24"/>
        </w:rPr>
        <w:t>anemómetro.</w:t>
      </w:r>
    </w:p>
    <w:p>
      <w:pPr>
        <w:pStyle w:val="ListParagraph"/>
        <w:numPr>
          <w:ilvl w:val="0"/>
          <w:numId w:val="18"/>
        </w:numPr>
        <w:tabs>
          <w:tab w:pos="821" w:val="left" w:leader="none"/>
          <w:tab w:pos="822" w:val="left" w:leader="none"/>
        </w:tabs>
        <w:spacing w:line="350" w:lineRule="auto" w:before="11" w:after="0"/>
        <w:ind w:left="822" w:right="116" w:hanging="360"/>
        <w:jc w:val="left"/>
        <w:rPr>
          <w:sz w:val="24"/>
        </w:rPr>
      </w:pPr>
      <w:r>
        <w:rPr>
          <w:sz w:val="24"/>
        </w:rPr>
        <w:t>Capacitar a un grupo de personas para la lectura de los aparatos y su posterior asentamiento digital de esos</w:t>
      </w:r>
      <w:r>
        <w:rPr>
          <w:spacing w:val="-17"/>
          <w:sz w:val="24"/>
        </w:rPr>
        <w:t> </w:t>
      </w:r>
      <w:r>
        <w:rPr>
          <w:sz w:val="24"/>
        </w:rPr>
        <w:t>datos.</w:t>
      </w:r>
    </w:p>
    <w:p>
      <w:pPr>
        <w:pStyle w:val="ListParagraph"/>
        <w:numPr>
          <w:ilvl w:val="0"/>
          <w:numId w:val="18"/>
        </w:numPr>
        <w:tabs>
          <w:tab w:pos="821" w:val="left" w:leader="none"/>
          <w:tab w:pos="822" w:val="left" w:leader="none"/>
        </w:tabs>
        <w:spacing w:line="350" w:lineRule="auto" w:before="16" w:after="0"/>
        <w:ind w:left="822" w:right="123" w:hanging="360"/>
        <w:jc w:val="left"/>
        <w:rPr>
          <w:sz w:val="24"/>
        </w:rPr>
      </w:pPr>
      <w:r>
        <w:rPr>
          <w:sz w:val="24"/>
        </w:rPr>
        <w:t>Capacitar a una persona que esté analizando los datos para alertar posibles incendios.</w:t>
      </w:r>
    </w:p>
    <w:p>
      <w:pPr>
        <w:pStyle w:val="BodyText"/>
      </w:pPr>
    </w:p>
    <w:p>
      <w:pPr>
        <w:pStyle w:val="BodyText"/>
        <w:spacing w:before="153"/>
        <w:ind w:left="102"/>
      </w:pPr>
      <w:r>
        <w:rPr/>
        <w:t>En el cuadro 24, se exponen los indicadores a monitorear.</w:t>
      </w:r>
    </w:p>
    <w:p>
      <w:pPr>
        <w:spacing w:after="0"/>
        <w:sectPr>
          <w:pgSz w:w="12240" w:h="15840"/>
          <w:pgMar w:header="0" w:footer="1003" w:top="1360" w:bottom="1200" w:left="1600" w:right="1580"/>
        </w:sectPr>
      </w:pPr>
    </w:p>
    <w:p>
      <w:pPr>
        <w:pStyle w:val="BodyText"/>
        <w:spacing w:before="54"/>
        <w:ind w:left="102"/>
      </w:pPr>
      <w:r>
        <w:rPr/>
        <w:t>Cuadro 24: Indicadores a monitorear.</w:t>
      </w:r>
    </w:p>
    <w:p>
      <w:pPr>
        <w:pStyle w:val="BodyText"/>
        <w:spacing w:before="3"/>
        <w:rPr>
          <w:sz w:val="12"/>
        </w:rPr>
      </w:pPr>
    </w:p>
    <w:tbl>
      <w:tblPr>
        <w:tblW w:w="0" w:type="auto"/>
        <w:jc w:val="left"/>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7"/>
        <w:gridCol w:w="1133"/>
        <w:gridCol w:w="1418"/>
        <w:gridCol w:w="1136"/>
        <w:gridCol w:w="991"/>
        <w:gridCol w:w="1277"/>
        <w:gridCol w:w="1538"/>
      </w:tblGrid>
      <w:tr>
        <w:trPr>
          <w:trHeight w:val="562" w:hRule="exact"/>
        </w:trPr>
        <w:tc>
          <w:tcPr>
            <w:tcW w:w="1207" w:type="dxa"/>
          </w:tcPr>
          <w:p>
            <w:pPr>
              <w:pStyle w:val="TableParagraph"/>
              <w:spacing w:line="178" w:lineRule="exact" w:before="0"/>
              <w:ind w:right="238"/>
              <w:jc w:val="right"/>
              <w:rPr>
                <w:b/>
                <w:sz w:val="16"/>
              </w:rPr>
            </w:pPr>
            <w:r>
              <w:rPr>
                <w:b/>
                <w:sz w:val="16"/>
              </w:rPr>
              <w:t>Indicador</w:t>
            </w:r>
          </w:p>
        </w:tc>
        <w:tc>
          <w:tcPr>
            <w:tcW w:w="1133" w:type="dxa"/>
          </w:tcPr>
          <w:p>
            <w:pPr>
              <w:pStyle w:val="TableParagraph"/>
              <w:spacing w:before="0"/>
              <w:ind w:left="134" w:right="139"/>
              <w:jc w:val="center"/>
              <w:rPr>
                <w:b/>
                <w:sz w:val="16"/>
              </w:rPr>
            </w:pPr>
            <w:r>
              <w:rPr>
                <w:b/>
                <w:sz w:val="16"/>
              </w:rPr>
              <w:t>Frecuencia de    medición</w:t>
            </w:r>
          </w:p>
        </w:tc>
        <w:tc>
          <w:tcPr>
            <w:tcW w:w="1418" w:type="dxa"/>
          </w:tcPr>
          <w:p>
            <w:pPr>
              <w:pStyle w:val="TableParagraph"/>
              <w:spacing w:line="178" w:lineRule="exact" w:before="0"/>
              <w:ind w:left="427" w:right="132"/>
              <w:rPr>
                <w:b/>
                <w:sz w:val="16"/>
              </w:rPr>
            </w:pPr>
            <w:r>
              <w:rPr>
                <w:b/>
                <w:sz w:val="16"/>
              </w:rPr>
              <w:t>Umbral</w:t>
            </w:r>
          </w:p>
        </w:tc>
        <w:tc>
          <w:tcPr>
            <w:tcW w:w="1136" w:type="dxa"/>
          </w:tcPr>
          <w:p>
            <w:pPr>
              <w:pStyle w:val="TableParagraph"/>
              <w:spacing w:before="0"/>
              <w:ind w:left="208" w:right="160" w:hanging="36"/>
              <w:rPr>
                <w:b/>
                <w:sz w:val="16"/>
              </w:rPr>
            </w:pPr>
            <w:r>
              <w:rPr>
                <w:b/>
                <w:sz w:val="16"/>
              </w:rPr>
              <w:t>Equipo de medición</w:t>
            </w:r>
          </w:p>
        </w:tc>
        <w:tc>
          <w:tcPr>
            <w:tcW w:w="991" w:type="dxa"/>
          </w:tcPr>
          <w:p>
            <w:pPr>
              <w:pStyle w:val="TableParagraph"/>
              <w:spacing w:before="0"/>
              <w:ind w:left="131" w:right="134" w:hanging="3"/>
              <w:jc w:val="center"/>
              <w:rPr>
                <w:b/>
                <w:sz w:val="16"/>
              </w:rPr>
            </w:pPr>
            <w:r>
              <w:rPr>
                <w:b/>
                <w:sz w:val="16"/>
              </w:rPr>
              <w:t>Instancia responsa ble</w:t>
            </w:r>
          </w:p>
        </w:tc>
        <w:tc>
          <w:tcPr>
            <w:tcW w:w="1277" w:type="dxa"/>
          </w:tcPr>
          <w:p>
            <w:pPr>
              <w:pStyle w:val="TableParagraph"/>
              <w:spacing w:before="0"/>
              <w:ind w:left="160" w:right="145" w:firstLine="187"/>
              <w:rPr>
                <w:b/>
                <w:sz w:val="16"/>
              </w:rPr>
            </w:pPr>
            <w:r>
              <w:rPr>
                <w:b/>
                <w:sz w:val="16"/>
              </w:rPr>
              <w:t>Tipo de observación</w:t>
            </w:r>
          </w:p>
        </w:tc>
        <w:tc>
          <w:tcPr>
            <w:tcW w:w="1538" w:type="dxa"/>
          </w:tcPr>
          <w:p>
            <w:pPr>
              <w:pStyle w:val="TableParagraph"/>
              <w:spacing w:line="178" w:lineRule="exact" w:before="0"/>
              <w:ind w:left="187" w:right="101"/>
              <w:rPr>
                <w:b/>
                <w:sz w:val="16"/>
              </w:rPr>
            </w:pPr>
            <w:r>
              <w:rPr>
                <w:b/>
                <w:sz w:val="16"/>
              </w:rPr>
              <w:t>Observaciones</w:t>
            </w:r>
          </w:p>
        </w:tc>
      </w:tr>
      <w:tr>
        <w:trPr>
          <w:trHeight w:val="931" w:hRule="exact"/>
        </w:trPr>
        <w:tc>
          <w:tcPr>
            <w:tcW w:w="1207" w:type="dxa"/>
          </w:tcPr>
          <w:p>
            <w:pPr>
              <w:pStyle w:val="TableParagraph"/>
              <w:spacing w:line="180" w:lineRule="exact" w:before="0"/>
              <w:ind w:right="177"/>
              <w:jc w:val="right"/>
              <w:rPr>
                <w:sz w:val="16"/>
              </w:rPr>
            </w:pPr>
            <w:r>
              <w:rPr>
                <w:sz w:val="16"/>
              </w:rPr>
              <w:t>Temperatura</w:t>
            </w:r>
          </w:p>
        </w:tc>
        <w:tc>
          <w:tcPr>
            <w:tcW w:w="1133" w:type="dxa"/>
          </w:tcPr>
          <w:p>
            <w:pPr>
              <w:pStyle w:val="TableParagraph"/>
              <w:spacing w:line="180" w:lineRule="exact" w:before="0"/>
              <w:ind w:left="100"/>
              <w:rPr>
                <w:sz w:val="16"/>
              </w:rPr>
            </w:pPr>
            <w:r>
              <w:rPr>
                <w:sz w:val="16"/>
              </w:rPr>
              <w:t>Diario</w:t>
            </w:r>
          </w:p>
        </w:tc>
        <w:tc>
          <w:tcPr>
            <w:tcW w:w="1418" w:type="dxa"/>
          </w:tcPr>
          <w:p>
            <w:pPr>
              <w:pStyle w:val="TableParagraph"/>
              <w:spacing w:before="0"/>
              <w:ind w:left="103" w:right="132"/>
              <w:rPr>
                <w:sz w:val="16"/>
              </w:rPr>
            </w:pPr>
            <w:r>
              <w:rPr>
                <w:sz w:val="16"/>
              </w:rPr>
              <w:t>Temperaturas de 20 grados centígrados (SEDEMA, 2003).</w:t>
            </w:r>
          </w:p>
        </w:tc>
        <w:tc>
          <w:tcPr>
            <w:tcW w:w="1136" w:type="dxa"/>
          </w:tcPr>
          <w:p>
            <w:pPr>
              <w:pStyle w:val="TableParagraph"/>
              <w:spacing w:line="180" w:lineRule="exact" w:before="0"/>
              <w:ind w:left="85" w:right="85"/>
              <w:jc w:val="center"/>
              <w:rPr>
                <w:sz w:val="16"/>
              </w:rPr>
            </w:pPr>
            <w:r>
              <w:rPr>
                <w:sz w:val="16"/>
              </w:rPr>
              <w:t>Termómetro</w:t>
            </w:r>
          </w:p>
        </w:tc>
        <w:tc>
          <w:tcPr>
            <w:tcW w:w="991" w:type="dxa"/>
          </w:tcPr>
          <w:p>
            <w:pPr>
              <w:pStyle w:val="TableParagraph"/>
              <w:spacing w:line="180" w:lineRule="exact" w:before="0"/>
              <w:ind w:left="127" w:right="128"/>
              <w:jc w:val="center"/>
              <w:rPr>
                <w:sz w:val="16"/>
              </w:rPr>
            </w:pPr>
            <w:r>
              <w:rPr>
                <w:sz w:val="16"/>
              </w:rPr>
              <w:t>CORENA</w:t>
            </w:r>
          </w:p>
        </w:tc>
        <w:tc>
          <w:tcPr>
            <w:tcW w:w="1277" w:type="dxa"/>
          </w:tcPr>
          <w:p>
            <w:pPr>
              <w:pStyle w:val="TableParagraph"/>
              <w:spacing w:line="180" w:lineRule="exact" w:before="0"/>
              <w:ind w:left="103"/>
              <w:rPr>
                <w:sz w:val="16"/>
              </w:rPr>
            </w:pPr>
            <w:r>
              <w:rPr>
                <w:sz w:val="16"/>
              </w:rPr>
              <w:t>Visual</w:t>
            </w:r>
          </w:p>
        </w:tc>
        <w:tc>
          <w:tcPr>
            <w:tcW w:w="1538" w:type="dxa"/>
            <w:vMerge w:val="restart"/>
          </w:tcPr>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tabs>
                <w:tab w:pos="609" w:val="left" w:leader="none"/>
                <w:tab w:pos="668" w:val="left" w:leader="none"/>
                <w:tab w:pos="1102" w:val="left" w:leader="none"/>
                <w:tab w:pos="1216" w:val="left" w:leader="none"/>
                <w:tab w:pos="1297" w:val="left" w:leader="none"/>
              </w:tabs>
              <w:spacing w:before="98"/>
              <w:ind w:left="100" w:right="101"/>
              <w:rPr>
                <w:sz w:val="16"/>
              </w:rPr>
            </w:pPr>
            <w:r>
              <w:rPr>
                <w:sz w:val="16"/>
              </w:rPr>
              <w:t>Es</w:t>
              <w:tab/>
              <w:tab/>
            </w:r>
            <w:r>
              <w:rPr>
                <w:spacing w:val="-1"/>
                <w:sz w:val="16"/>
              </w:rPr>
              <w:t>importante </w:t>
            </w:r>
            <w:r>
              <w:rPr>
                <w:sz w:val="16"/>
              </w:rPr>
              <w:t>generar climogramas mensuales</w:t>
              <w:tab/>
              <w:t>para observar</w:t>
              <w:tab/>
              <w:tab/>
              <w:tab/>
              <w:t>el comportamiento de estas variables ya</w:t>
              <w:tab/>
              <w:t>que</w:t>
              <w:tab/>
              <w:tab/>
              <w:t>los incendios ocurren cuando</w:t>
              <w:tab/>
              <w:tab/>
              <w:tab/>
              <w:tab/>
              <w:t>la</w:t>
            </w:r>
          </w:p>
          <w:p>
            <w:pPr>
              <w:pStyle w:val="TableParagraph"/>
              <w:spacing w:before="1"/>
              <w:ind w:left="100" w:right="101"/>
              <w:jc w:val="both"/>
              <w:rPr>
                <w:sz w:val="16"/>
              </w:rPr>
            </w:pPr>
            <w:r>
              <w:rPr>
                <w:sz w:val="16"/>
              </w:rPr>
              <w:t>precipitación es menor que la evaporación</w:t>
            </w:r>
          </w:p>
        </w:tc>
      </w:tr>
      <w:tr>
        <w:trPr>
          <w:trHeight w:val="744" w:hRule="exact"/>
        </w:trPr>
        <w:tc>
          <w:tcPr>
            <w:tcW w:w="1207" w:type="dxa"/>
          </w:tcPr>
          <w:p>
            <w:pPr>
              <w:pStyle w:val="TableParagraph"/>
              <w:spacing w:line="180" w:lineRule="exact" w:before="0"/>
              <w:ind w:right="175"/>
              <w:jc w:val="right"/>
              <w:rPr>
                <w:sz w:val="16"/>
              </w:rPr>
            </w:pPr>
            <w:r>
              <w:rPr>
                <w:sz w:val="16"/>
              </w:rPr>
              <w:t>Precipitación</w:t>
            </w:r>
          </w:p>
        </w:tc>
        <w:tc>
          <w:tcPr>
            <w:tcW w:w="1133" w:type="dxa"/>
          </w:tcPr>
          <w:p>
            <w:pPr>
              <w:pStyle w:val="TableParagraph"/>
              <w:spacing w:line="180" w:lineRule="exact" w:before="0"/>
              <w:ind w:left="100"/>
              <w:rPr>
                <w:sz w:val="16"/>
              </w:rPr>
            </w:pPr>
            <w:r>
              <w:rPr>
                <w:sz w:val="16"/>
              </w:rPr>
              <w:t>Diario</w:t>
            </w:r>
          </w:p>
        </w:tc>
        <w:tc>
          <w:tcPr>
            <w:tcW w:w="1418" w:type="dxa"/>
          </w:tcPr>
          <w:p>
            <w:pPr>
              <w:pStyle w:val="TableParagraph"/>
              <w:spacing w:before="0"/>
              <w:ind w:left="103" w:right="132"/>
              <w:rPr>
                <w:sz w:val="16"/>
              </w:rPr>
            </w:pPr>
            <w:r>
              <w:rPr>
                <w:sz w:val="16"/>
              </w:rPr>
              <w:t>Menor de 10 milímetros (SEDEMA, 2013).</w:t>
            </w:r>
          </w:p>
        </w:tc>
        <w:tc>
          <w:tcPr>
            <w:tcW w:w="1136" w:type="dxa"/>
          </w:tcPr>
          <w:p>
            <w:pPr>
              <w:pStyle w:val="TableParagraph"/>
              <w:spacing w:line="180" w:lineRule="exact" w:before="0"/>
              <w:ind w:left="85" w:right="85"/>
              <w:jc w:val="center"/>
              <w:rPr>
                <w:sz w:val="16"/>
              </w:rPr>
            </w:pPr>
            <w:r>
              <w:rPr>
                <w:sz w:val="16"/>
              </w:rPr>
              <w:t>Pluviómetro</w:t>
            </w:r>
          </w:p>
        </w:tc>
        <w:tc>
          <w:tcPr>
            <w:tcW w:w="991" w:type="dxa"/>
          </w:tcPr>
          <w:p>
            <w:pPr>
              <w:pStyle w:val="TableParagraph"/>
              <w:spacing w:line="180" w:lineRule="exact" w:before="0"/>
              <w:ind w:left="127" w:right="128"/>
              <w:jc w:val="center"/>
              <w:rPr>
                <w:sz w:val="16"/>
              </w:rPr>
            </w:pPr>
            <w:r>
              <w:rPr>
                <w:sz w:val="16"/>
              </w:rPr>
              <w:t>CORENA</w:t>
            </w:r>
          </w:p>
        </w:tc>
        <w:tc>
          <w:tcPr>
            <w:tcW w:w="1277" w:type="dxa"/>
          </w:tcPr>
          <w:p>
            <w:pPr>
              <w:pStyle w:val="TableParagraph"/>
              <w:spacing w:line="180" w:lineRule="exact" w:before="0"/>
              <w:ind w:left="103"/>
              <w:rPr>
                <w:sz w:val="16"/>
              </w:rPr>
            </w:pPr>
            <w:r>
              <w:rPr>
                <w:sz w:val="16"/>
              </w:rPr>
              <w:t>Visual</w:t>
            </w:r>
          </w:p>
        </w:tc>
        <w:tc>
          <w:tcPr>
            <w:tcW w:w="1538" w:type="dxa"/>
            <w:vMerge/>
          </w:tcPr>
          <w:p>
            <w:pPr/>
          </w:p>
        </w:tc>
      </w:tr>
      <w:tr>
        <w:trPr>
          <w:trHeight w:val="2403" w:hRule="exact"/>
        </w:trPr>
        <w:tc>
          <w:tcPr>
            <w:tcW w:w="1207" w:type="dxa"/>
          </w:tcPr>
          <w:p>
            <w:pPr>
              <w:pStyle w:val="TableParagraph"/>
              <w:spacing w:before="0"/>
              <w:ind w:left="100" w:right="383"/>
              <w:rPr>
                <w:sz w:val="16"/>
              </w:rPr>
            </w:pPr>
            <w:r>
              <w:rPr>
                <w:sz w:val="16"/>
              </w:rPr>
              <w:t>Humedad relativa</w:t>
            </w:r>
          </w:p>
        </w:tc>
        <w:tc>
          <w:tcPr>
            <w:tcW w:w="1133" w:type="dxa"/>
          </w:tcPr>
          <w:p>
            <w:pPr>
              <w:pStyle w:val="TableParagraph"/>
              <w:spacing w:line="180" w:lineRule="exact" w:before="0"/>
              <w:ind w:left="100"/>
              <w:rPr>
                <w:sz w:val="16"/>
              </w:rPr>
            </w:pPr>
            <w:r>
              <w:rPr>
                <w:sz w:val="16"/>
              </w:rPr>
              <w:t>Diario</w:t>
            </w:r>
          </w:p>
        </w:tc>
        <w:tc>
          <w:tcPr>
            <w:tcW w:w="1418" w:type="dxa"/>
          </w:tcPr>
          <w:p>
            <w:pPr>
              <w:pStyle w:val="TableParagraph"/>
              <w:tabs>
                <w:tab w:pos="1040" w:val="left" w:leader="none"/>
              </w:tabs>
              <w:spacing w:before="0"/>
              <w:ind w:left="103" w:right="98"/>
              <w:rPr>
                <w:sz w:val="16"/>
              </w:rPr>
            </w:pPr>
            <w:r>
              <w:rPr>
                <w:sz w:val="16"/>
              </w:rPr>
              <w:t>En México se considera</w:t>
              <w:tab/>
              <w:t>que</w:t>
            </w:r>
          </w:p>
          <w:p>
            <w:pPr>
              <w:pStyle w:val="TableParagraph"/>
              <w:tabs>
                <w:tab w:pos="630" w:val="left" w:leader="none"/>
                <w:tab w:pos="1136" w:val="left" w:leader="none"/>
                <w:tab w:pos="1180" w:val="left" w:leader="none"/>
              </w:tabs>
              <w:spacing w:before="1"/>
              <w:ind w:left="103" w:right="100"/>
              <w:rPr>
                <w:sz w:val="16"/>
              </w:rPr>
            </w:pPr>
            <w:r>
              <w:rPr>
                <w:spacing w:val="-1"/>
                <w:sz w:val="16"/>
              </w:rPr>
              <w:t>cuando</w:t>
              <w:tab/>
              <w:tab/>
              <w:tab/>
            </w:r>
            <w:r>
              <w:rPr>
                <w:sz w:val="16"/>
              </w:rPr>
              <w:t>la humedad relativa en el ecosistema</w:t>
              <w:tab/>
              <w:t>es menor a 30 %  es propicia para el desarrollo de los</w:t>
              <w:tab/>
            </w:r>
            <w:r>
              <w:rPr>
                <w:spacing w:val="-1"/>
                <w:sz w:val="16"/>
              </w:rPr>
              <w:t>incendios </w:t>
            </w:r>
            <w:r>
              <w:rPr>
                <w:sz w:val="16"/>
              </w:rPr>
              <w:t>forestales (CENAPRED, 2008)</w:t>
            </w:r>
          </w:p>
        </w:tc>
        <w:tc>
          <w:tcPr>
            <w:tcW w:w="1136" w:type="dxa"/>
          </w:tcPr>
          <w:p>
            <w:pPr>
              <w:pStyle w:val="TableParagraph"/>
              <w:spacing w:line="180" w:lineRule="exact" w:before="0"/>
              <w:ind w:left="82" w:right="85"/>
              <w:jc w:val="center"/>
              <w:rPr>
                <w:sz w:val="16"/>
              </w:rPr>
            </w:pPr>
            <w:r>
              <w:rPr>
                <w:sz w:val="16"/>
              </w:rPr>
              <w:t>Higrógrafo</w:t>
            </w:r>
          </w:p>
        </w:tc>
        <w:tc>
          <w:tcPr>
            <w:tcW w:w="991" w:type="dxa"/>
          </w:tcPr>
          <w:p>
            <w:pPr>
              <w:pStyle w:val="TableParagraph"/>
              <w:spacing w:line="180" w:lineRule="exact" w:before="0"/>
              <w:ind w:left="127" w:right="128"/>
              <w:jc w:val="center"/>
              <w:rPr>
                <w:sz w:val="16"/>
              </w:rPr>
            </w:pPr>
            <w:r>
              <w:rPr>
                <w:sz w:val="16"/>
              </w:rPr>
              <w:t>CORENA</w:t>
            </w:r>
          </w:p>
        </w:tc>
        <w:tc>
          <w:tcPr>
            <w:tcW w:w="1277" w:type="dxa"/>
          </w:tcPr>
          <w:p>
            <w:pPr>
              <w:pStyle w:val="TableParagraph"/>
              <w:spacing w:line="180" w:lineRule="exact" w:before="0"/>
              <w:ind w:left="103"/>
              <w:rPr>
                <w:sz w:val="16"/>
              </w:rPr>
            </w:pPr>
            <w:r>
              <w:rPr>
                <w:sz w:val="16"/>
              </w:rPr>
              <w:t>Visual</w:t>
            </w:r>
          </w:p>
        </w:tc>
        <w:tc>
          <w:tcPr>
            <w:tcW w:w="1538" w:type="dxa"/>
            <w:vMerge/>
          </w:tcPr>
          <w:p>
            <w:pPr/>
          </w:p>
        </w:tc>
      </w:tr>
      <w:tr>
        <w:trPr>
          <w:trHeight w:val="746" w:hRule="exact"/>
        </w:trPr>
        <w:tc>
          <w:tcPr>
            <w:tcW w:w="1207" w:type="dxa"/>
          </w:tcPr>
          <w:p>
            <w:pPr>
              <w:pStyle w:val="TableParagraph"/>
              <w:spacing w:before="0"/>
              <w:ind w:left="100"/>
              <w:rPr>
                <w:sz w:val="16"/>
              </w:rPr>
            </w:pPr>
            <w:r>
              <w:rPr>
                <w:sz w:val="16"/>
              </w:rPr>
              <w:t>Velocidad del viento</w:t>
            </w:r>
          </w:p>
        </w:tc>
        <w:tc>
          <w:tcPr>
            <w:tcW w:w="1133" w:type="dxa"/>
          </w:tcPr>
          <w:p>
            <w:pPr>
              <w:pStyle w:val="TableParagraph"/>
              <w:spacing w:line="180" w:lineRule="exact" w:before="0"/>
              <w:ind w:left="100"/>
              <w:rPr>
                <w:sz w:val="16"/>
              </w:rPr>
            </w:pPr>
            <w:r>
              <w:rPr>
                <w:sz w:val="16"/>
              </w:rPr>
              <w:t>Diario</w:t>
            </w:r>
          </w:p>
        </w:tc>
        <w:tc>
          <w:tcPr>
            <w:tcW w:w="1418" w:type="dxa"/>
          </w:tcPr>
          <w:p>
            <w:pPr>
              <w:pStyle w:val="TableParagraph"/>
              <w:spacing w:before="0"/>
              <w:ind w:left="103" w:right="132"/>
              <w:rPr>
                <w:sz w:val="16"/>
              </w:rPr>
            </w:pPr>
            <w:r>
              <w:rPr>
                <w:sz w:val="16"/>
              </w:rPr>
              <w:t>Vientos de 30 km/hr (SEDEMA, 2013).</w:t>
            </w:r>
          </w:p>
        </w:tc>
        <w:tc>
          <w:tcPr>
            <w:tcW w:w="1136" w:type="dxa"/>
          </w:tcPr>
          <w:p>
            <w:pPr>
              <w:pStyle w:val="TableParagraph"/>
              <w:spacing w:line="180" w:lineRule="exact" w:before="0"/>
              <w:ind w:left="85" w:right="85"/>
              <w:jc w:val="center"/>
              <w:rPr>
                <w:sz w:val="16"/>
              </w:rPr>
            </w:pPr>
            <w:r>
              <w:rPr>
                <w:sz w:val="16"/>
              </w:rPr>
              <w:t>Anemómetro</w:t>
            </w:r>
          </w:p>
        </w:tc>
        <w:tc>
          <w:tcPr>
            <w:tcW w:w="991" w:type="dxa"/>
          </w:tcPr>
          <w:p>
            <w:pPr>
              <w:pStyle w:val="TableParagraph"/>
              <w:spacing w:line="180" w:lineRule="exact" w:before="0"/>
              <w:ind w:left="127" w:right="129"/>
              <w:jc w:val="center"/>
              <w:rPr>
                <w:sz w:val="16"/>
              </w:rPr>
            </w:pPr>
            <w:r>
              <w:rPr>
                <w:sz w:val="16"/>
              </w:rPr>
              <w:t>CORENA</w:t>
            </w:r>
          </w:p>
        </w:tc>
        <w:tc>
          <w:tcPr>
            <w:tcW w:w="1277" w:type="dxa"/>
          </w:tcPr>
          <w:p>
            <w:pPr>
              <w:pStyle w:val="TableParagraph"/>
              <w:spacing w:line="180" w:lineRule="exact" w:before="0"/>
              <w:ind w:left="103"/>
              <w:rPr>
                <w:sz w:val="16"/>
              </w:rPr>
            </w:pPr>
            <w:r>
              <w:rPr>
                <w:sz w:val="16"/>
              </w:rPr>
              <w:t>Visual</w:t>
            </w:r>
          </w:p>
        </w:tc>
        <w:tc>
          <w:tcPr>
            <w:tcW w:w="1538" w:type="dxa"/>
          </w:tcPr>
          <w:p>
            <w:pPr/>
          </w:p>
        </w:tc>
      </w:tr>
      <w:tr>
        <w:trPr>
          <w:trHeight w:val="2033" w:hRule="exact"/>
        </w:trPr>
        <w:tc>
          <w:tcPr>
            <w:tcW w:w="1207" w:type="dxa"/>
          </w:tcPr>
          <w:p>
            <w:pPr>
              <w:pStyle w:val="TableParagraph"/>
              <w:spacing w:before="0"/>
              <w:ind w:left="100" w:right="223"/>
              <w:rPr>
                <w:sz w:val="16"/>
              </w:rPr>
            </w:pPr>
            <w:r>
              <w:rPr>
                <w:sz w:val="16"/>
              </w:rPr>
              <w:t>Material combustible</w:t>
            </w:r>
          </w:p>
        </w:tc>
        <w:tc>
          <w:tcPr>
            <w:tcW w:w="1133" w:type="dxa"/>
          </w:tcPr>
          <w:p>
            <w:pPr>
              <w:pStyle w:val="TableParagraph"/>
              <w:spacing w:before="0"/>
              <w:ind w:left="100"/>
              <w:rPr>
                <w:sz w:val="16"/>
              </w:rPr>
            </w:pPr>
            <w:r>
              <w:rPr>
                <w:sz w:val="16"/>
              </w:rPr>
              <w:t>2 veces por año</w:t>
            </w:r>
          </w:p>
        </w:tc>
        <w:tc>
          <w:tcPr>
            <w:tcW w:w="1418" w:type="dxa"/>
          </w:tcPr>
          <w:p>
            <w:pPr>
              <w:pStyle w:val="TableParagraph"/>
              <w:spacing w:line="180" w:lineRule="exact" w:before="0"/>
              <w:ind w:left="103" w:right="132"/>
              <w:rPr>
                <w:sz w:val="16"/>
              </w:rPr>
            </w:pPr>
            <w:r>
              <w:rPr>
                <w:sz w:val="16"/>
              </w:rPr>
              <w:t>Diámetro (cm)</w:t>
            </w:r>
          </w:p>
          <w:p>
            <w:pPr>
              <w:pStyle w:val="TableParagraph"/>
              <w:spacing w:before="10"/>
              <w:rPr>
                <w:sz w:val="15"/>
              </w:rPr>
            </w:pPr>
          </w:p>
          <w:p>
            <w:pPr>
              <w:pStyle w:val="TableParagraph"/>
              <w:spacing w:before="0"/>
              <w:ind w:left="103" w:right="132"/>
              <w:rPr>
                <w:sz w:val="16"/>
              </w:rPr>
            </w:pPr>
            <w:r>
              <w:rPr>
                <w:sz w:val="16"/>
              </w:rPr>
              <w:t>Finos: 0-0.5</w:t>
            </w:r>
          </w:p>
          <w:p>
            <w:pPr>
              <w:pStyle w:val="TableParagraph"/>
              <w:spacing w:before="1"/>
              <w:ind w:left="103"/>
              <w:rPr>
                <w:sz w:val="16"/>
              </w:rPr>
            </w:pPr>
            <w:r>
              <w:rPr>
                <w:sz w:val="16"/>
              </w:rPr>
              <w:t>Regulares: 0.51-</w:t>
            </w:r>
          </w:p>
          <w:p>
            <w:pPr>
              <w:pStyle w:val="TableParagraph"/>
              <w:spacing w:line="183" w:lineRule="exact" w:before="1"/>
              <w:ind w:left="103" w:right="132"/>
              <w:rPr>
                <w:sz w:val="16"/>
              </w:rPr>
            </w:pPr>
            <w:r>
              <w:rPr>
                <w:sz w:val="16"/>
              </w:rPr>
              <w:t>2.5</w:t>
            </w:r>
          </w:p>
          <w:p>
            <w:pPr>
              <w:pStyle w:val="TableParagraph"/>
              <w:spacing w:line="183" w:lineRule="exact" w:before="0"/>
              <w:ind w:left="103"/>
              <w:rPr>
                <w:sz w:val="16"/>
              </w:rPr>
            </w:pPr>
            <w:r>
              <w:rPr>
                <w:sz w:val="16"/>
              </w:rPr>
              <w:t>Medianos:  2.51-</w:t>
            </w:r>
          </w:p>
          <w:p>
            <w:pPr>
              <w:pStyle w:val="TableParagraph"/>
              <w:spacing w:before="1"/>
              <w:ind w:left="103" w:right="132"/>
              <w:rPr>
                <w:sz w:val="16"/>
              </w:rPr>
            </w:pPr>
            <w:r>
              <w:rPr>
                <w:sz w:val="16"/>
              </w:rPr>
              <w:t>7.5</w:t>
            </w:r>
          </w:p>
          <w:p>
            <w:pPr>
              <w:pStyle w:val="TableParagraph"/>
              <w:spacing w:before="1"/>
              <w:ind w:left="103" w:right="276"/>
              <w:rPr>
                <w:sz w:val="16"/>
              </w:rPr>
            </w:pPr>
            <w:r>
              <w:rPr>
                <w:sz w:val="16"/>
              </w:rPr>
              <w:t>Gruesos: &gt;7.5 (CONAFOR, 2011).</w:t>
            </w:r>
          </w:p>
        </w:tc>
        <w:tc>
          <w:tcPr>
            <w:tcW w:w="1136" w:type="dxa"/>
          </w:tcPr>
          <w:p>
            <w:pPr>
              <w:pStyle w:val="TableParagraph"/>
              <w:spacing w:before="0"/>
              <w:ind w:left="103" w:right="103" w:hanging="3"/>
              <w:jc w:val="center"/>
              <w:rPr>
                <w:sz w:val="16"/>
              </w:rPr>
            </w:pPr>
            <w:r>
              <w:rPr>
                <w:sz w:val="16"/>
              </w:rPr>
              <w:t>Calibrador de</w:t>
            </w:r>
            <w:r>
              <w:rPr>
                <w:spacing w:val="-3"/>
                <w:sz w:val="16"/>
              </w:rPr>
              <w:t> </w:t>
            </w:r>
            <w:r>
              <w:rPr>
                <w:sz w:val="16"/>
              </w:rPr>
              <w:t>partículas leñosas.</w:t>
            </w:r>
          </w:p>
        </w:tc>
        <w:tc>
          <w:tcPr>
            <w:tcW w:w="991" w:type="dxa"/>
          </w:tcPr>
          <w:p>
            <w:pPr>
              <w:pStyle w:val="TableParagraph"/>
              <w:spacing w:line="180" w:lineRule="exact" w:before="0"/>
              <w:ind w:left="127" w:right="128"/>
              <w:jc w:val="center"/>
              <w:rPr>
                <w:sz w:val="16"/>
              </w:rPr>
            </w:pPr>
            <w:r>
              <w:rPr>
                <w:sz w:val="16"/>
              </w:rPr>
              <w:t>CORENA</w:t>
            </w:r>
          </w:p>
        </w:tc>
        <w:tc>
          <w:tcPr>
            <w:tcW w:w="1277" w:type="dxa"/>
          </w:tcPr>
          <w:p>
            <w:pPr>
              <w:pStyle w:val="TableParagraph"/>
              <w:spacing w:line="180" w:lineRule="exact" w:before="0"/>
              <w:ind w:left="103"/>
              <w:rPr>
                <w:sz w:val="16"/>
              </w:rPr>
            </w:pPr>
            <w:r>
              <w:rPr>
                <w:sz w:val="16"/>
              </w:rPr>
              <w:t>Visual</w:t>
            </w:r>
          </w:p>
        </w:tc>
        <w:tc>
          <w:tcPr>
            <w:tcW w:w="1538" w:type="dxa"/>
          </w:tcPr>
          <w:p>
            <w:pPr>
              <w:pStyle w:val="TableParagraph"/>
              <w:tabs>
                <w:tab w:pos="1343" w:val="left" w:leader="none"/>
              </w:tabs>
              <w:spacing w:before="0"/>
              <w:ind w:left="100" w:right="102"/>
              <w:jc w:val="both"/>
              <w:rPr>
                <w:sz w:val="16"/>
              </w:rPr>
            </w:pPr>
            <w:r>
              <w:rPr>
                <w:sz w:val="16"/>
              </w:rPr>
              <w:t>Evaluar después del periodo de heladas</w:t>
              <w:tab/>
              <w:t>y</w:t>
            </w:r>
          </w:p>
          <w:p>
            <w:pPr>
              <w:pStyle w:val="TableParagraph"/>
              <w:tabs>
                <w:tab w:pos="1211" w:val="left" w:leader="none"/>
              </w:tabs>
              <w:spacing w:before="1"/>
              <w:ind w:left="100" w:right="102"/>
              <w:jc w:val="both"/>
              <w:rPr>
                <w:sz w:val="16"/>
              </w:rPr>
            </w:pPr>
            <w:r>
              <w:rPr>
                <w:sz w:val="16"/>
              </w:rPr>
              <w:t>después</w:t>
              <w:tab/>
              <w:t>del periodo de lluvias de cada</w:t>
            </w:r>
            <w:r>
              <w:rPr>
                <w:spacing w:val="-2"/>
                <w:sz w:val="16"/>
              </w:rPr>
              <w:t> </w:t>
            </w:r>
            <w:r>
              <w:rPr>
                <w:sz w:val="16"/>
              </w:rPr>
              <w:t>año.</w:t>
            </w:r>
          </w:p>
        </w:tc>
      </w:tr>
    </w:tbl>
    <w:p>
      <w:pPr>
        <w:spacing w:after="0"/>
        <w:jc w:val="both"/>
        <w:rPr>
          <w:sz w:val="16"/>
        </w:rPr>
        <w:sectPr>
          <w:pgSz w:w="12240" w:h="15840"/>
          <w:pgMar w:header="0" w:footer="1003" w:top="1360" w:bottom="1200" w:left="1600" w:right="1580"/>
        </w:sectPr>
      </w:pPr>
    </w:p>
    <w:p>
      <w:pPr>
        <w:pStyle w:val="Heading1"/>
        <w:numPr>
          <w:ilvl w:val="0"/>
          <w:numId w:val="16"/>
        </w:numPr>
        <w:tabs>
          <w:tab w:pos="702" w:val="left" w:leader="none"/>
        </w:tabs>
        <w:spacing w:line="240" w:lineRule="auto" w:before="54" w:after="0"/>
        <w:ind w:left="702" w:right="0" w:hanging="360"/>
        <w:jc w:val="left"/>
      </w:pPr>
      <w:bookmarkStart w:name="_bookmark57" w:id="108"/>
      <w:bookmarkEnd w:id="108"/>
      <w:r>
        <w:rPr>
          <w:b w:val="0"/>
        </w:rPr>
      </w:r>
      <w:bookmarkStart w:name="_bookmark57" w:id="109"/>
      <w:bookmarkEnd w:id="109"/>
      <w:r>
        <w:rPr/>
        <w:t>C</w:t>
      </w:r>
      <w:r>
        <w:rPr/>
        <w:t>ONCLUSIONES</w:t>
      </w:r>
    </w:p>
    <w:p>
      <w:pPr>
        <w:pStyle w:val="BodyText"/>
        <w:rPr>
          <w:b/>
        </w:rPr>
      </w:pPr>
    </w:p>
    <w:p>
      <w:pPr>
        <w:pStyle w:val="BodyText"/>
        <w:rPr>
          <w:b/>
        </w:rPr>
      </w:pPr>
    </w:p>
    <w:p>
      <w:pPr>
        <w:pStyle w:val="ListParagraph"/>
        <w:numPr>
          <w:ilvl w:val="0"/>
          <w:numId w:val="19"/>
        </w:numPr>
        <w:tabs>
          <w:tab w:pos="695" w:val="left" w:leader="none"/>
        </w:tabs>
        <w:spacing w:line="360" w:lineRule="auto" w:before="0" w:after="0"/>
        <w:ind w:left="694" w:right="116" w:hanging="355"/>
        <w:jc w:val="both"/>
        <w:rPr>
          <w:sz w:val="24"/>
        </w:rPr>
      </w:pPr>
      <w:r>
        <w:rPr>
          <w:sz w:val="24"/>
        </w:rPr>
        <w:t>El mapa de riesgo estadístico muestra que las delegaciones que mayor actividades de prevención requieren son: Milpa Alta, Tlalpan, Magdalena Contreras, La Sierra de Santa Catarina ubicada en Tláhuac y Gustavo A. Madero, debido a que estas delegaciones son las que tienen cuadrantes con categoría  alta, grave y</w:t>
      </w:r>
      <w:r>
        <w:rPr>
          <w:spacing w:val="-12"/>
          <w:sz w:val="24"/>
        </w:rPr>
        <w:t> </w:t>
      </w:r>
      <w:r>
        <w:rPr>
          <w:sz w:val="24"/>
        </w:rPr>
        <w:t>extrema.</w:t>
      </w:r>
    </w:p>
    <w:p>
      <w:pPr>
        <w:pStyle w:val="ListParagraph"/>
        <w:numPr>
          <w:ilvl w:val="0"/>
          <w:numId w:val="19"/>
        </w:numPr>
        <w:tabs>
          <w:tab w:pos="695" w:val="left" w:leader="none"/>
        </w:tabs>
        <w:spacing w:line="360" w:lineRule="auto" w:before="2" w:after="0"/>
        <w:ind w:left="694" w:right="118" w:hanging="355"/>
        <w:jc w:val="both"/>
        <w:rPr>
          <w:sz w:val="24"/>
        </w:rPr>
      </w:pPr>
      <w:r>
        <w:rPr>
          <w:sz w:val="24"/>
        </w:rPr>
        <w:t>El mapa de peligrosidad del medio muestra que las delegaciones Milpa  Alta, Tlalpan, Magdalena Contreras, Álvaro Obregón, Cuajimalpa y el Sur  de Xochimilco son las que tienen cuadrantes con peligrosidad alta, media y extrema, por lo tanto, son zonas prioritarias en</w:t>
      </w:r>
      <w:r>
        <w:rPr>
          <w:spacing w:val="-22"/>
          <w:sz w:val="24"/>
        </w:rPr>
        <w:t> </w:t>
      </w:r>
      <w:r>
        <w:rPr>
          <w:sz w:val="24"/>
        </w:rPr>
        <w:t>prevención.</w:t>
      </w:r>
    </w:p>
    <w:p>
      <w:pPr>
        <w:pStyle w:val="ListParagraph"/>
        <w:numPr>
          <w:ilvl w:val="0"/>
          <w:numId w:val="19"/>
        </w:numPr>
        <w:tabs>
          <w:tab w:pos="695" w:val="left" w:leader="none"/>
        </w:tabs>
        <w:spacing w:line="360" w:lineRule="auto" w:before="2" w:after="0"/>
        <w:ind w:left="694" w:right="116" w:hanging="355"/>
        <w:jc w:val="both"/>
        <w:rPr>
          <w:sz w:val="24"/>
        </w:rPr>
      </w:pPr>
      <w:r>
        <w:rPr>
          <w:sz w:val="24"/>
        </w:rPr>
        <w:t>Los factores territoriales (precipitación, temperatura, combustibles forestales y pendiente del terreno) en el SCDF si inciden en el número de incendios y afectación, por lo tanto, la hipótesis se</w:t>
      </w:r>
      <w:r>
        <w:rPr>
          <w:spacing w:val="-17"/>
          <w:sz w:val="24"/>
        </w:rPr>
        <w:t> </w:t>
      </w:r>
      <w:r>
        <w:rPr>
          <w:sz w:val="24"/>
        </w:rPr>
        <w:t>comprobó.</w:t>
      </w:r>
    </w:p>
    <w:p>
      <w:pPr>
        <w:pStyle w:val="ListParagraph"/>
        <w:numPr>
          <w:ilvl w:val="0"/>
          <w:numId w:val="19"/>
        </w:numPr>
        <w:tabs>
          <w:tab w:pos="695" w:val="left" w:leader="none"/>
        </w:tabs>
        <w:spacing w:line="360" w:lineRule="auto" w:before="2" w:after="0"/>
        <w:ind w:left="694" w:right="116" w:hanging="355"/>
        <w:jc w:val="both"/>
        <w:rPr>
          <w:sz w:val="24"/>
        </w:rPr>
      </w:pPr>
      <w:r>
        <w:rPr>
          <w:sz w:val="24"/>
        </w:rPr>
        <w:t>Si la humedad almacenada es menor a 30% aumenta la probabilidad de incendios forestales, en cambio, si la humedad almacenada es alta disminuye la probabilidad de incendios</w:t>
      </w:r>
      <w:r>
        <w:rPr>
          <w:spacing w:val="-17"/>
          <w:sz w:val="24"/>
        </w:rPr>
        <w:t> </w:t>
      </w:r>
      <w:r>
        <w:rPr>
          <w:sz w:val="24"/>
        </w:rPr>
        <w:t>forestales.</w:t>
      </w:r>
    </w:p>
    <w:p>
      <w:pPr>
        <w:pStyle w:val="ListParagraph"/>
        <w:numPr>
          <w:ilvl w:val="0"/>
          <w:numId w:val="19"/>
        </w:numPr>
        <w:tabs>
          <w:tab w:pos="695" w:val="left" w:leader="none"/>
        </w:tabs>
        <w:spacing w:line="360" w:lineRule="auto" w:before="5" w:after="0"/>
        <w:ind w:left="694" w:right="116" w:hanging="355"/>
        <w:jc w:val="both"/>
        <w:rPr>
          <w:sz w:val="24"/>
        </w:rPr>
      </w:pPr>
      <w:r>
        <w:rPr>
          <w:sz w:val="24"/>
        </w:rPr>
        <w:t>El mapa de riesgo a incendios forestales muestra que las delegaciones con riesgo alto, grave y extremo son: Milpa Alta, Tlalpan, Magdalena Contreras, La Sierra de Santa Catarina (ubicada en la delegación Tláhuac), y </w:t>
      </w:r>
      <w:r>
        <w:rPr>
          <w:spacing w:val="48"/>
          <w:sz w:val="24"/>
        </w:rPr>
        <w:t> </w:t>
      </w:r>
      <w:r>
        <w:rPr>
          <w:sz w:val="24"/>
        </w:rPr>
        <w:t>Gustavo</w:t>
      </w:r>
    </w:p>
    <w:p>
      <w:pPr>
        <w:pStyle w:val="BodyText"/>
        <w:spacing w:before="2"/>
        <w:ind w:left="694"/>
      </w:pPr>
      <w:r>
        <w:rPr/>
        <w:t>A. Madero. Estas son zonas prioritarias en prevención.</w:t>
      </w:r>
    </w:p>
    <w:p>
      <w:pPr>
        <w:pStyle w:val="ListParagraph"/>
        <w:numPr>
          <w:ilvl w:val="0"/>
          <w:numId w:val="19"/>
        </w:numPr>
        <w:tabs>
          <w:tab w:pos="695" w:val="left" w:leader="none"/>
        </w:tabs>
        <w:spacing w:line="360" w:lineRule="auto" w:before="137" w:after="0"/>
        <w:ind w:left="694" w:right="115" w:hanging="355"/>
        <w:jc w:val="both"/>
        <w:rPr>
          <w:sz w:val="24"/>
        </w:rPr>
      </w:pPr>
      <w:r>
        <w:rPr>
          <w:sz w:val="24"/>
        </w:rPr>
        <w:t>El mapa de riesgo obtenido con base en la metodología de Copete </w:t>
      </w:r>
      <w:r>
        <w:rPr>
          <w:i/>
          <w:sz w:val="24"/>
        </w:rPr>
        <w:t>et al.</w:t>
      </w:r>
      <w:r>
        <w:rPr>
          <w:sz w:val="24"/>
        </w:rPr>
        <w:t>, (2007), es acertada y coincide con el mapa obtenido con el software GEODA.</w:t>
      </w:r>
    </w:p>
    <w:p>
      <w:pPr>
        <w:pStyle w:val="ListParagraph"/>
        <w:numPr>
          <w:ilvl w:val="0"/>
          <w:numId w:val="19"/>
        </w:numPr>
        <w:tabs>
          <w:tab w:pos="695" w:val="left" w:leader="none"/>
        </w:tabs>
        <w:spacing w:line="362" w:lineRule="auto" w:before="2" w:after="0"/>
        <w:ind w:left="694" w:right="116" w:hanging="355"/>
        <w:jc w:val="both"/>
        <w:rPr>
          <w:sz w:val="24"/>
        </w:rPr>
      </w:pPr>
      <w:r>
        <w:rPr>
          <w:sz w:val="24"/>
        </w:rPr>
        <w:t>La autocorrelación mostró que los incendios forestales se agrupan, tienen un índice de Morán positivo con valores similares y tienden a</w:t>
      </w:r>
      <w:r>
        <w:rPr>
          <w:spacing w:val="-23"/>
          <w:sz w:val="24"/>
        </w:rPr>
        <w:t> </w:t>
      </w:r>
      <w:r>
        <w:rPr>
          <w:sz w:val="24"/>
        </w:rPr>
        <w:t>repetirse.</w:t>
      </w:r>
    </w:p>
    <w:p>
      <w:pPr>
        <w:spacing w:after="0" w:line="362" w:lineRule="auto"/>
        <w:jc w:val="both"/>
        <w:rPr>
          <w:sz w:val="24"/>
        </w:rPr>
        <w:sectPr>
          <w:pgSz w:w="12240" w:h="15840"/>
          <w:pgMar w:header="0" w:footer="1003" w:top="1360" w:bottom="1200" w:left="1720" w:right="1580"/>
        </w:sectPr>
      </w:pPr>
    </w:p>
    <w:p>
      <w:pPr>
        <w:pStyle w:val="Heading1"/>
        <w:numPr>
          <w:ilvl w:val="0"/>
          <w:numId w:val="16"/>
        </w:numPr>
        <w:tabs>
          <w:tab w:pos="702" w:val="left" w:leader="none"/>
        </w:tabs>
        <w:spacing w:line="240" w:lineRule="auto" w:before="54" w:after="0"/>
        <w:ind w:left="702" w:right="0" w:hanging="360"/>
        <w:jc w:val="left"/>
      </w:pPr>
      <w:bookmarkStart w:name="_bookmark58" w:id="110"/>
      <w:bookmarkEnd w:id="110"/>
      <w:r>
        <w:rPr>
          <w:b w:val="0"/>
        </w:rPr>
      </w:r>
      <w:bookmarkStart w:name="_bookmark58" w:id="111"/>
      <w:bookmarkEnd w:id="111"/>
      <w:r>
        <w:rPr/>
        <w:t>R</w:t>
      </w:r>
      <w:r>
        <w:rPr/>
        <w:t>ECOMENDACIONES</w:t>
      </w:r>
    </w:p>
    <w:p>
      <w:pPr>
        <w:pStyle w:val="BodyText"/>
        <w:rPr>
          <w:b/>
        </w:rPr>
      </w:pPr>
    </w:p>
    <w:p>
      <w:pPr>
        <w:pStyle w:val="BodyText"/>
        <w:rPr>
          <w:b/>
        </w:rPr>
      </w:pPr>
    </w:p>
    <w:p>
      <w:pPr>
        <w:pStyle w:val="ListParagraph"/>
        <w:numPr>
          <w:ilvl w:val="0"/>
          <w:numId w:val="20"/>
        </w:numPr>
        <w:tabs>
          <w:tab w:pos="695" w:val="left" w:leader="none"/>
        </w:tabs>
        <w:spacing w:line="360" w:lineRule="auto" w:before="0" w:after="0"/>
        <w:ind w:left="694" w:right="123" w:hanging="355"/>
        <w:jc w:val="both"/>
        <w:rPr>
          <w:sz w:val="24"/>
        </w:rPr>
      </w:pPr>
      <w:r>
        <w:rPr>
          <w:sz w:val="24"/>
        </w:rPr>
        <w:t>Llevar a cabo el plan de medidas enfocadas a la prevención de incendios forestales.</w:t>
      </w:r>
    </w:p>
    <w:p>
      <w:pPr>
        <w:pStyle w:val="ListParagraph"/>
        <w:numPr>
          <w:ilvl w:val="0"/>
          <w:numId w:val="20"/>
        </w:numPr>
        <w:tabs>
          <w:tab w:pos="694" w:val="left" w:leader="none"/>
          <w:tab w:pos="695" w:val="left" w:leader="none"/>
        </w:tabs>
        <w:spacing w:line="240" w:lineRule="auto" w:before="5" w:after="0"/>
        <w:ind w:left="694" w:right="0" w:hanging="355"/>
        <w:jc w:val="left"/>
        <w:rPr>
          <w:sz w:val="24"/>
        </w:rPr>
      </w:pPr>
      <w:r>
        <w:rPr>
          <w:sz w:val="24"/>
        </w:rPr>
        <w:t>Implementar el programa de monitoreo y</w:t>
      </w:r>
      <w:r>
        <w:rPr>
          <w:spacing w:val="-20"/>
          <w:sz w:val="24"/>
        </w:rPr>
        <w:t> </w:t>
      </w:r>
      <w:r>
        <w:rPr>
          <w:sz w:val="24"/>
        </w:rPr>
        <w:t>seguimiento.</w:t>
      </w:r>
    </w:p>
    <w:p>
      <w:pPr>
        <w:pStyle w:val="ListParagraph"/>
        <w:numPr>
          <w:ilvl w:val="0"/>
          <w:numId w:val="20"/>
        </w:numPr>
        <w:tabs>
          <w:tab w:pos="694" w:val="left" w:leader="none"/>
          <w:tab w:pos="695" w:val="left" w:leader="none"/>
        </w:tabs>
        <w:spacing w:line="240" w:lineRule="auto" w:before="137" w:after="0"/>
        <w:ind w:left="694" w:right="0" w:hanging="355"/>
        <w:jc w:val="left"/>
        <w:rPr>
          <w:sz w:val="24"/>
        </w:rPr>
      </w:pPr>
      <w:r>
        <w:rPr>
          <w:sz w:val="24"/>
        </w:rPr>
        <w:t>Actualizar anualmente la base de datos y el mapa de</w:t>
      </w:r>
      <w:r>
        <w:rPr>
          <w:spacing w:val="-22"/>
          <w:sz w:val="24"/>
        </w:rPr>
        <w:t> </w:t>
      </w:r>
      <w:r>
        <w:rPr>
          <w:sz w:val="24"/>
        </w:rPr>
        <w:t>riesgos.</w:t>
      </w:r>
    </w:p>
    <w:p>
      <w:pPr>
        <w:pStyle w:val="ListParagraph"/>
        <w:numPr>
          <w:ilvl w:val="0"/>
          <w:numId w:val="20"/>
        </w:numPr>
        <w:tabs>
          <w:tab w:pos="695" w:val="left" w:leader="none"/>
        </w:tabs>
        <w:spacing w:line="360" w:lineRule="auto" w:before="139" w:after="0"/>
        <w:ind w:left="694" w:right="116" w:hanging="355"/>
        <w:jc w:val="both"/>
        <w:rPr>
          <w:sz w:val="24"/>
        </w:rPr>
      </w:pPr>
      <w:r>
        <w:rPr>
          <w:sz w:val="24"/>
        </w:rPr>
        <w:t>Realizar puntos de muestreo de combustibles forestales anualmente, a menores distancias ya que los puntos del inventario nacional forestal y de suelos están cada 5</w:t>
      </w:r>
      <w:r>
        <w:rPr>
          <w:spacing w:val="-7"/>
          <w:sz w:val="24"/>
        </w:rPr>
        <w:t> </w:t>
      </w:r>
      <w:r>
        <w:rPr>
          <w:sz w:val="24"/>
        </w:rPr>
        <w:t>km.</w:t>
      </w:r>
    </w:p>
    <w:p>
      <w:pPr>
        <w:pStyle w:val="ListParagraph"/>
        <w:numPr>
          <w:ilvl w:val="0"/>
          <w:numId w:val="20"/>
        </w:numPr>
        <w:tabs>
          <w:tab w:pos="695" w:val="left" w:leader="none"/>
        </w:tabs>
        <w:spacing w:line="360" w:lineRule="auto" w:before="2" w:after="0"/>
        <w:ind w:left="694" w:right="115" w:hanging="355"/>
        <w:jc w:val="both"/>
        <w:rPr>
          <w:sz w:val="24"/>
        </w:rPr>
      </w:pPr>
      <w:r>
        <w:rPr>
          <w:sz w:val="24"/>
        </w:rPr>
        <w:t>Actualizar el mapa adversidad del clima incluyendo datos de precipitación y temperatura de años</w:t>
      </w:r>
      <w:r>
        <w:rPr>
          <w:spacing w:val="-8"/>
          <w:sz w:val="24"/>
        </w:rPr>
        <w:t> </w:t>
      </w:r>
      <w:r>
        <w:rPr>
          <w:sz w:val="24"/>
        </w:rPr>
        <w:t>recientes.</w:t>
      </w:r>
    </w:p>
    <w:p>
      <w:pPr>
        <w:pStyle w:val="ListParagraph"/>
        <w:numPr>
          <w:ilvl w:val="0"/>
          <w:numId w:val="20"/>
        </w:numPr>
        <w:tabs>
          <w:tab w:pos="695" w:val="left" w:leader="none"/>
        </w:tabs>
        <w:spacing w:line="360" w:lineRule="auto" w:before="2" w:after="0"/>
        <w:ind w:left="694" w:right="126" w:hanging="355"/>
        <w:jc w:val="both"/>
        <w:rPr>
          <w:sz w:val="24"/>
        </w:rPr>
      </w:pPr>
      <w:r>
        <w:rPr>
          <w:sz w:val="24"/>
        </w:rPr>
        <w:t>Replicar la metodología en los bosques de todo el país, pero adaptarlo donde no se tiene información a nivel</w:t>
      </w:r>
      <w:r>
        <w:rPr>
          <w:spacing w:val="-15"/>
          <w:sz w:val="24"/>
        </w:rPr>
        <w:t> </w:t>
      </w:r>
      <w:r>
        <w:rPr>
          <w:sz w:val="24"/>
        </w:rPr>
        <w:t>cuadrante.</w:t>
      </w:r>
    </w:p>
    <w:p>
      <w:pPr>
        <w:pStyle w:val="ListParagraph"/>
        <w:numPr>
          <w:ilvl w:val="0"/>
          <w:numId w:val="20"/>
        </w:numPr>
        <w:tabs>
          <w:tab w:pos="695" w:val="left" w:leader="none"/>
        </w:tabs>
        <w:spacing w:line="360" w:lineRule="auto" w:before="2" w:after="0"/>
        <w:ind w:left="694" w:right="124" w:hanging="355"/>
        <w:jc w:val="both"/>
        <w:rPr>
          <w:sz w:val="24"/>
        </w:rPr>
      </w:pPr>
      <w:r>
        <w:rPr>
          <w:sz w:val="24"/>
        </w:rPr>
        <w:t>Adecuar la metodología incorporando aspectos sociales como son: la distancia de los incendios a caminos, distancia a poblados y la determinación verdadera de las causas de los incendios</w:t>
      </w:r>
      <w:r>
        <w:rPr>
          <w:spacing w:val="-26"/>
          <w:sz w:val="24"/>
        </w:rPr>
        <w:t> </w:t>
      </w:r>
      <w:r>
        <w:rPr>
          <w:sz w:val="24"/>
        </w:rPr>
        <w:t>forestales.</w:t>
      </w:r>
    </w:p>
    <w:p>
      <w:pPr>
        <w:spacing w:after="0" w:line="360" w:lineRule="auto"/>
        <w:jc w:val="both"/>
        <w:rPr>
          <w:sz w:val="24"/>
        </w:rPr>
        <w:sectPr>
          <w:pgSz w:w="12240" w:h="15840"/>
          <w:pgMar w:header="0" w:footer="1003" w:top="1360" w:bottom="1200" w:left="1720" w:right="1580"/>
        </w:sectPr>
      </w:pPr>
    </w:p>
    <w:p>
      <w:pPr>
        <w:pStyle w:val="Heading1"/>
        <w:spacing w:before="54"/>
        <w:ind w:firstLine="0"/>
      </w:pPr>
      <w:bookmarkStart w:name="_bookmark59" w:id="112"/>
      <w:bookmarkEnd w:id="112"/>
      <w:r>
        <w:rPr>
          <w:b w:val="0"/>
        </w:rPr>
      </w:r>
      <w:r>
        <w:rPr/>
        <w:t>BIBLIOGRAFIA CITADA</w:t>
      </w:r>
    </w:p>
    <w:p>
      <w:pPr>
        <w:pStyle w:val="BodyText"/>
        <w:rPr>
          <w:b/>
        </w:rPr>
      </w:pPr>
    </w:p>
    <w:p>
      <w:pPr>
        <w:pStyle w:val="BodyText"/>
        <w:rPr>
          <w:b/>
        </w:rPr>
      </w:pPr>
    </w:p>
    <w:p>
      <w:pPr>
        <w:pStyle w:val="BodyText"/>
        <w:spacing w:line="360" w:lineRule="auto"/>
        <w:ind w:left="810" w:right="118" w:hanging="708"/>
        <w:jc w:val="both"/>
      </w:pPr>
      <w:r>
        <w:rPr/>
        <w:t>Altamirano, A., Salas, C., Yaitul, V., Smith, C., y Ávila, A. (2013). Influencia de la heterogeneidad del paisaje en la ocurrencia de incendios forestales en Chile Central. Revista de Geografía Norte Grande. 55: 157-170. Chile.</w:t>
      </w:r>
    </w:p>
    <w:p>
      <w:pPr>
        <w:spacing w:before="120"/>
        <w:ind w:left="102" w:right="0" w:firstLine="0"/>
        <w:jc w:val="left"/>
        <w:rPr>
          <w:sz w:val="24"/>
        </w:rPr>
      </w:pPr>
      <w:r>
        <w:rPr>
          <w:sz w:val="24"/>
        </w:rPr>
        <w:t>Aneas, D. C. S. D. (2000). </w:t>
      </w:r>
      <w:r>
        <w:rPr>
          <w:i/>
          <w:sz w:val="24"/>
        </w:rPr>
        <w:t>Riesgos y Peligros: una visión desde la Geografía</w:t>
      </w:r>
      <w:r>
        <w:rPr>
          <w:sz w:val="24"/>
        </w:rPr>
        <w:t>.</w:t>
      </w:r>
    </w:p>
    <w:p>
      <w:pPr>
        <w:pStyle w:val="BodyText"/>
        <w:spacing w:before="141"/>
        <w:ind w:left="810"/>
      </w:pPr>
      <w:r>
        <w:rPr/>
        <w:t>Scripta Nova. No 60. Marzo. Universidad de Barcelona.</w:t>
      </w:r>
    </w:p>
    <w:p>
      <w:pPr>
        <w:pStyle w:val="BodyText"/>
        <w:spacing w:before="3"/>
        <w:rPr>
          <w:sz w:val="22"/>
        </w:rPr>
      </w:pPr>
    </w:p>
    <w:p>
      <w:pPr>
        <w:pStyle w:val="BodyText"/>
        <w:spacing w:line="360" w:lineRule="auto" w:before="1"/>
        <w:ind w:left="668" w:right="101" w:hanging="567"/>
      </w:pPr>
      <w:r>
        <w:rPr/>
        <w:t>Asamblea Legislativa del Distrito Federal. (2000)  Decreto De Programa General De Ordenamiento Ecologico Del Distrito Federal. Gaceta Oficial del Distrito Federal. México, D.F. Recuperado de </w:t>
      </w:r>
      <w:hyperlink r:id="rId81">
        <w:r>
          <w:rPr/>
          <w:t>http://www.pgjdf.gob.mx/fedapur/DF/Programas/Programa%20General%20Or</w:t>
        </w:r>
      </w:hyperlink>
      <w:r>
        <w:rPr/>
        <w:t> denamiento%20Ecol%C3%B3gico%20%20DF.pdf</w:t>
      </w:r>
    </w:p>
    <w:p>
      <w:pPr>
        <w:pStyle w:val="BodyText"/>
        <w:spacing w:line="360" w:lineRule="auto" w:before="204"/>
        <w:ind w:left="668" w:right="708" w:hanging="567"/>
      </w:pPr>
      <w:r>
        <w:rPr/>
        <w:t>Asamblea Legislativa del Distrito Federal. (2000b) . Ley Ambiental del Distrito Federal.  Gaceta Oficial del Distrito Federal el 13 de enero de 2000.</w:t>
      </w:r>
    </w:p>
    <w:p>
      <w:pPr>
        <w:pStyle w:val="BodyText"/>
        <w:spacing w:line="360" w:lineRule="auto" w:before="5"/>
        <w:ind w:left="668" w:right="141"/>
      </w:pPr>
      <w:r>
        <w:rPr/>
        <w:t>Recuperado de </w:t>
      </w:r>
      <w:hyperlink r:id="rId82">
        <w:r>
          <w:rPr/>
          <w:t>http://www.prosoc.df.gob.mx/Prontuario/Codigos_y_leyes/Ley_Ambiental_par</w:t>
        </w:r>
      </w:hyperlink>
      <w:r>
        <w:rPr/>
        <w:t> a_el_DF.pdf</w:t>
      </w:r>
    </w:p>
    <w:p>
      <w:pPr>
        <w:spacing w:line="360" w:lineRule="auto" w:before="204"/>
        <w:ind w:left="810" w:right="116" w:hanging="708"/>
        <w:jc w:val="both"/>
        <w:rPr>
          <w:sz w:val="24"/>
        </w:rPr>
      </w:pPr>
      <w:r>
        <w:rPr>
          <w:sz w:val="24"/>
        </w:rPr>
        <w:t>Ávila, F. D. Y., Pompa, G. M. y Vargas, P. E. (2010). Análisis Espacial de la ocurrencia de incendios forestales en el Estado de Durango. </w:t>
      </w:r>
      <w:r>
        <w:rPr>
          <w:i/>
          <w:sz w:val="24"/>
        </w:rPr>
        <w:t>Revista </w:t>
      </w:r>
      <w:r>
        <w:rPr>
          <w:i/>
          <w:sz w:val="24"/>
        </w:rPr>
        <w:t>Chapingo Serie Ciencias Forestales y del Ambiente. 16(2). </w:t>
      </w:r>
      <w:r>
        <w:rPr>
          <w:sz w:val="24"/>
        </w:rPr>
        <w:t>253-260.</w:t>
      </w:r>
    </w:p>
    <w:p>
      <w:pPr>
        <w:pStyle w:val="BodyText"/>
        <w:spacing w:line="360" w:lineRule="auto" w:before="125"/>
        <w:ind w:left="810" w:right="125" w:hanging="708"/>
        <w:jc w:val="both"/>
      </w:pPr>
      <w:r>
        <w:rPr/>
        <w:t>Barredo, J. (1996). Sistemas de Información Geográfica y Evaluación Multicriterio. en la Ordenación del Territorio. Madrid, España. Editorial RA-MA.</w:t>
      </w:r>
    </w:p>
    <w:p>
      <w:pPr>
        <w:pStyle w:val="BodyText"/>
        <w:spacing w:line="360" w:lineRule="auto" w:before="122"/>
        <w:ind w:left="810" w:right="118" w:hanging="708"/>
        <w:jc w:val="both"/>
      </w:pPr>
      <w:r>
        <w:rPr/>
        <w:t>Birot, Y. (2009). Convivir con los incendios forestales: lo que nos revela la ciencia. Una aportación al diálogo político científico. Discussion Paper  15.  European Forest Institute. Finland. 90</w:t>
      </w:r>
      <w:r>
        <w:rPr>
          <w:spacing w:val="-13"/>
        </w:rPr>
        <w:t> </w:t>
      </w:r>
      <w:r>
        <w:rPr/>
        <w:t>pp.</w:t>
      </w:r>
    </w:p>
    <w:p>
      <w:pPr>
        <w:pStyle w:val="BodyText"/>
        <w:spacing w:line="360" w:lineRule="auto" w:before="125"/>
        <w:ind w:left="810" w:right="125" w:hanging="708"/>
        <w:jc w:val="both"/>
      </w:pPr>
      <w:r>
        <w:rPr/>
        <w:t>Burton, I. y Kates, R. W. (1964). The Perception of Natural Hazards in Resource Management. Natural Resources Journal. Vol. III. No. 3.</w:t>
      </w:r>
    </w:p>
    <w:p>
      <w:pPr>
        <w:spacing w:after="0" w:line="360" w:lineRule="auto"/>
        <w:jc w:val="both"/>
        <w:sectPr>
          <w:pgSz w:w="12240" w:h="15840"/>
          <w:pgMar w:header="0" w:footer="1003" w:top="1360" w:bottom="1200" w:left="1600" w:right="1580"/>
        </w:sectPr>
      </w:pPr>
    </w:p>
    <w:p>
      <w:pPr>
        <w:pStyle w:val="BodyText"/>
        <w:spacing w:line="360" w:lineRule="auto" w:before="54"/>
        <w:ind w:left="810" w:right="120" w:hanging="708"/>
        <w:jc w:val="both"/>
      </w:pPr>
      <w:r>
        <w:rPr/>
        <w:t>Buzai, G. D.; Baxendale, C. A. (2006). Análisis Socioespacial con Sistemas de Información Geográfica. Ed. Buenos Aires. Buenos Aires, Argentina. 400  pp.</w:t>
      </w:r>
    </w:p>
    <w:p>
      <w:pPr>
        <w:pStyle w:val="BodyText"/>
        <w:spacing w:before="125"/>
        <w:ind w:left="102"/>
      </w:pPr>
      <w:r>
        <w:rPr/>
        <w:t>Calvo,  F.  (1984).  La  geografía  de  riesgos  en  Geo  Crítica.  núm.  54.       1-37.</w:t>
      </w:r>
    </w:p>
    <w:p>
      <w:pPr>
        <w:spacing w:before="134"/>
        <w:ind w:left="810" w:right="0" w:firstLine="0"/>
        <w:jc w:val="left"/>
        <w:rPr>
          <w:i/>
          <w:sz w:val="24"/>
        </w:rPr>
      </w:pPr>
      <w:r>
        <w:rPr>
          <w:i/>
          <w:sz w:val="24"/>
        </w:rPr>
        <w:t>Recuperado de </w:t>
      </w:r>
      <w:hyperlink r:id="rId84">
        <w:r>
          <w:rPr>
            <w:i/>
            <w:sz w:val="24"/>
          </w:rPr>
          <w:t>http://www.ub.edu/geocrit/geo54.htm</w:t>
        </w:r>
      </w:hyperlink>
    </w:p>
    <w:p>
      <w:pPr>
        <w:pStyle w:val="BodyText"/>
        <w:spacing w:before="8"/>
        <w:rPr>
          <w:i/>
          <w:sz w:val="22"/>
        </w:rPr>
      </w:pPr>
    </w:p>
    <w:p>
      <w:pPr>
        <w:pStyle w:val="BodyText"/>
        <w:spacing w:line="360" w:lineRule="auto"/>
        <w:ind w:left="810" w:right="124" w:hanging="708"/>
        <w:jc w:val="both"/>
      </w:pPr>
      <w:r>
        <w:rPr/>
        <w:t>CENAPRED. (2001). Diagnóstico de Peligros e identificación de Riesgos de Desastres en México. Atlas Nacional de Riesgos de la República Mexicana. Secretaría de Gobernación, Sistema Nacional de Protección. Centro Nacional de Prevención de Desastres. México.</w:t>
      </w:r>
    </w:p>
    <w:p>
      <w:pPr>
        <w:pStyle w:val="BodyText"/>
        <w:tabs>
          <w:tab w:pos="1850" w:val="left" w:leader="none"/>
          <w:tab w:pos="3769" w:val="left" w:leader="none"/>
          <w:tab w:pos="5368" w:val="left" w:leader="none"/>
          <w:tab w:pos="6594" w:val="left" w:leader="none"/>
          <w:tab w:pos="8674" w:val="left" w:leader="none"/>
        </w:tabs>
        <w:spacing w:line="360" w:lineRule="auto" w:before="125"/>
        <w:ind w:left="810" w:right="117" w:hanging="708"/>
        <w:jc w:val="both"/>
      </w:pPr>
      <w:r>
        <w:rPr/>
        <w:t>CENAPRED. (2007). Incendios Forestales. Secretaría de Gobernación. Coordinación General de Protección Civil. Centro  Nacional de Prevención de</w:t>
        <w:tab/>
        <w:t>Desastres.</w:t>
        <w:tab/>
        <w:t>México.</w:t>
        <w:tab/>
        <w:t>D.F.</w:t>
        <w:tab/>
        <w:t>Recuperado</w:t>
        <w:tab/>
        <w:t>de </w:t>
      </w:r>
      <w:hyperlink r:id="rId85">
        <w:r>
          <w:rPr/>
          <w:t>http://proteccioncivil.gob.mx/work/models/ProteccionCivil/Resource/373/1/im</w:t>
        </w:r>
      </w:hyperlink>
      <w:r>
        <w:rPr/>
        <w:t> ages/cartel_if.pdf</w:t>
      </w:r>
    </w:p>
    <w:p>
      <w:pPr>
        <w:pStyle w:val="BodyText"/>
        <w:tabs>
          <w:tab w:pos="3396" w:val="left" w:leader="none"/>
          <w:tab w:pos="5607" w:val="left" w:leader="none"/>
          <w:tab w:pos="8671" w:val="left" w:leader="none"/>
        </w:tabs>
        <w:spacing w:line="360" w:lineRule="auto" w:before="122"/>
        <w:ind w:left="810" w:right="117" w:hanging="708"/>
      </w:pPr>
      <w:r>
        <w:rPr/>
        <w:t>CENAPRED. (2008). Incendios Forestales. Serie Fascículos. Secretaría de Gobernación. CONAFOR. Centro Nacional de Prevención de Desastres. México,</w:t>
        <w:tab/>
        <w:t>D.F.</w:t>
        <w:tab/>
        <w:t>Recuperado</w:t>
        <w:tab/>
        <w:t>de </w:t>
      </w:r>
      <w:hyperlink r:id="rId86">
        <w:r>
          <w:rPr/>
          <w:t>http://www.cenapred.unam.mx/es/Publicaciones/archivos/159-</w:t>
        </w:r>
      </w:hyperlink>
      <w:r>
        <w:rPr/>
        <w:t> FASCCULOINCENDIOSFORESTALES.PDF</w:t>
      </w:r>
    </w:p>
    <w:p>
      <w:pPr>
        <w:pStyle w:val="BodyText"/>
        <w:spacing w:line="360" w:lineRule="auto" w:before="125"/>
        <w:ind w:left="810" w:right="116" w:hanging="708"/>
        <w:jc w:val="both"/>
      </w:pPr>
      <w:r>
        <w:rPr/>
        <w:t>CENAPRED. (2014a). Diagnóstico de Peligros e identificación de Riesgos de Desastres en México. Atlas Nacional de Riesgos de la República Mexicana. Secretaría de Gobernación. Centro Nacional de Prevención de Desastres. México, D.F. México.</w:t>
      </w:r>
    </w:p>
    <w:p>
      <w:pPr>
        <w:pStyle w:val="BodyText"/>
        <w:spacing w:line="360" w:lineRule="auto" w:before="125"/>
        <w:ind w:left="810" w:right="121" w:hanging="708"/>
        <w:jc w:val="both"/>
      </w:pPr>
      <w:r>
        <w:rPr/>
        <w:t>CENAPRED. (2014b). Guía Básica para la Elaboración de Atlas Estatales y Municipales de Peligros y Riesgos. Conceptos Básicos sobre Peligros, Riesgos y su representación Geográfica. Secretaría de Gobernación.  Centro Nacional de Prevención de Desastres. México.</w:t>
      </w:r>
      <w:r>
        <w:rPr>
          <w:spacing w:val="-15"/>
        </w:rPr>
        <w:t> </w:t>
      </w:r>
      <w:r>
        <w:rPr/>
        <w:t>D.F.</w:t>
      </w:r>
    </w:p>
    <w:p>
      <w:pPr>
        <w:spacing w:after="0" w:line="360" w:lineRule="auto"/>
        <w:jc w:val="both"/>
        <w:sectPr>
          <w:footerReference w:type="default" r:id="rId83"/>
          <w:pgSz w:w="12240" w:h="15840"/>
          <w:pgMar w:footer="1003" w:header="0" w:top="1360" w:bottom="1200" w:left="1600" w:right="1580"/>
          <w:pgNumType w:start="110"/>
        </w:sectPr>
      </w:pPr>
    </w:p>
    <w:p>
      <w:pPr>
        <w:pStyle w:val="BodyText"/>
        <w:spacing w:line="360" w:lineRule="auto" w:before="54"/>
        <w:ind w:left="810" w:right="116" w:hanging="708"/>
        <w:jc w:val="both"/>
      </w:pPr>
      <w:r>
        <w:rPr/>
        <w:t>CENAPRED. (2014c). Atlas Nacional de Riesgos. Incendios y explosiones. Subsistema de información sobre riesgos, peligros, y vulnerabilidad. Centro Nacional de Prevención de Desastres. México. D.F.</w:t>
      </w:r>
    </w:p>
    <w:p>
      <w:pPr>
        <w:pStyle w:val="BodyText"/>
        <w:spacing w:line="360" w:lineRule="auto" w:before="125"/>
        <w:ind w:left="810" w:right="118" w:hanging="708"/>
        <w:jc w:val="both"/>
      </w:pPr>
      <w:r>
        <w:rPr/>
        <w:t>CONAFOR, (2006). Protocolo para la atención de Incendios Forestales en el suelo de Conservación del Distrito Federal. Comisión Nacional Forestal. México, D.F.</w:t>
      </w:r>
    </w:p>
    <w:p>
      <w:pPr>
        <w:spacing w:before="120"/>
        <w:ind w:left="102" w:right="0" w:firstLine="0"/>
        <w:jc w:val="left"/>
        <w:rPr>
          <w:sz w:val="24"/>
        </w:rPr>
      </w:pPr>
      <w:r>
        <w:rPr>
          <w:sz w:val="24"/>
        </w:rPr>
        <w:t>CONAFOR (2008). Fascículo Incendios forestales. </w:t>
      </w:r>
      <w:r>
        <w:rPr>
          <w:i/>
          <w:sz w:val="24"/>
        </w:rPr>
        <w:t>Serie Fascículos</w:t>
      </w:r>
      <w:r>
        <w:rPr>
          <w:sz w:val="24"/>
        </w:rPr>
        <w:t>. </w:t>
      </w:r>
      <w:r>
        <w:rPr>
          <w:spacing w:val="61"/>
          <w:sz w:val="24"/>
        </w:rPr>
        <w:t> </w:t>
      </w:r>
      <w:r>
        <w:rPr>
          <w:sz w:val="24"/>
        </w:rPr>
        <w:t>CENAPRED</w:t>
      </w:r>
    </w:p>
    <w:p>
      <w:pPr>
        <w:pStyle w:val="BodyText"/>
        <w:spacing w:line="360" w:lineRule="auto" w:before="141"/>
        <w:ind w:left="810"/>
      </w:pPr>
      <w:r>
        <w:rPr/>
        <w:t>- Secretaría de Gobernación – Sistema Nacional de Protección Civil. Comisión Nacional Forestal. México.</w:t>
      </w:r>
    </w:p>
    <w:p>
      <w:pPr>
        <w:pStyle w:val="BodyText"/>
        <w:spacing w:line="360" w:lineRule="auto" w:before="125"/>
        <w:ind w:left="810" w:right="118" w:hanging="708"/>
        <w:jc w:val="both"/>
      </w:pPr>
      <w:r>
        <w:rPr/>
        <w:t>CONAFOR (2011). Inventario Nacional Forestal y de Suelos. Manual y procedimientos para el muestreo de campo. Re-muestreo 2011. Zapopan, Jalisco, México. 140 pp.</w:t>
      </w:r>
    </w:p>
    <w:p>
      <w:pPr>
        <w:pStyle w:val="BodyText"/>
        <w:spacing w:line="360" w:lineRule="auto" w:before="122"/>
        <w:ind w:left="810" w:right="118" w:hanging="708"/>
        <w:jc w:val="both"/>
      </w:pPr>
      <w:r>
        <w:rPr/>
        <w:t>CONAFOR (2012). Reporte semanal de resultados de incendios forestales 2012. Datos acumulados del 01 de enero al 31 de diciembre de 2012. Coordinación General de Conservación y Restauración. Gerencia de Protección Contra incendios Forestales. Comisión Nacional Forestal. México.</w:t>
      </w:r>
    </w:p>
    <w:p>
      <w:pPr>
        <w:pStyle w:val="BodyText"/>
        <w:spacing w:line="360" w:lineRule="auto" w:before="125"/>
        <w:ind w:left="810" w:right="115" w:hanging="708"/>
        <w:jc w:val="both"/>
      </w:pPr>
      <w:r>
        <w:rPr/>
        <w:t>CONAFOR (2013). Reporte semanal de resultados de Incendios forestales 2013. Datos acumulados del 01 de enero al 31 de diciembre de 2013. Coordinación General de Conservación y Restauración. Gerencia de Protección Contra incendios Forestales. Comisión Nacional Forestal. México.</w:t>
      </w:r>
    </w:p>
    <w:p>
      <w:pPr>
        <w:pStyle w:val="BodyText"/>
        <w:spacing w:line="360" w:lineRule="auto" w:before="122"/>
        <w:ind w:left="810" w:right="122" w:hanging="708"/>
        <w:jc w:val="both"/>
      </w:pPr>
      <w:r>
        <w:rPr/>
        <w:t>CONAFOR (2013b). Análisis de los Recursos Naturales del Distrito Federal en el contexto de la Veda Forestal (Bosques, ecosistemas forestales y arbolado). Forestal Milenio. Asesoría y Consultoría Forestal. México. D.F.</w:t>
      </w:r>
    </w:p>
    <w:p>
      <w:pPr>
        <w:pStyle w:val="BodyText"/>
        <w:spacing w:line="360" w:lineRule="auto" w:before="125"/>
        <w:ind w:left="810" w:right="122" w:hanging="708"/>
        <w:jc w:val="both"/>
      </w:pPr>
      <w:r>
        <w:rPr/>
        <w:t>CONAFOR. (2014). Programa Nacional de prevención de incendios forestales 2014. Comisión Nacional Forestal. México.</w:t>
      </w:r>
    </w:p>
    <w:p>
      <w:pPr>
        <w:spacing w:after="0" w:line="360" w:lineRule="auto"/>
        <w:jc w:val="both"/>
        <w:sectPr>
          <w:pgSz w:w="12240" w:h="15840"/>
          <w:pgMar w:header="0" w:footer="1003" w:top="1360" w:bottom="1200" w:left="1600" w:right="1580"/>
        </w:sectPr>
      </w:pPr>
    </w:p>
    <w:p>
      <w:pPr>
        <w:pStyle w:val="BodyText"/>
        <w:spacing w:line="360" w:lineRule="auto" w:before="54"/>
        <w:ind w:left="810" w:right="117" w:hanging="708"/>
        <w:jc w:val="both"/>
      </w:pPr>
      <w:r>
        <w:rPr/>
        <w:t>Copete, M. A., Monreal, J. A., Selva, M., Fernández – Cernuda, L., y Jordán, E. (2007). Análisis de los incendios forestales en Castilla – La Mancha. Detección de áreas potencialmente peligrosas. </w:t>
      </w:r>
      <w:r>
        <w:rPr>
          <w:i/>
        </w:rPr>
        <w:t>Wildfire</w:t>
      </w:r>
      <w:r>
        <w:rPr/>
        <w:t>. Sevilla, España.</w:t>
      </w:r>
    </w:p>
    <w:p>
      <w:pPr>
        <w:pStyle w:val="BodyText"/>
        <w:spacing w:before="127"/>
        <w:ind w:left="102"/>
      </w:pPr>
      <w:r>
        <w:rPr/>
        <w:t>Daugherty, T. B. y Camp. </w:t>
      </w:r>
      <w:r>
        <w:rPr>
          <w:spacing w:val="4"/>
        </w:rPr>
        <w:t>W. </w:t>
      </w:r>
      <w:r>
        <w:rPr/>
        <w:t>G. (2005). Manejo de Nuestros Recursos </w:t>
      </w:r>
      <w:r>
        <w:rPr>
          <w:spacing w:val="64"/>
        </w:rPr>
        <w:t> </w:t>
      </w:r>
      <w:r>
        <w:rPr/>
        <w:t>Naturales.</w:t>
      </w:r>
    </w:p>
    <w:p>
      <w:pPr>
        <w:pStyle w:val="BodyText"/>
        <w:spacing w:before="137"/>
        <w:ind w:left="810"/>
      </w:pPr>
      <w:r>
        <w:rPr/>
        <w:t>Ed. Thomson. Madrid, España.</w:t>
      </w:r>
    </w:p>
    <w:p>
      <w:pPr>
        <w:pStyle w:val="BodyText"/>
        <w:spacing w:before="6"/>
        <w:rPr>
          <w:sz w:val="22"/>
        </w:rPr>
      </w:pPr>
    </w:p>
    <w:p>
      <w:pPr>
        <w:pStyle w:val="BodyText"/>
        <w:spacing w:line="360" w:lineRule="auto"/>
        <w:ind w:left="810" w:right="123" w:hanging="708"/>
        <w:jc w:val="both"/>
      </w:pPr>
      <w:r>
        <w:rPr/>
        <w:t>Dentoni, M. C. y Muñoz, M. M. ((2012). Sistemas de Evaluación de Peligro de Incendios. Informe Técnico No. 1. Plan Nacional de Manejo del Fuego. Programa Nacional de Evaluación de Peligro de Incendios y Alerta Temprana. Secretaría del Medio Ambiente y Desarrollo Sustentable. Argentina. 36 pp.</w:t>
      </w:r>
    </w:p>
    <w:p>
      <w:pPr>
        <w:pStyle w:val="BodyText"/>
        <w:spacing w:line="360" w:lineRule="auto" w:before="122"/>
        <w:ind w:left="810" w:right="119" w:hanging="708"/>
        <w:jc w:val="both"/>
      </w:pPr>
      <w:r>
        <w:rPr/>
        <w:t>Dirección General de la Comisión de Recursos Naturales. (2013). Estadísticas de Incendios. México. D.F.</w:t>
      </w:r>
    </w:p>
    <w:p>
      <w:pPr>
        <w:pStyle w:val="BodyText"/>
        <w:spacing w:line="360" w:lineRule="auto" w:before="122"/>
        <w:ind w:left="810" w:right="118" w:hanging="708"/>
        <w:jc w:val="both"/>
      </w:pPr>
      <w:r>
        <w:rPr/>
        <w:t>DOF. (1999). Norma Oficial Mexicana Nom-015 SEMARNAP-SAGAR-1997. Diario Oficial de la Federación. México.</w:t>
      </w:r>
    </w:p>
    <w:p>
      <w:pPr>
        <w:pStyle w:val="BodyText"/>
        <w:spacing w:line="360" w:lineRule="auto" w:before="122"/>
        <w:ind w:left="810" w:right="118" w:hanging="708"/>
        <w:jc w:val="both"/>
      </w:pPr>
      <w:r>
        <w:rPr/>
        <w:t>DOF. (2003). Ley General de desarrollo forestal sustentable. Cámara de  Diputados del H. Consejo de la Unión. Diario Oficial de la Federación. México. Última reforma publicada DOF</w:t>
      </w:r>
      <w:r>
        <w:rPr>
          <w:spacing w:val="-18"/>
        </w:rPr>
        <w:t> </w:t>
      </w:r>
      <w:r>
        <w:rPr/>
        <w:t>07-06-2013.</w:t>
      </w:r>
    </w:p>
    <w:p>
      <w:pPr>
        <w:pStyle w:val="BodyText"/>
        <w:tabs>
          <w:tab w:pos="4720" w:val="left" w:leader="none"/>
          <w:tab w:pos="8670" w:val="left" w:leader="none"/>
        </w:tabs>
        <w:spacing w:line="360" w:lineRule="auto" w:before="125"/>
        <w:ind w:left="810" w:right="118" w:hanging="708"/>
        <w:jc w:val="both"/>
      </w:pPr>
      <w:r>
        <w:rPr/>
        <w:t>DOF. (2014a). Programa Nacional Forestal 2014-2018. Diario Oficial de la Federación.</w:t>
        <w:tab/>
        <w:t>Recuperado</w:t>
        <w:tab/>
        <w:t>de http://www.dof.gob.mx/nota_detalle.php?codigo=5342498&amp;fecha=28/04/201 4</w:t>
      </w:r>
    </w:p>
    <w:p>
      <w:pPr>
        <w:pStyle w:val="BodyText"/>
        <w:spacing w:line="360" w:lineRule="auto" w:before="125"/>
        <w:ind w:left="810" w:right="126" w:hanging="708"/>
        <w:jc w:val="both"/>
      </w:pPr>
      <w:r>
        <w:rPr/>
        <w:t>Diez, E. A. (2007). Evaluación del peligro por incendios forestales en la delegación Milpa Alta, Distrito Federal. Tesis de Licenciatura. Facultad de Filosofía y Letras. Colegio de Geografía. UNAM. México.</w:t>
      </w:r>
    </w:p>
    <w:p>
      <w:pPr>
        <w:pStyle w:val="BodyText"/>
        <w:spacing w:line="360" w:lineRule="auto" w:before="122"/>
        <w:ind w:left="810" w:right="117" w:hanging="708"/>
        <w:jc w:val="both"/>
      </w:pPr>
      <w:r>
        <w:rPr/>
        <w:t>GDF (2004). Reglamento de impacto ambiental y Riesgo. Gaceta Oficial del  Distrito Federal. Administración Pública del Distrito</w:t>
      </w:r>
      <w:r>
        <w:rPr>
          <w:spacing w:val="-14"/>
        </w:rPr>
        <w:t> </w:t>
      </w:r>
      <w:r>
        <w:rPr/>
        <w:t>Federal.</w:t>
      </w:r>
    </w:p>
    <w:p>
      <w:pPr>
        <w:pStyle w:val="BodyText"/>
        <w:spacing w:line="360" w:lineRule="auto" w:before="122"/>
        <w:ind w:left="810" w:right="116" w:hanging="708"/>
        <w:jc w:val="both"/>
      </w:pPr>
      <w:r>
        <w:rPr/>
        <w:t>GDF. (2006). Programa Estratégico Forestal del Distrito Forestal (PEF-DF) 2006 – 2025.  Gobierno  del  Distrito  Federal.  Secretaría  del  Medio       Ambiente.</w:t>
      </w:r>
    </w:p>
    <w:p>
      <w:pPr>
        <w:spacing w:after="0" w:line="360" w:lineRule="auto"/>
        <w:jc w:val="both"/>
        <w:sectPr>
          <w:pgSz w:w="12240" w:h="15840"/>
          <w:pgMar w:header="0" w:footer="1003" w:top="1360" w:bottom="1200" w:left="1600" w:right="1580"/>
        </w:sectPr>
      </w:pPr>
    </w:p>
    <w:p>
      <w:pPr>
        <w:pStyle w:val="BodyText"/>
        <w:spacing w:line="360" w:lineRule="auto" w:before="54"/>
        <w:ind w:left="810" w:right="431"/>
      </w:pPr>
      <w:r>
        <w:rPr/>
        <w:t>Dirección General de la Comisión de Recursos Naturales y Desarrollo  Rural. México,</w:t>
      </w:r>
      <w:r>
        <w:rPr>
          <w:spacing w:val="-3"/>
        </w:rPr>
        <w:t> </w:t>
      </w:r>
      <w:r>
        <w:rPr/>
        <w:t>D.F.</w:t>
      </w:r>
    </w:p>
    <w:p>
      <w:pPr>
        <w:pStyle w:val="BodyText"/>
        <w:spacing w:line="360" w:lineRule="auto" w:before="122"/>
        <w:ind w:left="810" w:right="124" w:hanging="708"/>
        <w:jc w:val="both"/>
      </w:pPr>
      <w:r>
        <w:rPr/>
        <w:t>GDF. (2012). Atlas Geográfico del Suelo de Conservación del Distrito Federal. Secretaría del Medio Ambiente, Procuraduría Ambiental y del Ordenamiento Territorial del Distrito Federal, México, D. F.</w:t>
      </w:r>
    </w:p>
    <w:p>
      <w:pPr>
        <w:pStyle w:val="BodyText"/>
        <w:spacing w:line="360" w:lineRule="auto" w:before="125"/>
        <w:ind w:left="810" w:right="123" w:hanging="708"/>
        <w:jc w:val="both"/>
      </w:pPr>
      <w:r>
        <w:rPr/>
        <w:t>Gobierno del Estado de México. (2009). Incendios Forestales en el Estado de México y sus Emisiones a la Atmósfera. Secretaría del Medio Ambiente. Dirección General de Prevención y Control de la Contaminación Atmosférica. México. 30 pp.</w:t>
      </w:r>
    </w:p>
    <w:p>
      <w:pPr>
        <w:pStyle w:val="BodyText"/>
        <w:spacing w:before="125"/>
        <w:ind w:left="102"/>
      </w:pPr>
      <w:r>
        <w:rPr/>
        <w:t>Gobierno  de  la  República.  (2014).  Plan  Nacional  de  Desarrollo      2013-2018.</w:t>
      </w:r>
    </w:p>
    <w:p>
      <w:pPr>
        <w:pStyle w:val="BodyText"/>
        <w:spacing w:before="137"/>
        <w:ind w:left="810"/>
      </w:pPr>
      <w:r>
        <w:rPr/>
        <w:t>Estados Unidos Mexicanos.</w:t>
      </w:r>
    </w:p>
    <w:p>
      <w:pPr>
        <w:pStyle w:val="BodyText"/>
        <w:spacing w:before="6"/>
        <w:rPr>
          <w:sz w:val="22"/>
        </w:rPr>
      </w:pPr>
    </w:p>
    <w:p>
      <w:pPr>
        <w:pStyle w:val="BodyText"/>
        <w:ind w:left="102"/>
      </w:pPr>
      <w:r>
        <w:rPr/>
        <w:t>Gómez, J. D., Etchevers, J. D., Monterroso, A. I., Gay, C., Campo, J.,  y  Martínez,</w:t>
      </w:r>
    </w:p>
    <w:p>
      <w:pPr>
        <w:pStyle w:val="BodyText"/>
        <w:spacing w:line="360" w:lineRule="auto" w:before="137"/>
        <w:ind w:left="810"/>
      </w:pPr>
      <w:r>
        <w:rPr/>
        <w:t>M. (2008). Spatial estimation of mean temperatura and precipitation in áreas of scarce meteorological information. Atmosfera 21(1). 35-56.</w:t>
      </w:r>
    </w:p>
    <w:p>
      <w:pPr>
        <w:pStyle w:val="BodyText"/>
        <w:spacing w:line="360" w:lineRule="auto" w:before="122"/>
        <w:ind w:left="810" w:right="125" w:hanging="708"/>
        <w:jc w:val="both"/>
      </w:pPr>
      <w:r>
        <w:rPr/>
        <w:t>Goodchild, M. (1987). A spatial analytical perspective on geographical information systems. International Journal of Geographical Information Science 1(4): 327-334.</w:t>
      </w:r>
    </w:p>
    <w:p>
      <w:pPr>
        <w:pStyle w:val="BodyText"/>
        <w:spacing w:line="360" w:lineRule="auto" w:before="125"/>
        <w:ind w:left="810" w:right="123" w:hanging="708"/>
        <w:jc w:val="both"/>
      </w:pPr>
      <w:r>
        <w:rPr/>
        <w:t>Guevara, E., Quaas, R. y Fernández G. (2006). Guía Básica para la Elaboración de Atlas Estatales y Municipales de Peligros y Riesgos. Conceptos Básicos sobre Peligros, Riesgos y su Representación Geográfica. CENAPRED. México.</w:t>
      </w:r>
    </w:p>
    <w:p>
      <w:pPr>
        <w:pStyle w:val="BodyText"/>
        <w:spacing w:line="360" w:lineRule="auto" w:before="125"/>
        <w:ind w:left="810" w:right="118" w:hanging="708"/>
        <w:jc w:val="both"/>
      </w:pPr>
      <w:r>
        <w:rPr/>
        <w:t>INEGI. (2010). Censo de Población y Vivienda 2010. Instituto Nacional de Estadística Geografía e Informática. México. Recuperado de: </w:t>
      </w:r>
      <w:hyperlink r:id="rId87">
        <w:r>
          <w:rPr/>
          <w:t>www.inegi.org.mx</w:t>
        </w:r>
      </w:hyperlink>
    </w:p>
    <w:p>
      <w:pPr>
        <w:pStyle w:val="BodyText"/>
        <w:spacing w:line="360" w:lineRule="auto" w:before="122"/>
        <w:ind w:left="810" w:right="115" w:hanging="708"/>
        <w:jc w:val="both"/>
      </w:pPr>
      <w:r>
        <w:rPr/>
        <w:t>Jardel, P. E., Castillo, N. F., Ramírez, V. R., Chacón, M. J. C., Balcázar, M. O. E. (2004). Los incendios forestales en la reserva de la biosfera Sierra de Manantlán, Jalisco y Colima. En L. Villers y J. López (Ed.), Incendios forestales en México. Métodos de evaluación. 25-40. Universidad Nacional Autónoma de México. México. </w:t>
      </w:r>
      <w:r>
        <w:rPr>
          <w:i/>
        </w:rPr>
        <w:t>Centro de Ciencias de la Atmósfera</w:t>
      </w:r>
      <w:r>
        <w:rPr/>
        <w:t>.</w:t>
      </w:r>
    </w:p>
    <w:p>
      <w:pPr>
        <w:spacing w:after="0" w:line="360" w:lineRule="auto"/>
        <w:jc w:val="both"/>
        <w:sectPr>
          <w:pgSz w:w="12240" w:h="15840"/>
          <w:pgMar w:header="0" w:footer="1003" w:top="1360" w:bottom="1200" w:left="1600" w:right="1580"/>
        </w:sectPr>
      </w:pPr>
    </w:p>
    <w:p>
      <w:pPr>
        <w:pStyle w:val="BodyText"/>
        <w:spacing w:line="360" w:lineRule="auto" w:before="54"/>
        <w:ind w:left="810" w:right="116" w:hanging="708"/>
        <w:jc w:val="both"/>
      </w:pPr>
      <w:r>
        <w:rPr/>
        <w:t>Jia, G. J., Burke, I. C., Goetz, A. F. H., Kaufmann, M. R., y Kindel, B. C. (2006). Assessing spatial patterns of forest fuel using AVIRIS data. Remote Sensing of Environment 102: 318-327.</w:t>
      </w:r>
    </w:p>
    <w:p>
      <w:pPr>
        <w:pStyle w:val="BodyText"/>
        <w:spacing w:line="360" w:lineRule="auto" w:before="125"/>
        <w:ind w:left="810" w:right="116" w:hanging="708"/>
        <w:jc w:val="both"/>
      </w:pPr>
      <w:r>
        <w:rPr/>
        <w:t>Jiménez, M. E. (2004) Introducción al análisis multivariable (primera parte). Curso 2004-05. México.</w:t>
      </w:r>
    </w:p>
    <w:p>
      <w:pPr>
        <w:pStyle w:val="BodyText"/>
        <w:spacing w:line="360" w:lineRule="auto" w:before="125"/>
        <w:ind w:left="810" w:right="125" w:hanging="708"/>
        <w:jc w:val="both"/>
      </w:pPr>
      <w:r>
        <w:rPr/>
        <w:t>Jiménez, P. J. y Alanís, R. E. (2011). Análisis de la frecuencia de los incendios forestales en la Sierra Madre Oriental y Occidental del Norte de México y Sur de Estados Unidos de América. </w:t>
      </w:r>
      <w:r>
        <w:rPr>
          <w:i/>
        </w:rPr>
        <w:t>Ciencia UANL</w:t>
      </w:r>
      <w:r>
        <w:rPr/>
        <w:t>. Vol. 14. No. 3. 255-263.</w:t>
      </w:r>
    </w:p>
    <w:p>
      <w:pPr>
        <w:pStyle w:val="BodyText"/>
        <w:spacing w:line="360" w:lineRule="auto" w:before="125"/>
        <w:ind w:left="810" w:right="125" w:hanging="708"/>
        <w:jc w:val="both"/>
      </w:pPr>
      <w:r>
        <w:rPr/>
        <w:t>Keller, E. A. y Blodgett, R.H. (2004). Riesgos naturales. Procesos de la Tierra como riesgos, desastres y catástrofes. Madrid. Ed.Pearson. Prentice</w:t>
      </w:r>
      <w:r>
        <w:rPr>
          <w:spacing w:val="-26"/>
        </w:rPr>
        <w:t> </w:t>
      </w:r>
      <w:r>
        <w:rPr/>
        <w:t>Hall.</w:t>
      </w:r>
    </w:p>
    <w:p>
      <w:pPr>
        <w:pStyle w:val="BodyText"/>
        <w:spacing w:line="360" w:lineRule="auto" w:before="122"/>
        <w:ind w:left="810" w:right="116" w:hanging="708"/>
        <w:jc w:val="both"/>
      </w:pPr>
      <w:r>
        <w:rPr/>
        <w:t>Laclaustra, H. A., Martínez, S., Quintero, E., Piñeros, W., y Chuvieco, E. (2003). “Comparación de distintas técnicas de análisis digital para la cartografía de áreas quemadas con imágenes Landsat-ETM+”. </w:t>
      </w:r>
      <w:r>
        <w:rPr>
          <w:i/>
        </w:rPr>
        <w:t>GeoFocus</w:t>
      </w:r>
      <w:r>
        <w:rPr/>
        <w:t>. </w:t>
      </w:r>
      <w:r>
        <w:rPr>
          <w:i/>
        </w:rPr>
        <w:t>No. 3. </w:t>
      </w:r>
      <w:r>
        <w:rPr/>
        <w:t>216-234.</w:t>
      </w:r>
    </w:p>
    <w:p>
      <w:pPr>
        <w:pStyle w:val="BodyText"/>
        <w:spacing w:line="360" w:lineRule="auto" w:before="127"/>
        <w:ind w:left="810" w:right="118" w:hanging="708"/>
        <w:jc w:val="both"/>
      </w:pPr>
      <w:r>
        <w:rPr/>
        <w:t>Manzo, D. L. de L. (2006). Método para evaluación del riesgo local de incendio forestal, en base a técnicas de percepción remota. Tesis de Posgrado en ciencias biológicas. Facultad de ciencias. UNAM.</w:t>
      </w:r>
    </w:p>
    <w:p>
      <w:pPr>
        <w:pStyle w:val="BodyText"/>
        <w:spacing w:line="360" w:lineRule="auto" w:before="122"/>
        <w:ind w:left="810" w:right="119" w:hanging="708"/>
        <w:jc w:val="both"/>
      </w:pPr>
      <w:r>
        <w:rPr/>
        <w:t>Manzo, D. L. de L. (2012). Ajustes del Algoritmo AQM2008 para identificación de áreas quemadas usando imágenes MODIS, in Quintero, J. A. (Coordinador) Temas Selectos de Geomática: métodos y aplicaciones. UNAM, Instituto de Geografía. UNAM.</w:t>
      </w:r>
    </w:p>
    <w:p>
      <w:pPr>
        <w:pStyle w:val="BodyText"/>
        <w:tabs>
          <w:tab w:pos="4526" w:val="left" w:leader="none"/>
          <w:tab w:pos="8670" w:val="left" w:leader="none"/>
        </w:tabs>
        <w:spacing w:line="360" w:lineRule="auto" w:before="122"/>
        <w:ind w:left="810" w:right="119" w:hanging="708"/>
        <w:jc w:val="both"/>
      </w:pPr>
      <w:r>
        <w:rPr/>
        <w:t>Miliarium. (2008). Sistemas evaluación de riesgo de incendio forestal. Madrid, España.</w:t>
        <w:tab/>
        <w:t>Recuperado</w:t>
        <w:tab/>
        <w:t>de </w:t>
      </w:r>
      <w:hyperlink r:id="rId88">
        <w:r>
          <w:rPr/>
          <w:t>http://www.miliarium.com/bibliografia/monografias/Incendios_Forestales/Sist</w:t>
        </w:r>
      </w:hyperlink>
      <w:r>
        <w:rPr/>
        <w:t> emas_Evaluacion_Riesgo.asp</w:t>
      </w:r>
    </w:p>
    <w:p>
      <w:pPr>
        <w:pStyle w:val="BodyText"/>
        <w:spacing w:line="360" w:lineRule="auto" w:before="122"/>
        <w:ind w:left="810" w:right="115" w:hanging="708"/>
        <w:jc w:val="both"/>
        <w:rPr>
          <w:i/>
        </w:rPr>
      </w:pPr>
      <w:r>
        <w:rPr/>
        <w:t>Miranda, S. R. (2004). Determinación de las áreas de riesgos a incendios forestales del parque ecológico Chipinque Nuevo León. En L. Villers y J. López (Ed.), Incendios forestales en México. Métodos de evaluación. 25-40. Universidad Nacional Autónoma de México. México. </w:t>
      </w:r>
      <w:r>
        <w:rPr>
          <w:i/>
        </w:rPr>
        <w:t>Centro de Ciencias de </w:t>
      </w:r>
      <w:r>
        <w:rPr>
          <w:i/>
        </w:rPr>
        <w:t>la Atmósfera.</w:t>
      </w:r>
    </w:p>
    <w:p>
      <w:pPr>
        <w:spacing w:after="0" w:line="360" w:lineRule="auto"/>
        <w:jc w:val="both"/>
        <w:sectPr>
          <w:pgSz w:w="12240" w:h="15840"/>
          <w:pgMar w:header="0" w:footer="1003" w:top="1360" w:bottom="1200" w:left="1600" w:right="1580"/>
        </w:sectPr>
      </w:pPr>
    </w:p>
    <w:p>
      <w:pPr>
        <w:pStyle w:val="BodyText"/>
        <w:spacing w:line="360" w:lineRule="auto" w:before="54"/>
        <w:ind w:left="810" w:right="117" w:hanging="708"/>
        <w:jc w:val="both"/>
      </w:pPr>
      <w:r>
        <w:rPr/>
        <w:t>Montero, M. M. J., Polanco, M. J. M., Oropeza, R. F. (2004). Implementación de un algoritmo para la detección de fuegos usando imágenes GOES. En  L. Villers y J. López (Ed.), Incendios forestales en México. Métodos de evaluación. 25-40. Universidad Nacional Autónoma de México. México. </w:t>
      </w:r>
      <w:r>
        <w:rPr>
          <w:i/>
        </w:rPr>
        <w:t>Centro de Ciencias de la Atmósfera</w:t>
      </w:r>
      <w:r>
        <w:rPr/>
        <w:t>.</w:t>
      </w:r>
    </w:p>
    <w:p>
      <w:pPr>
        <w:pStyle w:val="BodyText"/>
        <w:spacing w:before="127"/>
        <w:ind w:left="102"/>
      </w:pPr>
      <w:r>
        <w:rPr/>
        <w:t>Muñoz, R. C. A., Treviño, G. E. J.  Verástegui, C. J.,     Jiménez, P. J. y Aguirre, C.</w:t>
      </w:r>
    </w:p>
    <w:p>
      <w:pPr>
        <w:pStyle w:val="BodyText"/>
        <w:spacing w:line="360" w:lineRule="auto" w:before="137"/>
        <w:ind w:left="810" w:right="115"/>
        <w:jc w:val="both"/>
      </w:pPr>
      <w:r>
        <w:rPr/>
        <w:t>O. A. (2005). Desarrollo de un modelo espacial para la evaluación del peligro de incendios forestales en la Sierra Madre Oriental de México. </w:t>
      </w:r>
      <w:r>
        <w:rPr>
          <w:i/>
        </w:rPr>
        <w:t>Investigaciones geográficas</w:t>
      </w:r>
      <w:r>
        <w:rPr/>
        <w:t>. UNAM. D.F. México. No. 056.</w:t>
      </w:r>
      <w:r>
        <w:rPr>
          <w:spacing w:val="-22"/>
        </w:rPr>
        <w:t> </w:t>
      </w:r>
      <w:r>
        <w:rPr/>
        <w:t>101-117.</w:t>
      </w:r>
    </w:p>
    <w:p>
      <w:pPr>
        <w:pStyle w:val="BodyText"/>
        <w:spacing w:line="360" w:lineRule="auto" w:before="127"/>
        <w:ind w:left="810" w:right="117" w:hanging="708"/>
        <w:jc w:val="both"/>
      </w:pPr>
      <w:r>
        <w:rPr/>
        <w:t>Pérez, V. G., Márquez, L. M. A., Cortés, O. A. y Salmerón, M. M. (2013). Análisis espacio temporal de la ocurrencia de incendios forestales en Durango, México. Madera y Bosques. 19(2). 37-58.</w:t>
      </w:r>
    </w:p>
    <w:p>
      <w:pPr>
        <w:pStyle w:val="BodyText"/>
        <w:spacing w:line="360" w:lineRule="auto" w:before="122"/>
        <w:ind w:left="810" w:right="122" w:hanging="708"/>
        <w:jc w:val="both"/>
      </w:pPr>
      <w:r>
        <w:rPr/>
        <w:t>Rentería, A. J. B. (2004). Desarrollo de modelos para el control de combustibles  en el manejo de ecosistemas forestales en Durango, México. Universidad Autónoma de Nuevo León. Facultad de Ciencias Forestales. Tesis de doctorado.</w:t>
      </w:r>
    </w:p>
    <w:p>
      <w:pPr>
        <w:pStyle w:val="BodyText"/>
        <w:spacing w:line="360" w:lineRule="auto" w:before="123"/>
        <w:ind w:left="810" w:right="121" w:hanging="708"/>
        <w:jc w:val="both"/>
      </w:pPr>
      <w:r>
        <w:rPr/>
        <w:t>Rentaría A. J. B., Treviño, G., Návar, J., Quiñones, C. A., Aguirre, C., y Cantú, S. I. (2005). Modelos espaciales de peligro de incendios forestales en Pueblo Nuevo, Durango. Memorias del VII Congreso Mexicano de Recursos Forestales. pp. 290-291. Chihuahua, México.</w:t>
      </w:r>
    </w:p>
    <w:p>
      <w:pPr>
        <w:pStyle w:val="BodyText"/>
        <w:spacing w:line="360" w:lineRule="auto" w:before="122"/>
        <w:ind w:left="810" w:right="120" w:hanging="708"/>
        <w:jc w:val="both"/>
      </w:pPr>
      <w:r>
        <w:rPr/>
        <w:t>Rodríguez, R. A. (2009). Estudios de valoración energética de combustibles forestales para la prevención de incendios forestales en la Sierra de la Primavera (Jalisco, México) mediante calorimetría de combustión y ensayos de inflamabilidad. Tesis de doctorado. Universidad de Santiago de Compostela. Santiago de Compostela.</w:t>
      </w:r>
    </w:p>
    <w:p>
      <w:pPr>
        <w:pStyle w:val="BodyText"/>
        <w:spacing w:line="360" w:lineRule="auto" w:before="125"/>
        <w:ind w:left="810" w:right="126" w:hanging="708"/>
        <w:jc w:val="both"/>
      </w:pPr>
      <w:r>
        <w:rPr/>
        <w:t>Rodríguez, F. G. (2012a). Sistema de consulta Geoelectoral para el Estado de México. Periodo 1990-2009. Tesis de Maestría. UAEM. Toluca, México.</w:t>
      </w:r>
    </w:p>
    <w:p>
      <w:pPr>
        <w:spacing w:after="0" w:line="360" w:lineRule="auto"/>
        <w:jc w:val="both"/>
        <w:sectPr>
          <w:pgSz w:w="12240" w:h="15840"/>
          <w:pgMar w:header="0" w:footer="1003" w:top="1360" w:bottom="1200" w:left="1600" w:right="1580"/>
        </w:sectPr>
      </w:pPr>
    </w:p>
    <w:p>
      <w:pPr>
        <w:pStyle w:val="BodyText"/>
        <w:spacing w:line="360" w:lineRule="auto" w:before="54"/>
        <w:ind w:left="810" w:right="118" w:hanging="708"/>
        <w:jc w:val="both"/>
      </w:pPr>
      <w:r>
        <w:rPr/>
        <w:t>Rodríguez, M. A. (2012b). Cartografía multitemporal de quemas e incendios forestales en Bolivia: Detección y validación post-incendio. Ecología en Bolivia </w:t>
      </w:r>
      <w:r>
        <w:rPr>
          <w:i/>
        </w:rPr>
        <w:t>47(1)</w:t>
      </w:r>
      <w:r>
        <w:rPr/>
        <w:t>: 53-71.</w:t>
      </w:r>
    </w:p>
    <w:p>
      <w:pPr>
        <w:pStyle w:val="BodyText"/>
        <w:spacing w:line="360" w:lineRule="auto" w:before="127"/>
        <w:ind w:left="810" w:hanging="708"/>
      </w:pPr>
      <w:r>
        <w:rPr/>
        <w:t>Secretaria del Medio Ambiente (SMA), (2013). Nota diaria. Recuperado de </w:t>
      </w:r>
      <w:hyperlink r:id="rId89">
        <w:r>
          <w:rPr/>
          <w:t>http://www.sma.df.gob.mx/corena/conservacion/notadiaria/</w:t>
        </w:r>
      </w:hyperlink>
      <w:r>
        <w:rPr/>
        <w:t>, </w:t>
      </w:r>
      <w:hyperlink r:id="rId90">
        <w:r>
          <w:rPr/>
          <w:t>http://ciudadverde.sedema.df.gob.mx/corena/conservacion/proteccion_nota</w:t>
        </w:r>
      </w:hyperlink>
    </w:p>
    <w:p>
      <w:pPr>
        <w:pStyle w:val="BodyText"/>
        <w:spacing w:line="360" w:lineRule="auto" w:before="2"/>
        <w:ind w:left="810" w:right="165"/>
      </w:pPr>
      <w:hyperlink r:id="rId90">
        <w:r>
          <w:rPr/>
          <w:t>_diaria.php</w:t>
        </w:r>
      </w:hyperlink>
      <w:r>
        <w:rPr/>
        <w:t>, </w:t>
      </w:r>
      <w:hyperlink r:id="rId91">
        <w:r>
          <w:rPr/>
          <w:t>http://www.sma.df.gob.mx/corena/conservacion/proteccion_nota_diaria.php</w:t>
        </w:r>
      </w:hyperlink>
      <w:r>
        <w:rPr/>
        <w:t> y </w:t>
      </w:r>
      <w:hyperlink r:id="rId92">
        <w:r>
          <w:rPr/>
          <w:t>http://www.sma.df.gob.mx/corena/conservacion/proteccion_incendios_desc</w:t>
        </w:r>
      </w:hyperlink>
      <w:r>
        <w:rPr/>
        <w:t> argas.php.</w:t>
      </w:r>
    </w:p>
    <w:p>
      <w:pPr>
        <w:pStyle w:val="BodyText"/>
        <w:spacing w:line="360" w:lineRule="auto" w:before="125"/>
        <w:ind w:left="810" w:right="118" w:hanging="708"/>
        <w:jc w:val="both"/>
      </w:pPr>
      <w:r>
        <w:rPr/>
        <w:t>Secretaría del Medio Ambiente (2013b). Programa Integral de Prevención y Combate de Incendios Forestales para el Distrito Federal Temporada 2013. Secretaría del Medio Ambiente. Recuperado de </w:t>
      </w:r>
      <w:hyperlink r:id="rId93">
        <w:r>
          <w:rPr/>
          <w:t>http://www.sma.df.gob.mx/corena/index.php?option=com_content&amp;view=cat</w:t>
        </w:r>
      </w:hyperlink>
      <w:r>
        <w:rPr/>
        <w:t> </w:t>
      </w:r>
      <w:hyperlink r:id="rId93">
        <w:r>
          <w:rPr/>
          <w:t>egory&amp;id=37&amp;Itemid=65</w:t>
        </w:r>
      </w:hyperlink>
    </w:p>
    <w:p>
      <w:pPr>
        <w:pStyle w:val="BodyText"/>
        <w:spacing w:line="360" w:lineRule="auto" w:before="123"/>
        <w:ind w:left="810" w:right="125" w:hanging="708"/>
        <w:jc w:val="both"/>
      </w:pPr>
      <w:r>
        <w:rPr/>
        <w:t>Secretaría del Medio Ambiente. (2014). Programa de prevención y combate de incendios forestales para el Distrito Federal 2014. Dirección General de la Comisión de Recursos Naturales. México, D.F.</w:t>
      </w:r>
    </w:p>
    <w:p>
      <w:pPr>
        <w:pStyle w:val="BodyText"/>
        <w:spacing w:line="360" w:lineRule="auto" w:before="125"/>
        <w:ind w:left="810" w:right="116" w:hanging="708"/>
        <w:jc w:val="both"/>
      </w:pPr>
      <w:r>
        <w:rPr/>
        <w:t>SEDEMA (2013). Informe del Incendio Forestal “Paraje Los Llanos” (Ejido San Andrés Totoltepec – Parque Ecológico de la Ciudad de México) 14-17 de abril. México, D.F.</w:t>
      </w:r>
    </w:p>
    <w:p>
      <w:pPr>
        <w:pStyle w:val="BodyText"/>
        <w:spacing w:line="362" w:lineRule="auto" w:before="122"/>
        <w:ind w:left="810" w:right="125" w:hanging="708"/>
        <w:jc w:val="both"/>
      </w:pPr>
      <w:r>
        <w:rPr/>
        <w:t>SEMARNAP/SAGAR. (1999). Norma Oficial Mexicana 015. Diario Oficial de la Federación. 2 de marzo de 1999.</w:t>
      </w:r>
    </w:p>
    <w:p>
      <w:pPr>
        <w:pStyle w:val="BodyText"/>
        <w:spacing w:before="120"/>
        <w:ind w:left="102"/>
      </w:pPr>
      <w:r>
        <w:rPr/>
        <w:t>SEMARNAT, (2009). Norma Oficial Mexicana NOM-015.  SEMARNAT/SAGARPA-</w:t>
      </w:r>
    </w:p>
    <w:p>
      <w:pPr>
        <w:pStyle w:val="BodyText"/>
        <w:spacing w:before="139"/>
        <w:ind w:left="810"/>
      </w:pPr>
      <w:r>
        <w:rPr/>
        <w:t>2007. Diario Oficial 2007. México.</w:t>
      </w:r>
    </w:p>
    <w:p>
      <w:pPr>
        <w:pStyle w:val="BodyText"/>
        <w:spacing w:before="3"/>
        <w:rPr>
          <w:sz w:val="22"/>
        </w:rPr>
      </w:pPr>
    </w:p>
    <w:p>
      <w:pPr>
        <w:pStyle w:val="BodyText"/>
        <w:spacing w:line="360" w:lineRule="auto" w:before="1"/>
        <w:ind w:left="810" w:right="124" w:hanging="708"/>
        <w:jc w:val="both"/>
      </w:pPr>
      <w:r>
        <w:rPr/>
        <w:t>Servicio Geológico de los Estados Unidos (USGS), (2013). Landsat 8 OLI. Recuperado de </w:t>
      </w:r>
      <w:hyperlink r:id="rId27">
        <w:r>
          <w:rPr/>
          <w:t>http://glovis.usgs.gov/</w:t>
        </w:r>
      </w:hyperlink>
      <w:r>
        <w:rPr/>
        <w:t> y </w:t>
      </w:r>
      <w:hyperlink r:id="rId28">
        <w:r>
          <w:rPr/>
          <w:t>http://earthexplorer.usgs.gov/</w:t>
        </w:r>
      </w:hyperlink>
    </w:p>
    <w:p>
      <w:pPr>
        <w:spacing w:after="0" w:line="360" w:lineRule="auto"/>
        <w:jc w:val="both"/>
        <w:sectPr>
          <w:pgSz w:w="12240" w:h="15840"/>
          <w:pgMar w:header="0" w:footer="1003" w:top="1360" w:bottom="1200" w:left="1600" w:right="1580"/>
        </w:sectPr>
      </w:pPr>
    </w:p>
    <w:p>
      <w:pPr>
        <w:pStyle w:val="BodyText"/>
        <w:spacing w:line="360" w:lineRule="auto" w:before="54"/>
        <w:ind w:left="810" w:right="123" w:hanging="708"/>
        <w:jc w:val="both"/>
      </w:pPr>
      <w:r>
        <w:rPr/>
        <w:t>Servicio Meteorológico Nacional (SMN), (2013). Estaciones meteorológicas automáticas. Recuperado de </w:t>
      </w:r>
      <w:hyperlink r:id="rId26">
        <w:r>
          <w:rPr/>
          <w:t>http://smn.cna.gob.mx/emas/</w:t>
        </w:r>
      </w:hyperlink>
    </w:p>
    <w:p>
      <w:pPr>
        <w:pStyle w:val="BodyText"/>
        <w:spacing w:line="360" w:lineRule="auto" w:before="122"/>
        <w:ind w:left="810" w:right="122" w:hanging="708"/>
        <w:jc w:val="both"/>
      </w:pPr>
      <w:r>
        <w:rPr/>
        <w:t>Tchikoué, H. (2003). Evaluación externa de los apoyos para la prevención y combate de los incendios forestales ejercicio fiscal 2003. Informe Final. División de Ciencias Forestales. Universidad Autónoma Chapingo, SEMARNAT-CONAFOR. México.</w:t>
      </w:r>
    </w:p>
    <w:p>
      <w:pPr>
        <w:pStyle w:val="BodyText"/>
        <w:spacing w:line="360" w:lineRule="auto" w:before="122"/>
        <w:ind w:left="810" w:right="121" w:hanging="708"/>
        <w:jc w:val="both"/>
      </w:pPr>
      <w:r>
        <w:rPr/>
        <w:t>Tchikoué, H. (2008). Evaluación externa de los apoyos para la prevención y combate de los incendios forestales ejercicio fiscal 2007. Informe Final. División de Ciencias Forestales. Universidad Autónoma Chapingo, SEMARNAT-CONAFOR. México.</w:t>
      </w:r>
    </w:p>
    <w:p>
      <w:pPr>
        <w:pStyle w:val="BodyText"/>
        <w:spacing w:line="360" w:lineRule="auto" w:before="122"/>
        <w:ind w:left="810" w:right="115" w:hanging="708"/>
        <w:jc w:val="both"/>
      </w:pPr>
      <w:r>
        <w:rPr/>
        <w:t>Torres, L., Muñoz, E. A., Zepeda, O., Andrade, E., López, L., y Estrada C. (2006). Segundo Curso Nacional sobre Metodologías para la Elaboración de Atlas Estatales y Municipales de Peligro y Riesgo. Estimación Simplificada de la amenaza por incendios forestales. CENAPRED.</w:t>
      </w:r>
    </w:p>
    <w:p>
      <w:pPr>
        <w:pStyle w:val="BodyText"/>
        <w:spacing w:line="360" w:lineRule="auto" w:before="122"/>
        <w:ind w:left="810" w:right="116" w:hanging="708"/>
        <w:jc w:val="both"/>
      </w:pPr>
      <w:r>
        <w:rPr/>
        <w:t>Torres, R. J., Magaña, T. O. y Ramírez, F. G. (2007). Índice de peligro de  incendios forestales de largo plazo. Agrociencia [en linea] 2007, 41 (agosto- septiembre). [Fecha de consulta: 19 de junio de 2014] Recuperado de:&lt;</w:t>
      </w:r>
      <w:hyperlink r:id="rId94">
        <w:r>
          <w:rPr/>
          <w:t>http://www.redalyc.org/articulo.oa?id=30241608</w:t>
        </w:r>
      </w:hyperlink>
      <w:r>
        <w:rPr/>
        <w:t>&gt; ISSN</w:t>
      </w:r>
      <w:r>
        <w:rPr>
          <w:spacing w:val="-22"/>
        </w:rPr>
        <w:t> </w:t>
      </w:r>
      <w:r>
        <w:rPr/>
        <w:t>1405-3195</w:t>
      </w:r>
    </w:p>
    <w:p>
      <w:pPr>
        <w:pStyle w:val="BodyText"/>
        <w:spacing w:line="360" w:lineRule="auto" w:before="122"/>
        <w:ind w:left="810" w:right="116" w:hanging="708"/>
        <w:jc w:val="both"/>
      </w:pPr>
      <w:r>
        <w:rPr/>
        <w:t>Vargas, J. E. (2002). Políticas públicas para la reducción de la vulnerabilidad  frente a los desastres naturales y socio-naturales. División de medio ambiente y recursos humanos. Cepal. Santiago de</w:t>
      </w:r>
      <w:r>
        <w:rPr>
          <w:spacing w:val="-20"/>
        </w:rPr>
        <w:t> </w:t>
      </w:r>
      <w:r>
        <w:rPr/>
        <w:t>Chile.</w:t>
      </w:r>
    </w:p>
    <w:p>
      <w:pPr>
        <w:pStyle w:val="BodyText"/>
        <w:spacing w:line="360" w:lineRule="auto" w:before="125"/>
        <w:ind w:left="810" w:right="124" w:hanging="708"/>
        <w:jc w:val="both"/>
      </w:pPr>
      <w:r>
        <w:rPr/>
        <w:t>Velázquez, A., Medina, C. y Reygadas, D. (2010). Síntesis geobotánica de las sierras Ajusco-Chichinautzin. Investigación Ambiental. 2(1): 5-24.</w:t>
      </w:r>
    </w:p>
    <w:p>
      <w:pPr>
        <w:pStyle w:val="BodyText"/>
        <w:spacing w:line="360" w:lineRule="auto" w:before="125"/>
        <w:ind w:left="810" w:right="117" w:hanging="708"/>
        <w:jc w:val="both"/>
      </w:pPr>
      <w:r>
        <w:rPr/>
        <w:t>Villers, R. L., y López, B. J. (2004). Comportamiento del fuego y evaluación del riesgo por incendios en las áreas forestales de México: un estudio en el Volcán La Malinche. En L. Villers y J. López (Ed.), Incendios forestales en México. Métodos de evaluación. (57-74). Universidad Nacional Autónoma  de México. México. Centro de Ciencias de la</w:t>
      </w:r>
      <w:r>
        <w:rPr>
          <w:spacing w:val="-13"/>
        </w:rPr>
        <w:t> </w:t>
      </w:r>
      <w:r>
        <w:rPr/>
        <w:t>Atmósfera.</w:t>
      </w:r>
    </w:p>
    <w:p>
      <w:pPr>
        <w:spacing w:after="0" w:line="360" w:lineRule="auto"/>
        <w:jc w:val="both"/>
        <w:sectPr>
          <w:pgSz w:w="12240" w:h="15840"/>
          <w:pgMar w:header="0" w:footer="1003" w:top="1360" w:bottom="1200" w:left="1600" w:right="1580"/>
        </w:sectPr>
      </w:pPr>
    </w:p>
    <w:p>
      <w:pPr>
        <w:pStyle w:val="BodyText"/>
        <w:spacing w:line="360" w:lineRule="auto" w:before="54"/>
        <w:ind w:left="810" w:right="119" w:hanging="708"/>
        <w:jc w:val="both"/>
      </w:pPr>
      <w:r>
        <w:rPr/>
        <w:t>Wong, G. J. C. y Villers, R. M. L. (2007). Evaluación de combustibles y su disponibilidad en incendios forestales: un estudio en el parque Nacional La Malinche. Investigaciones geográficas. Núm. 62. 87-103.</w:t>
      </w:r>
    </w:p>
    <w:p>
      <w:pPr>
        <w:pStyle w:val="BodyText"/>
        <w:spacing w:line="360" w:lineRule="auto" w:before="125"/>
        <w:ind w:left="810" w:right="125" w:hanging="708"/>
        <w:jc w:val="both"/>
      </w:pPr>
      <w:r>
        <w:rPr/>
        <w:t>Zilbert L. y Romero G. (2012). 5 herramientas para la gestión del riesgo de desastres. Dipecho Plan de Acción 2011 – 2012. Perú.</w:t>
      </w:r>
    </w:p>
    <w:p>
      <w:pPr>
        <w:spacing w:after="0" w:line="360" w:lineRule="auto"/>
        <w:jc w:val="both"/>
        <w:sectPr>
          <w:pgSz w:w="12240" w:h="15840"/>
          <w:pgMar w:header="0" w:footer="1003" w:top="1360" w:bottom="1200" w:left="1600" w:right="1580"/>
        </w:sectPr>
      </w:pPr>
    </w:p>
    <w:p>
      <w:pPr>
        <w:pStyle w:val="Heading1"/>
        <w:spacing w:before="54"/>
        <w:ind w:firstLine="0"/>
      </w:pPr>
      <w:bookmarkStart w:name="_bookmark60" w:id="113"/>
      <w:bookmarkEnd w:id="113"/>
      <w:r>
        <w:rPr>
          <w:b w:val="0"/>
        </w:rPr>
      </w:r>
      <w:r>
        <w:rPr/>
        <w:t>ANEXOS</w:t>
      </w:r>
    </w:p>
    <w:p>
      <w:pPr>
        <w:pStyle w:val="BodyText"/>
        <w:rPr>
          <w:b/>
        </w:rPr>
      </w:pPr>
    </w:p>
    <w:p>
      <w:pPr>
        <w:pStyle w:val="BodyText"/>
        <w:spacing w:line="343" w:lineRule="auto" w:before="161" w:after="8"/>
        <w:ind w:left="102" w:right="1081"/>
      </w:pPr>
      <w:r>
        <w:rPr/>
        <w:t>Formatos de características de los sitios visitados en campo y fotografías. Cuadro del Sitio 1.</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0"/>
        <w:gridCol w:w="520"/>
        <w:gridCol w:w="1169"/>
        <w:gridCol w:w="1169"/>
        <w:gridCol w:w="1544"/>
        <w:gridCol w:w="1154"/>
        <w:gridCol w:w="2034"/>
      </w:tblGrid>
      <w:tr>
        <w:trPr>
          <w:trHeight w:val="289" w:hRule="exact"/>
        </w:trPr>
        <w:tc>
          <w:tcPr>
            <w:tcW w:w="1140" w:type="dxa"/>
            <w:vMerge w:val="restart"/>
          </w:tcPr>
          <w:p>
            <w:pPr>
              <w:pStyle w:val="TableParagraph"/>
              <w:spacing w:before="0"/>
              <w:rPr>
                <w:sz w:val="15"/>
              </w:rPr>
            </w:pPr>
          </w:p>
          <w:p>
            <w:pPr>
              <w:pStyle w:val="TableParagraph"/>
              <w:spacing w:before="0"/>
              <w:ind w:left="317"/>
              <w:rPr>
                <w:b/>
                <w:sz w:val="17"/>
              </w:rPr>
            </w:pPr>
            <w:r>
              <w:rPr>
                <w:b/>
                <w:sz w:val="17"/>
              </w:rPr>
              <w:t>Fecha</w:t>
            </w:r>
          </w:p>
        </w:tc>
        <w:tc>
          <w:tcPr>
            <w:tcW w:w="520" w:type="dxa"/>
            <w:vMerge w:val="restart"/>
          </w:tcPr>
          <w:p>
            <w:pPr>
              <w:pStyle w:val="TableParagraph"/>
              <w:spacing w:before="0"/>
              <w:rPr>
                <w:sz w:val="15"/>
              </w:rPr>
            </w:pPr>
          </w:p>
          <w:p>
            <w:pPr>
              <w:pStyle w:val="TableParagraph"/>
              <w:spacing w:before="0"/>
              <w:ind w:left="72"/>
              <w:rPr>
                <w:b/>
                <w:sz w:val="17"/>
              </w:rPr>
            </w:pPr>
            <w:r>
              <w:rPr>
                <w:b/>
                <w:sz w:val="17"/>
              </w:rPr>
              <w:t>Sitio</w:t>
            </w:r>
          </w:p>
        </w:tc>
        <w:tc>
          <w:tcPr>
            <w:tcW w:w="2337" w:type="dxa"/>
            <w:gridSpan w:val="2"/>
          </w:tcPr>
          <w:p>
            <w:pPr>
              <w:pStyle w:val="TableParagraph"/>
              <w:spacing w:before="57"/>
              <w:ind w:left="403"/>
              <w:rPr>
                <w:b/>
                <w:sz w:val="17"/>
              </w:rPr>
            </w:pPr>
            <w:r>
              <w:rPr>
                <w:b/>
                <w:sz w:val="17"/>
              </w:rPr>
              <w:t>Coordenadas UTM</w:t>
            </w:r>
          </w:p>
        </w:tc>
        <w:tc>
          <w:tcPr>
            <w:tcW w:w="1544" w:type="dxa"/>
            <w:vMerge w:val="restart"/>
          </w:tcPr>
          <w:p>
            <w:pPr>
              <w:pStyle w:val="TableParagraph"/>
              <w:spacing w:before="0"/>
              <w:rPr>
                <w:sz w:val="15"/>
              </w:rPr>
            </w:pPr>
          </w:p>
          <w:p>
            <w:pPr>
              <w:pStyle w:val="TableParagraph"/>
              <w:spacing w:before="0"/>
              <w:ind w:left="360"/>
              <w:rPr>
                <w:b/>
                <w:sz w:val="17"/>
              </w:rPr>
            </w:pPr>
            <w:r>
              <w:rPr>
                <w:b/>
                <w:sz w:val="17"/>
              </w:rPr>
              <w:t>Localidad</w:t>
            </w:r>
          </w:p>
        </w:tc>
        <w:tc>
          <w:tcPr>
            <w:tcW w:w="1154" w:type="dxa"/>
            <w:vMerge w:val="restart"/>
          </w:tcPr>
          <w:p>
            <w:pPr>
              <w:pStyle w:val="TableParagraph"/>
              <w:spacing w:before="0"/>
              <w:rPr>
                <w:sz w:val="15"/>
              </w:rPr>
            </w:pPr>
          </w:p>
          <w:p>
            <w:pPr>
              <w:pStyle w:val="TableParagraph"/>
              <w:spacing w:before="0"/>
              <w:ind w:left="115"/>
              <w:rPr>
                <w:b/>
                <w:sz w:val="17"/>
              </w:rPr>
            </w:pPr>
            <w:r>
              <w:rPr>
                <w:b/>
                <w:sz w:val="17"/>
              </w:rPr>
              <w:t>Delegación</w:t>
            </w:r>
          </w:p>
        </w:tc>
        <w:tc>
          <w:tcPr>
            <w:tcW w:w="2034" w:type="dxa"/>
            <w:vMerge w:val="restart"/>
          </w:tcPr>
          <w:p>
            <w:pPr>
              <w:pStyle w:val="TableParagraph"/>
              <w:spacing w:before="0"/>
              <w:rPr>
                <w:sz w:val="15"/>
              </w:rPr>
            </w:pPr>
          </w:p>
          <w:p>
            <w:pPr>
              <w:pStyle w:val="TableParagraph"/>
              <w:spacing w:before="0"/>
              <w:ind w:left="331"/>
              <w:rPr>
                <w:b/>
                <w:sz w:val="17"/>
              </w:rPr>
            </w:pPr>
            <w:r>
              <w:rPr>
                <w:b/>
                <w:sz w:val="17"/>
              </w:rPr>
              <w:t>Elevación msnm</w:t>
            </w:r>
          </w:p>
        </w:tc>
      </w:tr>
      <w:tr>
        <w:trPr>
          <w:trHeight w:val="289" w:hRule="exact"/>
        </w:trPr>
        <w:tc>
          <w:tcPr>
            <w:tcW w:w="1140" w:type="dxa"/>
            <w:vMerge/>
          </w:tcPr>
          <w:p>
            <w:pPr/>
          </w:p>
        </w:tc>
        <w:tc>
          <w:tcPr>
            <w:tcW w:w="520" w:type="dxa"/>
            <w:vMerge/>
          </w:tcPr>
          <w:p>
            <w:pPr/>
          </w:p>
        </w:tc>
        <w:tc>
          <w:tcPr>
            <w:tcW w:w="1169" w:type="dxa"/>
          </w:tcPr>
          <w:p>
            <w:pPr>
              <w:pStyle w:val="TableParagraph"/>
              <w:spacing w:before="42"/>
              <w:ind w:left="148" w:right="151"/>
              <w:jc w:val="center"/>
              <w:rPr>
                <w:b/>
                <w:sz w:val="17"/>
              </w:rPr>
            </w:pPr>
            <w:r>
              <w:rPr>
                <w:b/>
                <w:sz w:val="17"/>
              </w:rPr>
              <w:t>Oeste</w:t>
            </w:r>
          </w:p>
        </w:tc>
        <w:tc>
          <w:tcPr>
            <w:tcW w:w="1169" w:type="dxa"/>
          </w:tcPr>
          <w:p>
            <w:pPr>
              <w:pStyle w:val="TableParagraph"/>
              <w:spacing w:before="42"/>
              <w:ind w:left="107" w:right="99"/>
              <w:jc w:val="center"/>
              <w:rPr>
                <w:b/>
                <w:sz w:val="17"/>
              </w:rPr>
            </w:pPr>
            <w:r>
              <w:rPr>
                <w:b/>
                <w:sz w:val="17"/>
              </w:rPr>
              <w:t>Norte</w:t>
            </w:r>
          </w:p>
        </w:tc>
        <w:tc>
          <w:tcPr>
            <w:tcW w:w="1544" w:type="dxa"/>
            <w:vMerge/>
          </w:tcPr>
          <w:p>
            <w:pPr/>
          </w:p>
        </w:tc>
        <w:tc>
          <w:tcPr>
            <w:tcW w:w="1154" w:type="dxa"/>
            <w:vMerge/>
          </w:tcPr>
          <w:p>
            <w:pPr/>
          </w:p>
        </w:tc>
        <w:tc>
          <w:tcPr>
            <w:tcW w:w="2034" w:type="dxa"/>
            <w:vMerge/>
          </w:tcPr>
          <w:p>
            <w:pPr/>
          </w:p>
        </w:tc>
      </w:tr>
      <w:tr>
        <w:trPr>
          <w:trHeight w:val="288" w:hRule="exact"/>
        </w:trPr>
        <w:tc>
          <w:tcPr>
            <w:tcW w:w="1140" w:type="dxa"/>
          </w:tcPr>
          <w:p>
            <w:pPr>
              <w:pStyle w:val="TableParagraph"/>
              <w:spacing w:before="57"/>
              <w:ind w:left="114" w:right="119"/>
              <w:jc w:val="center"/>
              <w:rPr>
                <w:sz w:val="17"/>
              </w:rPr>
            </w:pPr>
            <w:r>
              <w:rPr>
                <w:sz w:val="17"/>
              </w:rPr>
              <w:t>14/01/2015</w:t>
            </w:r>
          </w:p>
        </w:tc>
        <w:tc>
          <w:tcPr>
            <w:tcW w:w="520" w:type="dxa"/>
          </w:tcPr>
          <w:p>
            <w:pPr>
              <w:pStyle w:val="TableParagraph"/>
              <w:spacing w:before="57"/>
              <w:ind w:right="2"/>
              <w:jc w:val="center"/>
              <w:rPr>
                <w:sz w:val="17"/>
              </w:rPr>
            </w:pPr>
            <w:r>
              <w:rPr>
                <w:w w:val="101"/>
                <w:sz w:val="17"/>
              </w:rPr>
              <w:t>1</w:t>
            </w:r>
          </w:p>
        </w:tc>
        <w:tc>
          <w:tcPr>
            <w:tcW w:w="1169" w:type="dxa"/>
          </w:tcPr>
          <w:p>
            <w:pPr>
              <w:pStyle w:val="TableParagraph"/>
              <w:spacing w:before="42"/>
              <w:ind w:left="158" w:right="151"/>
              <w:jc w:val="center"/>
              <w:rPr>
                <w:sz w:val="17"/>
              </w:rPr>
            </w:pPr>
            <w:r>
              <w:rPr>
                <w:sz w:val="17"/>
              </w:rPr>
              <w:t>480538.05</w:t>
            </w:r>
          </w:p>
        </w:tc>
        <w:tc>
          <w:tcPr>
            <w:tcW w:w="1169" w:type="dxa"/>
          </w:tcPr>
          <w:p>
            <w:pPr>
              <w:pStyle w:val="TableParagraph"/>
              <w:spacing w:before="42"/>
              <w:ind w:left="107" w:right="108"/>
              <w:jc w:val="center"/>
              <w:rPr>
                <w:sz w:val="17"/>
              </w:rPr>
            </w:pPr>
            <w:r>
              <w:rPr>
                <w:sz w:val="17"/>
              </w:rPr>
              <w:t>2114480.34</w:t>
            </w:r>
          </w:p>
        </w:tc>
        <w:tc>
          <w:tcPr>
            <w:tcW w:w="1544" w:type="dxa"/>
          </w:tcPr>
          <w:p>
            <w:pPr>
              <w:pStyle w:val="TableParagraph"/>
              <w:spacing w:before="57"/>
              <w:ind w:left="505"/>
              <w:rPr>
                <w:sz w:val="17"/>
              </w:rPr>
            </w:pPr>
            <w:r>
              <w:rPr>
                <w:sz w:val="17"/>
              </w:rPr>
              <w:t>Parres</w:t>
            </w:r>
          </w:p>
        </w:tc>
        <w:tc>
          <w:tcPr>
            <w:tcW w:w="1154" w:type="dxa"/>
          </w:tcPr>
          <w:p>
            <w:pPr>
              <w:pStyle w:val="TableParagraph"/>
              <w:spacing w:before="57"/>
              <w:ind w:right="278"/>
              <w:jc w:val="right"/>
              <w:rPr>
                <w:sz w:val="17"/>
              </w:rPr>
            </w:pPr>
            <w:r>
              <w:rPr>
                <w:sz w:val="17"/>
              </w:rPr>
              <w:t>Tlalpan</w:t>
            </w:r>
          </w:p>
        </w:tc>
        <w:tc>
          <w:tcPr>
            <w:tcW w:w="2034" w:type="dxa"/>
          </w:tcPr>
          <w:p>
            <w:pPr>
              <w:pStyle w:val="TableParagraph"/>
              <w:spacing w:before="57"/>
              <w:ind w:left="118" w:right="118"/>
              <w:jc w:val="center"/>
              <w:rPr>
                <w:sz w:val="17"/>
              </w:rPr>
            </w:pPr>
            <w:r>
              <w:rPr>
                <w:sz w:val="17"/>
              </w:rPr>
              <w:t>2997</w:t>
            </w:r>
          </w:p>
        </w:tc>
      </w:tr>
      <w:tr>
        <w:trPr>
          <w:trHeight w:val="318" w:hRule="exact"/>
        </w:trPr>
        <w:tc>
          <w:tcPr>
            <w:tcW w:w="2828" w:type="dxa"/>
            <w:gridSpan w:val="3"/>
          </w:tcPr>
          <w:p>
            <w:pPr>
              <w:pStyle w:val="TableParagraph"/>
              <w:spacing w:before="43"/>
              <w:ind w:left="490"/>
              <w:rPr>
                <w:b/>
                <w:sz w:val="17"/>
              </w:rPr>
            </w:pPr>
            <w:r>
              <w:rPr>
                <w:b/>
                <w:sz w:val="17"/>
              </w:rPr>
              <w:t>Ángulo de la pendiente</w:t>
            </w:r>
          </w:p>
        </w:tc>
        <w:tc>
          <w:tcPr>
            <w:tcW w:w="2712" w:type="dxa"/>
            <w:gridSpan w:val="2"/>
          </w:tcPr>
          <w:p>
            <w:pPr>
              <w:pStyle w:val="TableParagraph"/>
              <w:spacing w:before="43"/>
              <w:ind w:left="446"/>
              <w:rPr>
                <w:b/>
                <w:sz w:val="17"/>
              </w:rPr>
            </w:pPr>
            <w:r>
              <w:rPr>
                <w:b/>
                <w:sz w:val="17"/>
              </w:rPr>
              <w:t>Forma de la pendiente</w:t>
            </w:r>
          </w:p>
        </w:tc>
        <w:tc>
          <w:tcPr>
            <w:tcW w:w="3189" w:type="dxa"/>
            <w:gridSpan w:val="2"/>
          </w:tcPr>
          <w:p>
            <w:pPr>
              <w:pStyle w:val="TableParagraph"/>
              <w:spacing w:before="43"/>
              <w:ind w:left="1069" w:right="1073"/>
              <w:jc w:val="center"/>
              <w:rPr>
                <w:b/>
                <w:sz w:val="17"/>
              </w:rPr>
            </w:pPr>
            <w:r>
              <w:rPr>
                <w:b/>
                <w:sz w:val="17"/>
              </w:rPr>
              <w:t>Microrelieve</w:t>
            </w:r>
          </w:p>
        </w:tc>
      </w:tr>
      <w:tr>
        <w:trPr>
          <w:trHeight w:val="289" w:hRule="exact"/>
        </w:trPr>
        <w:tc>
          <w:tcPr>
            <w:tcW w:w="2828" w:type="dxa"/>
            <w:gridSpan w:val="3"/>
          </w:tcPr>
          <w:p>
            <w:pPr>
              <w:pStyle w:val="TableParagraph"/>
              <w:spacing w:before="57"/>
              <w:ind w:left="1052" w:right="1052"/>
              <w:jc w:val="center"/>
              <w:rPr>
                <w:sz w:val="17"/>
              </w:rPr>
            </w:pPr>
            <w:r>
              <w:rPr>
                <w:sz w:val="17"/>
              </w:rPr>
              <w:t>15°</w:t>
            </w:r>
          </w:p>
        </w:tc>
        <w:tc>
          <w:tcPr>
            <w:tcW w:w="2712" w:type="dxa"/>
            <w:gridSpan w:val="2"/>
          </w:tcPr>
          <w:p>
            <w:pPr>
              <w:pStyle w:val="TableParagraph"/>
              <w:spacing w:before="57"/>
              <w:ind w:left="1003" w:right="1021"/>
              <w:jc w:val="center"/>
              <w:rPr>
                <w:sz w:val="17"/>
              </w:rPr>
            </w:pPr>
            <w:r>
              <w:rPr>
                <w:sz w:val="17"/>
              </w:rPr>
              <w:t>convexa</w:t>
            </w:r>
          </w:p>
        </w:tc>
        <w:tc>
          <w:tcPr>
            <w:tcW w:w="3189" w:type="dxa"/>
            <w:gridSpan w:val="2"/>
          </w:tcPr>
          <w:p>
            <w:pPr>
              <w:pStyle w:val="TableParagraph"/>
              <w:spacing w:before="57"/>
              <w:ind w:left="1069" w:right="1073"/>
              <w:jc w:val="center"/>
              <w:rPr>
                <w:sz w:val="17"/>
              </w:rPr>
            </w:pPr>
            <w:r>
              <w:rPr>
                <w:sz w:val="17"/>
              </w:rPr>
              <w:t>Ondulado</w:t>
            </w:r>
          </w:p>
        </w:tc>
      </w:tr>
      <w:tr>
        <w:trPr>
          <w:trHeight w:val="289" w:hRule="exact"/>
        </w:trPr>
        <w:tc>
          <w:tcPr>
            <w:tcW w:w="2828" w:type="dxa"/>
            <w:gridSpan w:val="3"/>
          </w:tcPr>
          <w:p>
            <w:pPr>
              <w:pStyle w:val="TableParagraph"/>
              <w:spacing w:before="28"/>
              <w:ind w:left="288"/>
              <w:rPr>
                <w:b/>
                <w:sz w:val="17"/>
              </w:rPr>
            </w:pPr>
            <w:r>
              <w:rPr>
                <w:b/>
                <w:sz w:val="17"/>
              </w:rPr>
              <w:t>Drenaje superficial del sitio</w:t>
            </w:r>
          </w:p>
        </w:tc>
        <w:tc>
          <w:tcPr>
            <w:tcW w:w="2712" w:type="dxa"/>
            <w:gridSpan w:val="2"/>
          </w:tcPr>
          <w:p>
            <w:pPr>
              <w:pStyle w:val="TableParagraph"/>
              <w:spacing w:before="28"/>
              <w:ind w:left="649"/>
              <w:rPr>
                <w:b/>
                <w:sz w:val="17"/>
              </w:rPr>
            </w:pPr>
            <w:r>
              <w:rPr>
                <w:b/>
                <w:sz w:val="17"/>
              </w:rPr>
              <w:t>Material parental</w:t>
            </w:r>
          </w:p>
        </w:tc>
        <w:tc>
          <w:tcPr>
            <w:tcW w:w="1154" w:type="dxa"/>
          </w:tcPr>
          <w:p>
            <w:pPr>
              <w:pStyle w:val="TableParagraph"/>
              <w:spacing w:before="42"/>
              <w:ind w:right="349"/>
              <w:jc w:val="right"/>
              <w:rPr>
                <w:b/>
                <w:sz w:val="17"/>
              </w:rPr>
            </w:pPr>
            <w:r>
              <w:rPr>
                <w:b/>
                <w:sz w:val="17"/>
              </w:rPr>
              <w:t>Color</w:t>
            </w:r>
          </w:p>
        </w:tc>
        <w:tc>
          <w:tcPr>
            <w:tcW w:w="2034" w:type="dxa"/>
          </w:tcPr>
          <w:p>
            <w:pPr>
              <w:pStyle w:val="TableParagraph"/>
              <w:spacing w:before="42"/>
              <w:ind w:left="118" w:right="116"/>
              <w:jc w:val="center"/>
              <w:rPr>
                <w:b/>
                <w:sz w:val="17"/>
              </w:rPr>
            </w:pPr>
            <w:r>
              <w:rPr>
                <w:b/>
                <w:sz w:val="17"/>
              </w:rPr>
              <w:t>Color intemperizado</w:t>
            </w:r>
          </w:p>
        </w:tc>
      </w:tr>
      <w:tr>
        <w:trPr>
          <w:trHeight w:val="289" w:hRule="exact"/>
        </w:trPr>
        <w:tc>
          <w:tcPr>
            <w:tcW w:w="2828" w:type="dxa"/>
            <w:gridSpan w:val="3"/>
          </w:tcPr>
          <w:p>
            <w:pPr>
              <w:pStyle w:val="TableParagraph"/>
              <w:spacing w:before="28"/>
              <w:ind w:left="1052" w:right="1060"/>
              <w:jc w:val="center"/>
              <w:rPr>
                <w:sz w:val="17"/>
              </w:rPr>
            </w:pPr>
            <w:r>
              <w:rPr>
                <w:sz w:val="17"/>
              </w:rPr>
              <w:t>Donador</w:t>
            </w:r>
          </w:p>
        </w:tc>
        <w:tc>
          <w:tcPr>
            <w:tcW w:w="2712" w:type="dxa"/>
            <w:gridSpan w:val="2"/>
          </w:tcPr>
          <w:p>
            <w:pPr>
              <w:pStyle w:val="TableParagraph"/>
              <w:spacing w:before="28"/>
              <w:ind w:left="1003" w:right="1006"/>
              <w:jc w:val="center"/>
              <w:rPr>
                <w:sz w:val="17"/>
              </w:rPr>
            </w:pPr>
            <w:r>
              <w:rPr>
                <w:sz w:val="17"/>
              </w:rPr>
              <w:t>Igneo</w:t>
            </w:r>
          </w:p>
        </w:tc>
        <w:tc>
          <w:tcPr>
            <w:tcW w:w="1154" w:type="dxa"/>
          </w:tcPr>
          <w:p>
            <w:pPr>
              <w:pStyle w:val="TableParagraph"/>
              <w:spacing w:before="57"/>
              <w:ind w:right="321"/>
              <w:jc w:val="right"/>
              <w:rPr>
                <w:sz w:val="17"/>
              </w:rPr>
            </w:pPr>
            <w:r>
              <w:rPr>
                <w:sz w:val="17"/>
              </w:rPr>
              <w:t>Negro</w:t>
            </w:r>
          </w:p>
        </w:tc>
        <w:tc>
          <w:tcPr>
            <w:tcW w:w="2034" w:type="dxa"/>
          </w:tcPr>
          <w:p>
            <w:pPr>
              <w:pStyle w:val="TableParagraph"/>
              <w:spacing w:before="57"/>
              <w:ind w:left="118" w:right="121"/>
              <w:jc w:val="center"/>
              <w:rPr>
                <w:sz w:val="17"/>
              </w:rPr>
            </w:pPr>
            <w:r>
              <w:rPr>
                <w:sz w:val="17"/>
              </w:rPr>
              <w:t>Rojizo</w:t>
            </w:r>
          </w:p>
        </w:tc>
      </w:tr>
      <w:tr>
        <w:trPr>
          <w:trHeight w:val="289" w:hRule="exact"/>
        </w:trPr>
        <w:tc>
          <w:tcPr>
            <w:tcW w:w="1140" w:type="dxa"/>
            <w:tcBorders>
              <w:bottom w:val="single" w:sz="6" w:space="0" w:color="000000"/>
            </w:tcBorders>
          </w:tcPr>
          <w:p>
            <w:pPr>
              <w:pStyle w:val="TableParagraph"/>
              <w:spacing w:before="42"/>
              <w:ind w:left="114" w:right="117"/>
              <w:jc w:val="center"/>
              <w:rPr>
                <w:b/>
                <w:sz w:val="17"/>
              </w:rPr>
            </w:pPr>
            <w:r>
              <w:rPr>
                <w:b/>
                <w:sz w:val="17"/>
              </w:rPr>
              <w:t>Textura</w:t>
            </w:r>
          </w:p>
        </w:tc>
        <w:tc>
          <w:tcPr>
            <w:tcW w:w="2857" w:type="dxa"/>
            <w:gridSpan w:val="3"/>
            <w:tcBorders>
              <w:bottom w:val="single" w:sz="6" w:space="0" w:color="000000"/>
            </w:tcBorders>
          </w:tcPr>
          <w:p>
            <w:pPr>
              <w:pStyle w:val="TableParagraph"/>
              <w:spacing w:before="28"/>
              <w:ind w:left="490"/>
              <w:rPr>
                <w:b/>
                <w:sz w:val="17"/>
              </w:rPr>
            </w:pPr>
            <w:r>
              <w:rPr>
                <w:b/>
                <w:sz w:val="17"/>
              </w:rPr>
              <w:t>Minerales observables</w:t>
            </w:r>
          </w:p>
        </w:tc>
        <w:tc>
          <w:tcPr>
            <w:tcW w:w="2698" w:type="dxa"/>
            <w:gridSpan w:val="2"/>
            <w:tcBorders>
              <w:bottom w:val="single" w:sz="6" w:space="0" w:color="000000"/>
            </w:tcBorders>
          </w:tcPr>
          <w:p>
            <w:pPr>
              <w:pStyle w:val="TableParagraph"/>
              <w:spacing w:before="28"/>
              <w:ind w:left="605"/>
              <w:rPr>
                <w:b/>
                <w:sz w:val="17"/>
              </w:rPr>
            </w:pPr>
            <w:r>
              <w:rPr>
                <w:b/>
                <w:sz w:val="17"/>
              </w:rPr>
              <w:t>Vegetación nativa</w:t>
            </w:r>
          </w:p>
        </w:tc>
        <w:tc>
          <w:tcPr>
            <w:tcW w:w="2034" w:type="dxa"/>
            <w:tcBorders>
              <w:bottom w:val="single" w:sz="6" w:space="0" w:color="000000"/>
            </w:tcBorders>
          </w:tcPr>
          <w:p>
            <w:pPr>
              <w:pStyle w:val="TableParagraph"/>
              <w:spacing w:before="42"/>
              <w:ind w:left="118" w:right="123"/>
              <w:jc w:val="center"/>
              <w:rPr>
                <w:b/>
                <w:sz w:val="17"/>
              </w:rPr>
            </w:pPr>
            <w:r>
              <w:rPr>
                <w:b/>
                <w:sz w:val="17"/>
              </w:rPr>
              <w:t>Especies dominantes</w:t>
            </w:r>
          </w:p>
        </w:tc>
      </w:tr>
      <w:tr>
        <w:trPr>
          <w:trHeight w:val="289" w:hRule="exact"/>
        </w:trPr>
        <w:tc>
          <w:tcPr>
            <w:tcW w:w="1140" w:type="dxa"/>
            <w:tcBorders>
              <w:top w:val="single" w:sz="6" w:space="0" w:color="000000"/>
            </w:tcBorders>
          </w:tcPr>
          <w:p>
            <w:pPr>
              <w:pStyle w:val="TableParagraph"/>
              <w:spacing w:before="42"/>
              <w:ind w:left="114" w:right="117"/>
              <w:jc w:val="center"/>
              <w:rPr>
                <w:sz w:val="17"/>
              </w:rPr>
            </w:pPr>
            <w:r>
              <w:rPr>
                <w:sz w:val="17"/>
              </w:rPr>
              <w:t>Afanítica</w:t>
            </w:r>
          </w:p>
        </w:tc>
        <w:tc>
          <w:tcPr>
            <w:tcW w:w="2857" w:type="dxa"/>
            <w:gridSpan w:val="3"/>
            <w:tcBorders>
              <w:top w:val="single" w:sz="6" w:space="0" w:color="000000"/>
            </w:tcBorders>
          </w:tcPr>
          <w:p>
            <w:pPr>
              <w:pStyle w:val="TableParagraph"/>
              <w:spacing w:before="28"/>
              <w:ind w:left="1016" w:right="1020"/>
              <w:jc w:val="center"/>
              <w:rPr>
                <w:sz w:val="17"/>
              </w:rPr>
            </w:pPr>
            <w:r>
              <w:rPr>
                <w:sz w:val="17"/>
              </w:rPr>
              <w:t>No se ven</w:t>
            </w:r>
          </w:p>
        </w:tc>
        <w:tc>
          <w:tcPr>
            <w:tcW w:w="2698" w:type="dxa"/>
            <w:gridSpan w:val="2"/>
            <w:tcBorders>
              <w:top w:val="single" w:sz="6" w:space="0" w:color="000000"/>
            </w:tcBorders>
          </w:tcPr>
          <w:p>
            <w:pPr>
              <w:pStyle w:val="TableParagraph"/>
              <w:spacing w:before="28"/>
              <w:ind w:left="965" w:right="969"/>
              <w:jc w:val="center"/>
              <w:rPr>
                <w:sz w:val="17"/>
              </w:rPr>
            </w:pPr>
            <w:r>
              <w:rPr>
                <w:sz w:val="17"/>
              </w:rPr>
              <w:t>Arbustiva</w:t>
            </w:r>
          </w:p>
        </w:tc>
        <w:tc>
          <w:tcPr>
            <w:tcW w:w="2034" w:type="dxa"/>
            <w:tcBorders>
              <w:top w:val="single" w:sz="6" w:space="0" w:color="000000"/>
            </w:tcBorders>
          </w:tcPr>
          <w:p>
            <w:pPr>
              <w:pStyle w:val="TableParagraph"/>
              <w:spacing w:before="42"/>
              <w:ind w:left="118" w:right="118"/>
              <w:jc w:val="center"/>
              <w:rPr>
                <w:sz w:val="17"/>
              </w:rPr>
            </w:pPr>
            <w:r>
              <w:rPr>
                <w:sz w:val="17"/>
              </w:rPr>
              <w:t>Pastos y pinos</w:t>
            </w:r>
          </w:p>
        </w:tc>
      </w:tr>
      <w:tr>
        <w:trPr>
          <w:trHeight w:val="289" w:hRule="exact"/>
        </w:trPr>
        <w:tc>
          <w:tcPr>
            <w:tcW w:w="2828" w:type="dxa"/>
            <w:gridSpan w:val="3"/>
          </w:tcPr>
          <w:p>
            <w:pPr>
              <w:pStyle w:val="TableParagraph"/>
              <w:spacing w:before="28"/>
              <w:ind w:left="1052" w:right="1060"/>
              <w:jc w:val="center"/>
              <w:rPr>
                <w:b/>
                <w:sz w:val="17"/>
              </w:rPr>
            </w:pPr>
            <w:r>
              <w:rPr>
                <w:b/>
                <w:sz w:val="17"/>
              </w:rPr>
              <w:t>Función</w:t>
            </w:r>
          </w:p>
        </w:tc>
        <w:tc>
          <w:tcPr>
            <w:tcW w:w="5901" w:type="dxa"/>
            <w:gridSpan w:val="4"/>
          </w:tcPr>
          <w:p>
            <w:pPr>
              <w:pStyle w:val="TableParagraph"/>
              <w:spacing w:before="28"/>
              <w:ind w:left="2074" w:right="2080"/>
              <w:jc w:val="center"/>
              <w:rPr>
                <w:b/>
                <w:sz w:val="17"/>
              </w:rPr>
            </w:pPr>
            <w:r>
              <w:rPr>
                <w:b/>
                <w:sz w:val="17"/>
              </w:rPr>
              <w:t>Vegetación cultivada</w:t>
            </w:r>
          </w:p>
        </w:tc>
      </w:tr>
      <w:tr>
        <w:trPr>
          <w:trHeight w:val="289" w:hRule="exact"/>
        </w:trPr>
        <w:tc>
          <w:tcPr>
            <w:tcW w:w="2828" w:type="dxa"/>
            <w:gridSpan w:val="3"/>
          </w:tcPr>
          <w:p>
            <w:pPr>
              <w:pStyle w:val="TableParagraph"/>
              <w:spacing w:before="28"/>
              <w:ind w:left="822"/>
              <w:rPr>
                <w:sz w:val="17"/>
              </w:rPr>
            </w:pPr>
            <w:r>
              <w:rPr>
                <w:sz w:val="17"/>
              </w:rPr>
              <w:t>Siempre verde</w:t>
            </w:r>
          </w:p>
        </w:tc>
        <w:tc>
          <w:tcPr>
            <w:tcW w:w="5901" w:type="dxa"/>
            <w:gridSpan w:val="4"/>
          </w:tcPr>
          <w:p>
            <w:pPr>
              <w:pStyle w:val="TableParagraph"/>
              <w:spacing w:before="28"/>
              <w:ind w:left="2062" w:right="2080"/>
              <w:jc w:val="center"/>
              <w:rPr>
                <w:sz w:val="17"/>
              </w:rPr>
            </w:pPr>
            <w:r>
              <w:rPr>
                <w:sz w:val="17"/>
              </w:rPr>
              <w:t>Avena</w:t>
            </w:r>
          </w:p>
        </w:tc>
      </w:tr>
      <w:tr>
        <w:trPr>
          <w:trHeight w:val="289" w:hRule="exact"/>
        </w:trPr>
        <w:tc>
          <w:tcPr>
            <w:tcW w:w="2828" w:type="dxa"/>
            <w:gridSpan w:val="3"/>
          </w:tcPr>
          <w:p>
            <w:pPr>
              <w:pStyle w:val="TableParagraph"/>
              <w:spacing w:before="57"/>
              <w:ind w:left="28"/>
              <w:rPr>
                <w:b/>
                <w:sz w:val="17"/>
              </w:rPr>
            </w:pPr>
            <w:r>
              <w:rPr>
                <w:b/>
                <w:sz w:val="17"/>
              </w:rPr>
              <w:t>Prácticas agrícolas visibles:</w:t>
            </w:r>
          </w:p>
        </w:tc>
        <w:tc>
          <w:tcPr>
            <w:tcW w:w="2712" w:type="dxa"/>
            <w:gridSpan w:val="2"/>
          </w:tcPr>
          <w:p>
            <w:pPr>
              <w:pStyle w:val="TableParagraph"/>
              <w:spacing w:before="57"/>
              <w:ind w:left="28"/>
              <w:rPr>
                <w:b/>
                <w:sz w:val="17"/>
              </w:rPr>
            </w:pPr>
            <w:r>
              <w:rPr>
                <w:b/>
                <w:sz w:val="17"/>
              </w:rPr>
              <w:t>Superficie del suelo:</w:t>
            </w:r>
          </w:p>
        </w:tc>
        <w:tc>
          <w:tcPr>
            <w:tcW w:w="3189" w:type="dxa"/>
            <w:gridSpan w:val="2"/>
          </w:tcPr>
          <w:p>
            <w:pPr>
              <w:pStyle w:val="TableParagraph"/>
              <w:spacing w:before="57"/>
              <w:ind w:left="28"/>
              <w:rPr>
                <w:b/>
                <w:sz w:val="17"/>
              </w:rPr>
            </w:pPr>
            <w:r>
              <w:rPr>
                <w:b/>
                <w:sz w:val="17"/>
              </w:rPr>
              <w:t>Material combustible presente:</w:t>
            </w:r>
          </w:p>
        </w:tc>
      </w:tr>
      <w:tr>
        <w:trPr>
          <w:trHeight w:val="288" w:hRule="exact"/>
        </w:trPr>
        <w:tc>
          <w:tcPr>
            <w:tcW w:w="2828" w:type="dxa"/>
            <w:gridSpan w:val="3"/>
          </w:tcPr>
          <w:p>
            <w:pPr>
              <w:pStyle w:val="TableParagraph"/>
              <w:spacing w:before="57"/>
              <w:ind w:left="317"/>
              <w:rPr>
                <w:sz w:val="17"/>
              </w:rPr>
            </w:pPr>
            <w:r>
              <w:rPr>
                <w:sz w:val="17"/>
              </w:rPr>
              <w:t>Agricultura con cercos  vivos</w:t>
            </w:r>
          </w:p>
        </w:tc>
        <w:tc>
          <w:tcPr>
            <w:tcW w:w="2712" w:type="dxa"/>
            <w:gridSpan w:val="2"/>
          </w:tcPr>
          <w:p>
            <w:pPr>
              <w:pStyle w:val="TableParagraph"/>
              <w:spacing w:before="57"/>
              <w:ind w:left="28"/>
              <w:rPr>
                <w:sz w:val="17"/>
              </w:rPr>
            </w:pPr>
            <w:r>
              <w:rPr>
                <w:sz w:val="17"/>
              </w:rPr>
              <w:t>Presencia de piedras</w:t>
            </w:r>
          </w:p>
        </w:tc>
        <w:tc>
          <w:tcPr>
            <w:tcW w:w="3189" w:type="dxa"/>
            <w:gridSpan w:val="2"/>
          </w:tcPr>
          <w:p>
            <w:pPr>
              <w:pStyle w:val="TableParagraph"/>
              <w:spacing w:before="28"/>
              <w:ind w:left="101"/>
              <w:rPr>
                <w:sz w:val="17"/>
              </w:rPr>
            </w:pPr>
            <w:r>
              <w:rPr>
                <w:sz w:val="17"/>
              </w:rPr>
              <w:t>Pastos seco y basura como plásticos</w:t>
            </w:r>
          </w:p>
        </w:tc>
      </w:tr>
      <w:tr>
        <w:trPr>
          <w:trHeight w:val="289" w:hRule="exact"/>
        </w:trPr>
        <w:tc>
          <w:tcPr>
            <w:tcW w:w="3997" w:type="dxa"/>
            <w:gridSpan w:val="4"/>
          </w:tcPr>
          <w:p>
            <w:pPr>
              <w:pStyle w:val="TableParagraph"/>
              <w:spacing w:before="28"/>
              <w:ind w:left="1053"/>
              <w:rPr>
                <w:b/>
                <w:sz w:val="17"/>
              </w:rPr>
            </w:pPr>
            <w:r>
              <w:rPr>
                <w:b/>
                <w:sz w:val="17"/>
              </w:rPr>
              <w:t>Evidencia  de incendios</w:t>
            </w:r>
          </w:p>
        </w:tc>
        <w:tc>
          <w:tcPr>
            <w:tcW w:w="4732" w:type="dxa"/>
            <w:gridSpan w:val="3"/>
          </w:tcPr>
          <w:p>
            <w:pPr>
              <w:pStyle w:val="TableParagraph"/>
              <w:spacing w:before="28"/>
              <w:ind w:left="1616" w:right="1605"/>
              <w:jc w:val="center"/>
              <w:rPr>
                <w:b/>
                <w:sz w:val="17"/>
              </w:rPr>
            </w:pPr>
            <w:r>
              <w:rPr>
                <w:b/>
                <w:sz w:val="17"/>
              </w:rPr>
              <w:t>Plagas forestales:</w:t>
            </w:r>
          </w:p>
        </w:tc>
      </w:tr>
      <w:tr>
        <w:trPr>
          <w:trHeight w:val="289" w:hRule="exact"/>
        </w:trPr>
        <w:tc>
          <w:tcPr>
            <w:tcW w:w="3997" w:type="dxa"/>
            <w:gridSpan w:val="4"/>
          </w:tcPr>
          <w:p>
            <w:pPr>
              <w:pStyle w:val="TableParagraph"/>
              <w:spacing w:before="28"/>
              <w:ind w:left="1332" w:right="1352"/>
              <w:jc w:val="center"/>
              <w:rPr>
                <w:sz w:val="17"/>
              </w:rPr>
            </w:pPr>
            <w:r>
              <w:rPr>
                <w:sz w:val="17"/>
              </w:rPr>
              <w:t>Si del año actual</w:t>
            </w:r>
          </w:p>
        </w:tc>
        <w:tc>
          <w:tcPr>
            <w:tcW w:w="4732" w:type="dxa"/>
            <w:gridSpan w:val="3"/>
          </w:tcPr>
          <w:p>
            <w:pPr>
              <w:pStyle w:val="TableParagraph"/>
              <w:spacing w:before="28"/>
              <w:ind w:left="1593" w:right="1605"/>
              <w:jc w:val="center"/>
              <w:rPr>
                <w:sz w:val="17"/>
              </w:rPr>
            </w:pPr>
            <w:r>
              <w:rPr>
                <w:sz w:val="17"/>
              </w:rPr>
              <w:t>No</w:t>
            </w:r>
          </w:p>
        </w:tc>
      </w:tr>
      <w:tr>
        <w:trPr>
          <w:trHeight w:val="578" w:hRule="exact"/>
        </w:trPr>
        <w:tc>
          <w:tcPr>
            <w:tcW w:w="1659" w:type="dxa"/>
            <w:gridSpan w:val="2"/>
          </w:tcPr>
          <w:p>
            <w:pPr>
              <w:pStyle w:val="TableParagraph"/>
              <w:spacing w:before="0"/>
              <w:rPr>
                <w:sz w:val="15"/>
              </w:rPr>
            </w:pPr>
          </w:p>
          <w:p>
            <w:pPr>
              <w:pStyle w:val="TableParagraph"/>
              <w:spacing w:before="0"/>
              <w:ind w:left="173"/>
              <w:rPr>
                <w:b/>
                <w:sz w:val="17"/>
              </w:rPr>
            </w:pPr>
            <w:r>
              <w:rPr>
                <w:b/>
                <w:sz w:val="17"/>
              </w:rPr>
              <w:t>Observaciones:</w:t>
            </w:r>
          </w:p>
        </w:tc>
        <w:tc>
          <w:tcPr>
            <w:tcW w:w="7070" w:type="dxa"/>
            <w:gridSpan w:val="5"/>
          </w:tcPr>
          <w:p>
            <w:pPr>
              <w:pStyle w:val="TableParagraph"/>
              <w:spacing w:line="283" w:lineRule="auto" w:before="57"/>
              <w:ind w:left="28" w:right="148"/>
              <w:rPr>
                <w:sz w:val="17"/>
              </w:rPr>
            </w:pPr>
            <w:r>
              <w:rPr>
                <w:sz w:val="17"/>
              </w:rPr>
              <w:t>Actividades agricolas, vías de comunicación a 50 metros, explotación de arena en las faldas  del Cerro Pelado.</w:t>
            </w:r>
          </w:p>
        </w:tc>
      </w:tr>
    </w:tbl>
    <w:p>
      <w:pPr>
        <w:pStyle w:val="BodyText"/>
      </w:pPr>
    </w:p>
    <w:p>
      <w:pPr>
        <w:pStyle w:val="BodyText"/>
        <w:spacing w:before="5"/>
        <w:rPr>
          <w:sz w:val="20"/>
        </w:rPr>
      </w:pPr>
    </w:p>
    <w:p>
      <w:pPr>
        <w:pStyle w:val="BodyText"/>
        <w:ind w:left="102"/>
      </w:pPr>
      <w:r>
        <w:rPr/>
        <w:drawing>
          <wp:anchor distT="0" distB="0" distL="0" distR="0" allowOverlap="1" layoutInCell="1" locked="0" behindDoc="0" simplePos="0" relativeHeight="3640">
            <wp:simplePos x="0" y="0"/>
            <wp:positionH relativeFrom="page">
              <wp:posOffset>1219200</wp:posOffset>
            </wp:positionH>
            <wp:positionV relativeFrom="paragraph">
              <wp:posOffset>253820</wp:posOffset>
            </wp:positionV>
            <wp:extent cx="1616723" cy="909447"/>
            <wp:effectExtent l="0" t="0" r="0" b="0"/>
            <wp:wrapTopAndBottom/>
            <wp:docPr id="57" name="image49.jpeg" descr=""/>
            <wp:cNvGraphicFramePr>
              <a:graphicFrameLocks noChangeAspect="1"/>
            </wp:cNvGraphicFramePr>
            <a:graphic>
              <a:graphicData uri="http://schemas.openxmlformats.org/drawingml/2006/picture">
                <pic:pic>
                  <pic:nvPicPr>
                    <pic:cNvPr id="58" name="image49.jpeg"/>
                    <pic:cNvPicPr/>
                  </pic:nvPicPr>
                  <pic:blipFill>
                    <a:blip r:embed="rId95"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3039110</wp:posOffset>
            </wp:positionH>
            <wp:positionV relativeFrom="paragraph">
              <wp:posOffset>253820</wp:posOffset>
            </wp:positionV>
            <wp:extent cx="1616723" cy="909447"/>
            <wp:effectExtent l="0" t="0" r="0" b="0"/>
            <wp:wrapTopAndBottom/>
            <wp:docPr id="59" name="image50.jpeg" descr=""/>
            <wp:cNvGraphicFramePr>
              <a:graphicFrameLocks noChangeAspect="1"/>
            </wp:cNvGraphicFramePr>
            <a:graphic>
              <a:graphicData uri="http://schemas.openxmlformats.org/drawingml/2006/picture">
                <pic:pic>
                  <pic:nvPicPr>
                    <pic:cNvPr id="60" name="image50.jpeg"/>
                    <pic:cNvPicPr/>
                  </pic:nvPicPr>
                  <pic:blipFill>
                    <a:blip r:embed="rId96"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688">
            <wp:simplePos x="0" y="0"/>
            <wp:positionH relativeFrom="page">
              <wp:posOffset>4866640</wp:posOffset>
            </wp:positionH>
            <wp:positionV relativeFrom="paragraph">
              <wp:posOffset>253820</wp:posOffset>
            </wp:positionV>
            <wp:extent cx="1616723" cy="909447"/>
            <wp:effectExtent l="0" t="0" r="0" b="0"/>
            <wp:wrapTopAndBottom/>
            <wp:docPr id="61" name="image51.jpeg" descr=""/>
            <wp:cNvGraphicFramePr>
              <a:graphicFrameLocks noChangeAspect="1"/>
            </wp:cNvGraphicFramePr>
            <a:graphic>
              <a:graphicData uri="http://schemas.openxmlformats.org/drawingml/2006/picture">
                <pic:pic>
                  <pic:nvPicPr>
                    <pic:cNvPr id="62" name="image51.jpeg"/>
                    <pic:cNvPicPr/>
                  </pic:nvPicPr>
                  <pic:blipFill>
                    <a:blip r:embed="rId97" cstate="print"/>
                    <a:stretch>
                      <a:fillRect/>
                    </a:stretch>
                  </pic:blipFill>
                  <pic:spPr>
                    <a:xfrm>
                      <a:off x="0" y="0"/>
                      <a:ext cx="1616723" cy="909447"/>
                    </a:xfrm>
                    <a:prstGeom prst="rect">
                      <a:avLst/>
                    </a:prstGeom>
                  </pic:spPr>
                </pic:pic>
              </a:graphicData>
            </a:graphic>
          </wp:anchor>
        </w:drawing>
      </w:r>
      <w:r>
        <w:rPr/>
        <w:t>Imágenes del sitio 1.</w:t>
      </w:r>
    </w:p>
    <w:p>
      <w:pPr>
        <w:pStyle w:val="BodyText"/>
        <w:spacing w:before="7"/>
        <w:rPr>
          <w:sz w:val="6"/>
        </w:rPr>
      </w:pPr>
    </w:p>
    <w:p>
      <w:pPr>
        <w:tabs>
          <w:tab w:pos="3592" w:val="left" w:leader="none"/>
          <w:tab w:pos="6471" w:val="left" w:leader="none"/>
        </w:tabs>
        <w:spacing w:line="240" w:lineRule="auto"/>
        <w:ind w:left="723" w:right="0" w:firstLine="0"/>
        <w:rPr>
          <w:sz w:val="20"/>
        </w:rPr>
      </w:pPr>
      <w:r>
        <w:rPr>
          <w:sz w:val="20"/>
        </w:rPr>
        <w:drawing>
          <wp:inline distT="0" distB="0" distL="0" distR="0">
            <wp:extent cx="1166729" cy="1253299"/>
            <wp:effectExtent l="0" t="0" r="0" b="0"/>
            <wp:docPr id="63" name="image52.jpeg" descr=""/>
            <wp:cNvGraphicFramePr>
              <a:graphicFrameLocks noChangeAspect="1"/>
            </wp:cNvGraphicFramePr>
            <a:graphic>
              <a:graphicData uri="http://schemas.openxmlformats.org/drawingml/2006/picture">
                <pic:pic>
                  <pic:nvPicPr>
                    <pic:cNvPr id="64" name="image52.jpeg"/>
                    <pic:cNvPicPr/>
                  </pic:nvPicPr>
                  <pic:blipFill>
                    <a:blip r:embed="rId98" cstate="print"/>
                    <a:stretch>
                      <a:fillRect/>
                    </a:stretch>
                  </pic:blipFill>
                  <pic:spPr>
                    <a:xfrm>
                      <a:off x="0" y="0"/>
                      <a:ext cx="1166729" cy="1253299"/>
                    </a:xfrm>
                    <a:prstGeom prst="rect">
                      <a:avLst/>
                    </a:prstGeom>
                  </pic:spPr>
                </pic:pic>
              </a:graphicData>
            </a:graphic>
          </wp:inline>
        </w:drawing>
      </w:r>
      <w:r>
        <w:rPr>
          <w:sz w:val="20"/>
        </w:rPr>
      </w:r>
      <w:r>
        <w:rPr>
          <w:sz w:val="20"/>
        </w:rPr>
        <w:tab/>
      </w:r>
      <w:r>
        <w:rPr>
          <w:position w:val="1"/>
          <w:sz w:val="20"/>
        </w:rPr>
        <w:drawing>
          <wp:inline distT="0" distB="0" distL="0" distR="0">
            <wp:extent cx="1172844" cy="1249013"/>
            <wp:effectExtent l="0" t="0" r="0" b="0"/>
            <wp:docPr id="65" name="image53.jpeg" descr=""/>
            <wp:cNvGraphicFramePr>
              <a:graphicFrameLocks noChangeAspect="1"/>
            </wp:cNvGraphicFramePr>
            <a:graphic>
              <a:graphicData uri="http://schemas.openxmlformats.org/drawingml/2006/picture">
                <pic:pic>
                  <pic:nvPicPr>
                    <pic:cNvPr id="66" name="image53.jpeg"/>
                    <pic:cNvPicPr/>
                  </pic:nvPicPr>
                  <pic:blipFill>
                    <a:blip r:embed="rId99" cstate="print"/>
                    <a:stretch>
                      <a:fillRect/>
                    </a:stretch>
                  </pic:blipFill>
                  <pic:spPr>
                    <a:xfrm>
                      <a:off x="0" y="0"/>
                      <a:ext cx="1172844" cy="1249013"/>
                    </a:xfrm>
                    <a:prstGeom prst="rect">
                      <a:avLst/>
                    </a:prstGeom>
                  </pic:spPr>
                </pic:pic>
              </a:graphicData>
            </a:graphic>
          </wp:inline>
        </w:drawing>
      </w:r>
      <w:r>
        <w:rPr>
          <w:position w:val="1"/>
          <w:sz w:val="20"/>
        </w:rPr>
      </w:r>
      <w:r>
        <w:rPr>
          <w:position w:val="1"/>
          <w:sz w:val="20"/>
        </w:rPr>
        <w:tab/>
      </w:r>
      <w:r>
        <w:rPr>
          <w:position w:val="2"/>
          <w:sz w:val="20"/>
        </w:rPr>
        <w:drawing>
          <wp:inline distT="0" distB="0" distL="0" distR="0">
            <wp:extent cx="1150270" cy="1241012"/>
            <wp:effectExtent l="0" t="0" r="0" b="0"/>
            <wp:docPr id="67" name="image54.jpeg" descr=""/>
            <wp:cNvGraphicFramePr>
              <a:graphicFrameLocks noChangeAspect="1"/>
            </wp:cNvGraphicFramePr>
            <a:graphic>
              <a:graphicData uri="http://schemas.openxmlformats.org/drawingml/2006/picture">
                <pic:pic>
                  <pic:nvPicPr>
                    <pic:cNvPr id="68" name="image54.jpeg"/>
                    <pic:cNvPicPr/>
                  </pic:nvPicPr>
                  <pic:blipFill>
                    <a:blip r:embed="rId100" cstate="print"/>
                    <a:stretch>
                      <a:fillRect/>
                    </a:stretch>
                  </pic:blipFill>
                  <pic:spPr>
                    <a:xfrm>
                      <a:off x="0" y="0"/>
                      <a:ext cx="1150270" cy="1241012"/>
                    </a:xfrm>
                    <a:prstGeom prst="rect">
                      <a:avLst/>
                    </a:prstGeom>
                  </pic:spPr>
                </pic:pic>
              </a:graphicData>
            </a:graphic>
          </wp:inline>
        </w:drawing>
      </w:r>
      <w:r>
        <w:rPr>
          <w:position w:val="2"/>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2.</w:t>
      </w:r>
    </w:p>
    <w:p>
      <w:pPr>
        <w:pStyle w:val="BodyText"/>
        <w:spacing w:before="1" w:after="1"/>
        <w:rPr>
          <w:sz w:val="12"/>
        </w:rPr>
      </w:pPr>
    </w:p>
    <w:tbl>
      <w:tblPr>
        <w:tblW w:w="0" w:type="auto"/>
        <w:jc w:val="left"/>
        <w:tblInd w:w="12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40"/>
        <w:gridCol w:w="516"/>
        <w:gridCol w:w="1161"/>
        <w:gridCol w:w="1161"/>
        <w:gridCol w:w="1534"/>
        <w:gridCol w:w="1147"/>
        <w:gridCol w:w="2028"/>
      </w:tblGrid>
      <w:tr>
        <w:trPr>
          <w:trHeight w:val="295" w:hRule="exact"/>
        </w:trPr>
        <w:tc>
          <w:tcPr>
            <w:tcW w:w="1140" w:type="dxa"/>
            <w:vMerge w:val="restart"/>
            <w:tcBorders>
              <w:left w:val="single" w:sz="6" w:space="0" w:color="000000"/>
              <w:right w:val="single" w:sz="6" w:space="0" w:color="000000"/>
            </w:tcBorders>
          </w:tcPr>
          <w:p>
            <w:pPr>
              <w:pStyle w:val="TableParagraph"/>
              <w:spacing w:before="9"/>
              <w:rPr>
                <w:sz w:val="14"/>
              </w:rPr>
            </w:pPr>
          </w:p>
          <w:p>
            <w:pPr>
              <w:pStyle w:val="TableParagraph"/>
              <w:spacing w:before="0"/>
              <w:ind w:left="322"/>
              <w:rPr>
                <w:b/>
                <w:sz w:val="17"/>
              </w:rPr>
            </w:pPr>
            <w:r>
              <w:rPr>
                <w:b/>
                <w:sz w:val="17"/>
              </w:rPr>
              <w:t>Fecha</w:t>
            </w:r>
          </w:p>
        </w:tc>
        <w:tc>
          <w:tcPr>
            <w:tcW w:w="516" w:type="dxa"/>
            <w:vMerge w:val="restart"/>
            <w:tcBorders>
              <w:left w:val="single" w:sz="6" w:space="0" w:color="000000"/>
              <w:right w:val="single" w:sz="6" w:space="0" w:color="000000"/>
            </w:tcBorders>
          </w:tcPr>
          <w:p>
            <w:pPr>
              <w:pStyle w:val="TableParagraph"/>
              <w:spacing w:before="9"/>
              <w:rPr>
                <w:sz w:val="14"/>
              </w:rPr>
            </w:pPr>
          </w:p>
          <w:p>
            <w:pPr>
              <w:pStyle w:val="TableParagraph"/>
              <w:spacing w:before="0"/>
              <w:ind w:left="71"/>
              <w:rPr>
                <w:b/>
                <w:sz w:val="17"/>
              </w:rPr>
            </w:pPr>
            <w:r>
              <w:rPr>
                <w:b/>
                <w:sz w:val="17"/>
              </w:rPr>
              <w:t>Sitio</w:t>
            </w:r>
          </w:p>
        </w:tc>
        <w:tc>
          <w:tcPr>
            <w:tcW w:w="2322" w:type="dxa"/>
            <w:gridSpan w:val="2"/>
            <w:tcBorders>
              <w:left w:val="single" w:sz="6" w:space="0" w:color="000000"/>
              <w:bottom w:val="single" w:sz="6" w:space="0" w:color="000000"/>
              <w:right w:val="single" w:sz="6" w:space="0" w:color="000000"/>
            </w:tcBorders>
          </w:tcPr>
          <w:p>
            <w:pPr>
              <w:pStyle w:val="TableParagraph"/>
              <w:spacing w:before="55"/>
              <w:ind w:left="401"/>
              <w:rPr>
                <w:b/>
                <w:sz w:val="17"/>
              </w:rPr>
            </w:pPr>
            <w:r>
              <w:rPr>
                <w:b/>
                <w:sz w:val="17"/>
              </w:rPr>
              <w:t>Coordenadas UTM</w:t>
            </w:r>
          </w:p>
        </w:tc>
        <w:tc>
          <w:tcPr>
            <w:tcW w:w="1534" w:type="dxa"/>
            <w:vMerge w:val="restart"/>
            <w:tcBorders>
              <w:left w:val="single" w:sz="6" w:space="0" w:color="000000"/>
              <w:right w:val="single" w:sz="6" w:space="0" w:color="000000"/>
            </w:tcBorders>
          </w:tcPr>
          <w:p>
            <w:pPr>
              <w:pStyle w:val="TableParagraph"/>
              <w:spacing w:before="9"/>
              <w:rPr>
                <w:sz w:val="14"/>
              </w:rPr>
            </w:pPr>
          </w:p>
          <w:p>
            <w:pPr>
              <w:pStyle w:val="TableParagraph"/>
              <w:spacing w:before="0"/>
              <w:ind w:left="358"/>
              <w:rPr>
                <w:b/>
                <w:sz w:val="17"/>
              </w:rPr>
            </w:pPr>
            <w:r>
              <w:rPr>
                <w:b/>
                <w:sz w:val="17"/>
              </w:rPr>
              <w:t>Localidad</w:t>
            </w:r>
          </w:p>
        </w:tc>
        <w:tc>
          <w:tcPr>
            <w:tcW w:w="1147" w:type="dxa"/>
            <w:vMerge w:val="restart"/>
            <w:tcBorders>
              <w:left w:val="single" w:sz="6" w:space="0" w:color="000000"/>
              <w:right w:val="single" w:sz="6" w:space="0" w:color="000000"/>
            </w:tcBorders>
          </w:tcPr>
          <w:p>
            <w:pPr>
              <w:pStyle w:val="TableParagraph"/>
              <w:spacing w:before="9"/>
              <w:rPr>
                <w:sz w:val="14"/>
              </w:rPr>
            </w:pPr>
          </w:p>
          <w:p>
            <w:pPr>
              <w:pStyle w:val="TableParagraph"/>
              <w:spacing w:before="0"/>
              <w:ind w:left="114"/>
              <w:rPr>
                <w:b/>
                <w:sz w:val="17"/>
              </w:rPr>
            </w:pPr>
            <w:r>
              <w:rPr>
                <w:b/>
                <w:sz w:val="17"/>
              </w:rPr>
              <w:t>Delegación</w:t>
            </w:r>
          </w:p>
        </w:tc>
        <w:tc>
          <w:tcPr>
            <w:tcW w:w="2028" w:type="dxa"/>
            <w:vMerge w:val="restart"/>
            <w:tcBorders>
              <w:left w:val="single" w:sz="6" w:space="0" w:color="000000"/>
              <w:right w:val="single" w:sz="6" w:space="0" w:color="000000"/>
            </w:tcBorders>
          </w:tcPr>
          <w:p>
            <w:pPr>
              <w:pStyle w:val="TableParagraph"/>
              <w:spacing w:before="9"/>
              <w:rPr>
                <w:sz w:val="14"/>
              </w:rPr>
            </w:pPr>
          </w:p>
          <w:p>
            <w:pPr>
              <w:pStyle w:val="TableParagraph"/>
              <w:spacing w:before="0"/>
              <w:ind w:left="329"/>
              <w:rPr>
                <w:b/>
                <w:sz w:val="17"/>
              </w:rPr>
            </w:pPr>
            <w:r>
              <w:rPr>
                <w:b/>
                <w:sz w:val="17"/>
              </w:rPr>
              <w:t>Elevación msnm</w:t>
            </w:r>
          </w:p>
        </w:tc>
      </w:tr>
      <w:tr>
        <w:trPr>
          <w:trHeight w:val="287" w:hRule="exact"/>
        </w:trPr>
        <w:tc>
          <w:tcPr>
            <w:tcW w:w="1140" w:type="dxa"/>
            <w:vMerge/>
            <w:tcBorders>
              <w:left w:val="single" w:sz="6" w:space="0" w:color="000000"/>
              <w:bottom w:val="single" w:sz="6" w:space="0" w:color="000000"/>
              <w:right w:val="single" w:sz="6" w:space="0" w:color="000000"/>
            </w:tcBorders>
          </w:tcPr>
          <w:p>
            <w:pPr/>
          </w:p>
        </w:tc>
        <w:tc>
          <w:tcPr>
            <w:tcW w:w="516" w:type="dxa"/>
            <w:vMerge/>
            <w:tcBorders>
              <w:left w:val="single" w:sz="6" w:space="0" w:color="000000"/>
              <w:bottom w:val="single" w:sz="6" w:space="0" w:color="000000"/>
              <w:right w:val="single" w:sz="6" w:space="0" w:color="000000"/>
            </w:tcBorders>
          </w:tcPr>
          <w:p>
            <w:pPr/>
          </w:p>
        </w:tc>
        <w:tc>
          <w:tcPr>
            <w:tcW w:w="1161" w:type="dxa"/>
            <w:tcBorders>
              <w:top w:val="single" w:sz="6" w:space="0" w:color="000000"/>
              <w:left w:val="single" w:sz="6" w:space="0" w:color="000000"/>
              <w:bottom w:val="single" w:sz="6" w:space="0" w:color="000000"/>
              <w:right w:val="single" w:sz="6" w:space="0" w:color="000000"/>
            </w:tcBorders>
          </w:tcPr>
          <w:p>
            <w:pPr>
              <w:pStyle w:val="TableParagraph"/>
              <w:spacing w:before="41"/>
              <w:ind w:left="145" w:right="148"/>
              <w:jc w:val="center"/>
              <w:rPr>
                <w:b/>
                <w:sz w:val="17"/>
              </w:rPr>
            </w:pPr>
            <w:r>
              <w:rPr>
                <w:b/>
                <w:sz w:val="17"/>
              </w:rPr>
              <w:t>Oeste</w:t>
            </w:r>
          </w:p>
        </w:tc>
        <w:tc>
          <w:tcPr>
            <w:tcW w:w="1161" w:type="dxa"/>
            <w:tcBorders>
              <w:top w:val="single" w:sz="6" w:space="0" w:color="000000"/>
              <w:left w:val="single" w:sz="6" w:space="0" w:color="000000"/>
              <w:bottom w:val="single" w:sz="6" w:space="0" w:color="000000"/>
              <w:right w:val="single" w:sz="6" w:space="0" w:color="000000"/>
            </w:tcBorders>
          </w:tcPr>
          <w:p>
            <w:pPr>
              <w:pStyle w:val="TableParagraph"/>
              <w:spacing w:before="41"/>
              <w:ind w:left="103" w:right="95"/>
              <w:jc w:val="center"/>
              <w:rPr>
                <w:b/>
                <w:sz w:val="17"/>
              </w:rPr>
            </w:pPr>
            <w:r>
              <w:rPr>
                <w:b/>
                <w:sz w:val="17"/>
              </w:rPr>
              <w:t>Norte</w:t>
            </w:r>
          </w:p>
        </w:tc>
        <w:tc>
          <w:tcPr>
            <w:tcW w:w="1534" w:type="dxa"/>
            <w:vMerge/>
            <w:tcBorders>
              <w:left w:val="single" w:sz="6" w:space="0" w:color="000000"/>
              <w:bottom w:val="single" w:sz="6" w:space="0" w:color="000000"/>
              <w:right w:val="single" w:sz="6" w:space="0" w:color="000000"/>
            </w:tcBorders>
          </w:tcPr>
          <w:p>
            <w:pPr/>
          </w:p>
        </w:tc>
        <w:tc>
          <w:tcPr>
            <w:tcW w:w="1147" w:type="dxa"/>
            <w:vMerge/>
            <w:tcBorders>
              <w:left w:val="single" w:sz="6" w:space="0" w:color="000000"/>
              <w:bottom w:val="single" w:sz="6" w:space="0" w:color="000000"/>
              <w:right w:val="single" w:sz="6" w:space="0" w:color="000000"/>
            </w:tcBorders>
          </w:tcPr>
          <w:p>
            <w:pPr/>
          </w:p>
        </w:tc>
        <w:tc>
          <w:tcPr>
            <w:tcW w:w="2028" w:type="dxa"/>
            <w:vMerge/>
            <w:tcBorders>
              <w:left w:val="single" w:sz="6" w:space="0" w:color="000000"/>
              <w:bottom w:val="single" w:sz="6" w:space="0" w:color="000000"/>
              <w:right w:val="single" w:sz="6" w:space="0" w:color="000000"/>
            </w:tcBorders>
          </w:tcPr>
          <w:p>
            <w:pPr/>
          </w:p>
        </w:tc>
      </w:tr>
      <w:tr>
        <w:trPr>
          <w:trHeight w:val="287" w:hRule="exact"/>
        </w:trPr>
        <w:tc>
          <w:tcPr>
            <w:tcW w:w="1140" w:type="dxa"/>
            <w:tcBorders>
              <w:top w:val="single" w:sz="6" w:space="0" w:color="000000"/>
              <w:left w:val="single" w:sz="6" w:space="0" w:color="000000"/>
              <w:bottom w:val="single" w:sz="6" w:space="0" w:color="000000"/>
              <w:right w:val="single" w:sz="6" w:space="0" w:color="000000"/>
            </w:tcBorders>
          </w:tcPr>
          <w:p>
            <w:pPr>
              <w:pStyle w:val="TableParagraph"/>
              <w:spacing w:before="55"/>
              <w:ind w:left="117" w:right="117"/>
              <w:jc w:val="center"/>
              <w:rPr>
                <w:sz w:val="17"/>
              </w:rPr>
            </w:pPr>
            <w:r>
              <w:rPr>
                <w:sz w:val="17"/>
              </w:rPr>
              <w:t>14/01/2015</w:t>
            </w:r>
          </w:p>
        </w:tc>
        <w:tc>
          <w:tcPr>
            <w:tcW w:w="516" w:type="dxa"/>
            <w:tcBorders>
              <w:top w:val="single" w:sz="6" w:space="0" w:color="000000"/>
              <w:left w:val="single" w:sz="6" w:space="0" w:color="000000"/>
              <w:bottom w:val="single" w:sz="6" w:space="0" w:color="000000"/>
              <w:right w:val="single" w:sz="6" w:space="0" w:color="000000"/>
            </w:tcBorders>
          </w:tcPr>
          <w:p>
            <w:pPr>
              <w:pStyle w:val="TableParagraph"/>
              <w:spacing w:before="55"/>
              <w:ind w:right="2"/>
              <w:jc w:val="center"/>
              <w:rPr>
                <w:sz w:val="17"/>
              </w:rPr>
            </w:pPr>
            <w:r>
              <w:rPr>
                <w:w w:val="101"/>
                <w:sz w:val="17"/>
              </w:rPr>
              <w:t>2</w:t>
            </w:r>
          </w:p>
        </w:tc>
        <w:tc>
          <w:tcPr>
            <w:tcW w:w="1161" w:type="dxa"/>
            <w:tcBorders>
              <w:top w:val="single" w:sz="6" w:space="0" w:color="000000"/>
              <w:left w:val="single" w:sz="6" w:space="0" w:color="000000"/>
              <w:bottom w:val="single" w:sz="6" w:space="0" w:color="000000"/>
              <w:right w:val="single" w:sz="6" w:space="0" w:color="000000"/>
            </w:tcBorders>
          </w:tcPr>
          <w:p>
            <w:pPr>
              <w:pStyle w:val="TableParagraph"/>
              <w:spacing w:before="41"/>
              <w:ind w:left="155" w:right="148"/>
              <w:jc w:val="center"/>
              <w:rPr>
                <w:sz w:val="17"/>
              </w:rPr>
            </w:pPr>
            <w:r>
              <w:rPr>
                <w:sz w:val="17"/>
              </w:rPr>
              <w:t>480016.57</w:t>
            </w:r>
          </w:p>
        </w:tc>
        <w:tc>
          <w:tcPr>
            <w:tcW w:w="1161" w:type="dxa"/>
            <w:tcBorders>
              <w:top w:val="single" w:sz="6" w:space="0" w:color="000000"/>
              <w:left w:val="single" w:sz="6" w:space="0" w:color="000000"/>
              <w:bottom w:val="single" w:sz="6" w:space="0" w:color="000000"/>
              <w:right w:val="single" w:sz="6" w:space="0" w:color="000000"/>
            </w:tcBorders>
          </w:tcPr>
          <w:p>
            <w:pPr>
              <w:pStyle w:val="TableParagraph"/>
              <w:spacing w:before="41"/>
              <w:ind w:left="103" w:right="104"/>
              <w:jc w:val="center"/>
              <w:rPr>
                <w:sz w:val="17"/>
              </w:rPr>
            </w:pPr>
            <w:r>
              <w:rPr>
                <w:sz w:val="17"/>
              </w:rPr>
              <w:t>2114805.47</w:t>
            </w:r>
          </w:p>
        </w:tc>
        <w:tc>
          <w:tcPr>
            <w:tcW w:w="1534" w:type="dxa"/>
            <w:tcBorders>
              <w:top w:val="single" w:sz="6" w:space="0" w:color="000000"/>
              <w:left w:val="single" w:sz="6" w:space="0" w:color="000000"/>
              <w:bottom w:val="single" w:sz="6" w:space="0" w:color="000000"/>
              <w:right w:val="single" w:sz="6" w:space="0" w:color="000000"/>
            </w:tcBorders>
          </w:tcPr>
          <w:p>
            <w:pPr>
              <w:pStyle w:val="TableParagraph"/>
              <w:spacing w:before="55"/>
              <w:ind w:left="501"/>
              <w:rPr>
                <w:sz w:val="17"/>
              </w:rPr>
            </w:pPr>
            <w:r>
              <w:rPr>
                <w:sz w:val="17"/>
              </w:rPr>
              <w:t>Parres</w:t>
            </w:r>
          </w:p>
        </w:tc>
        <w:tc>
          <w:tcPr>
            <w:tcW w:w="1147" w:type="dxa"/>
            <w:tcBorders>
              <w:top w:val="single" w:sz="6" w:space="0" w:color="000000"/>
              <w:left w:val="single" w:sz="6" w:space="0" w:color="000000"/>
              <w:bottom w:val="single" w:sz="6" w:space="0" w:color="000000"/>
              <w:right w:val="single" w:sz="6" w:space="0" w:color="000000"/>
            </w:tcBorders>
          </w:tcPr>
          <w:p>
            <w:pPr>
              <w:pStyle w:val="TableParagraph"/>
              <w:spacing w:before="55"/>
              <w:ind w:right="276"/>
              <w:jc w:val="right"/>
              <w:rPr>
                <w:sz w:val="17"/>
              </w:rPr>
            </w:pPr>
            <w:r>
              <w:rPr>
                <w:sz w:val="17"/>
              </w:rPr>
              <w:t>Tlalpan</w:t>
            </w:r>
          </w:p>
        </w:tc>
        <w:tc>
          <w:tcPr>
            <w:tcW w:w="2028" w:type="dxa"/>
            <w:tcBorders>
              <w:top w:val="single" w:sz="6" w:space="0" w:color="000000"/>
              <w:left w:val="single" w:sz="6" w:space="0" w:color="000000"/>
              <w:bottom w:val="single" w:sz="6" w:space="0" w:color="000000"/>
              <w:right w:val="single" w:sz="6" w:space="0" w:color="000000"/>
            </w:tcBorders>
          </w:tcPr>
          <w:p>
            <w:pPr>
              <w:pStyle w:val="TableParagraph"/>
              <w:spacing w:before="55"/>
              <w:ind w:left="111" w:right="116"/>
              <w:jc w:val="center"/>
              <w:rPr>
                <w:sz w:val="17"/>
              </w:rPr>
            </w:pPr>
            <w:r>
              <w:rPr>
                <w:sz w:val="17"/>
              </w:rPr>
              <w:t>2986</w:t>
            </w:r>
          </w:p>
        </w:tc>
      </w:tr>
      <w:tr>
        <w:trPr>
          <w:trHeight w:val="315"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41"/>
              <w:ind w:left="494"/>
              <w:rPr>
                <w:b/>
                <w:sz w:val="17"/>
              </w:rPr>
            </w:pPr>
            <w:r>
              <w:rPr>
                <w:b/>
                <w:sz w:val="17"/>
              </w:rPr>
              <w:t>Ángulo de la pendiente</w:t>
            </w:r>
          </w:p>
        </w:tc>
        <w:tc>
          <w:tcPr>
            <w:tcW w:w="269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41"/>
              <w:ind w:left="443"/>
              <w:rPr>
                <w:b/>
                <w:sz w:val="17"/>
              </w:rPr>
            </w:pPr>
            <w:r>
              <w:rPr>
                <w:b/>
                <w:sz w:val="17"/>
              </w:rPr>
              <w:t>Forma de la pendiente</w:t>
            </w:r>
          </w:p>
        </w:tc>
        <w:tc>
          <w:tcPr>
            <w:tcW w:w="317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41"/>
              <w:ind w:left="1058" w:right="1069"/>
              <w:jc w:val="center"/>
              <w:rPr>
                <w:b/>
                <w:sz w:val="17"/>
              </w:rPr>
            </w:pPr>
            <w:r>
              <w:rPr>
                <w:b/>
                <w:sz w:val="17"/>
              </w:rPr>
              <w:t>Microrelieve</w:t>
            </w:r>
          </w:p>
        </w:tc>
      </w:tr>
      <w:tr>
        <w:trPr>
          <w:trHeight w:val="287"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55"/>
              <w:ind w:left="1050" w:right="1043"/>
              <w:jc w:val="center"/>
              <w:rPr>
                <w:sz w:val="17"/>
              </w:rPr>
            </w:pPr>
            <w:r>
              <w:rPr>
                <w:sz w:val="17"/>
              </w:rPr>
              <w:t>15°</w:t>
            </w:r>
          </w:p>
        </w:tc>
        <w:tc>
          <w:tcPr>
            <w:tcW w:w="269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55"/>
              <w:ind w:left="1001" w:right="1005"/>
              <w:jc w:val="center"/>
              <w:rPr>
                <w:sz w:val="17"/>
              </w:rPr>
            </w:pPr>
            <w:r>
              <w:rPr>
                <w:sz w:val="17"/>
              </w:rPr>
              <w:t>concava</w:t>
            </w:r>
          </w:p>
        </w:tc>
        <w:tc>
          <w:tcPr>
            <w:tcW w:w="317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55"/>
              <w:ind w:left="1043" w:right="1069"/>
              <w:jc w:val="center"/>
              <w:rPr>
                <w:sz w:val="17"/>
              </w:rPr>
            </w:pPr>
            <w:r>
              <w:rPr>
                <w:sz w:val="17"/>
              </w:rPr>
              <w:t>Terraceado</w:t>
            </w:r>
          </w:p>
        </w:tc>
      </w:tr>
      <w:tr>
        <w:trPr>
          <w:trHeight w:val="287"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293"/>
              <w:rPr>
                <w:b/>
                <w:sz w:val="17"/>
              </w:rPr>
            </w:pPr>
            <w:r>
              <w:rPr>
                <w:b/>
                <w:sz w:val="17"/>
              </w:rPr>
              <w:t>Drenaje superficial del sitio</w:t>
            </w:r>
          </w:p>
        </w:tc>
        <w:tc>
          <w:tcPr>
            <w:tcW w:w="269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27"/>
              <w:ind w:left="644"/>
              <w:rPr>
                <w:b/>
                <w:sz w:val="17"/>
              </w:rPr>
            </w:pPr>
            <w:r>
              <w:rPr>
                <w:b/>
                <w:sz w:val="17"/>
              </w:rPr>
              <w:t>Material parental</w:t>
            </w:r>
          </w:p>
        </w:tc>
        <w:tc>
          <w:tcPr>
            <w:tcW w:w="1147" w:type="dxa"/>
            <w:tcBorders>
              <w:top w:val="single" w:sz="6" w:space="0" w:color="000000"/>
              <w:left w:val="single" w:sz="6" w:space="0" w:color="000000"/>
              <w:bottom w:val="single" w:sz="6" w:space="0" w:color="000000"/>
              <w:right w:val="single" w:sz="6" w:space="0" w:color="000000"/>
            </w:tcBorders>
          </w:tcPr>
          <w:p>
            <w:pPr>
              <w:pStyle w:val="TableParagraph"/>
              <w:spacing w:before="41"/>
              <w:ind w:left="358"/>
              <w:rPr>
                <w:b/>
                <w:sz w:val="17"/>
              </w:rPr>
            </w:pPr>
            <w:r>
              <w:rPr>
                <w:b/>
                <w:sz w:val="17"/>
              </w:rPr>
              <w:t>Color</w:t>
            </w:r>
          </w:p>
        </w:tc>
        <w:tc>
          <w:tcPr>
            <w:tcW w:w="2028" w:type="dxa"/>
            <w:tcBorders>
              <w:top w:val="single" w:sz="6" w:space="0" w:color="000000"/>
              <w:left w:val="single" w:sz="6" w:space="0" w:color="000000"/>
              <w:bottom w:val="single" w:sz="6" w:space="0" w:color="000000"/>
              <w:right w:val="single" w:sz="6" w:space="0" w:color="000000"/>
            </w:tcBorders>
          </w:tcPr>
          <w:p>
            <w:pPr>
              <w:pStyle w:val="TableParagraph"/>
              <w:spacing w:before="41"/>
              <w:ind w:left="111" w:right="113"/>
              <w:jc w:val="center"/>
              <w:rPr>
                <w:b/>
                <w:sz w:val="17"/>
              </w:rPr>
            </w:pPr>
            <w:r>
              <w:rPr>
                <w:b/>
                <w:sz w:val="17"/>
              </w:rPr>
              <w:t>Color intemperizado</w:t>
            </w:r>
          </w:p>
        </w:tc>
      </w:tr>
      <w:tr>
        <w:trPr>
          <w:trHeight w:val="287"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1050" w:right="1051"/>
              <w:jc w:val="center"/>
              <w:rPr>
                <w:sz w:val="17"/>
              </w:rPr>
            </w:pPr>
            <w:r>
              <w:rPr>
                <w:sz w:val="17"/>
              </w:rPr>
              <w:t>Donador</w:t>
            </w:r>
          </w:p>
        </w:tc>
        <w:tc>
          <w:tcPr>
            <w:tcW w:w="2695" w:type="dxa"/>
            <w:gridSpan w:val="2"/>
            <w:tcBorders>
              <w:top w:val="single" w:sz="6" w:space="0" w:color="000000"/>
              <w:left w:val="single" w:sz="6" w:space="0" w:color="000000"/>
              <w:bottom w:val="single" w:sz="6" w:space="0" w:color="000000"/>
              <w:right w:val="single" w:sz="6" w:space="0" w:color="000000"/>
            </w:tcBorders>
          </w:tcPr>
          <w:p>
            <w:pPr>
              <w:pStyle w:val="TableParagraph"/>
              <w:spacing w:before="27"/>
              <w:ind w:left="372"/>
              <w:rPr>
                <w:sz w:val="17"/>
              </w:rPr>
            </w:pPr>
            <w:r>
              <w:rPr>
                <w:sz w:val="17"/>
              </w:rPr>
              <w:t>Rocas ígneas extrusivas</w:t>
            </w:r>
          </w:p>
        </w:tc>
        <w:tc>
          <w:tcPr>
            <w:tcW w:w="1147" w:type="dxa"/>
            <w:tcBorders>
              <w:top w:val="single" w:sz="6" w:space="0" w:color="000000"/>
              <w:left w:val="single" w:sz="6" w:space="0" w:color="000000"/>
              <w:bottom w:val="single" w:sz="6" w:space="0" w:color="000000"/>
              <w:right w:val="single" w:sz="6" w:space="0" w:color="000000"/>
            </w:tcBorders>
          </w:tcPr>
          <w:p>
            <w:pPr>
              <w:pStyle w:val="TableParagraph"/>
              <w:spacing w:before="55"/>
              <w:ind w:right="319"/>
              <w:jc w:val="right"/>
              <w:rPr>
                <w:sz w:val="17"/>
              </w:rPr>
            </w:pPr>
            <w:r>
              <w:rPr>
                <w:sz w:val="17"/>
              </w:rPr>
              <w:t>Rojizo</w:t>
            </w:r>
          </w:p>
        </w:tc>
        <w:tc>
          <w:tcPr>
            <w:tcW w:w="2028" w:type="dxa"/>
            <w:tcBorders>
              <w:top w:val="single" w:sz="6" w:space="0" w:color="000000"/>
              <w:left w:val="single" w:sz="6" w:space="0" w:color="000000"/>
              <w:bottom w:val="single" w:sz="6" w:space="0" w:color="000000"/>
              <w:right w:val="single" w:sz="6" w:space="0" w:color="000000"/>
            </w:tcBorders>
          </w:tcPr>
          <w:p>
            <w:pPr>
              <w:pStyle w:val="TableParagraph"/>
              <w:spacing w:before="55"/>
              <w:ind w:left="111" w:right="121"/>
              <w:jc w:val="center"/>
              <w:rPr>
                <w:sz w:val="17"/>
              </w:rPr>
            </w:pPr>
            <w:r>
              <w:rPr>
                <w:sz w:val="17"/>
              </w:rPr>
              <w:t>Rojizo</w:t>
            </w:r>
          </w:p>
        </w:tc>
      </w:tr>
      <w:tr>
        <w:trPr>
          <w:trHeight w:val="287" w:hRule="exact"/>
        </w:trPr>
        <w:tc>
          <w:tcPr>
            <w:tcW w:w="1140" w:type="dxa"/>
            <w:tcBorders>
              <w:top w:val="single" w:sz="6" w:space="0" w:color="000000"/>
              <w:left w:val="single" w:sz="6" w:space="0" w:color="000000"/>
              <w:bottom w:val="single" w:sz="6" w:space="0" w:color="000000"/>
              <w:right w:val="single" w:sz="6" w:space="0" w:color="000000"/>
            </w:tcBorders>
          </w:tcPr>
          <w:p>
            <w:pPr>
              <w:pStyle w:val="TableParagraph"/>
              <w:spacing w:before="41"/>
              <w:ind w:left="117" w:right="116"/>
              <w:jc w:val="center"/>
              <w:rPr>
                <w:b/>
                <w:sz w:val="17"/>
              </w:rPr>
            </w:pPr>
            <w:r>
              <w:rPr>
                <w:b/>
                <w:sz w:val="17"/>
              </w:rPr>
              <w:t>Textura</w:t>
            </w:r>
          </w:p>
        </w:tc>
        <w:tc>
          <w:tcPr>
            <w:tcW w:w="2838"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487"/>
              <w:rPr>
                <w:b/>
                <w:sz w:val="17"/>
              </w:rPr>
            </w:pPr>
            <w:r>
              <w:rPr>
                <w:b/>
                <w:sz w:val="17"/>
              </w:rPr>
              <w:t>Minerales observables</w:t>
            </w:r>
          </w:p>
        </w:tc>
        <w:tc>
          <w:tcPr>
            <w:tcW w:w="2680" w:type="dxa"/>
            <w:gridSpan w:val="2"/>
            <w:tcBorders>
              <w:top w:val="single" w:sz="6" w:space="0" w:color="000000"/>
              <w:left w:val="single" w:sz="6" w:space="0" w:color="000000"/>
              <w:bottom w:val="single" w:sz="6" w:space="0" w:color="000000"/>
              <w:right w:val="single" w:sz="6" w:space="0" w:color="000000"/>
            </w:tcBorders>
          </w:tcPr>
          <w:p>
            <w:pPr>
              <w:pStyle w:val="TableParagraph"/>
              <w:spacing w:before="27"/>
              <w:ind w:left="601"/>
              <w:rPr>
                <w:b/>
                <w:sz w:val="17"/>
              </w:rPr>
            </w:pPr>
            <w:r>
              <w:rPr>
                <w:b/>
                <w:sz w:val="17"/>
              </w:rPr>
              <w:t>Vegetación nativa</w:t>
            </w:r>
          </w:p>
        </w:tc>
        <w:tc>
          <w:tcPr>
            <w:tcW w:w="2028" w:type="dxa"/>
            <w:tcBorders>
              <w:top w:val="single" w:sz="6" w:space="0" w:color="000000"/>
              <w:left w:val="single" w:sz="6" w:space="0" w:color="000000"/>
              <w:bottom w:val="single" w:sz="6" w:space="0" w:color="000000"/>
              <w:right w:val="single" w:sz="6" w:space="0" w:color="000000"/>
            </w:tcBorders>
          </w:tcPr>
          <w:p>
            <w:pPr>
              <w:pStyle w:val="TableParagraph"/>
              <w:spacing w:before="41"/>
              <w:ind w:left="111" w:right="123"/>
              <w:jc w:val="center"/>
              <w:rPr>
                <w:b/>
                <w:sz w:val="17"/>
              </w:rPr>
            </w:pPr>
            <w:r>
              <w:rPr>
                <w:b/>
                <w:sz w:val="17"/>
              </w:rPr>
              <w:t>Especies dominantes</w:t>
            </w:r>
          </w:p>
        </w:tc>
      </w:tr>
      <w:tr>
        <w:trPr>
          <w:trHeight w:val="287" w:hRule="exact"/>
        </w:trPr>
        <w:tc>
          <w:tcPr>
            <w:tcW w:w="1140" w:type="dxa"/>
            <w:tcBorders>
              <w:top w:val="single" w:sz="6" w:space="0" w:color="000000"/>
              <w:left w:val="single" w:sz="6" w:space="0" w:color="000000"/>
              <w:bottom w:val="single" w:sz="6" w:space="0" w:color="000000"/>
              <w:right w:val="single" w:sz="6" w:space="0" w:color="000000"/>
            </w:tcBorders>
          </w:tcPr>
          <w:p>
            <w:pPr>
              <w:pStyle w:val="TableParagraph"/>
              <w:spacing w:before="41"/>
              <w:ind w:left="117" w:right="116"/>
              <w:jc w:val="center"/>
              <w:rPr>
                <w:sz w:val="17"/>
              </w:rPr>
            </w:pPr>
            <w:r>
              <w:rPr>
                <w:sz w:val="17"/>
              </w:rPr>
              <w:t>Afanítica</w:t>
            </w:r>
          </w:p>
        </w:tc>
        <w:tc>
          <w:tcPr>
            <w:tcW w:w="2838"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1007" w:right="1011"/>
              <w:jc w:val="center"/>
              <w:rPr>
                <w:sz w:val="17"/>
              </w:rPr>
            </w:pPr>
            <w:r>
              <w:rPr>
                <w:sz w:val="17"/>
              </w:rPr>
              <w:t>No se ven</w:t>
            </w:r>
          </w:p>
        </w:tc>
        <w:tc>
          <w:tcPr>
            <w:tcW w:w="2680" w:type="dxa"/>
            <w:gridSpan w:val="2"/>
            <w:tcBorders>
              <w:top w:val="single" w:sz="6" w:space="0" w:color="000000"/>
              <w:left w:val="single" w:sz="6" w:space="0" w:color="000000"/>
              <w:bottom w:val="single" w:sz="6" w:space="0" w:color="000000"/>
              <w:right w:val="single" w:sz="6" w:space="0" w:color="000000"/>
            </w:tcBorders>
          </w:tcPr>
          <w:p>
            <w:pPr>
              <w:pStyle w:val="TableParagraph"/>
              <w:spacing w:before="27"/>
              <w:ind w:left="716"/>
              <w:rPr>
                <w:sz w:val="17"/>
              </w:rPr>
            </w:pPr>
            <w:r>
              <w:rPr>
                <w:sz w:val="17"/>
              </w:rPr>
              <w:t>Arborea (pinos)</w:t>
            </w:r>
          </w:p>
        </w:tc>
        <w:tc>
          <w:tcPr>
            <w:tcW w:w="2028" w:type="dxa"/>
            <w:tcBorders>
              <w:top w:val="single" w:sz="6" w:space="0" w:color="000000"/>
              <w:left w:val="single" w:sz="6" w:space="0" w:color="000000"/>
              <w:bottom w:val="single" w:sz="6" w:space="0" w:color="000000"/>
              <w:right w:val="single" w:sz="6" w:space="0" w:color="000000"/>
            </w:tcBorders>
          </w:tcPr>
          <w:p>
            <w:pPr>
              <w:pStyle w:val="TableParagraph"/>
              <w:spacing w:before="41"/>
              <w:ind w:left="111" w:right="118"/>
              <w:jc w:val="center"/>
              <w:rPr>
                <w:sz w:val="17"/>
              </w:rPr>
            </w:pPr>
            <w:r>
              <w:rPr>
                <w:sz w:val="17"/>
              </w:rPr>
              <w:t>Pastos y pinos</w:t>
            </w:r>
          </w:p>
        </w:tc>
      </w:tr>
      <w:tr>
        <w:trPr>
          <w:trHeight w:val="287"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1050" w:right="1051"/>
              <w:jc w:val="center"/>
              <w:rPr>
                <w:b/>
                <w:sz w:val="17"/>
              </w:rPr>
            </w:pPr>
            <w:r>
              <w:rPr>
                <w:b/>
                <w:sz w:val="17"/>
              </w:rPr>
              <w:t>Función</w:t>
            </w:r>
          </w:p>
        </w:tc>
        <w:tc>
          <w:tcPr>
            <w:tcW w:w="5870" w:type="dxa"/>
            <w:gridSpan w:val="4"/>
            <w:tcBorders>
              <w:top w:val="single" w:sz="6" w:space="0" w:color="000000"/>
              <w:left w:val="single" w:sz="6" w:space="0" w:color="000000"/>
              <w:bottom w:val="single" w:sz="6" w:space="0" w:color="000000"/>
              <w:right w:val="single" w:sz="6" w:space="0" w:color="000000"/>
            </w:tcBorders>
          </w:tcPr>
          <w:p>
            <w:pPr>
              <w:pStyle w:val="TableParagraph"/>
              <w:spacing w:before="27"/>
              <w:ind w:left="2055" w:right="2068"/>
              <w:jc w:val="center"/>
              <w:rPr>
                <w:b/>
                <w:sz w:val="17"/>
              </w:rPr>
            </w:pPr>
            <w:r>
              <w:rPr>
                <w:b/>
                <w:sz w:val="17"/>
              </w:rPr>
              <w:t>Vegetación cultivada</w:t>
            </w:r>
          </w:p>
        </w:tc>
      </w:tr>
      <w:tr>
        <w:trPr>
          <w:trHeight w:val="287"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824"/>
              <w:rPr>
                <w:sz w:val="17"/>
              </w:rPr>
            </w:pPr>
            <w:r>
              <w:rPr>
                <w:sz w:val="17"/>
              </w:rPr>
              <w:t>Siempre verde</w:t>
            </w:r>
          </w:p>
        </w:tc>
        <w:tc>
          <w:tcPr>
            <w:tcW w:w="5870" w:type="dxa"/>
            <w:gridSpan w:val="4"/>
            <w:tcBorders>
              <w:top w:val="single" w:sz="6" w:space="0" w:color="000000"/>
              <w:left w:val="single" w:sz="6" w:space="0" w:color="000000"/>
              <w:bottom w:val="single" w:sz="6" w:space="0" w:color="000000"/>
              <w:right w:val="single" w:sz="6" w:space="0" w:color="000000"/>
            </w:tcBorders>
          </w:tcPr>
          <w:p>
            <w:pPr>
              <w:pStyle w:val="TableParagraph"/>
              <w:spacing w:before="27"/>
              <w:ind w:left="2055" w:right="2067"/>
              <w:jc w:val="center"/>
              <w:rPr>
                <w:sz w:val="17"/>
              </w:rPr>
            </w:pPr>
            <w:r>
              <w:rPr>
                <w:sz w:val="17"/>
              </w:rPr>
              <w:t>No se perciben</w:t>
            </w:r>
          </w:p>
        </w:tc>
      </w:tr>
      <w:tr>
        <w:trPr>
          <w:trHeight w:val="287" w:hRule="exact"/>
        </w:trPr>
        <w:tc>
          <w:tcPr>
            <w:tcW w:w="3978" w:type="dxa"/>
            <w:gridSpan w:val="4"/>
            <w:tcBorders>
              <w:top w:val="single" w:sz="6" w:space="0" w:color="000000"/>
              <w:left w:val="single" w:sz="6" w:space="0" w:color="000000"/>
              <w:bottom w:val="single" w:sz="6" w:space="0" w:color="000000"/>
              <w:right w:val="single" w:sz="6" w:space="0" w:color="000000"/>
            </w:tcBorders>
          </w:tcPr>
          <w:p>
            <w:pPr>
              <w:pStyle w:val="TableParagraph"/>
              <w:spacing w:before="55"/>
              <w:ind w:left="838"/>
              <w:rPr>
                <w:b/>
                <w:sz w:val="17"/>
              </w:rPr>
            </w:pPr>
            <w:r>
              <w:rPr>
                <w:b/>
                <w:sz w:val="17"/>
              </w:rPr>
              <w:t>Prácticas agrícolas visibles:</w:t>
            </w:r>
          </w:p>
        </w:tc>
        <w:tc>
          <w:tcPr>
            <w:tcW w:w="4709" w:type="dxa"/>
            <w:gridSpan w:val="3"/>
            <w:tcBorders>
              <w:top w:val="single" w:sz="6" w:space="0" w:color="000000"/>
              <w:left w:val="single" w:sz="6" w:space="0" w:color="000000"/>
              <w:bottom w:val="single" w:sz="6" w:space="0" w:color="000000"/>
              <w:right w:val="single" w:sz="6" w:space="0" w:color="000000"/>
            </w:tcBorders>
          </w:tcPr>
          <w:p>
            <w:pPr>
              <w:pStyle w:val="TableParagraph"/>
              <w:spacing w:before="55"/>
              <w:ind w:left="1519"/>
              <w:rPr>
                <w:b/>
                <w:sz w:val="17"/>
              </w:rPr>
            </w:pPr>
            <w:r>
              <w:rPr>
                <w:b/>
                <w:sz w:val="17"/>
              </w:rPr>
              <w:t>Superficie del suelo:</w:t>
            </w:r>
          </w:p>
        </w:tc>
      </w:tr>
      <w:tr>
        <w:trPr>
          <w:trHeight w:val="330" w:hRule="exact"/>
        </w:trPr>
        <w:tc>
          <w:tcPr>
            <w:tcW w:w="3978" w:type="dxa"/>
            <w:gridSpan w:val="4"/>
            <w:tcBorders>
              <w:top w:val="single" w:sz="6" w:space="0" w:color="000000"/>
              <w:left w:val="single" w:sz="6" w:space="0" w:color="000000"/>
              <w:bottom w:val="single" w:sz="6" w:space="0" w:color="000000"/>
              <w:right w:val="single" w:sz="6" w:space="0" w:color="000000"/>
            </w:tcBorders>
          </w:tcPr>
          <w:p>
            <w:pPr>
              <w:pStyle w:val="TableParagraph"/>
              <w:spacing w:before="99"/>
              <w:ind w:left="1856" w:right="1840"/>
              <w:jc w:val="center"/>
              <w:rPr>
                <w:sz w:val="17"/>
              </w:rPr>
            </w:pPr>
            <w:r>
              <w:rPr>
                <w:sz w:val="17"/>
              </w:rPr>
              <w:t>si</w:t>
            </w:r>
          </w:p>
        </w:tc>
        <w:tc>
          <w:tcPr>
            <w:tcW w:w="4709" w:type="dxa"/>
            <w:gridSpan w:val="3"/>
            <w:tcBorders>
              <w:top w:val="single" w:sz="6" w:space="0" w:color="000000"/>
              <w:left w:val="single" w:sz="6" w:space="0" w:color="000000"/>
              <w:bottom w:val="single" w:sz="6" w:space="0" w:color="000000"/>
              <w:right w:val="single" w:sz="6" w:space="0" w:color="000000"/>
            </w:tcBorders>
          </w:tcPr>
          <w:p>
            <w:pPr>
              <w:pStyle w:val="TableParagraph"/>
              <w:spacing w:before="99"/>
              <w:ind w:left="1490"/>
              <w:rPr>
                <w:sz w:val="17"/>
              </w:rPr>
            </w:pPr>
            <w:r>
              <w:rPr>
                <w:sz w:val="17"/>
              </w:rPr>
              <w:t>Presencia de piedras</w:t>
            </w:r>
          </w:p>
        </w:tc>
      </w:tr>
      <w:tr>
        <w:trPr>
          <w:trHeight w:val="373" w:hRule="exact"/>
        </w:trPr>
        <w:tc>
          <w:tcPr>
            <w:tcW w:w="2817" w:type="dxa"/>
            <w:gridSpan w:val="3"/>
            <w:tcBorders>
              <w:top w:val="single" w:sz="6" w:space="0" w:color="000000"/>
              <w:left w:val="single" w:sz="6" w:space="0" w:color="000000"/>
              <w:bottom w:val="single" w:sz="6" w:space="0" w:color="000000"/>
              <w:right w:val="single" w:sz="6" w:space="0" w:color="000000"/>
            </w:tcBorders>
          </w:tcPr>
          <w:p>
            <w:pPr>
              <w:pStyle w:val="TableParagraph"/>
              <w:spacing w:before="70"/>
              <w:ind w:left="136"/>
              <w:rPr>
                <w:b/>
                <w:sz w:val="17"/>
              </w:rPr>
            </w:pPr>
            <w:r>
              <w:rPr>
                <w:b/>
                <w:sz w:val="17"/>
              </w:rPr>
              <w:t>Material combustible presente:</w:t>
            </w:r>
          </w:p>
        </w:tc>
        <w:tc>
          <w:tcPr>
            <w:tcW w:w="5870" w:type="dxa"/>
            <w:gridSpan w:val="4"/>
            <w:tcBorders>
              <w:top w:val="single" w:sz="6" w:space="0" w:color="000000"/>
              <w:left w:val="single" w:sz="6" w:space="0" w:color="000000"/>
              <w:bottom w:val="single" w:sz="6" w:space="0" w:color="000000"/>
              <w:right w:val="single" w:sz="6" w:space="0" w:color="000000"/>
            </w:tcBorders>
          </w:tcPr>
          <w:p>
            <w:pPr>
              <w:pStyle w:val="TableParagraph"/>
              <w:spacing w:before="84"/>
              <w:ind w:left="28"/>
              <w:rPr>
                <w:sz w:val="17"/>
              </w:rPr>
            </w:pPr>
            <w:r>
              <w:rPr>
                <w:sz w:val="17"/>
              </w:rPr>
              <w:t>Residuos de ascículas de pino, hierbas, pastos, conos, ramas  pequeñas</w:t>
            </w:r>
          </w:p>
        </w:tc>
      </w:tr>
      <w:tr>
        <w:trPr>
          <w:trHeight w:val="287" w:hRule="exact"/>
        </w:trPr>
        <w:tc>
          <w:tcPr>
            <w:tcW w:w="3978" w:type="dxa"/>
            <w:gridSpan w:val="4"/>
            <w:tcBorders>
              <w:top w:val="single" w:sz="6" w:space="0" w:color="000000"/>
              <w:left w:val="single" w:sz="6" w:space="0" w:color="000000"/>
              <w:bottom w:val="single" w:sz="6" w:space="0" w:color="000000"/>
              <w:right w:val="single" w:sz="6" w:space="0" w:color="000000"/>
            </w:tcBorders>
          </w:tcPr>
          <w:p>
            <w:pPr>
              <w:pStyle w:val="TableParagraph"/>
              <w:spacing w:before="27"/>
              <w:ind w:left="1053"/>
              <w:rPr>
                <w:b/>
                <w:sz w:val="17"/>
              </w:rPr>
            </w:pPr>
            <w:r>
              <w:rPr>
                <w:b/>
                <w:sz w:val="17"/>
              </w:rPr>
              <w:t>Evidencia  de incendios</w:t>
            </w:r>
          </w:p>
        </w:tc>
        <w:tc>
          <w:tcPr>
            <w:tcW w:w="4709"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1601" w:right="1597"/>
              <w:jc w:val="center"/>
              <w:rPr>
                <w:b/>
                <w:sz w:val="17"/>
              </w:rPr>
            </w:pPr>
            <w:r>
              <w:rPr>
                <w:b/>
                <w:sz w:val="17"/>
              </w:rPr>
              <w:t>Plagas forestales:</w:t>
            </w:r>
          </w:p>
        </w:tc>
      </w:tr>
      <w:tr>
        <w:trPr>
          <w:trHeight w:val="287" w:hRule="exact"/>
        </w:trPr>
        <w:tc>
          <w:tcPr>
            <w:tcW w:w="3978" w:type="dxa"/>
            <w:gridSpan w:val="4"/>
            <w:tcBorders>
              <w:top w:val="single" w:sz="6" w:space="0" w:color="000000"/>
              <w:left w:val="single" w:sz="6" w:space="0" w:color="000000"/>
              <w:bottom w:val="single" w:sz="6" w:space="0" w:color="000000"/>
              <w:right w:val="single" w:sz="6" w:space="0" w:color="000000"/>
            </w:tcBorders>
          </w:tcPr>
          <w:p>
            <w:pPr>
              <w:pStyle w:val="TableParagraph"/>
              <w:spacing w:before="27"/>
              <w:ind w:left="1856" w:right="1849"/>
              <w:jc w:val="center"/>
              <w:rPr>
                <w:sz w:val="17"/>
              </w:rPr>
            </w:pPr>
            <w:r>
              <w:rPr>
                <w:sz w:val="17"/>
              </w:rPr>
              <w:t>No</w:t>
            </w:r>
          </w:p>
        </w:tc>
        <w:tc>
          <w:tcPr>
            <w:tcW w:w="4709" w:type="dxa"/>
            <w:gridSpan w:val="3"/>
            <w:tcBorders>
              <w:top w:val="single" w:sz="6" w:space="0" w:color="000000"/>
              <w:left w:val="single" w:sz="6" w:space="0" w:color="000000"/>
              <w:bottom w:val="single" w:sz="6" w:space="0" w:color="000000"/>
              <w:right w:val="single" w:sz="6" w:space="0" w:color="000000"/>
            </w:tcBorders>
          </w:tcPr>
          <w:p>
            <w:pPr>
              <w:pStyle w:val="TableParagraph"/>
              <w:spacing w:before="27"/>
              <w:ind w:left="1578" w:right="1597"/>
              <w:jc w:val="center"/>
              <w:rPr>
                <w:sz w:val="17"/>
              </w:rPr>
            </w:pPr>
            <w:r>
              <w:rPr>
                <w:sz w:val="17"/>
              </w:rPr>
              <w:t>No</w:t>
            </w:r>
          </w:p>
        </w:tc>
      </w:tr>
      <w:tr>
        <w:trPr>
          <w:trHeight w:val="825" w:hRule="exact"/>
        </w:trPr>
        <w:tc>
          <w:tcPr>
            <w:tcW w:w="1656" w:type="dxa"/>
            <w:gridSpan w:val="2"/>
            <w:tcBorders>
              <w:top w:val="single" w:sz="6" w:space="0" w:color="000000"/>
              <w:left w:val="single" w:sz="6" w:space="0" w:color="000000"/>
              <w:bottom w:val="single" w:sz="12" w:space="0" w:color="000000"/>
              <w:right w:val="single" w:sz="6" w:space="0" w:color="000000"/>
            </w:tcBorders>
          </w:tcPr>
          <w:p>
            <w:pPr>
              <w:pStyle w:val="TableParagraph"/>
              <w:spacing w:before="0"/>
              <w:rPr>
                <w:sz w:val="16"/>
              </w:rPr>
            </w:pPr>
          </w:p>
          <w:p>
            <w:pPr>
              <w:pStyle w:val="TableParagraph"/>
              <w:spacing w:before="116"/>
              <w:ind w:left="179"/>
              <w:rPr>
                <w:b/>
                <w:sz w:val="17"/>
              </w:rPr>
            </w:pPr>
            <w:r>
              <w:rPr>
                <w:b/>
                <w:sz w:val="17"/>
              </w:rPr>
              <w:t>Observaciones:</w:t>
            </w:r>
          </w:p>
        </w:tc>
        <w:tc>
          <w:tcPr>
            <w:tcW w:w="7031" w:type="dxa"/>
            <w:gridSpan w:val="5"/>
            <w:tcBorders>
              <w:top w:val="single" w:sz="6" w:space="0" w:color="000000"/>
              <w:left w:val="single" w:sz="6" w:space="0" w:color="000000"/>
              <w:bottom w:val="single" w:sz="12" w:space="0" w:color="000000"/>
              <w:right w:val="single" w:sz="6" w:space="0" w:color="000000"/>
            </w:tcBorders>
          </w:tcPr>
          <w:p>
            <w:pPr>
              <w:pStyle w:val="TableParagraph"/>
              <w:spacing w:line="283" w:lineRule="auto" w:before="70"/>
              <w:ind w:left="28" w:right="185"/>
              <w:rPr>
                <w:sz w:val="17"/>
              </w:rPr>
            </w:pPr>
            <w:r>
              <w:rPr>
                <w:sz w:val="17"/>
              </w:rPr>
              <w:t>El sitio se encuentra en las faldas del Cerro Pelado. Hay evidencia de pastoreo y extracción de tierra. Se observaron aves y conejos. Hay presencia de renuevos de árboles. No hay veredas.</w:t>
            </w:r>
          </w:p>
        </w:tc>
      </w:tr>
    </w:tbl>
    <w:p>
      <w:pPr>
        <w:pStyle w:val="BodyText"/>
      </w:pPr>
    </w:p>
    <w:p>
      <w:pPr>
        <w:pStyle w:val="BodyText"/>
        <w:spacing w:before="7"/>
        <w:rPr>
          <w:sz w:val="21"/>
        </w:rPr>
      </w:pPr>
    </w:p>
    <w:p>
      <w:pPr>
        <w:pStyle w:val="BodyText"/>
        <w:ind w:left="102"/>
      </w:pPr>
      <w:r>
        <w:rPr/>
        <w:drawing>
          <wp:anchor distT="0" distB="0" distL="0" distR="0" allowOverlap="1" layoutInCell="1" locked="0" behindDoc="0" simplePos="0" relativeHeight="3712">
            <wp:simplePos x="0" y="0"/>
            <wp:positionH relativeFrom="page">
              <wp:posOffset>1260475</wp:posOffset>
            </wp:positionH>
            <wp:positionV relativeFrom="paragraph">
              <wp:posOffset>254201</wp:posOffset>
            </wp:positionV>
            <wp:extent cx="1609244" cy="905255"/>
            <wp:effectExtent l="0" t="0" r="0" b="0"/>
            <wp:wrapTopAndBottom/>
            <wp:docPr id="69" name="image55.jpeg" descr=""/>
            <wp:cNvGraphicFramePr>
              <a:graphicFrameLocks noChangeAspect="1"/>
            </wp:cNvGraphicFramePr>
            <a:graphic>
              <a:graphicData uri="http://schemas.openxmlformats.org/drawingml/2006/picture">
                <pic:pic>
                  <pic:nvPicPr>
                    <pic:cNvPr id="70" name="image55.jpeg"/>
                    <pic:cNvPicPr/>
                  </pic:nvPicPr>
                  <pic:blipFill>
                    <a:blip r:embed="rId102" cstate="print"/>
                    <a:stretch>
                      <a:fillRect/>
                    </a:stretch>
                  </pic:blipFill>
                  <pic:spPr>
                    <a:xfrm>
                      <a:off x="0" y="0"/>
                      <a:ext cx="1609244" cy="905255"/>
                    </a:xfrm>
                    <a:prstGeom prst="rect">
                      <a:avLst/>
                    </a:prstGeom>
                  </pic:spPr>
                </pic:pic>
              </a:graphicData>
            </a:graphic>
          </wp:anchor>
        </w:drawing>
      </w:r>
      <w:r>
        <w:rPr/>
        <w:drawing>
          <wp:anchor distT="0" distB="0" distL="0" distR="0" allowOverlap="1" layoutInCell="1" locked="0" behindDoc="0" simplePos="0" relativeHeight="3736">
            <wp:simplePos x="0" y="0"/>
            <wp:positionH relativeFrom="page">
              <wp:posOffset>3084195</wp:posOffset>
            </wp:positionH>
            <wp:positionV relativeFrom="paragraph">
              <wp:posOffset>254201</wp:posOffset>
            </wp:positionV>
            <wp:extent cx="1609244" cy="905255"/>
            <wp:effectExtent l="0" t="0" r="0" b="0"/>
            <wp:wrapTopAndBottom/>
            <wp:docPr id="71" name="image56.jpeg" descr=""/>
            <wp:cNvGraphicFramePr>
              <a:graphicFrameLocks noChangeAspect="1"/>
            </wp:cNvGraphicFramePr>
            <a:graphic>
              <a:graphicData uri="http://schemas.openxmlformats.org/drawingml/2006/picture">
                <pic:pic>
                  <pic:nvPicPr>
                    <pic:cNvPr id="72" name="image56.jpeg"/>
                    <pic:cNvPicPr/>
                  </pic:nvPicPr>
                  <pic:blipFill>
                    <a:blip r:embed="rId103" cstate="print"/>
                    <a:stretch>
                      <a:fillRect/>
                    </a:stretch>
                  </pic:blipFill>
                  <pic:spPr>
                    <a:xfrm>
                      <a:off x="0" y="0"/>
                      <a:ext cx="1609244" cy="905255"/>
                    </a:xfrm>
                    <a:prstGeom prst="rect">
                      <a:avLst/>
                    </a:prstGeom>
                  </pic:spPr>
                </pic:pic>
              </a:graphicData>
            </a:graphic>
          </wp:anchor>
        </w:drawing>
      </w:r>
      <w:r>
        <w:rPr/>
        <w:drawing>
          <wp:anchor distT="0" distB="0" distL="0" distR="0" allowOverlap="1" layoutInCell="1" locked="0" behindDoc="0" simplePos="0" relativeHeight="3760">
            <wp:simplePos x="0" y="0"/>
            <wp:positionH relativeFrom="page">
              <wp:posOffset>4909820</wp:posOffset>
            </wp:positionH>
            <wp:positionV relativeFrom="paragraph">
              <wp:posOffset>254201</wp:posOffset>
            </wp:positionV>
            <wp:extent cx="1609244" cy="905255"/>
            <wp:effectExtent l="0" t="0" r="0" b="0"/>
            <wp:wrapTopAndBottom/>
            <wp:docPr id="73" name="image57.jpeg" descr=""/>
            <wp:cNvGraphicFramePr>
              <a:graphicFrameLocks noChangeAspect="1"/>
            </wp:cNvGraphicFramePr>
            <a:graphic>
              <a:graphicData uri="http://schemas.openxmlformats.org/drawingml/2006/picture">
                <pic:pic>
                  <pic:nvPicPr>
                    <pic:cNvPr id="74" name="image57.jpeg"/>
                    <pic:cNvPicPr/>
                  </pic:nvPicPr>
                  <pic:blipFill>
                    <a:blip r:embed="rId104" cstate="print"/>
                    <a:stretch>
                      <a:fillRect/>
                    </a:stretch>
                  </pic:blipFill>
                  <pic:spPr>
                    <a:xfrm>
                      <a:off x="0" y="0"/>
                      <a:ext cx="1609244" cy="905255"/>
                    </a:xfrm>
                    <a:prstGeom prst="rect">
                      <a:avLst/>
                    </a:prstGeom>
                  </pic:spPr>
                </pic:pic>
              </a:graphicData>
            </a:graphic>
          </wp:anchor>
        </w:drawing>
      </w:r>
      <w:r>
        <w:rPr/>
        <w:t>Imágenes del sitio 2.</w:t>
      </w:r>
    </w:p>
    <w:p>
      <w:pPr>
        <w:pStyle w:val="BodyText"/>
        <w:spacing w:before="11"/>
        <w:rPr>
          <w:sz w:val="6"/>
        </w:rPr>
      </w:pPr>
    </w:p>
    <w:p>
      <w:pPr>
        <w:tabs>
          <w:tab w:pos="3594" w:val="left" w:leader="none"/>
          <w:tab w:pos="6470" w:val="left" w:leader="none"/>
        </w:tabs>
        <w:spacing w:line="240" w:lineRule="auto"/>
        <w:ind w:left="723" w:right="0" w:firstLine="0"/>
        <w:rPr>
          <w:sz w:val="20"/>
        </w:rPr>
      </w:pPr>
      <w:r>
        <w:rPr>
          <w:position w:val="1"/>
          <w:sz w:val="20"/>
        </w:rPr>
        <w:drawing>
          <wp:inline distT="0" distB="0" distL="0" distR="0">
            <wp:extent cx="1154379" cy="1241012"/>
            <wp:effectExtent l="0" t="0" r="0" b="0"/>
            <wp:docPr id="75" name="image58.jpeg" descr=""/>
            <wp:cNvGraphicFramePr>
              <a:graphicFrameLocks noChangeAspect="1"/>
            </wp:cNvGraphicFramePr>
            <a:graphic>
              <a:graphicData uri="http://schemas.openxmlformats.org/drawingml/2006/picture">
                <pic:pic>
                  <pic:nvPicPr>
                    <pic:cNvPr id="76" name="image58.jpeg"/>
                    <pic:cNvPicPr/>
                  </pic:nvPicPr>
                  <pic:blipFill>
                    <a:blip r:embed="rId105" cstate="print"/>
                    <a:stretch>
                      <a:fillRect/>
                    </a:stretch>
                  </pic:blipFill>
                  <pic:spPr>
                    <a:xfrm>
                      <a:off x="0" y="0"/>
                      <a:ext cx="1154379" cy="1241012"/>
                    </a:xfrm>
                    <a:prstGeom prst="rect">
                      <a:avLst/>
                    </a:prstGeom>
                  </pic:spPr>
                </pic:pic>
              </a:graphicData>
            </a:graphic>
          </wp:inline>
        </w:drawing>
      </w:r>
      <w:r>
        <w:rPr>
          <w:position w:val="1"/>
          <w:sz w:val="20"/>
        </w:rPr>
      </w:r>
      <w:r>
        <w:rPr>
          <w:position w:val="1"/>
          <w:sz w:val="20"/>
        </w:rPr>
        <w:tab/>
      </w:r>
      <w:r>
        <w:rPr>
          <w:position w:val="1"/>
          <w:sz w:val="20"/>
        </w:rPr>
        <w:drawing>
          <wp:inline distT="0" distB="0" distL="0" distR="0">
            <wp:extent cx="1155031" cy="1241012"/>
            <wp:effectExtent l="0" t="0" r="0" b="0"/>
            <wp:docPr id="77" name="image59.jpeg" descr=""/>
            <wp:cNvGraphicFramePr>
              <a:graphicFrameLocks noChangeAspect="1"/>
            </wp:cNvGraphicFramePr>
            <a:graphic>
              <a:graphicData uri="http://schemas.openxmlformats.org/drawingml/2006/picture">
                <pic:pic>
                  <pic:nvPicPr>
                    <pic:cNvPr id="78" name="image59.jpeg"/>
                    <pic:cNvPicPr/>
                  </pic:nvPicPr>
                  <pic:blipFill>
                    <a:blip r:embed="rId106" cstate="print"/>
                    <a:stretch>
                      <a:fillRect/>
                    </a:stretch>
                  </pic:blipFill>
                  <pic:spPr>
                    <a:xfrm>
                      <a:off x="0" y="0"/>
                      <a:ext cx="1155031" cy="1241012"/>
                    </a:xfrm>
                    <a:prstGeom prst="rect">
                      <a:avLst/>
                    </a:prstGeom>
                  </pic:spPr>
                </pic:pic>
              </a:graphicData>
            </a:graphic>
          </wp:inline>
        </w:drawing>
      </w:r>
      <w:r>
        <w:rPr>
          <w:position w:val="1"/>
          <w:sz w:val="20"/>
        </w:rPr>
      </w:r>
      <w:r>
        <w:rPr>
          <w:position w:val="1"/>
          <w:sz w:val="20"/>
        </w:rPr>
        <w:tab/>
      </w:r>
      <w:r>
        <w:rPr>
          <w:sz w:val="20"/>
        </w:rPr>
        <w:drawing>
          <wp:inline distT="0" distB="0" distL="0" distR="0">
            <wp:extent cx="1157481" cy="1247584"/>
            <wp:effectExtent l="0" t="0" r="0" b="0"/>
            <wp:docPr id="79" name="image60.jpeg" descr=""/>
            <wp:cNvGraphicFramePr>
              <a:graphicFrameLocks noChangeAspect="1"/>
            </wp:cNvGraphicFramePr>
            <a:graphic>
              <a:graphicData uri="http://schemas.openxmlformats.org/drawingml/2006/picture">
                <pic:pic>
                  <pic:nvPicPr>
                    <pic:cNvPr id="80" name="image60.jpeg"/>
                    <pic:cNvPicPr/>
                  </pic:nvPicPr>
                  <pic:blipFill>
                    <a:blip r:embed="rId107" cstate="print"/>
                    <a:stretch>
                      <a:fillRect/>
                    </a:stretch>
                  </pic:blipFill>
                  <pic:spPr>
                    <a:xfrm>
                      <a:off x="0" y="0"/>
                      <a:ext cx="1157481" cy="1247584"/>
                    </a:xfrm>
                    <a:prstGeom prst="rect">
                      <a:avLst/>
                    </a:prstGeom>
                  </pic:spPr>
                </pic:pic>
              </a:graphicData>
            </a:graphic>
          </wp:inline>
        </w:drawing>
      </w:r>
      <w:r>
        <w:rPr>
          <w:sz w:val="20"/>
        </w:rPr>
      </w:r>
    </w:p>
    <w:p>
      <w:pPr>
        <w:spacing w:after="0" w:line="240" w:lineRule="auto"/>
        <w:rPr>
          <w:sz w:val="20"/>
        </w:rPr>
        <w:sectPr>
          <w:footerReference w:type="default" r:id="rId101"/>
          <w:pgSz w:w="12240" w:h="15840"/>
          <w:pgMar w:footer="1003" w:header="0" w:top="1360" w:bottom="1200" w:left="1600" w:right="1580"/>
          <w:pgNumType w:start="120"/>
        </w:sectPr>
      </w:pPr>
    </w:p>
    <w:p>
      <w:pPr>
        <w:pStyle w:val="BodyText"/>
        <w:spacing w:before="52"/>
        <w:ind w:left="102"/>
      </w:pPr>
      <w:r>
        <w:rPr/>
        <w:t>Cuadro del sitio 3.</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8"/>
        <w:gridCol w:w="519"/>
        <w:gridCol w:w="1167"/>
        <w:gridCol w:w="1167"/>
        <w:gridCol w:w="1542"/>
        <w:gridCol w:w="1153"/>
        <w:gridCol w:w="2032"/>
      </w:tblGrid>
      <w:tr>
        <w:trPr>
          <w:trHeight w:val="288" w:hRule="exact"/>
        </w:trPr>
        <w:tc>
          <w:tcPr>
            <w:tcW w:w="1138" w:type="dxa"/>
            <w:vMerge w:val="restart"/>
          </w:tcPr>
          <w:p>
            <w:pPr>
              <w:pStyle w:val="TableParagraph"/>
              <w:spacing w:before="11"/>
              <w:rPr>
                <w:sz w:val="14"/>
              </w:rPr>
            </w:pPr>
          </w:p>
          <w:p>
            <w:pPr>
              <w:pStyle w:val="TableParagraph"/>
              <w:spacing w:before="0"/>
              <w:ind w:left="316"/>
              <w:rPr>
                <w:b/>
                <w:sz w:val="17"/>
              </w:rPr>
            </w:pPr>
            <w:r>
              <w:rPr>
                <w:b/>
                <w:sz w:val="17"/>
              </w:rPr>
              <w:t>Fecha</w:t>
            </w:r>
          </w:p>
        </w:tc>
        <w:tc>
          <w:tcPr>
            <w:tcW w:w="519" w:type="dxa"/>
            <w:vMerge w:val="restart"/>
          </w:tcPr>
          <w:p>
            <w:pPr>
              <w:pStyle w:val="TableParagraph"/>
              <w:spacing w:before="11"/>
              <w:rPr>
                <w:sz w:val="14"/>
              </w:rPr>
            </w:pPr>
          </w:p>
          <w:p>
            <w:pPr>
              <w:pStyle w:val="TableParagraph"/>
              <w:spacing w:before="0"/>
              <w:ind w:left="71"/>
              <w:rPr>
                <w:b/>
                <w:sz w:val="17"/>
              </w:rPr>
            </w:pPr>
            <w:r>
              <w:rPr>
                <w:b/>
                <w:sz w:val="17"/>
              </w:rPr>
              <w:t>Sitio</w:t>
            </w:r>
          </w:p>
        </w:tc>
        <w:tc>
          <w:tcPr>
            <w:tcW w:w="2334" w:type="dxa"/>
            <w:gridSpan w:val="2"/>
            <w:tcBorders>
              <w:bottom w:val="single" w:sz="6" w:space="0" w:color="000000"/>
            </w:tcBorders>
          </w:tcPr>
          <w:p>
            <w:pPr>
              <w:pStyle w:val="TableParagraph"/>
              <w:spacing w:before="28"/>
              <w:ind w:left="403"/>
              <w:rPr>
                <w:b/>
                <w:sz w:val="17"/>
              </w:rPr>
            </w:pPr>
            <w:r>
              <w:rPr>
                <w:b/>
                <w:sz w:val="17"/>
              </w:rPr>
              <w:t>Coordenadas UTM</w:t>
            </w:r>
          </w:p>
        </w:tc>
        <w:tc>
          <w:tcPr>
            <w:tcW w:w="1542" w:type="dxa"/>
            <w:vMerge w:val="restart"/>
          </w:tcPr>
          <w:p>
            <w:pPr>
              <w:pStyle w:val="TableParagraph"/>
              <w:spacing w:before="11"/>
              <w:rPr>
                <w:sz w:val="14"/>
              </w:rPr>
            </w:pPr>
          </w:p>
          <w:p>
            <w:pPr>
              <w:pStyle w:val="TableParagraph"/>
              <w:spacing w:before="0"/>
              <w:ind w:left="360"/>
              <w:rPr>
                <w:b/>
                <w:sz w:val="17"/>
              </w:rPr>
            </w:pPr>
            <w:r>
              <w:rPr>
                <w:b/>
                <w:sz w:val="17"/>
              </w:rPr>
              <w:t>Localidad</w:t>
            </w:r>
          </w:p>
        </w:tc>
        <w:tc>
          <w:tcPr>
            <w:tcW w:w="1153" w:type="dxa"/>
            <w:vMerge w:val="restart"/>
          </w:tcPr>
          <w:p>
            <w:pPr>
              <w:pStyle w:val="TableParagraph"/>
              <w:spacing w:before="11"/>
              <w:rPr>
                <w:sz w:val="14"/>
              </w:rPr>
            </w:pPr>
          </w:p>
          <w:p>
            <w:pPr>
              <w:pStyle w:val="TableParagraph"/>
              <w:spacing w:before="0"/>
              <w:ind w:left="115"/>
              <w:rPr>
                <w:b/>
                <w:sz w:val="17"/>
              </w:rPr>
            </w:pPr>
            <w:r>
              <w:rPr>
                <w:b/>
                <w:sz w:val="17"/>
              </w:rPr>
              <w:t>Delegación</w:t>
            </w:r>
          </w:p>
        </w:tc>
        <w:tc>
          <w:tcPr>
            <w:tcW w:w="2032" w:type="dxa"/>
            <w:vMerge w:val="restart"/>
          </w:tcPr>
          <w:p>
            <w:pPr>
              <w:pStyle w:val="TableParagraph"/>
              <w:spacing w:before="11"/>
              <w:rPr>
                <w:sz w:val="14"/>
              </w:rPr>
            </w:pPr>
          </w:p>
          <w:p>
            <w:pPr>
              <w:pStyle w:val="TableParagraph"/>
              <w:spacing w:before="0"/>
              <w:ind w:left="331"/>
              <w:rPr>
                <w:b/>
                <w:sz w:val="17"/>
              </w:rPr>
            </w:pPr>
            <w:r>
              <w:rPr>
                <w:b/>
                <w:sz w:val="17"/>
              </w:rPr>
              <w:t>Elevación msnm</w:t>
            </w:r>
          </w:p>
        </w:tc>
      </w:tr>
      <w:tr>
        <w:trPr>
          <w:trHeight w:val="288" w:hRule="exact"/>
        </w:trPr>
        <w:tc>
          <w:tcPr>
            <w:tcW w:w="1138" w:type="dxa"/>
            <w:vMerge/>
          </w:tcPr>
          <w:p>
            <w:pPr/>
          </w:p>
        </w:tc>
        <w:tc>
          <w:tcPr>
            <w:tcW w:w="519" w:type="dxa"/>
            <w:vMerge/>
          </w:tcPr>
          <w:p>
            <w:pPr/>
          </w:p>
        </w:tc>
        <w:tc>
          <w:tcPr>
            <w:tcW w:w="1167" w:type="dxa"/>
            <w:tcBorders>
              <w:top w:val="single" w:sz="6" w:space="0" w:color="000000"/>
            </w:tcBorders>
          </w:tcPr>
          <w:p>
            <w:pPr>
              <w:pStyle w:val="TableParagraph"/>
              <w:spacing w:before="42"/>
              <w:ind w:left="199" w:right="202"/>
              <w:jc w:val="center"/>
              <w:rPr>
                <w:b/>
                <w:sz w:val="17"/>
              </w:rPr>
            </w:pPr>
            <w:r>
              <w:rPr>
                <w:b/>
                <w:sz w:val="17"/>
              </w:rPr>
              <w:t>Oeste</w:t>
            </w:r>
          </w:p>
        </w:tc>
        <w:tc>
          <w:tcPr>
            <w:tcW w:w="1167" w:type="dxa"/>
            <w:tcBorders>
              <w:top w:val="single" w:sz="6" w:space="0" w:color="000000"/>
            </w:tcBorders>
          </w:tcPr>
          <w:p>
            <w:pPr>
              <w:pStyle w:val="TableParagraph"/>
              <w:spacing w:before="42"/>
              <w:ind w:left="106" w:right="98"/>
              <w:jc w:val="center"/>
              <w:rPr>
                <w:b/>
                <w:sz w:val="17"/>
              </w:rPr>
            </w:pPr>
            <w:r>
              <w:rPr>
                <w:b/>
                <w:sz w:val="17"/>
              </w:rPr>
              <w:t>Norte</w:t>
            </w:r>
          </w:p>
        </w:tc>
        <w:tc>
          <w:tcPr>
            <w:tcW w:w="1542" w:type="dxa"/>
            <w:vMerge/>
          </w:tcPr>
          <w:p>
            <w:pPr/>
          </w:p>
        </w:tc>
        <w:tc>
          <w:tcPr>
            <w:tcW w:w="1153" w:type="dxa"/>
            <w:vMerge/>
          </w:tcPr>
          <w:p>
            <w:pPr/>
          </w:p>
        </w:tc>
        <w:tc>
          <w:tcPr>
            <w:tcW w:w="2032" w:type="dxa"/>
            <w:vMerge/>
          </w:tcPr>
          <w:p>
            <w:pPr/>
          </w:p>
        </w:tc>
      </w:tr>
      <w:tr>
        <w:trPr>
          <w:trHeight w:val="692" w:hRule="exact"/>
        </w:trPr>
        <w:tc>
          <w:tcPr>
            <w:tcW w:w="1138" w:type="dxa"/>
            <w:tcBorders>
              <w:bottom w:val="single" w:sz="6" w:space="0" w:color="000000"/>
            </w:tcBorders>
          </w:tcPr>
          <w:p>
            <w:pPr>
              <w:pStyle w:val="TableParagraph"/>
              <w:spacing w:before="2"/>
              <w:rPr>
                <w:sz w:val="21"/>
              </w:rPr>
            </w:pPr>
          </w:p>
          <w:p>
            <w:pPr>
              <w:pStyle w:val="TableParagraph"/>
              <w:spacing w:before="0"/>
              <w:ind w:left="114" w:right="119"/>
              <w:jc w:val="center"/>
              <w:rPr>
                <w:sz w:val="17"/>
              </w:rPr>
            </w:pPr>
            <w:r>
              <w:rPr>
                <w:sz w:val="17"/>
              </w:rPr>
              <w:t>14/01/2015</w:t>
            </w:r>
          </w:p>
        </w:tc>
        <w:tc>
          <w:tcPr>
            <w:tcW w:w="519" w:type="dxa"/>
            <w:tcBorders>
              <w:bottom w:val="single" w:sz="6" w:space="0" w:color="000000"/>
            </w:tcBorders>
          </w:tcPr>
          <w:p>
            <w:pPr>
              <w:pStyle w:val="TableParagraph"/>
              <w:spacing w:before="2"/>
              <w:rPr>
                <w:sz w:val="21"/>
              </w:rPr>
            </w:pPr>
          </w:p>
          <w:p>
            <w:pPr>
              <w:pStyle w:val="TableParagraph"/>
              <w:spacing w:before="0"/>
              <w:ind w:right="2"/>
              <w:jc w:val="center"/>
              <w:rPr>
                <w:sz w:val="17"/>
              </w:rPr>
            </w:pPr>
            <w:r>
              <w:rPr>
                <w:w w:val="101"/>
                <w:sz w:val="17"/>
              </w:rPr>
              <w:t>3</w:t>
            </w:r>
          </w:p>
        </w:tc>
        <w:tc>
          <w:tcPr>
            <w:tcW w:w="1167" w:type="dxa"/>
            <w:tcBorders>
              <w:bottom w:val="single" w:sz="6" w:space="0" w:color="000000"/>
            </w:tcBorders>
          </w:tcPr>
          <w:p>
            <w:pPr>
              <w:pStyle w:val="TableParagraph"/>
              <w:spacing w:before="2"/>
              <w:rPr>
                <w:sz w:val="21"/>
              </w:rPr>
            </w:pPr>
          </w:p>
          <w:p>
            <w:pPr>
              <w:pStyle w:val="TableParagraph"/>
              <w:spacing w:before="0"/>
              <w:ind w:left="199" w:right="203"/>
              <w:jc w:val="center"/>
              <w:rPr>
                <w:sz w:val="17"/>
              </w:rPr>
            </w:pPr>
            <w:r>
              <w:rPr>
                <w:sz w:val="17"/>
              </w:rPr>
              <w:t>479073.1</w:t>
            </w:r>
          </w:p>
        </w:tc>
        <w:tc>
          <w:tcPr>
            <w:tcW w:w="1167" w:type="dxa"/>
            <w:tcBorders>
              <w:bottom w:val="single" w:sz="6" w:space="0" w:color="000000"/>
            </w:tcBorders>
          </w:tcPr>
          <w:p>
            <w:pPr>
              <w:pStyle w:val="TableParagraph"/>
              <w:spacing w:before="2"/>
              <w:rPr>
                <w:sz w:val="21"/>
              </w:rPr>
            </w:pPr>
          </w:p>
          <w:p>
            <w:pPr>
              <w:pStyle w:val="TableParagraph"/>
              <w:spacing w:before="0"/>
              <w:ind w:left="106" w:right="107"/>
              <w:jc w:val="center"/>
              <w:rPr>
                <w:sz w:val="17"/>
              </w:rPr>
            </w:pPr>
            <w:r>
              <w:rPr>
                <w:sz w:val="17"/>
              </w:rPr>
              <w:t>2113652.45</w:t>
            </w:r>
          </w:p>
        </w:tc>
        <w:tc>
          <w:tcPr>
            <w:tcW w:w="1542" w:type="dxa"/>
            <w:tcBorders>
              <w:bottom w:val="single" w:sz="6" w:space="0" w:color="000000"/>
            </w:tcBorders>
          </w:tcPr>
          <w:p>
            <w:pPr>
              <w:pStyle w:val="TableParagraph"/>
              <w:spacing w:line="283" w:lineRule="auto" w:before="13"/>
              <w:ind w:left="71" w:firstLine="144"/>
              <w:rPr>
                <w:sz w:val="17"/>
              </w:rPr>
            </w:pPr>
            <w:r>
              <w:rPr>
                <w:sz w:val="17"/>
              </w:rPr>
              <w:t>A 500 m de la estación del Tren</w:t>
            </w:r>
          </w:p>
          <w:p>
            <w:pPr>
              <w:pStyle w:val="TableParagraph"/>
              <w:spacing w:before="0"/>
              <w:ind w:left="187"/>
              <w:rPr>
                <w:sz w:val="17"/>
              </w:rPr>
            </w:pPr>
            <w:r>
              <w:rPr>
                <w:sz w:val="17"/>
              </w:rPr>
              <w:t>Fierro del Toro</w:t>
            </w:r>
          </w:p>
        </w:tc>
        <w:tc>
          <w:tcPr>
            <w:tcW w:w="1153" w:type="dxa"/>
            <w:tcBorders>
              <w:bottom w:val="single" w:sz="6" w:space="0" w:color="000000"/>
            </w:tcBorders>
          </w:tcPr>
          <w:p>
            <w:pPr>
              <w:pStyle w:val="TableParagraph"/>
              <w:spacing w:before="2"/>
              <w:rPr>
                <w:sz w:val="21"/>
              </w:rPr>
            </w:pPr>
          </w:p>
          <w:p>
            <w:pPr>
              <w:pStyle w:val="TableParagraph"/>
              <w:spacing w:before="0"/>
              <w:ind w:right="278"/>
              <w:jc w:val="right"/>
              <w:rPr>
                <w:sz w:val="17"/>
              </w:rPr>
            </w:pPr>
            <w:r>
              <w:rPr>
                <w:sz w:val="17"/>
              </w:rPr>
              <w:t>Tlalpan</w:t>
            </w:r>
          </w:p>
        </w:tc>
        <w:tc>
          <w:tcPr>
            <w:tcW w:w="2032" w:type="dxa"/>
            <w:tcBorders>
              <w:bottom w:val="single" w:sz="6" w:space="0" w:color="000000"/>
            </w:tcBorders>
          </w:tcPr>
          <w:p>
            <w:pPr>
              <w:pStyle w:val="TableParagraph"/>
              <w:spacing w:before="2"/>
              <w:rPr>
                <w:sz w:val="21"/>
              </w:rPr>
            </w:pPr>
          </w:p>
          <w:p>
            <w:pPr>
              <w:pStyle w:val="TableParagraph"/>
              <w:spacing w:before="0"/>
              <w:ind w:left="728" w:right="728"/>
              <w:jc w:val="center"/>
              <w:rPr>
                <w:sz w:val="17"/>
              </w:rPr>
            </w:pPr>
            <w:r>
              <w:rPr>
                <w:sz w:val="17"/>
              </w:rPr>
              <w:t>3038</w:t>
            </w:r>
          </w:p>
        </w:tc>
      </w:tr>
      <w:tr>
        <w:trPr>
          <w:trHeight w:val="317" w:hRule="exact"/>
        </w:trPr>
        <w:tc>
          <w:tcPr>
            <w:tcW w:w="2824" w:type="dxa"/>
            <w:gridSpan w:val="3"/>
            <w:tcBorders>
              <w:top w:val="single" w:sz="6" w:space="0" w:color="000000"/>
            </w:tcBorders>
          </w:tcPr>
          <w:p>
            <w:pPr>
              <w:pStyle w:val="TableParagraph"/>
              <w:spacing w:before="42"/>
              <w:ind w:left="490"/>
              <w:rPr>
                <w:b/>
                <w:sz w:val="17"/>
              </w:rPr>
            </w:pPr>
            <w:r>
              <w:rPr>
                <w:b/>
                <w:sz w:val="17"/>
              </w:rPr>
              <w:t>Ángulo de la pendiente</w:t>
            </w:r>
          </w:p>
        </w:tc>
        <w:tc>
          <w:tcPr>
            <w:tcW w:w="2709" w:type="dxa"/>
            <w:gridSpan w:val="2"/>
            <w:tcBorders>
              <w:top w:val="single" w:sz="6" w:space="0" w:color="000000"/>
            </w:tcBorders>
          </w:tcPr>
          <w:p>
            <w:pPr>
              <w:pStyle w:val="TableParagraph"/>
              <w:spacing w:before="42"/>
              <w:ind w:left="446"/>
              <w:rPr>
                <w:b/>
                <w:sz w:val="17"/>
              </w:rPr>
            </w:pPr>
            <w:r>
              <w:rPr>
                <w:b/>
                <w:sz w:val="17"/>
              </w:rPr>
              <w:t>Forma de la pendiente</w:t>
            </w:r>
          </w:p>
        </w:tc>
        <w:tc>
          <w:tcPr>
            <w:tcW w:w="3184" w:type="dxa"/>
            <w:gridSpan w:val="2"/>
            <w:tcBorders>
              <w:top w:val="single" w:sz="6" w:space="0" w:color="000000"/>
            </w:tcBorders>
          </w:tcPr>
          <w:p>
            <w:pPr>
              <w:pStyle w:val="TableParagraph"/>
              <w:spacing w:before="42"/>
              <w:ind w:left="1066" w:right="1070"/>
              <w:jc w:val="center"/>
              <w:rPr>
                <w:b/>
                <w:sz w:val="17"/>
              </w:rPr>
            </w:pPr>
            <w:r>
              <w:rPr>
                <w:b/>
                <w:sz w:val="17"/>
              </w:rPr>
              <w:t>Microrelieve</w:t>
            </w:r>
          </w:p>
        </w:tc>
      </w:tr>
      <w:tr>
        <w:trPr>
          <w:trHeight w:val="288" w:hRule="exact"/>
        </w:trPr>
        <w:tc>
          <w:tcPr>
            <w:tcW w:w="2824" w:type="dxa"/>
            <w:gridSpan w:val="3"/>
          </w:tcPr>
          <w:p>
            <w:pPr>
              <w:pStyle w:val="TableParagraph"/>
              <w:spacing w:before="28"/>
              <w:ind w:left="1040" w:right="1058"/>
              <w:jc w:val="center"/>
              <w:rPr>
                <w:sz w:val="17"/>
              </w:rPr>
            </w:pPr>
            <w:r>
              <w:rPr>
                <w:sz w:val="17"/>
              </w:rPr>
              <w:t>Plano</w:t>
            </w:r>
          </w:p>
        </w:tc>
        <w:tc>
          <w:tcPr>
            <w:tcW w:w="2709" w:type="dxa"/>
            <w:gridSpan w:val="2"/>
          </w:tcPr>
          <w:p>
            <w:pPr>
              <w:pStyle w:val="TableParagraph"/>
              <w:spacing w:before="28"/>
              <w:ind w:left="1101" w:right="1118"/>
              <w:jc w:val="center"/>
              <w:rPr>
                <w:sz w:val="17"/>
              </w:rPr>
            </w:pPr>
            <w:r>
              <w:rPr>
                <w:sz w:val="17"/>
              </w:rPr>
              <w:t>Plano</w:t>
            </w:r>
          </w:p>
        </w:tc>
        <w:tc>
          <w:tcPr>
            <w:tcW w:w="3184" w:type="dxa"/>
            <w:gridSpan w:val="2"/>
          </w:tcPr>
          <w:p>
            <w:pPr>
              <w:pStyle w:val="TableParagraph"/>
              <w:spacing w:before="28"/>
              <w:ind w:left="1066" w:right="1070"/>
              <w:jc w:val="center"/>
              <w:rPr>
                <w:sz w:val="17"/>
              </w:rPr>
            </w:pPr>
            <w:r>
              <w:rPr>
                <w:sz w:val="17"/>
              </w:rPr>
              <w:t>Ondulado</w:t>
            </w:r>
          </w:p>
        </w:tc>
      </w:tr>
      <w:tr>
        <w:trPr>
          <w:trHeight w:val="288" w:hRule="exact"/>
        </w:trPr>
        <w:tc>
          <w:tcPr>
            <w:tcW w:w="2824" w:type="dxa"/>
            <w:gridSpan w:val="3"/>
          </w:tcPr>
          <w:p>
            <w:pPr>
              <w:pStyle w:val="TableParagraph"/>
              <w:spacing w:before="28"/>
              <w:ind w:left="288"/>
              <w:rPr>
                <w:b/>
                <w:sz w:val="17"/>
              </w:rPr>
            </w:pPr>
            <w:r>
              <w:rPr>
                <w:b/>
                <w:sz w:val="17"/>
              </w:rPr>
              <w:t>Drenaje superficial del sitio</w:t>
            </w:r>
          </w:p>
        </w:tc>
        <w:tc>
          <w:tcPr>
            <w:tcW w:w="2709" w:type="dxa"/>
            <w:gridSpan w:val="2"/>
          </w:tcPr>
          <w:p>
            <w:pPr>
              <w:pStyle w:val="TableParagraph"/>
              <w:spacing w:before="28"/>
              <w:ind w:left="648"/>
              <w:rPr>
                <w:b/>
                <w:sz w:val="17"/>
              </w:rPr>
            </w:pPr>
            <w:r>
              <w:rPr>
                <w:b/>
                <w:sz w:val="17"/>
              </w:rPr>
              <w:t>Material parental</w:t>
            </w:r>
          </w:p>
        </w:tc>
        <w:tc>
          <w:tcPr>
            <w:tcW w:w="1153" w:type="dxa"/>
          </w:tcPr>
          <w:p>
            <w:pPr>
              <w:pStyle w:val="TableParagraph"/>
              <w:spacing w:before="42"/>
              <w:ind w:left="360"/>
              <w:rPr>
                <w:b/>
                <w:sz w:val="17"/>
              </w:rPr>
            </w:pPr>
            <w:r>
              <w:rPr>
                <w:b/>
                <w:sz w:val="17"/>
              </w:rPr>
              <w:t>Color</w:t>
            </w:r>
          </w:p>
        </w:tc>
        <w:tc>
          <w:tcPr>
            <w:tcW w:w="2032" w:type="dxa"/>
          </w:tcPr>
          <w:p>
            <w:pPr>
              <w:pStyle w:val="TableParagraph"/>
              <w:spacing w:before="42"/>
              <w:ind w:left="187"/>
              <w:rPr>
                <w:b/>
                <w:sz w:val="17"/>
              </w:rPr>
            </w:pPr>
            <w:r>
              <w:rPr>
                <w:b/>
                <w:sz w:val="17"/>
              </w:rPr>
              <w:t>Color intemperizado</w:t>
            </w:r>
          </w:p>
        </w:tc>
      </w:tr>
      <w:tr>
        <w:trPr>
          <w:trHeight w:val="288" w:hRule="exact"/>
        </w:trPr>
        <w:tc>
          <w:tcPr>
            <w:tcW w:w="2824" w:type="dxa"/>
            <w:gridSpan w:val="3"/>
            <w:tcBorders>
              <w:bottom w:val="single" w:sz="6" w:space="0" w:color="000000"/>
            </w:tcBorders>
          </w:tcPr>
          <w:p>
            <w:pPr>
              <w:pStyle w:val="TableParagraph"/>
              <w:spacing w:before="28"/>
              <w:ind w:left="1050" w:right="1058"/>
              <w:jc w:val="center"/>
              <w:rPr>
                <w:sz w:val="17"/>
              </w:rPr>
            </w:pPr>
            <w:r>
              <w:rPr>
                <w:sz w:val="17"/>
              </w:rPr>
              <w:t>Donador</w:t>
            </w:r>
          </w:p>
        </w:tc>
        <w:tc>
          <w:tcPr>
            <w:tcW w:w="2709" w:type="dxa"/>
            <w:gridSpan w:val="2"/>
            <w:tcBorders>
              <w:bottom w:val="single" w:sz="6" w:space="0" w:color="000000"/>
            </w:tcBorders>
          </w:tcPr>
          <w:p>
            <w:pPr>
              <w:pStyle w:val="TableParagraph"/>
              <w:spacing w:before="28"/>
              <w:ind w:left="28"/>
              <w:rPr>
                <w:sz w:val="17"/>
              </w:rPr>
            </w:pPr>
            <w:r>
              <w:rPr>
                <w:sz w:val="17"/>
              </w:rPr>
              <w:t>Rocas ígneas  extrusivas básicas</w:t>
            </w:r>
          </w:p>
        </w:tc>
        <w:tc>
          <w:tcPr>
            <w:tcW w:w="1153" w:type="dxa"/>
            <w:tcBorders>
              <w:bottom w:val="single" w:sz="6" w:space="0" w:color="000000"/>
            </w:tcBorders>
          </w:tcPr>
          <w:p>
            <w:pPr>
              <w:pStyle w:val="TableParagraph"/>
              <w:spacing w:before="42"/>
              <w:ind w:right="320"/>
              <w:jc w:val="right"/>
              <w:rPr>
                <w:sz w:val="17"/>
              </w:rPr>
            </w:pPr>
            <w:r>
              <w:rPr>
                <w:sz w:val="17"/>
              </w:rPr>
              <w:t>Negro</w:t>
            </w:r>
          </w:p>
        </w:tc>
        <w:tc>
          <w:tcPr>
            <w:tcW w:w="2032" w:type="dxa"/>
            <w:tcBorders>
              <w:bottom w:val="single" w:sz="6" w:space="0" w:color="000000"/>
            </w:tcBorders>
          </w:tcPr>
          <w:p>
            <w:pPr>
              <w:pStyle w:val="TableParagraph"/>
              <w:spacing w:before="42"/>
              <w:ind w:left="725" w:right="728"/>
              <w:jc w:val="center"/>
              <w:rPr>
                <w:sz w:val="17"/>
              </w:rPr>
            </w:pPr>
            <w:r>
              <w:rPr>
                <w:sz w:val="17"/>
              </w:rPr>
              <w:t>Negro</w:t>
            </w:r>
          </w:p>
        </w:tc>
      </w:tr>
      <w:tr>
        <w:trPr>
          <w:trHeight w:val="288" w:hRule="exact"/>
        </w:trPr>
        <w:tc>
          <w:tcPr>
            <w:tcW w:w="1138" w:type="dxa"/>
            <w:tcBorders>
              <w:top w:val="single" w:sz="6" w:space="0" w:color="000000"/>
            </w:tcBorders>
          </w:tcPr>
          <w:p>
            <w:pPr>
              <w:pStyle w:val="TableParagraph"/>
              <w:spacing w:before="42"/>
              <w:ind w:left="114" w:right="117"/>
              <w:jc w:val="center"/>
              <w:rPr>
                <w:b/>
                <w:sz w:val="17"/>
              </w:rPr>
            </w:pPr>
            <w:r>
              <w:rPr>
                <w:b/>
                <w:sz w:val="17"/>
              </w:rPr>
              <w:t>Textura</w:t>
            </w:r>
          </w:p>
        </w:tc>
        <w:tc>
          <w:tcPr>
            <w:tcW w:w="2853" w:type="dxa"/>
            <w:gridSpan w:val="3"/>
            <w:tcBorders>
              <w:top w:val="single" w:sz="6" w:space="0" w:color="000000"/>
            </w:tcBorders>
          </w:tcPr>
          <w:p>
            <w:pPr>
              <w:pStyle w:val="TableParagraph"/>
              <w:spacing w:before="27"/>
              <w:ind w:left="490"/>
              <w:rPr>
                <w:b/>
                <w:sz w:val="17"/>
              </w:rPr>
            </w:pPr>
            <w:r>
              <w:rPr>
                <w:b/>
                <w:sz w:val="17"/>
              </w:rPr>
              <w:t>Minerales observables</w:t>
            </w:r>
          </w:p>
        </w:tc>
        <w:tc>
          <w:tcPr>
            <w:tcW w:w="2694" w:type="dxa"/>
            <w:gridSpan w:val="2"/>
            <w:tcBorders>
              <w:top w:val="single" w:sz="6" w:space="0" w:color="000000"/>
            </w:tcBorders>
          </w:tcPr>
          <w:p>
            <w:pPr>
              <w:pStyle w:val="TableParagraph"/>
              <w:spacing w:before="27"/>
              <w:ind w:left="605"/>
              <w:rPr>
                <w:b/>
                <w:sz w:val="17"/>
              </w:rPr>
            </w:pPr>
            <w:r>
              <w:rPr>
                <w:b/>
                <w:sz w:val="17"/>
              </w:rPr>
              <w:t>Vegetación nativa</w:t>
            </w:r>
          </w:p>
        </w:tc>
        <w:tc>
          <w:tcPr>
            <w:tcW w:w="2032" w:type="dxa"/>
            <w:tcBorders>
              <w:top w:val="single" w:sz="6" w:space="0" w:color="000000"/>
            </w:tcBorders>
          </w:tcPr>
          <w:p>
            <w:pPr>
              <w:pStyle w:val="TableParagraph"/>
              <w:spacing w:before="42"/>
              <w:ind w:left="129"/>
              <w:rPr>
                <w:b/>
                <w:sz w:val="17"/>
              </w:rPr>
            </w:pPr>
            <w:r>
              <w:rPr>
                <w:b/>
                <w:sz w:val="17"/>
              </w:rPr>
              <w:t>Especies dominantes</w:t>
            </w:r>
          </w:p>
        </w:tc>
      </w:tr>
      <w:tr>
        <w:trPr>
          <w:trHeight w:val="461" w:hRule="exact"/>
        </w:trPr>
        <w:tc>
          <w:tcPr>
            <w:tcW w:w="1138" w:type="dxa"/>
          </w:tcPr>
          <w:p>
            <w:pPr>
              <w:pStyle w:val="TableParagraph"/>
              <w:spacing w:before="128"/>
              <w:ind w:left="114" w:right="117"/>
              <w:jc w:val="center"/>
              <w:rPr>
                <w:sz w:val="17"/>
              </w:rPr>
            </w:pPr>
            <w:r>
              <w:rPr>
                <w:sz w:val="17"/>
              </w:rPr>
              <w:t>Afanítica</w:t>
            </w:r>
          </w:p>
        </w:tc>
        <w:tc>
          <w:tcPr>
            <w:tcW w:w="2853" w:type="dxa"/>
            <w:gridSpan w:val="3"/>
          </w:tcPr>
          <w:p>
            <w:pPr>
              <w:pStyle w:val="TableParagraph"/>
              <w:spacing w:before="114"/>
              <w:ind w:left="1014" w:right="1018"/>
              <w:jc w:val="center"/>
              <w:rPr>
                <w:sz w:val="17"/>
              </w:rPr>
            </w:pPr>
            <w:r>
              <w:rPr>
                <w:sz w:val="17"/>
              </w:rPr>
              <w:t>No se ven</w:t>
            </w:r>
          </w:p>
        </w:tc>
        <w:tc>
          <w:tcPr>
            <w:tcW w:w="2694" w:type="dxa"/>
            <w:gridSpan w:val="2"/>
          </w:tcPr>
          <w:p>
            <w:pPr>
              <w:pStyle w:val="TableParagraph"/>
              <w:spacing w:line="283" w:lineRule="auto" w:before="13"/>
              <w:ind w:left="1066" w:hanging="807"/>
              <w:rPr>
                <w:sz w:val="17"/>
              </w:rPr>
            </w:pPr>
            <w:r>
              <w:rPr>
                <w:sz w:val="17"/>
              </w:rPr>
              <w:t>Madroños y pinos, cardos y pastos</w:t>
            </w:r>
          </w:p>
        </w:tc>
        <w:tc>
          <w:tcPr>
            <w:tcW w:w="2032" w:type="dxa"/>
          </w:tcPr>
          <w:p>
            <w:pPr>
              <w:pStyle w:val="TableParagraph"/>
              <w:spacing w:before="128"/>
              <w:ind w:left="728" w:right="728"/>
              <w:jc w:val="center"/>
              <w:rPr>
                <w:sz w:val="17"/>
              </w:rPr>
            </w:pPr>
            <w:r>
              <w:rPr>
                <w:sz w:val="17"/>
              </w:rPr>
              <w:t>Pastos</w:t>
            </w:r>
          </w:p>
        </w:tc>
      </w:tr>
      <w:tr>
        <w:trPr>
          <w:trHeight w:val="288" w:hRule="exact"/>
        </w:trPr>
        <w:tc>
          <w:tcPr>
            <w:tcW w:w="2824" w:type="dxa"/>
            <w:gridSpan w:val="3"/>
          </w:tcPr>
          <w:p>
            <w:pPr>
              <w:pStyle w:val="TableParagraph"/>
              <w:spacing w:before="28"/>
              <w:ind w:left="1050" w:right="1058"/>
              <w:jc w:val="center"/>
              <w:rPr>
                <w:b/>
                <w:sz w:val="17"/>
              </w:rPr>
            </w:pPr>
            <w:r>
              <w:rPr>
                <w:b/>
                <w:sz w:val="17"/>
              </w:rPr>
              <w:t>Función</w:t>
            </w:r>
          </w:p>
        </w:tc>
        <w:tc>
          <w:tcPr>
            <w:tcW w:w="5893" w:type="dxa"/>
            <w:gridSpan w:val="4"/>
          </w:tcPr>
          <w:p>
            <w:pPr>
              <w:pStyle w:val="TableParagraph"/>
              <w:spacing w:before="28"/>
              <w:ind w:left="2070" w:right="2076"/>
              <w:jc w:val="center"/>
              <w:rPr>
                <w:b/>
                <w:sz w:val="17"/>
              </w:rPr>
            </w:pPr>
            <w:r>
              <w:rPr>
                <w:b/>
                <w:sz w:val="17"/>
              </w:rPr>
              <w:t>Vegetación cultivada</w:t>
            </w:r>
          </w:p>
        </w:tc>
      </w:tr>
      <w:tr>
        <w:trPr>
          <w:trHeight w:val="288" w:hRule="exact"/>
        </w:trPr>
        <w:tc>
          <w:tcPr>
            <w:tcW w:w="2824" w:type="dxa"/>
            <w:gridSpan w:val="3"/>
          </w:tcPr>
          <w:p>
            <w:pPr>
              <w:pStyle w:val="TableParagraph"/>
              <w:spacing w:before="28"/>
              <w:ind w:left="821"/>
              <w:rPr>
                <w:sz w:val="17"/>
              </w:rPr>
            </w:pPr>
            <w:r>
              <w:rPr>
                <w:sz w:val="17"/>
              </w:rPr>
              <w:t>Siempre verde</w:t>
            </w:r>
          </w:p>
        </w:tc>
        <w:tc>
          <w:tcPr>
            <w:tcW w:w="5893" w:type="dxa"/>
            <w:gridSpan w:val="4"/>
          </w:tcPr>
          <w:p>
            <w:pPr>
              <w:pStyle w:val="TableParagraph"/>
              <w:spacing w:before="28"/>
              <w:ind w:left="2070" w:right="2075"/>
              <w:jc w:val="center"/>
              <w:rPr>
                <w:sz w:val="17"/>
              </w:rPr>
            </w:pPr>
            <w:r>
              <w:rPr>
                <w:sz w:val="17"/>
              </w:rPr>
              <w:t>No se perciben</w:t>
            </w:r>
          </w:p>
        </w:tc>
      </w:tr>
      <w:tr>
        <w:trPr>
          <w:trHeight w:val="288" w:hRule="exact"/>
        </w:trPr>
        <w:tc>
          <w:tcPr>
            <w:tcW w:w="3991" w:type="dxa"/>
            <w:gridSpan w:val="4"/>
          </w:tcPr>
          <w:p>
            <w:pPr>
              <w:pStyle w:val="TableParagraph"/>
              <w:spacing w:before="28"/>
              <w:ind w:left="835"/>
              <w:rPr>
                <w:b/>
                <w:sz w:val="17"/>
              </w:rPr>
            </w:pPr>
            <w:r>
              <w:rPr>
                <w:b/>
                <w:sz w:val="17"/>
              </w:rPr>
              <w:t>Prácticas agrícolas visibles:</w:t>
            </w:r>
          </w:p>
        </w:tc>
        <w:tc>
          <w:tcPr>
            <w:tcW w:w="4726" w:type="dxa"/>
            <w:gridSpan w:val="3"/>
          </w:tcPr>
          <w:p>
            <w:pPr>
              <w:pStyle w:val="TableParagraph"/>
              <w:spacing w:before="28"/>
              <w:ind w:left="1527"/>
              <w:rPr>
                <w:b/>
                <w:sz w:val="17"/>
              </w:rPr>
            </w:pPr>
            <w:r>
              <w:rPr>
                <w:b/>
                <w:sz w:val="17"/>
              </w:rPr>
              <w:t>Superficie del suelo:</w:t>
            </w:r>
          </w:p>
        </w:tc>
      </w:tr>
      <w:tr>
        <w:trPr>
          <w:trHeight w:val="331" w:hRule="exact"/>
        </w:trPr>
        <w:tc>
          <w:tcPr>
            <w:tcW w:w="3991" w:type="dxa"/>
            <w:gridSpan w:val="4"/>
          </w:tcPr>
          <w:p>
            <w:pPr>
              <w:pStyle w:val="TableParagraph"/>
              <w:spacing w:before="56"/>
              <w:ind w:left="1859" w:right="1859"/>
              <w:jc w:val="center"/>
              <w:rPr>
                <w:sz w:val="17"/>
              </w:rPr>
            </w:pPr>
            <w:r>
              <w:rPr>
                <w:sz w:val="17"/>
              </w:rPr>
              <w:t>No</w:t>
            </w:r>
          </w:p>
        </w:tc>
        <w:tc>
          <w:tcPr>
            <w:tcW w:w="4726" w:type="dxa"/>
            <w:gridSpan w:val="3"/>
          </w:tcPr>
          <w:p>
            <w:pPr>
              <w:pStyle w:val="TableParagraph"/>
              <w:spacing w:before="56"/>
              <w:ind w:left="1498"/>
              <w:rPr>
                <w:sz w:val="17"/>
              </w:rPr>
            </w:pPr>
            <w:r>
              <w:rPr>
                <w:sz w:val="17"/>
              </w:rPr>
              <w:t>Presencia de piedras</w:t>
            </w:r>
          </w:p>
        </w:tc>
      </w:tr>
      <w:tr>
        <w:trPr>
          <w:trHeight w:val="375" w:hRule="exact"/>
        </w:trPr>
        <w:tc>
          <w:tcPr>
            <w:tcW w:w="2824" w:type="dxa"/>
            <w:gridSpan w:val="3"/>
          </w:tcPr>
          <w:p>
            <w:pPr>
              <w:pStyle w:val="TableParagraph"/>
              <w:spacing w:before="71"/>
              <w:ind w:left="129"/>
              <w:rPr>
                <w:b/>
                <w:sz w:val="17"/>
              </w:rPr>
            </w:pPr>
            <w:r>
              <w:rPr>
                <w:b/>
                <w:sz w:val="17"/>
              </w:rPr>
              <w:t>Material combustible presente:</w:t>
            </w:r>
          </w:p>
        </w:tc>
        <w:tc>
          <w:tcPr>
            <w:tcW w:w="3861" w:type="dxa"/>
            <w:gridSpan w:val="3"/>
            <w:tcBorders>
              <w:right w:val="single" w:sz="6" w:space="0" w:color="DADCDD"/>
            </w:tcBorders>
          </w:tcPr>
          <w:p>
            <w:pPr>
              <w:pStyle w:val="TableParagraph"/>
              <w:spacing w:before="86"/>
              <w:ind w:left="28"/>
              <w:rPr>
                <w:sz w:val="17"/>
              </w:rPr>
            </w:pPr>
            <w:r>
              <w:rPr>
                <w:sz w:val="17"/>
              </w:rPr>
              <w:t>Ascículas, conos, ramas, pasto seco</w:t>
            </w:r>
          </w:p>
        </w:tc>
        <w:tc>
          <w:tcPr>
            <w:tcW w:w="2032" w:type="dxa"/>
            <w:tcBorders>
              <w:left w:val="single" w:sz="6" w:space="0" w:color="DADCDD"/>
            </w:tcBorders>
          </w:tcPr>
          <w:p>
            <w:pPr/>
          </w:p>
        </w:tc>
      </w:tr>
      <w:tr>
        <w:trPr>
          <w:trHeight w:val="288" w:hRule="exact"/>
        </w:trPr>
        <w:tc>
          <w:tcPr>
            <w:tcW w:w="3991" w:type="dxa"/>
            <w:gridSpan w:val="4"/>
          </w:tcPr>
          <w:p>
            <w:pPr>
              <w:pStyle w:val="TableParagraph"/>
              <w:spacing w:before="28"/>
              <w:ind w:left="1052"/>
              <w:rPr>
                <w:b/>
                <w:sz w:val="17"/>
              </w:rPr>
            </w:pPr>
            <w:r>
              <w:rPr>
                <w:b/>
                <w:sz w:val="17"/>
              </w:rPr>
              <w:t>Evidencia  de incendios</w:t>
            </w:r>
          </w:p>
        </w:tc>
        <w:tc>
          <w:tcPr>
            <w:tcW w:w="4726" w:type="dxa"/>
            <w:gridSpan w:val="3"/>
          </w:tcPr>
          <w:p>
            <w:pPr>
              <w:pStyle w:val="TableParagraph"/>
              <w:spacing w:before="28"/>
              <w:ind w:left="1613" w:right="1602"/>
              <w:jc w:val="center"/>
              <w:rPr>
                <w:b/>
                <w:sz w:val="17"/>
              </w:rPr>
            </w:pPr>
            <w:r>
              <w:rPr>
                <w:b/>
                <w:sz w:val="17"/>
              </w:rPr>
              <w:t>Plagas forestales:</w:t>
            </w:r>
          </w:p>
        </w:tc>
      </w:tr>
      <w:tr>
        <w:trPr>
          <w:trHeight w:val="288" w:hRule="exact"/>
        </w:trPr>
        <w:tc>
          <w:tcPr>
            <w:tcW w:w="3991" w:type="dxa"/>
            <w:gridSpan w:val="4"/>
          </w:tcPr>
          <w:p>
            <w:pPr>
              <w:pStyle w:val="TableParagraph"/>
              <w:spacing w:before="28"/>
              <w:ind w:left="1843" w:right="1859"/>
              <w:jc w:val="center"/>
              <w:rPr>
                <w:sz w:val="17"/>
              </w:rPr>
            </w:pPr>
            <w:r>
              <w:rPr>
                <w:sz w:val="17"/>
              </w:rPr>
              <w:t>Si</w:t>
            </w:r>
          </w:p>
        </w:tc>
        <w:tc>
          <w:tcPr>
            <w:tcW w:w="4726" w:type="dxa"/>
            <w:gridSpan w:val="3"/>
          </w:tcPr>
          <w:p>
            <w:pPr>
              <w:pStyle w:val="TableParagraph"/>
              <w:spacing w:before="28"/>
              <w:ind w:left="1590" w:right="1602"/>
              <w:jc w:val="center"/>
              <w:rPr>
                <w:sz w:val="17"/>
              </w:rPr>
            </w:pPr>
            <w:r>
              <w:rPr>
                <w:sz w:val="17"/>
              </w:rPr>
              <w:t>No</w:t>
            </w:r>
          </w:p>
        </w:tc>
      </w:tr>
      <w:tr>
        <w:trPr>
          <w:trHeight w:val="649" w:hRule="exact"/>
        </w:trPr>
        <w:tc>
          <w:tcPr>
            <w:tcW w:w="1657" w:type="dxa"/>
            <w:gridSpan w:val="2"/>
            <w:tcBorders>
              <w:bottom w:val="single" w:sz="6" w:space="0" w:color="000000"/>
            </w:tcBorders>
          </w:tcPr>
          <w:p>
            <w:pPr>
              <w:pStyle w:val="TableParagraph"/>
              <w:spacing w:before="8"/>
              <w:rPr>
                <w:sz w:val="18"/>
              </w:rPr>
            </w:pPr>
          </w:p>
          <w:p>
            <w:pPr>
              <w:pStyle w:val="TableParagraph"/>
              <w:spacing w:before="0"/>
              <w:ind w:left="173"/>
              <w:rPr>
                <w:b/>
                <w:sz w:val="17"/>
              </w:rPr>
            </w:pPr>
            <w:r>
              <w:rPr>
                <w:b/>
                <w:sz w:val="17"/>
              </w:rPr>
              <w:t>Observaciones:</w:t>
            </w:r>
          </w:p>
        </w:tc>
        <w:tc>
          <w:tcPr>
            <w:tcW w:w="7060" w:type="dxa"/>
            <w:gridSpan w:val="5"/>
            <w:tcBorders>
              <w:bottom w:val="single" w:sz="6" w:space="0" w:color="000000"/>
            </w:tcBorders>
          </w:tcPr>
          <w:p>
            <w:pPr>
              <w:pStyle w:val="TableParagraph"/>
              <w:spacing w:line="283" w:lineRule="auto" w:before="100"/>
              <w:ind w:left="28"/>
              <w:rPr>
                <w:sz w:val="17"/>
              </w:rPr>
            </w:pPr>
            <w:r>
              <w:rPr>
                <w:sz w:val="17"/>
              </w:rPr>
              <w:t>Evidencia de pastoreo. El sitio está a un costado de la ciclovía y de la estación Fierro del Toro. Hay renuevos. Se observan presas como obras de conservación de suelo   y agua.</w:t>
            </w:r>
          </w:p>
        </w:tc>
      </w:tr>
    </w:tbl>
    <w:p>
      <w:pPr>
        <w:pStyle w:val="BodyText"/>
      </w:pPr>
    </w:p>
    <w:p>
      <w:pPr>
        <w:pStyle w:val="BodyText"/>
        <w:spacing w:before="6"/>
        <w:rPr>
          <w:sz w:val="20"/>
        </w:rPr>
      </w:pPr>
    </w:p>
    <w:p>
      <w:pPr>
        <w:pStyle w:val="BodyText"/>
        <w:ind w:left="102"/>
      </w:pPr>
      <w:r>
        <w:rPr/>
        <w:drawing>
          <wp:anchor distT="0" distB="0" distL="0" distR="0" allowOverlap="1" layoutInCell="1" locked="0" behindDoc="0" simplePos="0" relativeHeight="3784">
            <wp:simplePos x="0" y="0"/>
            <wp:positionH relativeFrom="page">
              <wp:posOffset>1260475</wp:posOffset>
            </wp:positionH>
            <wp:positionV relativeFrom="paragraph">
              <wp:posOffset>253566</wp:posOffset>
            </wp:positionV>
            <wp:extent cx="1611453" cy="926211"/>
            <wp:effectExtent l="0" t="0" r="0" b="0"/>
            <wp:wrapTopAndBottom/>
            <wp:docPr id="81" name="image61.jpeg" descr=""/>
            <wp:cNvGraphicFramePr>
              <a:graphicFrameLocks noChangeAspect="1"/>
            </wp:cNvGraphicFramePr>
            <a:graphic>
              <a:graphicData uri="http://schemas.openxmlformats.org/drawingml/2006/picture">
                <pic:pic>
                  <pic:nvPicPr>
                    <pic:cNvPr id="82" name="image61.jpeg"/>
                    <pic:cNvPicPr/>
                  </pic:nvPicPr>
                  <pic:blipFill>
                    <a:blip r:embed="rId108" cstate="print"/>
                    <a:stretch>
                      <a:fillRect/>
                    </a:stretch>
                  </pic:blipFill>
                  <pic:spPr>
                    <a:xfrm>
                      <a:off x="0" y="0"/>
                      <a:ext cx="1611453" cy="926211"/>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3084195</wp:posOffset>
            </wp:positionH>
            <wp:positionV relativeFrom="paragraph">
              <wp:posOffset>253566</wp:posOffset>
            </wp:positionV>
            <wp:extent cx="1616723" cy="909447"/>
            <wp:effectExtent l="0" t="0" r="0" b="0"/>
            <wp:wrapTopAndBottom/>
            <wp:docPr id="83" name="image62.jpeg" descr=""/>
            <wp:cNvGraphicFramePr>
              <a:graphicFrameLocks noChangeAspect="1"/>
            </wp:cNvGraphicFramePr>
            <a:graphic>
              <a:graphicData uri="http://schemas.openxmlformats.org/drawingml/2006/picture">
                <pic:pic>
                  <pic:nvPicPr>
                    <pic:cNvPr id="84" name="image62.jpeg"/>
                    <pic:cNvPicPr/>
                  </pic:nvPicPr>
                  <pic:blipFill>
                    <a:blip r:embed="rId109"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4909820</wp:posOffset>
            </wp:positionH>
            <wp:positionV relativeFrom="paragraph">
              <wp:posOffset>253566</wp:posOffset>
            </wp:positionV>
            <wp:extent cx="1616723" cy="909447"/>
            <wp:effectExtent l="0" t="0" r="0" b="0"/>
            <wp:wrapTopAndBottom/>
            <wp:docPr id="85" name="image63.jpeg" descr=""/>
            <wp:cNvGraphicFramePr>
              <a:graphicFrameLocks noChangeAspect="1"/>
            </wp:cNvGraphicFramePr>
            <a:graphic>
              <a:graphicData uri="http://schemas.openxmlformats.org/drawingml/2006/picture">
                <pic:pic>
                  <pic:nvPicPr>
                    <pic:cNvPr id="86" name="image63.jpeg"/>
                    <pic:cNvPicPr/>
                  </pic:nvPicPr>
                  <pic:blipFill>
                    <a:blip r:embed="rId110" cstate="print"/>
                    <a:stretch>
                      <a:fillRect/>
                    </a:stretch>
                  </pic:blipFill>
                  <pic:spPr>
                    <a:xfrm>
                      <a:off x="0" y="0"/>
                      <a:ext cx="1616723" cy="909447"/>
                    </a:xfrm>
                    <a:prstGeom prst="rect">
                      <a:avLst/>
                    </a:prstGeom>
                  </pic:spPr>
                </pic:pic>
              </a:graphicData>
            </a:graphic>
          </wp:anchor>
        </w:drawing>
      </w:r>
      <w:r>
        <w:rPr/>
        <w:t>Imágenes del sitio 3.</w:t>
      </w:r>
    </w:p>
    <w:p>
      <w:pPr>
        <w:pStyle w:val="BodyText"/>
        <w:spacing w:before="10"/>
        <w:rPr>
          <w:sz w:val="6"/>
        </w:rPr>
      </w:pPr>
    </w:p>
    <w:p>
      <w:pPr>
        <w:tabs>
          <w:tab w:pos="3594" w:val="left" w:leader="none"/>
          <w:tab w:pos="6472" w:val="left" w:leader="none"/>
        </w:tabs>
        <w:spacing w:line="240" w:lineRule="auto"/>
        <w:ind w:left="722" w:right="0" w:firstLine="0"/>
        <w:rPr>
          <w:sz w:val="20"/>
        </w:rPr>
      </w:pPr>
      <w:r>
        <w:rPr>
          <w:sz w:val="20"/>
        </w:rPr>
        <w:drawing>
          <wp:inline distT="0" distB="0" distL="0" distR="0">
            <wp:extent cx="1156458" cy="1241012"/>
            <wp:effectExtent l="0" t="0" r="0" b="0"/>
            <wp:docPr id="87" name="image64.jpeg" descr=""/>
            <wp:cNvGraphicFramePr>
              <a:graphicFrameLocks noChangeAspect="1"/>
            </wp:cNvGraphicFramePr>
            <a:graphic>
              <a:graphicData uri="http://schemas.openxmlformats.org/drawingml/2006/picture">
                <pic:pic>
                  <pic:nvPicPr>
                    <pic:cNvPr id="88" name="image64.jpeg"/>
                    <pic:cNvPicPr/>
                  </pic:nvPicPr>
                  <pic:blipFill>
                    <a:blip r:embed="rId111" cstate="print"/>
                    <a:stretch>
                      <a:fillRect/>
                    </a:stretch>
                  </pic:blipFill>
                  <pic:spPr>
                    <a:xfrm>
                      <a:off x="0" y="0"/>
                      <a:ext cx="1156458" cy="1241012"/>
                    </a:xfrm>
                    <a:prstGeom prst="rect">
                      <a:avLst/>
                    </a:prstGeom>
                  </pic:spPr>
                </pic:pic>
              </a:graphicData>
            </a:graphic>
          </wp:inline>
        </w:drawing>
      </w:r>
      <w:r>
        <w:rPr>
          <w:sz w:val="20"/>
        </w:rPr>
      </w:r>
      <w:r>
        <w:rPr>
          <w:sz w:val="20"/>
        </w:rPr>
        <w:tab/>
      </w:r>
      <w:r>
        <w:rPr>
          <w:sz w:val="20"/>
        </w:rPr>
        <w:drawing>
          <wp:inline distT="0" distB="0" distL="0" distR="0">
            <wp:extent cx="1163448" cy="1241012"/>
            <wp:effectExtent l="0" t="0" r="0" b="0"/>
            <wp:docPr id="89" name="image65.jpeg" descr=""/>
            <wp:cNvGraphicFramePr>
              <a:graphicFrameLocks noChangeAspect="1"/>
            </wp:cNvGraphicFramePr>
            <a:graphic>
              <a:graphicData uri="http://schemas.openxmlformats.org/drawingml/2006/picture">
                <pic:pic>
                  <pic:nvPicPr>
                    <pic:cNvPr id="90" name="image65.jpeg"/>
                    <pic:cNvPicPr/>
                  </pic:nvPicPr>
                  <pic:blipFill>
                    <a:blip r:embed="rId112" cstate="print"/>
                    <a:stretch>
                      <a:fillRect/>
                    </a:stretch>
                  </pic:blipFill>
                  <pic:spPr>
                    <a:xfrm>
                      <a:off x="0" y="0"/>
                      <a:ext cx="1163448" cy="1241012"/>
                    </a:xfrm>
                    <a:prstGeom prst="rect">
                      <a:avLst/>
                    </a:prstGeom>
                  </pic:spPr>
                </pic:pic>
              </a:graphicData>
            </a:graphic>
          </wp:inline>
        </w:drawing>
      </w:r>
      <w:r>
        <w:rPr>
          <w:sz w:val="20"/>
        </w:rPr>
      </w:r>
      <w:r>
        <w:rPr>
          <w:sz w:val="20"/>
        </w:rPr>
        <w:tab/>
      </w:r>
      <w:r>
        <w:rPr>
          <w:sz w:val="20"/>
        </w:rPr>
        <w:drawing>
          <wp:inline distT="0" distB="0" distL="0" distR="0">
            <wp:extent cx="1149015" cy="1241012"/>
            <wp:effectExtent l="0" t="0" r="0" b="0"/>
            <wp:docPr id="91" name="image66.jpeg" descr=""/>
            <wp:cNvGraphicFramePr>
              <a:graphicFrameLocks noChangeAspect="1"/>
            </wp:cNvGraphicFramePr>
            <a:graphic>
              <a:graphicData uri="http://schemas.openxmlformats.org/drawingml/2006/picture">
                <pic:pic>
                  <pic:nvPicPr>
                    <pic:cNvPr id="92" name="image66.jpeg"/>
                    <pic:cNvPicPr/>
                  </pic:nvPicPr>
                  <pic:blipFill>
                    <a:blip r:embed="rId113" cstate="print"/>
                    <a:stretch>
                      <a:fillRect/>
                    </a:stretch>
                  </pic:blipFill>
                  <pic:spPr>
                    <a:xfrm>
                      <a:off x="0" y="0"/>
                      <a:ext cx="1149015" cy="1241012"/>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4.</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8"/>
        <w:gridCol w:w="519"/>
        <w:gridCol w:w="1167"/>
        <w:gridCol w:w="1167"/>
        <w:gridCol w:w="1542"/>
        <w:gridCol w:w="1153"/>
        <w:gridCol w:w="2032"/>
      </w:tblGrid>
      <w:tr>
        <w:trPr>
          <w:trHeight w:val="289" w:hRule="exact"/>
        </w:trPr>
        <w:tc>
          <w:tcPr>
            <w:tcW w:w="1138" w:type="dxa"/>
            <w:vMerge w:val="restart"/>
          </w:tcPr>
          <w:p>
            <w:pPr>
              <w:pStyle w:val="TableParagraph"/>
              <w:spacing w:before="11"/>
              <w:rPr>
                <w:sz w:val="14"/>
              </w:rPr>
            </w:pPr>
          </w:p>
          <w:p>
            <w:pPr>
              <w:pStyle w:val="TableParagraph"/>
              <w:spacing w:before="0"/>
              <w:ind w:left="316"/>
              <w:rPr>
                <w:b/>
                <w:sz w:val="17"/>
              </w:rPr>
            </w:pPr>
            <w:r>
              <w:rPr>
                <w:b/>
                <w:sz w:val="17"/>
              </w:rPr>
              <w:t>Fecha</w:t>
            </w:r>
          </w:p>
        </w:tc>
        <w:tc>
          <w:tcPr>
            <w:tcW w:w="519" w:type="dxa"/>
            <w:vMerge w:val="restart"/>
          </w:tcPr>
          <w:p>
            <w:pPr>
              <w:pStyle w:val="TableParagraph"/>
              <w:spacing w:before="11"/>
              <w:rPr>
                <w:sz w:val="14"/>
              </w:rPr>
            </w:pPr>
          </w:p>
          <w:p>
            <w:pPr>
              <w:pStyle w:val="TableParagraph"/>
              <w:spacing w:before="0"/>
              <w:ind w:left="71"/>
              <w:rPr>
                <w:b/>
                <w:sz w:val="17"/>
              </w:rPr>
            </w:pPr>
            <w:r>
              <w:rPr>
                <w:b/>
                <w:sz w:val="17"/>
              </w:rPr>
              <w:t>Sitio</w:t>
            </w:r>
          </w:p>
        </w:tc>
        <w:tc>
          <w:tcPr>
            <w:tcW w:w="2334" w:type="dxa"/>
            <w:gridSpan w:val="2"/>
          </w:tcPr>
          <w:p>
            <w:pPr>
              <w:pStyle w:val="TableParagraph"/>
              <w:spacing w:before="56"/>
              <w:ind w:left="403"/>
              <w:rPr>
                <w:b/>
                <w:sz w:val="17"/>
              </w:rPr>
            </w:pPr>
            <w:r>
              <w:rPr>
                <w:b/>
                <w:sz w:val="17"/>
              </w:rPr>
              <w:t>Coordenadas UTM</w:t>
            </w:r>
          </w:p>
        </w:tc>
        <w:tc>
          <w:tcPr>
            <w:tcW w:w="1542" w:type="dxa"/>
            <w:vMerge w:val="restart"/>
          </w:tcPr>
          <w:p>
            <w:pPr>
              <w:pStyle w:val="TableParagraph"/>
              <w:spacing w:before="11"/>
              <w:rPr>
                <w:sz w:val="14"/>
              </w:rPr>
            </w:pPr>
          </w:p>
          <w:p>
            <w:pPr>
              <w:pStyle w:val="TableParagraph"/>
              <w:spacing w:before="0"/>
              <w:ind w:left="360"/>
              <w:rPr>
                <w:b/>
                <w:sz w:val="17"/>
              </w:rPr>
            </w:pPr>
            <w:r>
              <w:rPr>
                <w:b/>
                <w:sz w:val="17"/>
              </w:rPr>
              <w:t>Localidad</w:t>
            </w:r>
          </w:p>
        </w:tc>
        <w:tc>
          <w:tcPr>
            <w:tcW w:w="1153" w:type="dxa"/>
            <w:vMerge w:val="restart"/>
          </w:tcPr>
          <w:p>
            <w:pPr>
              <w:pStyle w:val="TableParagraph"/>
              <w:spacing w:before="11"/>
              <w:rPr>
                <w:sz w:val="14"/>
              </w:rPr>
            </w:pPr>
          </w:p>
          <w:p>
            <w:pPr>
              <w:pStyle w:val="TableParagraph"/>
              <w:spacing w:before="0"/>
              <w:ind w:left="115"/>
              <w:rPr>
                <w:b/>
                <w:sz w:val="17"/>
              </w:rPr>
            </w:pPr>
            <w:r>
              <w:rPr>
                <w:b/>
                <w:sz w:val="17"/>
              </w:rPr>
              <w:t>Delegación</w:t>
            </w:r>
          </w:p>
        </w:tc>
        <w:tc>
          <w:tcPr>
            <w:tcW w:w="2032" w:type="dxa"/>
            <w:vMerge w:val="restart"/>
          </w:tcPr>
          <w:p>
            <w:pPr>
              <w:pStyle w:val="TableParagraph"/>
              <w:spacing w:before="11"/>
              <w:rPr>
                <w:sz w:val="14"/>
              </w:rPr>
            </w:pPr>
          </w:p>
          <w:p>
            <w:pPr>
              <w:pStyle w:val="TableParagraph"/>
              <w:spacing w:before="0"/>
              <w:ind w:left="331"/>
              <w:rPr>
                <w:b/>
                <w:sz w:val="17"/>
              </w:rPr>
            </w:pPr>
            <w:r>
              <w:rPr>
                <w:b/>
                <w:sz w:val="17"/>
              </w:rPr>
              <w:t>Elevación msnm</w:t>
            </w:r>
          </w:p>
        </w:tc>
      </w:tr>
      <w:tr>
        <w:trPr>
          <w:trHeight w:val="288" w:hRule="exact"/>
        </w:trPr>
        <w:tc>
          <w:tcPr>
            <w:tcW w:w="1138" w:type="dxa"/>
            <w:vMerge/>
          </w:tcPr>
          <w:p>
            <w:pPr/>
          </w:p>
        </w:tc>
        <w:tc>
          <w:tcPr>
            <w:tcW w:w="519" w:type="dxa"/>
            <w:vMerge/>
          </w:tcPr>
          <w:p>
            <w:pPr/>
          </w:p>
        </w:tc>
        <w:tc>
          <w:tcPr>
            <w:tcW w:w="1167" w:type="dxa"/>
          </w:tcPr>
          <w:p>
            <w:pPr>
              <w:pStyle w:val="TableParagraph"/>
              <w:spacing w:before="42"/>
              <w:ind w:left="104" w:right="107"/>
              <w:jc w:val="center"/>
              <w:rPr>
                <w:b/>
                <w:sz w:val="17"/>
              </w:rPr>
            </w:pPr>
            <w:r>
              <w:rPr>
                <w:b/>
                <w:sz w:val="17"/>
              </w:rPr>
              <w:t>Oeste</w:t>
            </w:r>
          </w:p>
        </w:tc>
        <w:tc>
          <w:tcPr>
            <w:tcW w:w="1167" w:type="dxa"/>
          </w:tcPr>
          <w:p>
            <w:pPr>
              <w:pStyle w:val="TableParagraph"/>
              <w:spacing w:before="42"/>
              <w:ind w:left="106" w:right="98"/>
              <w:jc w:val="center"/>
              <w:rPr>
                <w:b/>
                <w:sz w:val="17"/>
              </w:rPr>
            </w:pPr>
            <w:r>
              <w:rPr>
                <w:b/>
                <w:sz w:val="17"/>
              </w:rPr>
              <w:t>Norte</w:t>
            </w:r>
          </w:p>
        </w:tc>
        <w:tc>
          <w:tcPr>
            <w:tcW w:w="1542" w:type="dxa"/>
            <w:vMerge/>
          </w:tcPr>
          <w:p>
            <w:pPr/>
          </w:p>
        </w:tc>
        <w:tc>
          <w:tcPr>
            <w:tcW w:w="1153" w:type="dxa"/>
            <w:vMerge/>
          </w:tcPr>
          <w:p>
            <w:pPr/>
          </w:p>
        </w:tc>
        <w:tc>
          <w:tcPr>
            <w:tcW w:w="2032" w:type="dxa"/>
            <w:vMerge/>
          </w:tcPr>
          <w:p>
            <w:pPr/>
          </w:p>
        </w:tc>
      </w:tr>
      <w:tr>
        <w:trPr>
          <w:trHeight w:val="289" w:hRule="exact"/>
        </w:trPr>
        <w:tc>
          <w:tcPr>
            <w:tcW w:w="1138" w:type="dxa"/>
          </w:tcPr>
          <w:p>
            <w:pPr>
              <w:pStyle w:val="TableParagraph"/>
              <w:spacing w:before="42"/>
              <w:ind w:left="114" w:right="119"/>
              <w:jc w:val="center"/>
              <w:rPr>
                <w:sz w:val="17"/>
              </w:rPr>
            </w:pPr>
            <w:r>
              <w:rPr>
                <w:sz w:val="17"/>
              </w:rPr>
              <w:t>14/01/2015</w:t>
            </w:r>
          </w:p>
        </w:tc>
        <w:tc>
          <w:tcPr>
            <w:tcW w:w="519" w:type="dxa"/>
          </w:tcPr>
          <w:p>
            <w:pPr>
              <w:pStyle w:val="TableParagraph"/>
              <w:spacing w:before="42"/>
              <w:ind w:right="2"/>
              <w:jc w:val="center"/>
              <w:rPr>
                <w:sz w:val="17"/>
              </w:rPr>
            </w:pPr>
            <w:r>
              <w:rPr>
                <w:w w:val="101"/>
                <w:sz w:val="17"/>
              </w:rPr>
              <w:t>4</w:t>
            </w:r>
          </w:p>
        </w:tc>
        <w:tc>
          <w:tcPr>
            <w:tcW w:w="1167" w:type="dxa"/>
          </w:tcPr>
          <w:p>
            <w:pPr>
              <w:pStyle w:val="TableParagraph"/>
              <w:spacing w:before="42"/>
              <w:ind w:left="106" w:right="99"/>
              <w:jc w:val="center"/>
              <w:rPr>
                <w:sz w:val="17"/>
              </w:rPr>
            </w:pPr>
            <w:r>
              <w:rPr>
                <w:sz w:val="17"/>
              </w:rPr>
              <w:t>507149.79</w:t>
            </w:r>
          </w:p>
        </w:tc>
        <w:tc>
          <w:tcPr>
            <w:tcW w:w="1167" w:type="dxa"/>
          </w:tcPr>
          <w:p>
            <w:pPr>
              <w:pStyle w:val="TableParagraph"/>
              <w:spacing w:before="42"/>
              <w:ind w:left="106" w:right="107"/>
              <w:jc w:val="center"/>
              <w:rPr>
                <w:sz w:val="17"/>
              </w:rPr>
            </w:pPr>
            <w:r>
              <w:rPr>
                <w:sz w:val="17"/>
              </w:rPr>
              <w:t>2112202.57</w:t>
            </w:r>
          </w:p>
        </w:tc>
        <w:tc>
          <w:tcPr>
            <w:tcW w:w="1542" w:type="dxa"/>
          </w:tcPr>
          <w:p>
            <w:pPr>
              <w:pStyle w:val="TableParagraph"/>
              <w:spacing w:before="42"/>
              <w:ind w:left="388"/>
              <w:rPr>
                <w:sz w:val="17"/>
              </w:rPr>
            </w:pPr>
            <w:r>
              <w:rPr>
                <w:sz w:val="17"/>
              </w:rPr>
              <w:t>Milpa Alta</w:t>
            </w:r>
          </w:p>
        </w:tc>
        <w:tc>
          <w:tcPr>
            <w:tcW w:w="1153" w:type="dxa"/>
          </w:tcPr>
          <w:p>
            <w:pPr>
              <w:pStyle w:val="TableParagraph"/>
              <w:spacing w:before="57"/>
              <w:ind w:left="179" w:right="172"/>
              <w:jc w:val="center"/>
              <w:rPr>
                <w:sz w:val="17"/>
              </w:rPr>
            </w:pPr>
            <w:r>
              <w:rPr>
                <w:sz w:val="17"/>
              </w:rPr>
              <w:t>Milpa Alta</w:t>
            </w:r>
          </w:p>
        </w:tc>
        <w:tc>
          <w:tcPr>
            <w:tcW w:w="2032" w:type="dxa"/>
          </w:tcPr>
          <w:p>
            <w:pPr>
              <w:pStyle w:val="TableParagraph"/>
              <w:spacing w:before="57"/>
              <w:ind w:left="686" w:right="686"/>
              <w:jc w:val="center"/>
              <w:rPr>
                <w:sz w:val="17"/>
              </w:rPr>
            </w:pPr>
            <w:r>
              <w:rPr>
                <w:sz w:val="17"/>
              </w:rPr>
              <w:t>2831</w:t>
            </w:r>
          </w:p>
        </w:tc>
      </w:tr>
      <w:tr>
        <w:trPr>
          <w:trHeight w:val="317" w:hRule="exact"/>
        </w:trPr>
        <w:tc>
          <w:tcPr>
            <w:tcW w:w="2824" w:type="dxa"/>
            <w:gridSpan w:val="3"/>
          </w:tcPr>
          <w:p>
            <w:pPr>
              <w:pStyle w:val="TableParagraph"/>
              <w:spacing w:before="42"/>
              <w:ind w:left="490"/>
              <w:rPr>
                <w:b/>
                <w:sz w:val="17"/>
              </w:rPr>
            </w:pPr>
            <w:r>
              <w:rPr>
                <w:b/>
                <w:sz w:val="17"/>
              </w:rPr>
              <w:t>Ángulo de la pendiente</w:t>
            </w:r>
          </w:p>
        </w:tc>
        <w:tc>
          <w:tcPr>
            <w:tcW w:w="2709" w:type="dxa"/>
            <w:gridSpan w:val="2"/>
          </w:tcPr>
          <w:p>
            <w:pPr>
              <w:pStyle w:val="TableParagraph"/>
              <w:spacing w:before="42"/>
              <w:ind w:left="446"/>
              <w:rPr>
                <w:b/>
                <w:sz w:val="17"/>
              </w:rPr>
            </w:pPr>
            <w:r>
              <w:rPr>
                <w:b/>
                <w:sz w:val="17"/>
              </w:rPr>
              <w:t>Forma de la pendiente</w:t>
            </w:r>
          </w:p>
        </w:tc>
        <w:tc>
          <w:tcPr>
            <w:tcW w:w="3184" w:type="dxa"/>
            <w:gridSpan w:val="2"/>
          </w:tcPr>
          <w:p>
            <w:pPr>
              <w:pStyle w:val="TableParagraph"/>
              <w:spacing w:before="42"/>
              <w:ind w:left="1066" w:right="1070"/>
              <w:jc w:val="center"/>
              <w:rPr>
                <w:b/>
                <w:sz w:val="17"/>
              </w:rPr>
            </w:pPr>
            <w:r>
              <w:rPr>
                <w:b/>
                <w:sz w:val="17"/>
              </w:rPr>
              <w:t>Microrelieve</w:t>
            </w:r>
          </w:p>
        </w:tc>
      </w:tr>
      <w:tr>
        <w:trPr>
          <w:trHeight w:val="289" w:hRule="exact"/>
        </w:trPr>
        <w:tc>
          <w:tcPr>
            <w:tcW w:w="2824" w:type="dxa"/>
            <w:gridSpan w:val="3"/>
          </w:tcPr>
          <w:p>
            <w:pPr>
              <w:pStyle w:val="TableParagraph"/>
              <w:spacing w:before="56"/>
              <w:ind w:left="1048" w:right="1058"/>
              <w:jc w:val="center"/>
              <w:rPr>
                <w:sz w:val="17"/>
              </w:rPr>
            </w:pPr>
            <w:r>
              <w:rPr>
                <w:sz w:val="17"/>
              </w:rPr>
              <w:t>o°</w:t>
            </w:r>
          </w:p>
        </w:tc>
        <w:tc>
          <w:tcPr>
            <w:tcW w:w="2709" w:type="dxa"/>
            <w:gridSpan w:val="2"/>
          </w:tcPr>
          <w:p>
            <w:pPr>
              <w:pStyle w:val="TableParagraph"/>
              <w:spacing w:before="56"/>
              <w:ind w:left="1101" w:right="1118"/>
              <w:jc w:val="center"/>
              <w:rPr>
                <w:sz w:val="17"/>
              </w:rPr>
            </w:pPr>
            <w:r>
              <w:rPr>
                <w:sz w:val="17"/>
              </w:rPr>
              <w:t>Plano</w:t>
            </w:r>
          </w:p>
        </w:tc>
        <w:tc>
          <w:tcPr>
            <w:tcW w:w="3184" w:type="dxa"/>
            <w:gridSpan w:val="2"/>
          </w:tcPr>
          <w:p>
            <w:pPr>
              <w:pStyle w:val="TableParagraph"/>
              <w:spacing w:before="56"/>
              <w:ind w:left="1066" w:right="1070"/>
              <w:jc w:val="center"/>
              <w:rPr>
                <w:sz w:val="17"/>
              </w:rPr>
            </w:pPr>
            <w:r>
              <w:rPr>
                <w:sz w:val="17"/>
              </w:rPr>
              <w:t>Ondulado</w:t>
            </w:r>
          </w:p>
        </w:tc>
      </w:tr>
      <w:tr>
        <w:trPr>
          <w:trHeight w:val="288" w:hRule="exact"/>
        </w:trPr>
        <w:tc>
          <w:tcPr>
            <w:tcW w:w="2824" w:type="dxa"/>
            <w:gridSpan w:val="3"/>
          </w:tcPr>
          <w:p>
            <w:pPr>
              <w:pStyle w:val="TableParagraph"/>
              <w:spacing w:before="28"/>
              <w:ind w:left="288"/>
              <w:rPr>
                <w:b/>
                <w:sz w:val="17"/>
              </w:rPr>
            </w:pPr>
            <w:r>
              <w:rPr>
                <w:b/>
                <w:sz w:val="17"/>
              </w:rPr>
              <w:t>Drenaje superficial del sitio</w:t>
            </w:r>
          </w:p>
        </w:tc>
        <w:tc>
          <w:tcPr>
            <w:tcW w:w="2709" w:type="dxa"/>
            <w:gridSpan w:val="2"/>
          </w:tcPr>
          <w:p>
            <w:pPr>
              <w:pStyle w:val="TableParagraph"/>
              <w:spacing w:before="28"/>
              <w:ind w:left="648"/>
              <w:rPr>
                <w:b/>
                <w:sz w:val="17"/>
              </w:rPr>
            </w:pPr>
            <w:r>
              <w:rPr>
                <w:b/>
                <w:sz w:val="17"/>
              </w:rPr>
              <w:t>Material parental</w:t>
            </w:r>
          </w:p>
        </w:tc>
        <w:tc>
          <w:tcPr>
            <w:tcW w:w="1153" w:type="dxa"/>
          </w:tcPr>
          <w:p>
            <w:pPr>
              <w:pStyle w:val="TableParagraph"/>
              <w:spacing w:before="42"/>
              <w:ind w:left="179" w:right="170"/>
              <w:jc w:val="center"/>
              <w:rPr>
                <w:b/>
                <w:sz w:val="17"/>
              </w:rPr>
            </w:pPr>
            <w:r>
              <w:rPr>
                <w:b/>
                <w:sz w:val="17"/>
              </w:rPr>
              <w:t>Color</w:t>
            </w:r>
          </w:p>
        </w:tc>
        <w:tc>
          <w:tcPr>
            <w:tcW w:w="2032" w:type="dxa"/>
          </w:tcPr>
          <w:p>
            <w:pPr>
              <w:pStyle w:val="TableParagraph"/>
              <w:spacing w:before="42"/>
              <w:ind w:left="187"/>
              <w:rPr>
                <w:b/>
                <w:sz w:val="17"/>
              </w:rPr>
            </w:pPr>
            <w:r>
              <w:rPr>
                <w:b/>
                <w:sz w:val="17"/>
              </w:rPr>
              <w:t>Color intemperizado</w:t>
            </w:r>
          </w:p>
        </w:tc>
      </w:tr>
      <w:tr>
        <w:trPr>
          <w:trHeight w:val="289" w:hRule="exact"/>
        </w:trPr>
        <w:tc>
          <w:tcPr>
            <w:tcW w:w="2824" w:type="dxa"/>
            <w:gridSpan w:val="3"/>
          </w:tcPr>
          <w:p>
            <w:pPr>
              <w:pStyle w:val="TableParagraph"/>
              <w:spacing w:before="28"/>
              <w:ind w:left="1050" w:right="1058"/>
              <w:jc w:val="center"/>
              <w:rPr>
                <w:sz w:val="17"/>
              </w:rPr>
            </w:pPr>
            <w:r>
              <w:rPr>
                <w:sz w:val="17"/>
              </w:rPr>
              <w:t>Donador</w:t>
            </w:r>
          </w:p>
        </w:tc>
        <w:tc>
          <w:tcPr>
            <w:tcW w:w="2709" w:type="dxa"/>
            <w:gridSpan w:val="2"/>
          </w:tcPr>
          <w:p>
            <w:pPr>
              <w:pStyle w:val="TableParagraph"/>
              <w:spacing w:before="28"/>
              <w:ind w:left="28"/>
              <w:rPr>
                <w:sz w:val="17"/>
              </w:rPr>
            </w:pPr>
            <w:r>
              <w:rPr>
                <w:sz w:val="17"/>
              </w:rPr>
              <w:t>Rocas ígneas  extrusivas básicas</w:t>
            </w:r>
          </w:p>
        </w:tc>
        <w:tc>
          <w:tcPr>
            <w:tcW w:w="1153" w:type="dxa"/>
          </w:tcPr>
          <w:p>
            <w:pPr>
              <w:pStyle w:val="TableParagraph"/>
              <w:spacing w:before="57"/>
              <w:ind w:left="179" w:right="171"/>
              <w:jc w:val="center"/>
              <w:rPr>
                <w:sz w:val="17"/>
              </w:rPr>
            </w:pPr>
            <w:r>
              <w:rPr>
                <w:sz w:val="17"/>
              </w:rPr>
              <w:t>Negro</w:t>
            </w:r>
          </w:p>
        </w:tc>
        <w:tc>
          <w:tcPr>
            <w:tcW w:w="2032" w:type="dxa"/>
          </w:tcPr>
          <w:p>
            <w:pPr>
              <w:pStyle w:val="TableParagraph"/>
              <w:spacing w:before="57"/>
              <w:ind w:left="686" w:right="686"/>
              <w:jc w:val="center"/>
              <w:rPr>
                <w:sz w:val="17"/>
              </w:rPr>
            </w:pPr>
            <w:r>
              <w:rPr>
                <w:sz w:val="17"/>
              </w:rPr>
              <w:t>Gris</w:t>
            </w:r>
          </w:p>
        </w:tc>
      </w:tr>
      <w:tr>
        <w:trPr>
          <w:trHeight w:val="288" w:hRule="exact"/>
        </w:trPr>
        <w:tc>
          <w:tcPr>
            <w:tcW w:w="1138" w:type="dxa"/>
          </w:tcPr>
          <w:p>
            <w:pPr>
              <w:pStyle w:val="TableParagraph"/>
              <w:spacing w:before="42"/>
              <w:ind w:left="114" w:right="117"/>
              <w:jc w:val="center"/>
              <w:rPr>
                <w:b/>
                <w:sz w:val="17"/>
              </w:rPr>
            </w:pPr>
            <w:r>
              <w:rPr>
                <w:b/>
                <w:sz w:val="17"/>
              </w:rPr>
              <w:t>Textura</w:t>
            </w:r>
          </w:p>
        </w:tc>
        <w:tc>
          <w:tcPr>
            <w:tcW w:w="2853" w:type="dxa"/>
            <w:gridSpan w:val="3"/>
          </w:tcPr>
          <w:p>
            <w:pPr>
              <w:pStyle w:val="TableParagraph"/>
              <w:spacing w:before="28"/>
              <w:ind w:left="490"/>
              <w:rPr>
                <w:b/>
                <w:sz w:val="17"/>
              </w:rPr>
            </w:pPr>
            <w:r>
              <w:rPr>
                <w:b/>
                <w:sz w:val="17"/>
              </w:rPr>
              <w:t>Minerales observables</w:t>
            </w:r>
          </w:p>
        </w:tc>
        <w:tc>
          <w:tcPr>
            <w:tcW w:w="2694" w:type="dxa"/>
            <w:gridSpan w:val="2"/>
          </w:tcPr>
          <w:p>
            <w:pPr>
              <w:pStyle w:val="TableParagraph"/>
              <w:spacing w:before="28"/>
              <w:ind w:left="605"/>
              <w:rPr>
                <w:b/>
                <w:sz w:val="17"/>
              </w:rPr>
            </w:pPr>
            <w:r>
              <w:rPr>
                <w:b/>
                <w:sz w:val="17"/>
              </w:rPr>
              <w:t>Vegetación nativa</w:t>
            </w:r>
          </w:p>
        </w:tc>
        <w:tc>
          <w:tcPr>
            <w:tcW w:w="2032" w:type="dxa"/>
          </w:tcPr>
          <w:p>
            <w:pPr>
              <w:pStyle w:val="TableParagraph"/>
              <w:spacing w:before="42"/>
              <w:ind w:left="129"/>
              <w:rPr>
                <w:b/>
                <w:sz w:val="17"/>
              </w:rPr>
            </w:pPr>
            <w:r>
              <w:rPr>
                <w:b/>
                <w:sz w:val="17"/>
              </w:rPr>
              <w:t>Especies dominantes</w:t>
            </w:r>
          </w:p>
        </w:tc>
      </w:tr>
      <w:tr>
        <w:trPr>
          <w:trHeight w:val="289" w:hRule="exact"/>
        </w:trPr>
        <w:tc>
          <w:tcPr>
            <w:tcW w:w="1138" w:type="dxa"/>
          </w:tcPr>
          <w:p>
            <w:pPr>
              <w:pStyle w:val="TableParagraph"/>
              <w:spacing w:before="42"/>
              <w:ind w:left="114" w:right="117"/>
              <w:jc w:val="center"/>
              <w:rPr>
                <w:sz w:val="17"/>
              </w:rPr>
            </w:pPr>
            <w:r>
              <w:rPr>
                <w:sz w:val="17"/>
              </w:rPr>
              <w:t>Afanítica</w:t>
            </w:r>
          </w:p>
        </w:tc>
        <w:tc>
          <w:tcPr>
            <w:tcW w:w="2853" w:type="dxa"/>
            <w:gridSpan w:val="3"/>
          </w:tcPr>
          <w:p>
            <w:pPr>
              <w:pStyle w:val="TableParagraph"/>
              <w:spacing w:before="28"/>
              <w:ind w:left="1014" w:right="1018"/>
              <w:jc w:val="center"/>
              <w:rPr>
                <w:sz w:val="17"/>
              </w:rPr>
            </w:pPr>
            <w:r>
              <w:rPr>
                <w:sz w:val="17"/>
              </w:rPr>
              <w:t>No se ven</w:t>
            </w:r>
          </w:p>
        </w:tc>
        <w:tc>
          <w:tcPr>
            <w:tcW w:w="2694" w:type="dxa"/>
            <w:gridSpan w:val="2"/>
          </w:tcPr>
          <w:p>
            <w:pPr>
              <w:pStyle w:val="TableParagraph"/>
              <w:spacing w:before="28"/>
              <w:ind w:left="504"/>
              <w:rPr>
                <w:sz w:val="17"/>
              </w:rPr>
            </w:pPr>
            <w:r>
              <w:rPr>
                <w:sz w:val="17"/>
              </w:rPr>
              <w:t>Pino-encino y pastos</w:t>
            </w:r>
          </w:p>
        </w:tc>
        <w:tc>
          <w:tcPr>
            <w:tcW w:w="2032" w:type="dxa"/>
          </w:tcPr>
          <w:p>
            <w:pPr>
              <w:pStyle w:val="TableParagraph"/>
              <w:spacing w:before="42"/>
              <w:ind w:left="686" w:right="686"/>
              <w:jc w:val="center"/>
              <w:rPr>
                <w:sz w:val="17"/>
              </w:rPr>
            </w:pPr>
            <w:r>
              <w:rPr>
                <w:sz w:val="17"/>
              </w:rPr>
              <w:t>Encinos</w:t>
            </w:r>
          </w:p>
        </w:tc>
      </w:tr>
      <w:tr>
        <w:trPr>
          <w:trHeight w:val="288" w:hRule="exact"/>
        </w:trPr>
        <w:tc>
          <w:tcPr>
            <w:tcW w:w="2824" w:type="dxa"/>
            <w:gridSpan w:val="3"/>
          </w:tcPr>
          <w:p>
            <w:pPr>
              <w:pStyle w:val="TableParagraph"/>
              <w:spacing w:before="28"/>
              <w:ind w:left="1050" w:right="1058"/>
              <w:jc w:val="center"/>
              <w:rPr>
                <w:b/>
                <w:sz w:val="17"/>
              </w:rPr>
            </w:pPr>
            <w:r>
              <w:rPr>
                <w:b/>
                <w:sz w:val="17"/>
              </w:rPr>
              <w:t>Función</w:t>
            </w:r>
          </w:p>
        </w:tc>
        <w:tc>
          <w:tcPr>
            <w:tcW w:w="5893" w:type="dxa"/>
            <w:gridSpan w:val="4"/>
          </w:tcPr>
          <w:p>
            <w:pPr>
              <w:pStyle w:val="TableParagraph"/>
              <w:spacing w:before="28"/>
              <w:ind w:left="2070" w:right="2076"/>
              <w:jc w:val="center"/>
              <w:rPr>
                <w:b/>
                <w:sz w:val="17"/>
              </w:rPr>
            </w:pPr>
            <w:r>
              <w:rPr>
                <w:b/>
                <w:sz w:val="17"/>
              </w:rPr>
              <w:t>Vegetación cultivada</w:t>
            </w:r>
          </w:p>
        </w:tc>
      </w:tr>
      <w:tr>
        <w:trPr>
          <w:trHeight w:val="289" w:hRule="exact"/>
        </w:trPr>
        <w:tc>
          <w:tcPr>
            <w:tcW w:w="2824" w:type="dxa"/>
            <w:gridSpan w:val="3"/>
          </w:tcPr>
          <w:p>
            <w:pPr>
              <w:pStyle w:val="TableParagraph"/>
              <w:spacing w:before="28"/>
              <w:ind w:left="821"/>
              <w:rPr>
                <w:sz w:val="17"/>
              </w:rPr>
            </w:pPr>
            <w:r>
              <w:rPr>
                <w:sz w:val="17"/>
              </w:rPr>
              <w:t>Siempre verde</w:t>
            </w:r>
          </w:p>
        </w:tc>
        <w:tc>
          <w:tcPr>
            <w:tcW w:w="5893" w:type="dxa"/>
            <w:gridSpan w:val="4"/>
          </w:tcPr>
          <w:p>
            <w:pPr>
              <w:pStyle w:val="TableParagraph"/>
              <w:spacing w:before="28"/>
              <w:ind w:left="2070" w:right="2075"/>
              <w:jc w:val="center"/>
              <w:rPr>
                <w:sz w:val="17"/>
              </w:rPr>
            </w:pPr>
            <w:r>
              <w:rPr>
                <w:sz w:val="17"/>
              </w:rPr>
              <w:t>No se perciben</w:t>
            </w:r>
          </w:p>
        </w:tc>
      </w:tr>
      <w:tr>
        <w:trPr>
          <w:trHeight w:val="288" w:hRule="exact"/>
        </w:trPr>
        <w:tc>
          <w:tcPr>
            <w:tcW w:w="3991" w:type="dxa"/>
            <w:gridSpan w:val="4"/>
          </w:tcPr>
          <w:p>
            <w:pPr>
              <w:pStyle w:val="TableParagraph"/>
              <w:spacing w:before="57"/>
              <w:ind w:left="835"/>
              <w:rPr>
                <w:b/>
                <w:sz w:val="17"/>
              </w:rPr>
            </w:pPr>
            <w:r>
              <w:rPr>
                <w:b/>
                <w:sz w:val="17"/>
              </w:rPr>
              <w:t>Prácticas agrícolas visibles:</w:t>
            </w:r>
          </w:p>
        </w:tc>
        <w:tc>
          <w:tcPr>
            <w:tcW w:w="4726" w:type="dxa"/>
            <w:gridSpan w:val="3"/>
          </w:tcPr>
          <w:p>
            <w:pPr>
              <w:pStyle w:val="TableParagraph"/>
              <w:spacing w:before="57"/>
              <w:ind w:left="1527"/>
              <w:rPr>
                <w:b/>
                <w:sz w:val="17"/>
              </w:rPr>
            </w:pPr>
            <w:r>
              <w:rPr>
                <w:b/>
                <w:sz w:val="17"/>
              </w:rPr>
              <w:t>Superficie del suelo:</w:t>
            </w:r>
          </w:p>
        </w:tc>
      </w:tr>
      <w:tr>
        <w:trPr>
          <w:trHeight w:val="332" w:hRule="exact"/>
        </w:trPr>
        <w:tc>
          <w:tcPr>
            <w:tcW w:w="3991" w:type="dxa"/>
            <w:gridSpan w:val="4"/>
          </w:tcPr>
          <w:p>
            <w:pPr>
              <w:pStyle w:val="TableParagraph"/>
              <w:spacing w:before="100"/>
              <w:ind w:left="1859" w:right="1850"/>
              <w:jc w:val="center"/>
              <w:rPr>
                <w:sz w:val="17"/>
              </w:rPr>
            </w:pPr>
            <w:r>
              <w:rPr>
                <w:sz w:val="17"/>
              </w:rPr>
              <w:t>si</w:t>
            </w:r>
          </w:p>
        </w:tc>
        <w:tc>
          <w:tcPr>
            <w:tcW w:w="4726" w:type="dxa"/>
            <w:gridSpan w:val="3"/>
          </w:tcPr>
          <w:p>
            <w:pPr>
              <w:pStyle w:val="TableParagraph"/>
              <w:spacing w:before="100"/>
              <w:ind w:left="1498"/>
              <w:rPr>
                <w:sz w:val="17"/>
              </w:rPr>
            </w:pPr>
            <w:r>
              <w:rPr>
                <w:sz w:val="17"/>
              </w:rPr>
              <w:t>Presencia de piedras</w:t>
            </w:r>
          </w:p>
        </w:tc>
      </w:tr>
      <w:tr>
        <w:trPr>
          <w:trHeight w:val="375" w:hRule="exact"/>
        </w:trPr>
        <w:tc>
          <w:tcPr>
            <w:tcW w:w="2824" w:type="dxa"/>
            <w:gridSpan w:val="3"/>
          </w:tcPr>
          <w:p>
            <w:pPr>
              <w:pStyle w:val="TableParagraph"/>
              <w:spacing w:before="71"/>
              <w:ind w:left="129"/>
              <w:rPr>
                <w:b/>
                <w:sz w:val="17"/>
              </w:rPr>
            </w:pPr>
            <w:r>
              <w:rPr>
                <w:b/>
                <w:sz w:val="17"/>
              </w:rPr>
              <w:t>Material combustible presente:</w:t>
            </w:r>
          </w:p>
        </w:tc>
        <w:tc>
          <w:tcPr>
            <w:tcW w:w="5893" w:type="dxa"/>
            <w:gridSpan w:val="4"/>
          </w:tcPr>
          <w:p>
            <w:pPr>
              <w:pStyle w:val="TableParagraph"/>
              <w:spacing w:before="71"/>
              <w:ind w:left="835"/>
              <w:rPr>
                <w:sz w:val="17"/>
              </w:rPr>
            </w:pPr>
            <w:r>
              <w:rPr>
                <w:sz w:val="17"/>
              </w:rPr>
              <w:t>Hojas de encino, pasto seco, ramas, arbustos secos</w:t>
            </w:r>
          </w:p>
        </w:tc>
      </w:tr>
      <w:tr>
        <w:trPr>
          <w:trHeight w:val="289" w:hRule="exact"/>
        </w:trPr>
        <w:tc>
          <w:tcPr>
            <w:tcW w:w="3991" w:type="dxa"/>
            <w:gridSpan w:val="4"/>
          </w:tcPr>
          <w:p>
            <w:pPr>
              <w:pStyle w:val="TableParagraph"/>
              <w:spacing w:before="28"/>
              <w:ind w:left="1051"/>
              <w:rPr>
                <w:b/>
                <w:sz w:val="17"/>
              </w:rPr>
            </w:pPr>
            <w:r>
              <w:rPr>
                <w:b/>
                <w:sz w:val="17"/>
              </w:rPr>
              <w:t>Evidencia  de incendios</w:t>
            </w:r>
          </w:p>
        </w:tc>
        <w:tc>
          <w:tcPr>
            <w:tcW w:w="4726" w:type="dxa"/>
            <w:gridSpan w:val="3"/>
          </w:tcPr>
          <w:p>
            <w:pPr>
              <w:pStyle w:val="TableParagraph"/>
              <w:spacing w:before="28"/>
              <w:ind w:left="1613" w:right="1602"/>
              <w:jc w:val="center"/>
              <w:rPr>
                <w:b/>
                <w:sz w:val="17"/>
              </w:rPr>
            </w:pPr>
            <w:r>
              <w:rPr>
                <w:b/>
                <w:sz w:val="17"/>
              </w:rPr>
              <w:t>Plagas forestales:</w:t>
            </w:r>
          </w:p>
        </w:tc>
      </w:tr>
      <w:tr>
        <w:trPr>
          <w:trHeight w:val="288" w:hRule="exact"/>
        </w:trPr>
        <w:tc>
          <w:tcPr>
            <w:tcW w:w="3991" w:type="dxa"/>
            <w:gridSpan w:val="4"/>
          </w:tcPr>
          <w:p>
            <w:pPr>
              <w:pStyle w:val="TableParagraph"/>
              <w:spacing w:before="28"/>
              <w:ind w:left="1859" w:right="1859"/>
              <w:jc w:val="center"/>
              <w:rPr>
                <w:sz w:val="17"/>
              </w:rPr>
            </w:pPr>
            <w:r>
              <w:rPr>
                <w:sz w:val="17"/>
              </w:rPr>
              <w:t>No</w:t>
            </w:r>
          </w:p>
        </w:tc>
        <w:tc>
          <w:tcPr>
            <w:tcW w:w="4726" w:type="dxa"/>
            <w:gridSpan w:val="3"/>
          </w:tcPr>
          <w:p>
            <w:pPr>
              <w:pStyle w:val="TableParagraph"/>
              <w:spacing w:before="28"/>
              <w:ind w:left="1590" w:right="1602"/>
              <w:jc w:val="center"/>
              <w:rPr>
                <w:sz w:val="17"/>
              </w:rPr>
            </w:pPr>
            <w:r>
              <w:rPr>
                <w:sz w:val="17"/>
              </w:rPr>
              <w:t>No</w:t>
            </w:r>
          </w:p>
        </w:tc>
      </w:tr>
      <w:tr>
        <w:trPr>
          <w:trHeight w:val="822" w:hRule="exact"/>
        </w:trPr>
        <w:tc>
          <w:tcPr>
            <w:tcW w:w="1657" w:type="dxa"/>
            <w:gridSpan w:val="2"/>
            <w:tcBorders>
              <w:bottom w:val="single" w:sz="6" w:space="0" w:color="000000"/>
            </w:tcBorders>
          </w:tcPr>
          <w:p>
            <w:pPr>
              <w:pStyle w:val="TableParagraph"/>
              <w:spacing w:before="0"/>
              <w:rPr>
                <w:sz w:val="16"/>
              </w:rPr>
            </w:pPr>
          </w:p>
          <w:p>
            <w:pPr>
              <w:pStyle w:val="TableParagraph"/>
              <w:spacing w:before="118"/>
              <w:ind w:left="173"/>
              <w:rPr>
                <w:b/>
                <w:sz w:val="17"/>
              </w:rPr>
            </w:pPr>
            <w:r>
              <w:rPr>
                <w:b/>
                <w:sz w:val="17"/>
              </w:rPr>
              <w:t>Observaciones:</w:t>
            </w:r>
          </w:p>
        </w:tc>
        <w:tc>
          <w:tcPr>
            <w:tcW w:w="7060" w:type="dxa"/>
            <w:gridSpan w:val="5"/>
            <w:tcBorders>
              <w:bottom w:val="single" w:sz="6" w:space="0" w:color="000000"/>
            </w:tcBorders>
          </w:tcPr>
          <w:p>
            <w:pPr>
              <w:pStyle w:val="TableParagraph"/>
              <w:spacing w:before="2"/>
              <w:rPr>
                <w:sz w:val="16"/>
              </w:rPr>
            </w:pPr>
          </w:p>
          <w:p>
            <w:pPr>
              <w:pStyle w:val="TableParagraph"/>
              <w:spacing w:line="283" w:lineRule="auto" w:before="0"/>
              <w:ind w:left="28" w:right="147"/>
              <w:rPr>
                <w:sz w:val="17"/>
              </w:rPr>
            </w:pPr>
            <w:r>
              <w:rPr>
                <w:sz w:val="17"/>
              </w:rPr>
              <w:t>Evidencia de pastoreo. Presencia de material combustible seco.Se observaron ardillas. Hay brechas cercanas.</w:t>
            </w:r>
          </w:p>
        </w:tc>
      </w:tr>
    </w:tbl>
    <w:p>
      <w:pPr>
        <w:pStyle w:val="BodyText"/>
      </w:pPr>
    </w:p>
    <w:p>
      <w:pPr>
        <w:pStyle w:val="BodyText"/>
        <w:spacing w:before="6"/>
        <w:rPr>
          <w:sz w:val="20"/>
        </w:rPr>
      </w:pPr>
    </w:p>
    <w:p>
      <w:pPr>
        <w:pStyle w:val="BodyText"/>
        <w:ind w:left="102"/>
      </w:pPr>
      <w:r>
        <w:rPr/>
        <w:drawing>
          <wp:anchor distT="0" distB="0" distL="0" distR="0" allowOverlap="1" layoutInCell="1" locked="0" behindDoc="0" simplePos="0" relativeHeight="3856">
            <wp:simplePos x="0" y="0"/>
            <wp:positionH relativeFrom="page">
              <wp:posOffset>1260475</wp:posOffset>
            </wp:positionH>
            <wp:positionV relativeFrom="paragraph">
              <wp:posOffset>254074</wp:posOffset>
            </wp:positionV>
            <wp:extent cx="1616723" cy="909447"/>
            <wp:effectExtent l="0" t="0" r="0" b="0"/>
            <wp:wrapTopAndBottom/>
            <wp:docPr id="93" name="image67.jpeg" descr=""/>
            <wp:cNvGraphicFramePr>
              <a:graphicFrameLocks noChangeAspect="1"/>
            </wp:cNvGraphicFramePr>
            <a:graphic>
              <a:graphicData uri="http://schemas.openxmlformats.org/drawingml/2006/picture">
                <pic:pic>
                  <pic:nvPicPr>
                    <pic:cNvPr id="94" name="image67.jpeg"/>
                    <pic:cNvPicPr/>
                  </pic:nvPicPr>
                  <pic:blipFill>
                    <a:blip r:embed="rId114"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880">
            <wp:simplePos x="0" y="0"/>
            <wp:positionH relativeFrom="page">
              <wp:posOffset>3084195</wp:posOffset>
            </wp:positionH>
            <wp:positionV relativeFrom="paragraph">
              <wp:posOffset>254074</wp:posOffset>
            </wp:positionV>
            <wp:extent cx="1616723" cy="909447"/>
            <wp:effectExtent l="0" t="0" r="0" b="0"/>
            <wp:wrapTopAndBottom/>
            <wp:docPr id="95" name="image68.jpeg" descr=""/>
            <wp:cNvGraphicFramePr>
              <a:graphicFrameLocks noChangeAspect="1"/>
            </wp:cNvGraphicFramePr>
            <a:graphic>
              <a:graphicData uri="http://schemas.openxmlformats.org/drawingml/2006/picture">
                <pic:pic>
                  <pic:nvPicPr>
                    <pic:cNvPr id="96" name="image68.jpeg"/>
                    <pic:cNvPicPr/>
                  </pic:nvPicPr>
                  <pic:blipFill>
                    <a:blip r:embed="rId115"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904">
            <wp:simplePos x="0" y="0"/>
            <wp:positionH relativeFrom="page">
              <wp:posOffset>4909820</wp:posOffset>
            </wp:positionH>
            <wp:positionV relativeFrom="paragraph">
              <wp:posOffset>254074</wp:posOffset>
            </wp:positionV>
            <wp:extent cx="1616723" cy="909447"/>
            <wp:effectExtent l="0" t="0" r="0" b="0"/>
            <wp:wrapTopAndBottom/>
            <wp:docPr id="97" name="image69.jpeg" descr=""/>
            <wp:cNvGraphicFramePr>
              <a:graphicFrameLocks noChangeAspect="1"/>
            </wp:cNvGraphicFramePr>
            <a:graphic>
              <a:graphicData uri="http://schemas.openxmlformats.org/drawingml/2006/picture">
                <pic:pic>
                  <pic:nvPicPr>
                    <pic:cNvPr id="98" name="image69.jpeg"/>
                    <pic:cNvPicPr/>
                  </pic:nvPicPr>
                  <pic:blipFill>
                    <a:blip r:embed="rId116" cstate="print"/>
                    <a:stretch>
                      <a:fillRect/>
                    </a:stretch>
                  </pic:blipFill>
                  <pic:spPr>
                    <a:xfrm>
                      <a:off x="0" y="0"/>
                      <a:ext cx="1616723" cy="909447"/>
                    </a:xfrm>
                    <a:prstGeom prst="rect">
                      <a:avLst/>
                    </a:prstGeom>
                  </pic:spPr>
                </pic:pic>
              </a:graphicData>
            </a:graphic>
          </wp:anchor>
        </w:drawing>
      </w:r>
      <w:r>
        <w:rPr/>
        <w:t>Imágenes del sitio 4.</w:t>
      </w:r>
    </w:p>
    <w:p>
      <w:pPr>
        <w:pStyle w:val="BodyText"/>
        <w:spacing w:before="7"/>
        <w:rPr>
          <w:sz w:val="6"/>
        </w:rPr>
      </w:pPr>
    </w:p>
    <w:p>
      <w:pPr>
        <w:tabs>
          <w:tab w:pos="3598" w:val="left" w:leader="none"/>
          <w:tab w:pos="6473" w:val="left" w:leader="none"/>
        </w:tabs>
        <w:spacing w:line="240" w:lineRule="auto"/>
        <w:ind w:left="735" w:right="0" w:firstLine="0"/>
        <w:rPr>
          <w:sz w:val="20"/>
        </w:rPr>
      </w:pPr>
      <w:r>
        <w:rPr>
          <w:position w:val="1"/>
          <w:sz w:val="20"/>
        </w:rPr>
        <w:drawing>
          <wp:inline distT="0" distB="0" distL="0" distR="0">
            <wp:extent cx="1138229" cy="1232820"/>
            <wp:effectExtent l="0" t="0" r="0" b="0"/>
            <wp:docPr id="99" name="image70.jpeg" descr=""/>
            <wp:cNvGraphicFramePr>
              <a:graphicFrameLocks noChangeAspect="1"/>
            </wp:cNvGraphicFramePr>
            <a:graphic>
              <a:graphicData uri="http://schemas.openxmlformats.org/drawingml/2006/picture">
                <pic:pic>
                  <pic:nvPicPr>
                    <pic:cNvPr id="100" name="image70.jpeg"/>
                    <pic:cNvPicPr/>
                  </pic:nvPicPr>
                  <pic:blipFill>
                    <a:blip r:embed="rId117" cstate="print"/>
                    <a:stretch>
                      <a:fillRect/>
                    </a:stretch>
                  </pic:blipFill>
                  <pic:spPr>
                    <a:xfrm>
                      <a:off x="0" y="0"/>
                      <a:ext cx="1138229" cy="1232820"/>
                    </a:xfrm>
                    <a:prstGeom prst="rect">
                      <a:avLst/>
                    </a:prstGeom>
                  </pic:spPr>
                </pic:pic>
              </a:graphicData>
            </a:graphic>
          </wp:inline>
        </w:drawing>
      </w:r>
      <w:r>
        <w:rPr>
          <w:position w:val="1"/>
          <w:sz w:val="20"/>
        </w:rPr>
      </w:r>
      <w:r>
        <w:rPr>
          <w:position w:val="1"/>
          <w:sz w:val="20"/>
        </w:rPr>
        <w:tab/>
      </w:r>
      <w:r>
        <w:rPr>
          <w:position w:val="1"/>
          <w:sz w:val="20"/>
        </w:rPr>
        <w:drawing>
          <wp:inline distT="0" distB="0" distL="0" distR="0">
            <wp:extent cx="1156994" cy="1236916"/>
            <wp:effectExtent l="0" t="0" r="0" b="0"/>
            <wp:docPr id="101" name="image71.jpeg" descr=""/>
            <wp:cNvGraphicFramePr>
              <a:graphicFrameLocks noChangeAspect="1"/>
            </wp:cNvGraphicFramePr>
            <a:graphic>
              <a:graphicData uri="http://schemas.openxmlformats.org/drawingml/2006/picture">
                <pic:pic>
                  <pic:nvPicPr>
                    <pic:cNvPr id="102" name="image71.jpeg"/>
                    <pic:cNvPicPr/>
                  </pic:nvPicPr>
                  <pic:blipFill>
                    <a:blip r:embed="rId118" cstate="print"/>
                    <a:stretch>
                      <a:fillRect/>
                    </a:stretch>
                  </pic:blipFill>
                  <pic:spPr>
                    <a:xfrm>
                      <a:off x="0" y="0"/>
                      <a:ext cx="1156994" cy="1236916"/>
                    </a:xfrm>
                    <a:prstGeom prst="rect">
                      <a:avLst/>
                    </a:prstGeom>
                  </pic:spPr>
                </pic:pic>
              </a:graphicData>
            </a:graphic>
          </wp:inline>
        </w:drawing>
      </w:r>
      <w:r>
        <w:rPr>
          <w:position w:val="1"/>
          <w:sz w:val="20"/>
        </w:rPr>
      </w:r>
      <w:r>
        <w:rPr>
          <w:position w:val="1"/>
          <w:sz w:val="20"/>
        </w:rPr>
        <w:tab/>
      </w:r>
      <w:r>
        <w:rPr>
          <w:sz w:val="20"/>
        </w:rPr>
        <w:drawing>
          <wp:inline distT="0" distB="0" distL="0" distR="0">
            <wp:extent cx="1158013" cy="1241012"/>
            <wp:effectExtent l="0" t="0" r="0" b="0"/>
            <wp:docPr id="103" name="image72.jpeg" descr=""/>
            <wp:cNvGraphicFramePr>
              <a:graphicFrameLocks noChangeAspect="1"/>
            </wp:cNvGraphicFramePr>
            <a:graphic>
              <a:graphicData uri="http://schemas.openxmlformats.org/drawingml/2006/picture">
                <pic:pic>
                  <pic:nvPicPr>
                    <pic:cNvPr id="104" name="image72.jpeg"/>
                    <pic:cNvPicPr/>
                  </pic:nvPicPr>
                  <pic:blipFill>
                    <a:blip r:embed="rId119" cstate="print"/>
                    <a:stretch>
                      <a:fillRect/>
                    </a:stretch>
                  </pic:blipFill>
                  <pic:spPr>
                    <a:xfrm>
                      <a:off x="0" y="0"/>
                      <a:ext cx="1158013" cy="1241012"/>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5.</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3"/>
        <w:gridCol w:w="521"/>
        <w:gridCol w:w="1172"/>
        <w:gridCol w:w="1172"/>
        <w:gridCol w:w="1548"/>
        <w:gridCol w:w="1157"/>
        <w:gridCol w:w="2040"/>
      </w:tblGrid>
      <w:tr>
        <w:trPr>
          <w:trHeight w:val="290" w:hRule="exact"/>
        </w:trPr>
        <w:tc>
          <w:tcPr>
            <w:tcW w:w="1143" w:type="dxa"/>
            <w:vMerge w:val="restart"/>
          </w:tcPr>
          <w:p>
            <w:pPr>
              <w:pStyle w:val="TableParagraph"/>
              <w:spacing w:before="1"/>
              <w:rPr>
                <w:sz w:val="15"/>
              </w:rPr>
            </w:pPr>
          </w:p>
          <w:p>
            <w:pPr>
              <w:pStyle w:val="TableParagraph"/>
              <w:spacing w:before="0"/>
              <w:ind w:left="318"/>
              <w:rPr>
                <w:b/>
                <w:sz w:val="17"/>
              </w:rPr>
            </w:pPr>
            <w:r>
              <w:rPr>
                <w:b/>
                <w:sz w:val="17"/>
              </w:rPr>
              <w:t>Fecha</w:t>
            </w:r>
          </w:p>
        </w:tc>
        <w:tc>
          <w:tcPr>
            <w:tcW w:w="521" w:type="dxa"/>
            <w:vMerge w:val="restart"/>
          </w:tcPr>
          <w:p>
            <w:pPr>
              <w:pStyle w:val="TableParagraph"/>
              <w:spacing w:before="1"/>
              <w:rPr>
                <w:sz w:val="15"/>
              </w:rPr>
            </w:pPr>
          </w:p>
          <w:p>
            <w:pPr>
              <w:pStyle w:val="TableParagraph"/>
              <w:spacing w:before="0"/>
              <w:ind w:left="72"/>
              <w:rPr>
                <w:b/>
                <w:sz w:val="17"/>
              </w:rPr>
            </w:pPr>
            <w:r>
              <w:rPr>
                <w:b/>
                <w:sz w:val="17"/>
              </w:rPr>
              <w:t>Sitio</w:t>
            </w:r>
          </w:p>
        </w:tc>
        <w:tc>
          <w:tcPr>
            <w:tcW w:w="2343" w:type="dxa"/>
            <w:gridSpan w:val="2"/>
          </w:tcPr>
          <w:p>
            <w:pPr>
              <w:pStyle w:val="TableParagraph"/>
              <w:spacing w:before="57"/>
              <w:ind w:left="404"/>
              <w:rPr>
                <w:b/>
                <w:sz w:val="17"/>
              </w:rPr>
            </w:pPr>
            <w:r>
              <w:rPr>
                <w:b/>
                <w:sz w:val="17"/>
              </w:rPr>
              <w:t>Coordenadas UTM</w:t>
            </w:r>
          </w:p>
        </w:tc>
        <w:tc>
          <w:tcPr>
            <w:tcW w:w="1548" w:type="dxa"/>
            <w:vMerge w:val="restart"/>
          </w:tcPr>
          <w:p>
            <w:pPr>
              <w:pStyle w:val="TableParagraph"/>
              <w:spacing w:before="1"/>
              <w:rPr>
                <w:sz w:val="15"/>
              </w:rPr>
            </w:pPr>
          </w:p>
          <w:p>
            <w:pPr>
              <w:pStyle w:val="TableParagraph"/>
              <w:spacing w:before="0"/>
              <w:ind w:left="361"/>
              <w:rPr>
                <w:b/>
                <w:sz w:val="17"/>
              </w:rPr>
            </w:pPr>
            <w:r>
              <w:rPr>
                <w:b/>
                <w:sz w:val="17"/>
              </w:rPr>
              <w:t>Localidad</w:t>
            </w:r>
          </w:p>
        </w:tc>
        <w:tc>
          <w:tcPr>
            <w:tcW w:w="1157" w:type="dxa"/>
            <w:vMerge w:val="restart"/>
          </w:tcPr>
          <w:p>
            <w:pPr>
              <w:pStyle w:val="TableParagraph"/>
              <w:spacing w:before="1"/>
              <w:rPr>
                <w:sz w:val="15"/>
              </w:rPr>
            </w:pPr>
          </w:p>
          <w:p>
            <w:pPr>
              <w:pStyle w:val="TableParagraph"/>
              <w:spacing w:before="0"/>
              <w:ind w:left="115"/>
              <w:rPr>
                <w:b/>
                <w:sz w:val="17"/>
              </w:rPr>
            </w:pPr>
            <w:r>
              <w:rPr>
                <w:b/>
                <w:sz w:val="17"/>
              </w:rPr>
              <w:t>Delegación</w:t>
            </w:r>
          </w:p>
        </w:tc>
        <w:tc>
          <w:tcPr>
            <w:tcW w:w="2040" w:type="dxa"/>
            <w:vMerge w:val="restart"/>
          </w:tcPr>
          <w:p>
            <w:pPr>
              <w:pStyle w:val="TableParagraph"/>
              <w:spacing w:before="1"/>
              <w:rPr>
                <w:sz w:val="15"/>
              </w:rPr>
            </w:pPr>
          </w:p>
          <w:p>
            <w:pPr>
              <w:pStyle w:val="TableParagraph"/>
              <w:spacing w:before="0"/>
              <w:ind w:left="332"/>
              <w:rPr>
                <w:b/>
                <w:sz w:val="17"/>
              </w:rPr>
            </w:pPr>
            <w:r>
              <w:rPr>
                <w:b/>
                <w:sz w:val="17"/>
              </w:rPr>
              <w:t>Elevación msnm</w:t>
            </w:r>
          </w:p>
        </w:tc>
      </w:tr>
      <w:tr>
        <w:trPr>
          <w:trHeight w:val="289" w:hRule="exact"/>
        </w:trPr>
        <w:tc>
          <w:tcPr>
            <w:tcW w:w="1143" w:type="dxa"/>
            <w:vMerge/>
          </w:tcPr>
          <w:p>
            <w:pPr/>
          </w:p>
        </w:tc>
        <w:tc>
          <w:tcPr>
            <w:tcW w:w="521" w:type="dxa"/>
            <w:vMerge/>
          </w:tcPr>
          <w:p>
            <w:pPr/>
          </w:p>
        </w:tc>
        <w:tc>
          <w:tcPr>
            <w:tcW w:w="1172" w:type="dxa"/>
          </w:tcPr>
          <w:p>
            <w:pPr>
              <w:pStyle w:val="TableParagraph"/>
              <w:spacing w:before="43"/>
              <w:ind w:left="202" w:right="205"/>
              <w:jc w:val="center"/>
              <w:rPr>
                <w:b/>
                <w:sz w:val="17"/>
              </w:rPr>
            </w:pPr>
            <w:r>
              <w:rPr>
                <w:b/>
                <w:sz w:val="17"/>
              </w:rPr>
              <w:t>Oeste</w:t>
            </w:r>
          </w:p>
        </w:tc>
        <w:tc>
          <w:tcPr>
            <w:tcW w:w="1172" w:type="dxa"/>
          </w:tcPr>
          <w:p>
            <w:pPr>
              <w:pStyle w:val="TableParagraph"/>
              <w:spacing w:before="43"/>
              <w:ind w:left="229" w:right="221"/>
              <w:jc w:val="center"/>
              <w:rPr>
                <w:b/>
                <w:sz w:val="17"/>
              </w:rPr>
            </w:pPr>
            <w:r>
              <w:rPr>
                <w:b/>
                <w:sz w:val="17"/>
              </w:rPr>
              <w:t>Norte</w:t>
            </w:r>
          </w:p>
        </w:tc>
        <w:tc>
          <w:tcPr>
            <w:tcW w:w="1548" w:type="dxa"/>
            <w:vMerge/>
          </w:tcPr>
          <w:p>
            <w:pPr/>
          </w:p>
        </w:tc>
        <w:tc>
          <w:tcPr>
            <w:tcW w:w="1157" w:type="dxa"/>
            <w:vMerge/>
          </w:tcPr>
          <w:p>
            <w:pPr/>
          </w:p>
        </w:tc>
        <w:tc>
          <w:tcPr>
            <w:tcW w:w="2040" w:type="dxa"/>
            <w:vMerge/>
          </w:tcPr>
          <w:p>
            <w:pPr/>
          </w:p>
        </w:tc>
      </w:tr>
      <w:tr>
        <w:trPr>
          <w:trHeight w:val="290" w:hRule="exact"/>
        </w:trPr>
        <w:tc>
          <w:tcPr>
            <w:tcW w:w="1143" w:type="dxa"/>
          </w:tcPr>
          <w:p>
            <w:pPr>
              <w:pStyle w:val="TableParagraph"/>
              <w:spacing w:before="43"/>
              <w:ind w:left="116" w:right="121"/>
              <w:jc w:val="center"/>
              <w:rPr>
                <w:sz w:val="17"/>
              </w:rPr>
            </w:pPr>
            <w:r>
              <w:rPr>
                <w:sz w:val="17"/>
              </w:rPr>
              <w:t>14/01/2015</w:t>
            </w:r>
          </w:p>
        </w:tc>
        <w:tc>
          <w:tcPr>
            <w:tcW w:w="521" w:type="dxa"/>
          </w:tcPr>
          <w:p>
            <w:pPr>
              <w:pStyle w:val="TableParagraph"/>
              <w:spacing w:before="43"/>
              <w:ind w:right="2"/>
              <w:jc w:val="center"/>
              <w:rPr>
                <w:sz w:val="17"/>
              </w:rPr>
            </w:pPr>
            <w:r>
              <w:rPr>
                <w:w w:val="102"/>
                <w:sz w:val="17"/>
              </w:rPr>
              <w:t>5</w:t>
            </w:r>
          </w:p>
        </w:tc>
        <w:tc>
          <w:tcPr>
            <w:tcW w:w="1172" w:type="dxa"/>
          </w:tcPr>
          <w:p>
            <w:pPr>
              <w:pStyle w:val="TableParagraph"/>
              <w:spacing w:before="43"/>
              <w:ind w:left="202" w:right="206"/>
              <w:jc w:val="center"/>
              <w:rPr>
                <w:sz w:val="17"/>
              </w:rPr>
            </w:pPr>
            <w:r>
              <w:rPr>
                <w:sz w:val="17"/>
              </w:rPr>
              <w:t>501526.8</w:t>
            </w:r>
          </w:p>
        </w:tc>
        <w:tc>
          <w:tcPr>
            <w:tcW w:w="1172" w:type="dxa"/>
          </w:tcPr>
          <w:p>
            <w:pPr>
              <w:pStyle w:val="TableParagraph"/>
              <w:spacing w:before="43"/>
              <w:ind w:left="234" w:right="221"/>
              <w:jc w:val="center"/>
              <w:rPr>
                <w:sz w:val="17"/>
              </w:rPr>
            </w:pPr>
            <w:r>
              <w:rPr>
                <w:sz w:val="17"/>
              </w:rPr>
              <w:t>2118064</w:t>
            </w:r>
          </w:p>
        </w:tc>
        <w:tc>
          <w:tcPr>
            <w:tcW w:w="1548" w:type="dxa"/>
          </w:tcPr>
          <w:p>
            <w:pPr>
              <w:pStyle w:val="TableParagraph"/>
              <w:spacing w:before="43"/>
              <w:ind w:left="390"/>
              <w:rPr>
                <w:sz w:val="17"/>
              </w:rPr>
            </w:pPr>
            <w:r>
              <w:rPr>
                <w:sz w:val="17"/>
              </w:rPr>
              <w:t>Milpa Alta</w:t>
            </w:r>
          </w:p>
        </w:tc>
        <w:tc>
          <w:tcPr>
            <w:tcW w:w="1157" w:type="dxa"/>
          </w:tcPr>
          <w:p>
            <w:pPr>
              <w:pStyle w:val="TableParagraph"/>
              <w:spacing w:before="57"/>
              <w:ind w:left="181" w:right="174"/>
              <w:jc w:val="center"/>
              <w:rPr>
                <w:sz w:val="17"/>
              </w:rPr>
            </w:pPr>
            <w:r>
              <w:rPr>
                <w:sz w:val="17"/>
              </w:rPr>
              <w:t>Milpa Alta</w:t>
            </w:r>
          </w:p>
        </w:tc>
        <w:tc>
          <w:tcPr>
            <w:tcW w:w="2040" w:type="dxa"/>
          </w:tcPr>
          <w:p>
            <w:pPr>
              <w:pStyle w:val="TableParagraph"/>
              <w:spacing w:before="57"/>
              <w:ind w:left="803" w:right="803"/>
              <w:jc w:val="center"/>
              <w:rPr>
                <w:sz w:val="17"/>
              </w:rPr>
            </w:pPr>
            <w:r>
              <w:rPr>
                <w:sz w:val="17"/>
              </w:rPr>
              <w:t>2740</w:t>
            </w:r>
          </w:p>
        </w:tc>
      </w:tr>
      <w:tr>
        <w:trPr>
          <w:trHeight w:val="318" w:hRule="exact"/>
        </w:trPr>
        <w:tc>
          <w:tcPr>
            <w:tcW w:w="2835" w:type="dxa"/>
            <w:gridSpan w:val="3"/>
          </w:tcPr>
          <w:p>
            <w:pPr>
              <w:pStyle w:val="TableParagraph"/>
              <w:spacing w:before="43"/>
              <w:ind w:left="491"/>
              <w:rPr>
                <w:b/>
                <w:sz w:val="17"/>
              </w:rPr>
            </w:pPr>
            <w:r>
              <w:rPr>
                <w:b/>
                <w:sz w:val="17"/>
              </w:rPr>
              <w:t>Ángulo de la pendiente</w:t>
            </w:r>
          </w:p>
        </w:tc>
        <w:tc>
          <w:tcPr>
            <w:tcW w:w="2719" w:type="dxa"/>
            <w:gridSpan w:val="2"/>
          </w:tcPr>
          <w:p>
            <w:pPr>
              <w:pStyle w:val="TableParagraph"/>
              <w:spacing w:before="43"/>
              <w:ind w:left="448"/>
              <w:rPr>
                <w:b/>
                <w:sz w:val="17"/>
              </w:rPr>
            </w:pPr>
            <w:r>
              <w:rPr>
                <w:b/>
                <w:sz w:val="17"/>
              </w:rPr>
              <w:t>Forma de la pendiente</w:t>
            </w:r>
          </w:p>
        </w:tc>
        <w:tc>
          <w:tcPr>
            <w:tcW w:w="3197" w:type="dxa"/>
            <w:gridSpan w:val="2"/>
          </w:tcPr>
          <w:p>
            <w:pPr>
              <w:pStyle w:val="TableParagraph"/>
              <w:spacing w:before="43"/>
              <w:ind w:left="1073" w:right="1077"/>
              <w:jc w:val="center"/>
              <w:rPr>
                <w:b/>
                <w:sz w:val="17"/>
              </w:rPr>
            </w:pPr>
            <w:r>
              <w:rPr>
                <w:b/>
                <w:sz w:val="17"/>
              </w:rPr>
              <w:t>Microrelieve</w:t>
            </w:r>
          </w:p>
        </w:tc>
      </w:tr>
      <w:tr>
        <w:trPr>
          <w:trHeight w:val="290" w:hRule="exact"/>
        </w:trPr>
        <w:tc>
          <w:tcPr>
            <w:tcW w:w="2835" w:type="dxa"/>
            <w:gridSpan w:val="3"/>
          </w:tcPr>
          <w:p>
            <w:pPr>
              <w:pStyle w:val="TableParagraph"/>
              <w:spacing w:before="57"/>
              <w:ind w:left="1055" w:right="1055"/>
              <w:jc w:val="center"/>
              <w:rPr>
                <w:sz w:val="17"/>
              </w:rPr>
            </w:pPr>
            <w:r>
              <w:rPr>
                <w:sz w:val="17"/>
              </w:rPr>
              <w:t>10°</w:t>
            </w:r>
          </w:p>
        </w:tc>
        <w:tc>
          <w:tcPr>
            <w:tcW w:w="2719" w:type="dxa"/>
            <w:gridSpan w:val="2"/>
          </w:tcPr>
          <w:p>
            <w:pPr>
              <w:pStyle w:val="TableParagraph"/>
              <w:spacing w:before="57"/>
              <w:ind w:left="987" w:right="1005"/>
              <w:jc w:val="center"/>
              <w:rPr>
                <w:sz w:val="17"/>
              </w:rPr>
            </w:pPr>
            <w:r>
              <w:rPr>
                <w:sz w:val="17"/>
              </w:rPr>
              <w:t>Concava</w:t>
            </w:r>
          </w:p>
        </w:tc>
        <w:tc>
          <w:tcPr>
            <w:tcW w:w="3197" w:type="dxa"/>
            <w:gridSpan w:val="2"/>
          </w:tcPr>
          <w:p>
            <w:pPr>
              <w:pStyle w:val="TableParagraph"/>
              <w:spacing w:before="57"/>
              <w:ind w:left="1073" w:right="1077"/>
              <w:jc w:val="center"/>
              <w:rPr>
                <w:sz w:val="17"/>
              </w:rPr>
            </w:pPr>
            <w:r>
              <w:rPr>
                <w:sz w:val="17"/>
              </w:rPr>
              <w:t>Ondulado</w:t>
            </w:r>
          </w:p>
        </w:tc>
      </w:tr>
      <w:tr>
        <w:trPr>
          <w:trHeight w:val="289" w:hRule="exact"/>
        </w:trPr>
        <w:tc>
          <w:tcPr>
            <w:tcW w:w="2835" w:type="dxa"/>
            <w:gridSpan w:val="3"/>
          </w:tcPr>
          <w:p>
            <w:pPr>
              <w:pStyle w:val="TableParagraph"/>
              <w:spacing w:before="28"/>
              <w:ind w:left="289"/>
              <w:rPr>
                <w:b/>
                <w:sz w:val="17"/>
              </w:rPr>
            </w:pPr>
            <w:r>
              <w:rPr>
                <w:b/>
                <w:sz w:val="17"/>
              </w:rPr>
              <w:t>Drenaje superficial del sitio</w:t>
            </w:r>
          </w:p>
        </w:tc>
        <w:tc>
          <w:tcPr>
            <w:tcW w:w="2719" w:type="dxa"/>
            <w:gridSpan w:val="2"/>
          </w:tcPr>
          <w:p>
            <w:pPr>
              <w:pStyle w:val="TableParagraph"/>
              <w:spacing w:before="28"/>
              <w:ind w:left="650"/>
              <w:rPr>
                <w:b/>
                <w:sz w:val="17"/>
              </w:rPr>
            </w:pPr>
            <w:r>
              <w:rPr>
                <w:b/>
                <w:sz w:val="17"/>
              </w:rPr>
              <w:t>Material parental</w:t>
            </w:r>
          </w:p>
        </w:tc>
        <w:tc>
          <w:tcPr>
            <w:tcW w:w="1157" w:type="dxa"/>
          </w:tcPr>
          <w:p>
            <w:pPr>
              <w:pStyle w:val="TableParagraph"/>
              <w:spacing w:before="43"/>
              <w:ind w:left="181" w:right="172"/>
              <w:jc w:val="center"/>
              <w:rPr>
                <w:b/>
                <w:sz w:val="17"/>
              </w:rPr>
            </w:pPr>
            <w:r>
              <w:rPr>
                <w:b/>
                <w:sz w:val="17"/>
              </w:rPr>
              <w:t>Color</w:t>
            </w:r>
          </w:p>
        </w:tc>
        <w:tc>
          <w:tcPr>
            <w:tcW w:w="2040" w:type="dxa"/>
          </w:tcPr>
          <w:p>
            <w:pPr>
              <w:pStyle w:val="TableParagraph"/>
              <w:spacing w:before="43"/>
              <w:ind w:right="183"/>
              <w:jc w:val="right"/>
              <w:rPr>
                <w:b/>
                <w:sz w:val="17"/>
              </w:rPr>
            </w:pPr>
            <w:r>
              <w:rPr>
                <w:b/>
                <w:sz w:val="17"/>
              </w:rPr>
              <w:t>Color intemperizado</w:t>
            </w:r>
          </w:p>
        </w:tc>
      </w:tr>
      <w:tr>
        <w:trPr>
          <w:trHeight w:val="290" w:hRule="exact"/>
        </w:trPr>
        <w:tc>
          <w:tcPr>
            <w:tcW w:w="2835" w:type="dxa"/>
            <w:gridSpan w:val="3"/>
          </w:tcPr>
          <w:p>
            <w:pPr>
              <w:pStyle w:val="TableParagraph"/>
              <w:spacing w:before="29"/>
              <w:ind w:left="1055" w:right="1063"/>
              <w:jc w:val="center"/>
              <w:rPr>
                <w:sz w:val="17"/>
              </w:rPr>
            </w:pPr>
            <w:r>
              <w:rPr>
                <w:sz w:val="17"/>
              </w:rPr>
              <w:t>Donador</w:t>
            </w:r>
          </w:p>
        </w:tc>
        <w:tc>
          <w:tcPr>
            <w:tcW w:w="2719" w:type="dxa"/>
            <w:gridSpan w:val="2"/>
          </w:tcPr>
          <w:p>
            <w:pPr>
              <w:pStyle w:val="TableParagraph"/>
              <w:spacing w:before="29"/>
              <w:ind w:left="28"/>
              <w:rPr>
                <w:sz w:val="17"/>
              </w:rPr>
            </w:pPr>
            <w:r>
              <w:rPr>
                <w:sz w:val="17"/>
              </w:rPr>
              <w:t>Rocas  ígneas  extrusivas básicas</w:t>
            </w:r>
          </w:p>
        </w:tc>
        <w:tc>
          <w:tcPr>
            <w:tcW w:w="1157" w:type="dxa"/>
          </w:tcPr>
          <w:p>
            <w:pPr>
              <w:pStyle w:val="TableParagraph"/>
              <w:spacing w:before="57"/>
              <w:ind w:left="181" w:right="172"/>
              <w:jc w:val="center"/>
              <w:rPr>
                <w:sz w:val="17"/>
              </w:rPr>
            </w:pPr>
            <w:r>
              <w:rPr>
                <w:sz w:val="17"/>
              </w:rPr>
              <w:t>Café</w:t>
            </w:r>
          </w:p>
        </w:tc>
        <w:tc>
          <w:tcPr>
            <w:tcW w:w="2040" w:type="dxa"/>
          </w:tcPr>
          <w:p>
            <w:pPr>
              <w:pStyle w:val="TableParagraph"/>
              <w:spacing w:before="57"/>
              <w:ind w:left="803" w:right="803"/>
              <w:jc w:val="center"/>
              <w:rPr>
                <w:sz w:val="17"/>
              </w:rPr>
            </w:pPr>
            <w:r>
              <w:rPr>
                <w:sz w:val="17"/>
              </w:rPr>
              <w:t>Gris</w:t>
            </w:r>
          </w:p>
        </w:tc>
      </w:tr>
      <w:tr>
        <w:trPr>
          <w:trHeight w:val="289" w:hRule="exact"/>
        </w:trPr>
        <w:tc>
          <w:tcPr>
            <w:tcW w:w="1143" w:type="dxa"/>
          </w:tcPr>
          <w:p>
            <w:pPr>
              <w:pStyle w:val="TableParagraph"/>
              <w:spacing w:before="43"/>
              <w:ind w:left="116" w:right="119"/>
              <w:jc w:val="center"/>
              <w:rPr>
                <w:b/>
                <w:sz w:val="17"/>
              </w:rPr>
            </w:pPr>
            <w:r>
              <w:rPr>
                <w:b/>
                <w:sz w:val="17"/>
              </w:rPr>
              <w:t>Textura</w:t>
            </w:r>
          </w:p>
        </w:tc>
        <w:tc>
          <w:tcPr>
            <w:tcW w:w="2864" w:type="dxa"/>
            <w:gridSpan w:val="3"/>
          </w:tcPr>
          <w:p>
            <w:pPr>
              <w:pStyle w:val="TableParagraph"/>
              <w:spacing w:before="29"/>
              <w:ind w:left="491"/>
              <w:rPr>
                <w:b/>
                <w:sz w:val="17"/>
              </w:rPr>
            </w:pPr>
            <w:r>
              <w:rPr>
                <w:b/>
                <w:sz w:val="17"/>
              </w:rPr>
              <w:t>Minerales observables</w:t>
            </w:r>
          </w:p>
        </w:tc>
        <w:tc>
          <w:tcPr>
            <w:tcW w:w="2705" w:type="dxa"/>
            <w:gridSpan w:val="2"/>
          </w:tcPr>
          <w:p>
            <w:pPr>
              <w:pStyle w:val="TableParagraph"/>
              <w:spacing w:before="29"/>
              <w:ind w:left="607"/>
              <w:rPr>
                <w:b/>
                <w:sz w:val="17"/>
              </w:rPr>
            </w:pPr>
            <w:r>
              <w:rPr>
                <w:b/>
                <w:sz w:val="17"/>
              </w:rPr>
              <w:t>Vegetación nativa</w:t>
            </w:r>
          </w:p>
        </w:tc>
        <w:tc>
          <w:tcPr>
            <w:tcW w:w="2040" w:type="dxa"/>
          </w:tcPr>
          <w:p>
            <w:pPr>
              <w:pStyle w:val="TableParagraph"/>
              <w:spacing w:before="43"/>
              <w:ind w:right="135"/>
              <w:jc w:val="right"/>
              <w:rPr>
                <w:b/>
                <w:sz w:val="17"/>
              </w:rPr>
            </w:pPr>
            <w:r>
              <w:rPr>
                <w:b/>
                <w:sz w:val="17"/>
              </w:rPr>
              <w:t>Especies dominantes</w:t>
            </w:r>
          </w:p>
        </w:tc>
      </w:tr>
      <w:tr>
        <w:trPr>
          <w:trHeight w:val="290" w:hRule="exact"/>
        </w:trPr>
        <w:tc>
          <w:tcPr>
            <w:tcW w:w="1143" w:type="dxa"/>
          </w:tcPr>
          <w:p>
            <w:pPr>
              <w:pStyle w:val="TableParagraph"/>
              <w:spacing w:before="43"/>
              <w:ind w:left="116" w:right="119"/>
              <w:jc w:val="center"/>
              <w:rPr>
                <w:sz w:val="17"/>
              </w:rPr>
            </w:pPr>
            <w:r>
              <w:rPr>
                <w:sz w:val="17"/>
              </w:rPr>
              <w:t>Afanítica</w:t>
            </w:r>
          </w:p>
        </w:tc>
        <w:tc>
          <w:tcPr>
            <w:tcW w:w="2864" w:type="dxa"/>
            <w:gridSpan w:val="3"/>
          </w:tcPr>
          <w:p>
            <w:pPr>
              <w:pStyle w:val="TableParagraph"/>
              <w:spacing w:before="28"/>
              <w:ind w:left="1020" w:right="1024"/>
              <w:jc w:val="center"/>
              <w:rPr>
                <w:sz w:val="17"/>
              </w:rPr>
            </w:pPr>
            <w:r>
              <w:rPr>
                <w:sz w:val="17"/>
              </w:rPr>
              <w:t>No se ven</w:t>
            </w:r>
          </w:p>
        </w:tc>
        <w:tc>
          <w:tcPr>
            <w:tcW w:w="2705" w:type="dxa"/>
            <w:gridSpan w:val="2"/>
          </w:tcPr>
          <w:p>
            <w:pPr>
              <w:pStyle w:val="TableParagraph"/>
              <w:spacing w:before="28"/>
              <w:ind w:left="173"/>
              <w:rPr>
                <w:sz w:val="17"/>
              </w:rPr>
            </w:pPr>
            <w:r>
              <w:rPr>
                <w:sz w:val="17"/>
              </w:rPr>
              <w:t>Pino-encino  y pastos-hierbas</w:t>
            </w:r>
          </w:p>
        </w:tc>
        <w:tc>
          <w:tcPr>
            <w:tcW w:w="2040" w:type="dxa"/>
          </w:tcPr>
          <w:p>
            <w:pPr>
              <w:pStyle w:val="TableParagraph"/>
              <w:spacing w:before="43"/>
              <w:ind w:left="535"/>
              <w:rPr>
                <w:sz w:val="17"/>
              </w:rPr>
            </w:pPr>
            <w:r>
              <w:rPr>
                <w:sz w:val="17"/>
              </w:rPr>
              <w:t>Pino-encino</w:t>
            </w:r>
          </w:p>
        </w:tc>
      </w:tr>
      <w:tr>
        <w:trPr>
          <w:trHeight w:val="289" w:hRule="exact"/>
        </w:trPr>
        <w:tc>
          <w:tcPr>
            <w:tcW w:w="2835" w:type="dxa"/>
            <w:gridSpan w:val="3"/>
          </w:tcPr>
          <w:p>
            <w:pPr>
              <w:pStyle w:val="TableParagraph"/>
              <w:spacing w:before="28"/>
              <w:ind w:left="1055" w:right="1063"/>
              <w:jc w:val="center"/>
              <w:rPr>
                <w:b/>
                <w:sz w:val="17"/>
              </w:rPr>
            </w:pPr>
            <w:r>
              <w:rPr>
                <w:b/>
                <w:sz w:val="17"/>
              </w:rPr>
              <w:t>Función</w:t>
            </w:r>
          </w:p>
        </w:tc>
        <w:tc>
          <w:tcPr>
            <w:tcW w:w="5916" w:type="dxa"/>
            <w:gridSpan w:val="4"/>
          </w:tcPr>
          <w:p>
            <w:pPr>
              <w:pStyle w:val="TableParagraph"/>
              <w:spacing w:before="28"/>
              <w:ind w:left="2082" w:right="2088"/>
              <w:jc w:val="center"/>
              <w:rPr>
                <w:b/>
                <w:sz w:val="17"/>
              </w:rPr>
            </w:pPr>
            <w:r>
              <w:rPr>
                <w:b/>
                <w:sz w:val="17"/>
              </w:rPr>
              <w:t>Vegetación cultivada</w:t>
            </w:r>
          </w:p>
        </w:tc>
      </w:tr>
      <w:tr>
        <w:trPr>
          <w:trHeight w:val="290" w:hRule="exact"/>
        </w:trPr>
        <w:tc>
          <w:tcPr>
            <w:tcW w:w="2835" w:type="dxa"/>
            <w:gridSpan w:val="3"/>
          </w:tcPr>
          <w:p>
            <w:pPr>
              <w:pStyle w:val="TableParagraph"/>
              <w:spacing w:before="29"/>
              <w:ind w:left="824"/>
              <w:rPr>
                <w:sz w:val="17"/>
              </w:rPr>
            </w:pPr>
            <w:r>
              <w:rPr>
                <w:sz w:val="17"/>
              </w:rPr>
              <w:t>Siempre verde</w:t>
            </w:r>
          </w:p>
        </w:tc>
        <w:tc>
          <w:tcPr>
            <w:tcW w:w="5916" w:type="dxa"/>
            <w:gridSpan w:val="4"/>
          </w:tcPr>
          <w:p>
            <w:pPr>
              <w:pStyle w:val="TableParagraph"/>
              <w:spacing w:before="29"/>
              <w:ind w:left="2082" w:right="2087"/>
              <w:jc w:val="center"/>
              <w:rPr>
                <w:sz w:val="17"/>
              </w:rPr>
            </w:pPr>
            <w:r>
              <w:rPr>
                <w:sz w:val="17"/>
              </w:rPr>
              <w:t>No se perciben</w:t>
            </w:r>
          </w:p>
        </w:tc>
      </w:tr>
      <w:tr>
        <w:trPr>
          <w:trHeight w:val="289" w:hRule="exact"/>
        </w:trPr>
        <w:tc>
          <w:tcPr>
            <w:tcW w:w="4007" w:type="dxa"/>
            <w:gridSpan w:val="4"/>
          </w:tcPr>
          <w:p>
            <w:pPr>
              <w:pStyle w:val="TableParagraph"/>
              <w:spacing w:before="57"/>
              <w:ind w:left="839"/>
              <w:rPr>
                <w:b/>
                <w:sz w:val="17"/>
              </w:rPr>
            </w:pPr>
            <w:r>
              <w:rPr>
                <w:b/>
                <w:sz w:val="17"/>
              </w:rPr>
              <w:t>Prácticas agrícolas visibles:</w:t>
            </w:r>
          </w:p>
        </w:tc>
        <w:tc>
          <w:tcPr>
            <w:tcW w:w="4744" w:type="dxa"/>
            <w:gridSpan w:val="3"/>
          </w:tcPr>
          <w:p>
            <w:pPr>
              <w:pStyle w:val="TableParagraph"/>
              <w:spacing w:before="57"/>
              <w:ind w:left="1532"/>
              <w:rPr>
                <w:b/>
                <w:sz w:val="17"/>
              </w:rPr>
            </w:pPr>
            <w:r>
              <w:rPr>
                <w:b/>
                <w:sz w:val="17"/>
              </w:rPr>
              <w:t>Superficie del suelo:</w:t>
            </w:r>
          </w:p>
        </w:tc>
      </w:tr>
      <w:tr>
        <w:trPr>
          <w:trHeight w:val="333" w:hRule="exact"/>
        </w:trPr>
        <w:tc>
          <w:tcPr>
            <w:tcW w:w="4007" w:type="dxa"/>
            <w:gridSpan w:val="4"/>
          </w:tcPr>
          <w:p>
            <w:pPr>
              <w:pStyle w:val="TableParagraph"/>
              <w:spacing w:before="101"/>
              <w:ind w:left="1867" w:right="1858"/>
              <w:jc w:val="center"/>
              <w:rPr>
                <w:sz w:val="17"/>
              </w:rPr>
            </w:pPr>
            <w:r>
              <w:rPr>
                <w:sz w:val="17"/>
              </w:rPr>
              <w:t>si</w:t>
            </w:r>
          </w:p>
        </w:tc>
        <w:tc>
          <w:tcPr>
            <w:tcW w:w="4744" w:type="dxa"/>
            <w:gridSpan w:val="3"/>
          </w:tcPr>
          <w:p>
            <w:pPr>
              <w:pStyle w:val="TableParagraph"/>
              <w:spacing w:before="101"/>
              <w:ind w:left="1504"/>
              <w:rPr>
                <w:sz w:val="17"/>
              </w:rPr>
            </w:pPr>
            <w:r>
              <w:rPr>
                <w:sz w:val="17"/>
              </w:rPr>
              <w:t>Presencia de piedras</w:t>
            </w:r>
          </w:p>
        </w:tc>
      </w:tr>
      <w:tr>
        <w:trPr>
          <w:trHeight w:val="376" w:hRule="exact"/>
        </w:trPr>
        <w:tc>
          <w:tcPr>
            <w:tcW w:w="2835" w:type="dxa"/>
            <w:gridSpan w:val="3"/>
          </w:tcPr>
          <w:p>
            <w:pPr>
              <w:pStyle w:val="TableParagraph"/>
              <w:spacing w:before="72"/>
              <w:ind w:left="130"/>
              <w:rPr>
                <w:b/>
                <w:sz w:val="17"/>
              </w:rPr>
            </w:pPr>
            <w:r>
              <w:rPr>
                <w:b/>
                <w:sz w:val="17"/>
              </w:rPr>
              <w:t>Material combustible presente:</w:t>
            </w:r>
          </w:p>
        </w:tc>
        <w:tc>
          <w:tcPr>
            <w:tcW w:w="5916" w:type="dxa"/>
            <w:gridSpan w:val="4"/>
          </w:tcPr>
          <w:p>
            <w:pPr>
              <w:pStyle w:val="TableParagraph"/>
              <w:spacing w:before="72"/>
              <w:ind w:left="448"/>
              <w:rPr>
                <w:sz w:val="17"/>
              </w:rPr>
            </w:pPr>
            <w:r>
              <w:rPr>
                <w:sz w:val="17"/>
              </w:rPr>
              <w:t>Ascículas, hojas  de encino, conos, semillas, ramas  pequeñas.</w:t>
            </w:r>
          </w:p>
        </w:tc>
      </w:tr>
      <w:tr>
        <w:trPr>
          <w:trHeight w:val="290" w:hRule="exact"/>
        </w:trPr>
        <w:tc>
          <w:tcPr>
            <w:tcW w:w="4007" w:type="dxa"/>
            <w:gridSpan w:val="4"/>
          </w:tcPr>
          <w:p>
            <w:pPr>
              <w:pStyle w:val="TableParagraph"/>
              <w:spacing w:before="28"/>
              <w:ind w:left="1056"/>
              <w:rPr>
                <w:b/>
                <w:sz w:val="17"/>
              </w:rPr>
            </w:pPr>
            <w:r>
              <w:rPr>
                <w:b/>
                <w:sz w:val="17"/>
              </w:rPr>
              <w:t>Evidencia  de incendios</w:t>
            </w:r>
          </w:p>
        </w:tc>
        <w:tc>
          <w:tcPr>
            <w:tcW w:w="4744" w:type="dxa"/>
            <w:gridSpan w:val="3"/>
          </w:tcPr>
          <w:p>
            <w:pPr>
              <w:pStyle w:val="TableParagraph"/>
              <w:spacing w:before="28"/>
              <w:ind w:left="1622" w:right="1611"/>
              <w:jc w:val="center"/>
              <w:rPr>
                <w:b/>
                <w:sz w:val="17"/>
              </w:rPr>
            </w:pPr>
            <w:r>
              <w:rPr>
                <w:b/>
                <w:sz w:val="17"/>
              </w:rPr>
              <w:t>Plagas forestales:</w:t>
            </w:r>
          </w:p>
        </w:tc>
      </w:tr>
      <w:tr>
        <w:trPr>
          <w:trHeight w:val="289" w:hRule="exact"/>
        </w:trPr>
        <w:tc>
          <w:tcPr>
            <w:tcW w:w="4007" w:type="dxa"/>
            <w:gridSpan w:val="4"/>
          </w:tcPr>
          <w:p>
            <w:pPr>
              <w:pStyle w:val="TableParagraph"/>
              <w:spacing w:before="28"/>
              <w:ind w:left="1867" w:right="1867"/>
              <w:jc w:val="center"/>
              <w:rPr>
                <w:sz w:val="17"/>
              </w:rPr>
            </w:pPr>
            <w:r>
              <w:rPr>
                <w:sz w:val="17"/>
              </w:rPr>
              <w:t>No</w:t>
            </w:r>
          </w:p>
        </w:tc>
        <w:tc>
          <w:tcPr>
            <w:tcW w:w="4744" w:type="dxa"/>
            <w:gridSpan w:val="3"/>
          </w:tcPr>
          <w:p>
            <w:pPr>
              <w:pStyle w:val="TableParagraph"/>
              <w:spacing w:before="28"/>
              <w:ind w:left="1599" w:right="1611"/>
              <w:jc w:val="center"/>
              <w:rPr>
                <w:sz w:val="17"/>
              </w:rPr>
            </w:pPr>
            <w:r>
              <w:rPr>
                <w:sz w:val="17"/>
              </w:rPr>
              <w:t>No</w:t>
            </w:r>
          </w:p>
        </w:tc>
      </w:tr>
      <w:tr>
        <w:trPr>
          <w:trHeight w:val="825" w:hRule="exact"/>
        </w:trPr>
        <w:tc>
          <w:tcPr>
            <w:tcW w:w="1664" w:type="dxa"/>
            <w:gridSpan w:val="2"/>
            <w:tcBorders>
              <w:bottom w:val="single" w:sz="6" w:space="0" w:color="000000"/>
            </w:tcBorders>
          </w:tcPr>
          <w:p>
            <w:pPr>
              <w:pStyle w:val="TableParagraph"/>
              <w:spacing w:before="0"/>
              <w:rPr>
                <w:sz w:val="16"/>
              </w:rPr>
            </w:pPr>
          </w:p>
          <w:p>
            <w:pPr>
              <w:pStyle w:val="TableParagraph"/>
              <w:spacing w:before="120"/>
              <w:ind w:left="173"/>
              <w:rPr>
                <w:b/>
                <w:sz w:val="17"/>
              </w:rPr>
            </w:pPr>
            <w:r>
              <w:rPr>
                <w:b/>
                <w:sz w:val="17"/>
              </w:rPr>
              <w:t>Observaciones:</w:t>
            </w:r>
          </w:p>
        </w:tc>
        <w:tc>
          <w:tcPr>
            <w:tcW w:w="7088" w:type="dxa"/>
            <w:gridSpan w:val="5"/>
            <w:tcBorders>
              <w:bottom w:val="single" w:sz="6" w:space="0" w:color="000000"/>
            </w:tcBorders>
          </w:tcPr>
          <w:p>
            <w:pPr>
              <w:pStyle w:val="TableParagraph"/>
              <w:spacing w:before="0"/>
              <w:rPr>
                <w:sz w:val="16"/>
              </w:rPr>
            </w:pPr>
          </w:p>
          <w:p>
            <w:pPr>
              <w:pStyle w:val="TableParagraph"/>
              <w:spacing w:before="120"/>
              <w:ind w:left="28"/>
              <w:rPr>
                <w:sz w:val="17"/>
              </w:rPr>
            </w:pPr>
            <w:r>
              <w:rPr>
                <w:sz w:val="17"/>
              </w:rPr>
              <w:t>Se observa terreno de cultivo recien labrado. Se aprecian aves, lagartijas   y arañas.</w:t>
            </w:r>
          </w:p>
        </w:tc>
      </w:tr>
    </w:tbl>
    <w:p>
      <w:pPr>
        <w:pStyle w:val="BodyText"/>
      </w:pPr>
    </w:p>
    <w:p>
      <w:pPr>
        <w:pStyle w:val="BodyText"/>
        <w:spacing w:before="1"/>
        <w:rPr>
          <w:sz w:val="21"/>
        </w:rPr>
      </w:pPr>
    </w:p>
    <w:p>
      <w:pPr>
        <w:pStyle w:val="BodyText"/>
        <w:ind w:left="102"/>
      </w:pPr>
      <w:r>
        <w:rPr/>
        <w:drawing>
          <wp:anchor distT="0" distB="0" distL="0" distR="0" allowOverlap="1" layoutInCell="1" locked="0" behindDoc="0" simplePos="0" relativeHeight="3928">
            <wp:simplePos x="0" y="0"/>
            <wp:positionH relativeFrom="page">
              <wp:posOffset>1260475</wp:posOffset>
            </wp:positionH>
            <wp:positionV relativeFrom="paragraph">
              <wp:posOffset>254201</wp:posOffset>
            </wp:positionV>
            <wp:extent cx="1616723" cy="909447"/>
            <wp:effectExtent l="0" t="0" r="0" b="0"/>
            <wp:wrapTopAndBottom/>
            <wp:docPr id="105" name="image73.jpeg" descr=""/>
            <wp:cNvGraphicFramePr>
              <a:graphicFrameLocks noChangeAspect="1"/>
            </wp:cNvGraphicFramePr>
            <a:graphic>
              <a:graphicData uri="http://schemas.openxmlformats.org/drawingml/2006/picture">
                <pic:pic>
                  <pic:nvPicPr>
                    <pic:cNvPr id="106" name="image73.jpeg"/>
                    <pic:cNvPicPr/>
                  </pic:nvPicPr>
                  <pic:blipFill>
                    <a:blip r:embed="rId120"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3084195</wp:posOffset>
            </wp:positionH>
            <wp:positionV relativeFrom="paragraph">
              <wp:posOffset>254201</wp:posOffset>
            </wp:positionV>
            <wp:extent cx="1616723" cy="909447"/>
            <wp:effectExtent l="0" t="0" r="0" b="0"/>
            <wp:wrapTopAndBottom/>
            <wp:docPr id="107" name="image74.jpeg" descr=""/>
            <wp:cNvGraphicFramePr>
              <a:graphicFrameLocks noChangeAspect="1"/>
            </wp:cNvGraphicFramePr>
            <a:graphic>
              <a:graphicData uri="http://schemas.openxmlformats.org/drawingml/2006/picture">
                <pic:pic>
                  <pic:nvPicPr>
                    <pic:cNvPr id="108" name="image74.jpeg"/>
                    <pic:cNvPicPr/>
                  </pic:nvPicPr>
                  <pic:blipFill>
                    <a:blip r:embed="rId121"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4909820</wp:posOffset>
            </wp:positionH>
            <wp:positionV relativeFrom="paragraph">
              <wp:posOffset>254201</wp:posOffset>
            </wp:positionV>
            <wp:extent cx="1616723" cy="909447"/>
            <wp:effectExtent l="0" t="0" r="0" b="0"/>
            <wp:wrapTopAndBottom/>
            <wp:docPr id="109" name="image75.jpeg" descr=""/>
            <wp:cNvGraphicFramePr>
              <a:graphicFrameLocks noChangeAspect="1"/>
            </wp:cNvGraphicFramePr>
            <a:graphic>
              <a:graphicData uri="http://schemas.openxmlformats.org/drawingml/2006/picture">
                <pic:pic>
                  <pic:nvPicPr>
                    <pic:cNvPr id="110" name="image75.jpeg"/>
                    <pic:cNvPicPr/>
                  </pic:nvPicPr>
                  <pic:blipFill>
                    <a:blip r:embed="rId122" cstate="print"/>
                    <a:stretch>
                      <a:fillRect/>
                    </a:stretch>
                  </pic:blipFill>
                  <pic:spPr>
                    <a:xfrm>
                      <a:off x="0" y="0"/>
                      <a:ext cx="1616723" cy="909447"/>
                    </a:xfrm>
                    <a:prstGeom prst="rect">
                      <a:avLst/>
                    </a:prstGeom>
                  </pic:spPr>
                </pic:pic>
              </a:graphicData>
            </a:graphic>
          </wp:anchor>
        </w:drawing>
      </w:r>
      <w:r>
        <w:rPr/>
        <w:t>Imágenes del sitio 5.</w:t>
      </w:r>
    </w:p>
    <w:p>
      <w:pPr>
        <w:pStyle w:val="BodyText"/>
        <w:spacing w:before="7"/>
        <w:rPr>
          <w:sz w:val="6"/>
        </w:rPr>
      </w:pPr>
    </w:p>
    <w:p>
      <w:pPr>
        <w:tabs>
          <w:tab w:pos="3596" w:val="left" w:leader="none"/>
          <w:tab w:pos="6460" w:val="left" w:leader="none"/>
        </w:tabs>
        <w:spacing w:line="240" w:lineRule="auto"/>
        <w:ind w:left="723" w:right="0" w:firstLine="0"/>
        <w:rPr>
          <w:sz w:val="20"/>
        </w:rPr>
      </w:pPr>
      <w:r>
        <w:rPr>
          <w:sz w:val="20"/>
        </w:rPr>
        <w:drawing>
          <wp:inline distT="0" distB="0" distL="0" distR="0">
            <wp:extent cx="1159856" cy="1249203"/>
            <wp:effectExtent l="0" t="0" r="0" b="0"/>
            <wp:docPr id="111" name="image76.jpeg" descr=""/>
            <wp:cNvGraphicFramePr>
              <a:graphicFrameLocks noChangeAspect="1"/>
            </wp:cNvGraphicFramePr>
            <a:graphic>
              <a:graphicData uri="http://schemas.openxmlformats.org/drawingml/2006/picture">
                <pic:pic>
                  <pic:nvPicPr>
                    <pic:cNvPr id="112" name="image76.jpeg"/>
                    <pic:cNvPicPr/>
                  </pic:nvPicPr>
                  <pic:blipFill>
                    <a:blip r:embed="rId123" cstate="print"/>
                    <a:stretch>
                      <a:fillRect/>
                    </a:stretch>
                  </pic:blipFill>
                  <pic:spPr>
                    <a:xfrm>
                      <a:off x="0" y="0"/>
                      <a:ext cx="1159856" cy="1249203"/>
                    </a:xfrm>
                    <a:prstGeom prst="rect">
                      <a:avLst/>
                    </a:prstGeom>
                  </pic:spPr>
                </pic:pic>
              </a:graphicData>
            </a:graphic>
          </wp:inline>
        </w:drawing>
      </w:r>
      <w:r>
        <w:rPr>
          <w:sz w:val="20"/>
        </w:rPr>
      </w:r>
      <w:r>
        <w:rPr>
          <w:sz w:val="20"/>
        </w:rPr>
        <w:tab/>
      </w:r>
      <w:r>
        <w:rPr>
          <w:sz w:val="20"/>
        </w:rPr>
        <w:drawing>
          <wp:inline distT="0" distB="0" distL="0" distR="0">
            <wp:extent cx="1159327" cy="1249203"/>
            <wp:effectExtent l="0" t="0" r="0" b="0"/>
            <wp:docPr id="113" name="image77.jpeg" descr=""/>
            <wp:cNvGraphicFramePr>
              <a:graphicFrameLocks noChangeAspect="1"/>
            </wp:cNvGraphicFramePr>
            <a:graphic>
              <a:graphicData uri="http://schemas.openxmlformats.org/drawingml/2006/picture">
                <pic:pic>
                  <pic:nvPicPr>
                    <pic:cNvPr id="114" name="image77.jpeg"/>
                    <pic:cNvPicPr/>
                  </pic:nvPicPr>
                  <pic:blipFill>
                    <a:blip r:embed="rId124" cstate="print"/>
                    <a:stretch>
                      <a:fillRect/>
                    </a:stretch>
                  </pic:blipFill>
                  <pic:spPr>
                    <a:xfrm>
                      <a:off x="0" y="0"/>
                      <a:ext cx="1159327" cy="1249203"/>
                    </a:xfrm>
                    <a:prstGeom prst="rect">
                      <a:avLst/>
                    </a:prstGeom>
                  </pic:spPr>
                </pic:pic>
              </a:graphicData>
            </a:graphic>
          </wp:inline>
        </w:drawing>
      </w:r>
      <w:r>
        <w:rPr>
          <w:sz w:val="20"/>
        </w:rPr>
      </w:r>
      <w:r>
        <w:rPr>
          <w:sz w:val="20"/>
        </w:rPr>
        <w:tab/>
      </w:r>
      <w:r>
        <w:rPr>
          <w:position w:val="1"/>
          <w:sz w:val="20"/>
        </w:rPr>
        <w:drawing>
          <wp:inline distT="0" distB="0" distL="0" distR="0">
            <wp:extent cx="1169954" cy="1245108"/>
            <wp:effectExtent l="0" t="0" r="0" b="0"/>
            <wp:docPr id="115" name="image78.jpeg" descr=""/>
            <wp:cNvGraphicFramePr>
              <a:graphicFrameLocks noChangeAspect="1"/>
            </wp:cNvGraphicFramePr>
            <a:graphic>
              <a:graphicData uri="http://schemas.openxmlformats.org/drawingml/2006/picture">
                <pic:pic>
                  <pic:nvPicPr>
                    <pic:cNvPr id="116" name="image78.jpeg"/>
                    <pic:cNvPicPr/>
                  </pic:nvPicPr>
                  <pic:blipFill>
                    <a:blip r:embed="rId125" cstate="print"/>
                    <a:stretch>
                      <a:fillRect/>
                    </a:stretch>
                  </pic:blipFill>
                  <pic:spPr>
                    <a:xfrm>
                      <a:off x="0" y="0"/>
                      <a:ext cx="1169954" cy="1245108"/>
                    </a:xfrm>
                    <a:prstGeom prst="rect">
                      <a:avLst/>
                    </a:prstGeom>
                  </pic:spPr>
                </pic:pic>
              </a:graphicData>
            </a:graphic>
          </wp:inline>
        </w:drawing>
      </w:r>
      <w:r>
        <w:rPr>
          <w:position w:val="1"/>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6.</w:t>
      </w:r>
    </w:p>
    <w:p>
      <w:pPr>
        <w:pStyle w:val="BodyText"/>
        <w:spacing w:before="9" w:after="1"/>
        <w:rPr>
          <w:sz w:val="10"/>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5"/>
        <w:gridCol w:w="517"/>
        <w:gridCol w:w="1164"/>
        <w:gridCol w:w="1164"/>
        <w:gridCol w:w="1538"/>
        <w:gridCol w:w="1150"/>
        <w:gridCol w:w="2026"/>
      </w:tblGrid>
      <w:tr>
        <w:trPr>
          <w:trHeight w:val="288" w:hRule="exact"/>
        </w:trPr>
        <w:tc>
          <w:tcPr>
            <w:tcW w:w="1135" w:type="dxa"/>
            <w:vMerge w:val="restart"/>
          </w:tcPr>
          <w:p>
            <w:pPr>
              <w:pStyle w:val="TableParagraph"/>
              <w:spacing w:before="10"/>
              <w:rPr>
                <w:sz w:val="14"/>
              </w:rPr>
            </w:pPr>
          </w:p>
          <w:p>
            <w:pPr>
              <w:pStyle w:val="TableParagraph"/>
              <w:spacing w:before="0"/>
              <w:ind w:left="316"/>
              <w:rPr>
                <w:b/>
                <w:sz w:val="17"/>
              </w:rPr>
            </w:pPr>
            <w:r>
              <w:rPr>
                <w:b/>
                <w:sz w:val="17"/>
              </w:rPr>
              <w:t>Fecha</w:t>
            </w:r>
          </w:p>
        </w:tc>
        <w:tc>
          <w:tcPr>
            <w:tcW w:w="517" w:type="dxa"/>
            <w:vMerge w:val="restart"/>
          </w:tcPr>
          <w:p>
            <w:pPr>
              <w:pStyle w:val="TableParagraph"/>
              <w:spacing w:before="10"/>
              <w:rPr>
                <w:sz w:val="14"/>
              </w:rPr>
            </w:pPr>
          </w:p>
          <w:p>
            <w:pPr>
              <w:pStyle w:val="TableParagraph"/>
              <w:spacing w:before="0"/>
              <w:ind w:left="71"/>
              <w:rPr>
                <w:b/>
                <w:sz w:val="17"/>
              </w:rPr>
            </w:pPr>
            <w:r>
              <w:rPr>
                <w:b/>
                <w:sz w:val="17"/>
              </w:rPr>
              <w:t>Sitio</w:t>
            </w:r>
          </w:p>
        </w:tc>
        <w:tc>
          <w:tcPr>
            <w:tcW w:w="2328" w:type="dxa"/>
            <w:gridSpan w:val="2"/>
          </w:tcPr>
          <w:p>
            <w:pPr>
              <w:pStyle w:val="TableParagraph"/>
              <w:spacing w:before="56"/>
              <w:ind w:left="402"/>
              <w:rPr>
                <w:b/>
                <w:sz w:val="17"/>
              </w:rPr>
            </w:pPr>
            <w:r>
              <w:rPr>
                <w:b/>
                <w:sz w:val="17"/>
              </w:rPr>
              <w:t>Coordenadas UTM</w:t>
            </w:r>
          </w:p>
        </w:tc>
        <w:tc>
          <w:tcPr>
            <w:tcW w:w="1538" w:type="dxa"/>
            <w:vMerge w:val="restart"/>
          </w:tcPr>
          <w:p>
            <w:pPr>
              <w:pStyle w:val="TableParagraph"/>
              <w:spacing w:before="10"/>
              <w:rPr>
                <w:sz w:val="14"/>
              </w:rPr>
            </w:pPr>
          </w:p>
          <w:p>
            <w:pPr>
              <w:pStyle w:val="TableParagraph"/>
              <w:spacing w:before="0"/>
              <w:ind w:left="359"/>
              <w:rPr>
                <w:b/>
                <w:sz w:val="17"/>
              </w:rPr>
            </w:pPr>
            <w:r>
              <w:rPr>
                <w:b/>
                <w:sz w:val="17"/>
              </w:rPr>
              <w:t>Localidad</w:t>
            </w:r>
          </w:p>
        </w:tc>
        <w:tc>
          <w:tcPr>
            <w:tcW w:w="1150" w:type="dxa"/>
            <w:vMerge w:val="restart"/>
          </w:tcPr>
          <w:p>
            <w:pPr>
              <w:pStyle w:val="TableParagraph"/>
              <w:spacing w:before="10"/>
              <w:rPr>
                <w:sz w:val="14"/>
              </w:rPr>
            </w:pPr>
          </w:p>
          <w:p>
            <w:pPr>
              <w:pStyle w:val="TableParagraph"/>
              <w:spacing w:before="0"/>
              <w:ind w:left="115"/>
              <w:rPr>
                <w:b/>
                <w:sz w:val="17"/>
              </w:rPr>
            </w:pPr>
            <w:r>
              <w:rPr>
                <w:b/>
                <w:sz w:val="17"/>
              </w:rPr>
              <w:t>Delegación</w:t>
            </w:r>
          </w:p>
        </w:tc>
        <w:tc>
          <w:tcPr>
            <w:tcW w:w="2026" w:type="dxa"/>
            <w:vMerge w:val="restart"/>
          </w:tcPr>
          <w:p>
            <w:pPr>
              <w:pStyle w:val="TableParagraph"/>
              <w:spacing w:before="10"/>
              <w:rPr>
                <w:sz w:val="14"/>
              </w:rPr>
            </w:pPr>
          </w:p>
          <w:p>
            <w:pPr>
              <w:pStyle w:val="TableParagraph"/>
              <w:spacing w:before="0"/>
              <w:ind w:left="330"/>
              <w:rPr>
                <w:b/>
                <w:sz w:val="17"/>
              </w:rPr>
            </w:pPr>
            <w:r>
              <w:rPr>
                <w:b/>
                <w:sz w:val="17"/>
              </w:rPr>
              <w:t>Elevación msnm</w:t>
            </w:r>
          </w:p>
        </w:tc>
      </w:tr>
      <w:tr>
        <w:trPr>
          <w:trHeight w:val="287" w:hRule="exact"/>
        </w:trPr>
        <w:tc>
          <w:tcPr>
            <w:tcW w:w="1135" w:type="dxa"/>
            <w:vMerge/>
          </w:tcPr>
          <w:p>
            <w:pPr/>
          </w:p>
        </w:tc>
        <w:tc>
          <w:tcPr>
            <w:tcW w:w="517" w:type="dxa"/>
            <w:vMerge/>
          </w:tcPr>
          <w:p>
            <w:pPr/>
          </w:p>
        </w:tc>
        <w:tc>
          <w:tcPr>
            <w:tcW w:w="1164" w:type="dxa"/>
          </w:tcPr>
          <w:p>
            <w:pPr>
              <w:pStyle w:val="TableParagraph"/>
              <w:spacing w:before="42"/>
              <w:ind w:left="146" w:right="149"/>
              <w:jc w:val="center"/>
              <w:rPr>
                <w:b/>
                <w:sz w:val="17"/>
              </w:rPr>
            </w:pPr>
            <w:r>
              <w:rPr>
                <w:b/>
                <w:sz w:val="17"/>
              </w:rPr>
              <w:t>Oeste</w:t>
            </w:r>
          </w:p>
        </w:tc>
        <w:tc>
          <w:tcPr>
            <w:tcW w:w="1164" w:type="dxa"/>
          </w:tcPr>
          <w:p>
            <w:pPr>
              <w:pStyle w:val="TableParagraph"/>
              <w:spacing w:before="42"/>
              <w:ind w:left="105" w:right="97"/>
              <w:jc w:val="center"/>
              <w:rPr>
                <w:b/>
                <w:sz w:val="17"/>
              </w:rPr>
            </w:pPr>
            <w:r>
              <w:rPr>
                <w:b/>
                <w:sz w:val="17"/>
              </w:rPr>
              <w:t>Norte</w:t>
            </w:r>
          </w:p>
        </w:tc>
        <w:tc>
          <w:tcPr>
            <w:tcW w:w="1538" w:type="dxa"/>
            <w:vMerge/>
          </w:tcPr>
          <w:p>
            <w:pPr/>
          </w:p>
        </w:tc>
        <w:tc>
          <w:tcPr>
            <w:tcW w:w="1150" w:type="dxa"/>
            <w:vMerge/>
          </w:tcPr>
          <w:p>
            <w:pPr/>
          </w:p>
        </w:tc>
        <w:tc>
          <w:tcPr>
            <w:tcW w:w="2026" w:type="dxa"/>
            <w:vMerge/>
          </w:tcPr>
          <w:p>
            <w:pPr/>
          </w:p>
        </w:tc>
      </w:tr>
      <w:tr>
        <w:trPr>
          <w:trHeight w:val="475" w:hRule="exact"/>
        </w:trPr>
        <w:tc>
          <w:tcPr>
            <w:tcW w:w="1135" w:type="dxa"/>
          </w:tcPr>
          <w:p>
            <w:pPr>
              <w:pStyle w:val="TableParagraph"/>
              <w:spacing w:before="128"/>
              <w:ind w:left="112" w:right="117"/>
              <w:jc w:val="center"/>
              <w:rPr>
                <w:sz w:val="17"/>
              </w:rPr>
            </w:pPr>
            <w:r>
              <w:rPr>
                <w:sz w:val="17"/>
              </w:rPr>
              <w:t>15/01/2015</w:t>
            </w:r>
          </w:p>
        </w:tc>
        <w:tc>
          <w:tcPr>
            <w:tcW w:w="517" w:type="dxa"/>
          </w:tcPr>
          <w:p>
            <w:pPr>
              <w:pStyle w:val="TableParagraph"/>
              <w:spacing w:before="128"/>
              <w:ind w:right="2"/>
              <w:jc w:val="center"/>
              <w:rPr>
                <w:sz w:val="17"/>
              </w:rPr>
            </w:pPr>
            <w:r>
              <w:rPr>
                <w:w w:val="101"/>
                <w:sz w:val="17"/>
              </w:rPr>
              <w:t>6</w:t>
            </w:r>
          </w:p>
        </w:tc>
        <w:tc>
          <w:tcPr>
            <w:tcW w:w="1164" w:type="dxa"/>
          </w:tcPr>
          <w:p>
            <w:pPr>
              <w:pStyle w:val="TableParagraph"/>
              <w:spacing w:before="128"/>
              <w:ind w:left="156" w:right="149"/>
              <w:jc w:val="center"/>
              <w:rPr>
                <w:sz w:val="17"/>
              </w:rPr>
            </w:pPr>
            <w:r>
              <w:rPr>
                <w:sz w:val="17"/>
              </w:rPr>
              <w:t>466836.99</w:t>
            </w:r>
          </w:p>
        </w:tc>
        <w:tc>
          <w:tcPr>
            <w:tcW w:w="1164" w:type="dxa"/>
          </w:tcPr>
          <w:p>
            <w:pPr>
              <w:pStyle w:val="TableParagraph"/>
              <w:spacing w:before="128"/>
              <w:ind w:left="105" w:right="106"/>
              <w:jc w:val="center"/>
              <w:rPr>
                <w:sz w:val="17"/>
              </w:rPr>
            </w:pPr>
            <w:r>
              <w:rPr>
                <w:sz w:val="17"/>
              </w:rPr>
              <w:t>2135665.11</w:t>
            </w:r>
          </w:p>
        </w:tc>
        <w:tc>
          <w:tcPr>
            <w:tcW w:w="1538" w:type="dxa"/>
          </w:tcPr>
          <w:p>
            <w:pPr>
              <w:pStyle w:val="TableParagraph"/>
              <w:spacing w:line="283" w:lineRule="auto" w:before="0"/>
              <w:ind w:left="460" w:hanging="303"/>
              <w:rPr>
                <w:sz w:val="17"/>
              </w:rPr>
            </w:pPr>
            <w:r>
              <w:rPr>
                <w:sz w:val="17"/>
              </w:rPr>
              <w:t>Desierto de los Leones</w:t>
            </w:r>
          </w:p>
        </w:tc>
        <w:tc>
          <w:tcPr>
            <w:tcW w:w="1150" w:type="dxa"/>
          </w:tcPr>
          <w:p>
            <w:pPr>
              <w:pStyle w:val="TableParagraph"/>
              <w:spacing w:before="1"/>
              <w:rPr>
                <w:sz w:val="21"/>
              </w:rPr>
            </w:pPr>
          </w:p>
          <w:p>
            <w:pPr>
              <w:pStyle w:val="TableParagraph"/>
              <w:spacing w:before="0"/>
              <w:ind w:left="126" w:right="119"/>
              <w:jc w:val="center"/>
              <w:rPr>
                <w:sz w:val="17"/>
              </w:rPr>
            </w:pPr>
            <w:r>
              <w:rPr>
                <w:sz w:val="17"/>
              </w:rPr>
              <w:t>Cuajimalpa</w:t>
            </w:r>
          </w:p>
        </w:tc>
        <w:tc>
          <w:tcPr>
            <w:tcW w:w="2026" w:type="dxa"/>
          </w:tcPr>
          <w:p>
            <w:pPr>
              <w:pStyle w:val="TableParagraph"/>
              <w:spacing w:before="1"/>
              <w:rPr>
                <w:sz w:val="21"/>
              </w:rPr>
            </w:pPr>
          </w:p>
          <w:p>
            <w:pPr>
              <w:pStyle w:val="TableParagraph"/>
              <w:spacing w:before="0"/>
              <w:ind w:left="797" w:right="797"/>
              <w:jc w:val="center"/>
              <w:rPr>
                <w:sz w:val="17"/>
              </w:rPr>
            </w:pPr>
            <w:r>
              <w:rPr>
                <w:sz w:val="17"/>
              </w:rPr>
              <w:t>3019</w:t>
            </w:r>
          </w:p>
        </w:tc>
      </w:tr>
      <w:tr>
        <w:trPr>
          <w:trHeight w:val="317" w:hRule="exact"/>
        </w:trPr>
        <w:tc>
          <w:tcPr>
            <w:tcW w:w="2817" w:type="dxa"/>
            <w:gridSpan w:val="3"/>
          </w:tcPr>
          <w:p>
            <w:pPr>
              <w:pStyle w:val="TableParagraph"/>
              <w:spacing w:before="42"/>
              <w:ind w:left="488"/>
              <w:rPr>
                <w:b/>
                <w:sz w:val="17"/>
              </w:rPr>
            </w:pPr>
            <w:r>
              <w:rPr>
                <w:b/>
                <w:sz w:val="17"/>
              </w:rPr>
              <w:t>Ángulo de la pendiente</w:t>
            </w:r>
          </w:p>
        </w:tc>
        <w:tc>
          <w:tcPr>
            <w:tcW w:w="2702" w:type="dxa"/>
            <w:gridSpan w:val="2"/>
          </w:tcPr>
          <w:p>
            <w:pPr>
              <w:pStyle w:val="TableParagraph"/>
              <w:spacing w:before="42"/>
              <w:ind w:left="445"/>
              <w:rPr>
                <w:b/>
                <w:sz w:val="17"/>
              </w:rPr>
            </w:pPr>
            <w:r>
              <w:rPr>
                <w:b/>
                <w:sz w:val="17"/>
              </w:rPr>
              <w:t>Forma de la pendiente</w:t>
            </w:r>
          </w:p>
        </w:tc>
        <w:tc>
          <w:tcPr>
            <w:tcW w:w="3176" w:type="dxa"/>
            <w:gridSpan w:val="2"/>
          </w:tcPr>
          <w:p>
            <w:pPr>
              <w:pStyle w:val="TableParagraph"/>
              <w:spacing w:before="42"/>
              <w:ind w:left="1062" w:right="1066"/>
              <w:jc w:val="center"/>
              <w:rPr>
                <w:b/>
                <w:sz w:val="17"/>
              </w:rPr>
            </w:pPr>
            <w:r>
              <w:rPr>
                <w:b/>
                <w:sz w:val="17"/>
              </w:rPr>
              <w:t>Microrelieve</w:t>
            </w:r>
          </w:p>
        </w:tc>
      </w:tr>
      <w:tr>
        <w:trPr>
          <w:trHeight w:val="287" w:hRule="exact"/>
        </w:trPr>
        <w:tc>
          <w:tcPr>
            <w:tcW w:w="2817" w:type="dxa"/>
            <w:gridSpan w:val="3"/>
          </w:tcPr>
          <w:p>
            <w:pPr>
              <w:pStyle w:val="TableParagraph"/>
              <w:spacing w:before="56"/>
              <w:ind w:left="1046" w:right="1046"/>
              <w:jc w:val="center"/>
              <w:rPr>
                <w:sz w:val="17"/>
              </w:rPr>
            </w:pPr>
            <w:r>
              <w:rPr>
                <w:sz w:val="17"/>
              </w:rPr>
              <w:t>30°</w:t>
            </w:r>
          </w:p>
        </w:tc>
        <w:tc>
          <w:tcPr>
            <w:tcW w:w="2702" w:type="dxa"/>
            <w:gridSpan w:val="2"/>
          </w:tcPr>
          <w:p>
            <w:pPr>
              <w:pStyle w:val="TableParagraph"/>
              <w:spacing w:before="56"/>
              <w:ind w:left="979" w:right="997"/>
              <w:jc w:val="center"/>
              <w:rPr>
                <w:sz w:val="17"/>
              </w:rPr>
            </w:pPr>
            <w:r>
              <w:rPr>
                <w:sz w:val="17"/>
              </w:rPr>
              <w:t>Concava</w:t>
            </w:r>
          </w:p>
        </w:tc>
        <w:tc>
          <w:tcPr>
            <w:tcW w:w="3176" w:type="dxa"/>
            <w:gridSpan w:val="2"/>
          </w:tcPr>
          <w:p>
            <w:pPr>
              <w:pStyle w:val="TableParagraph"/>
              <w:spacing w:before="56"/>
              <w:ind w:left="1049"/>
              <w:rPr>
                <w:sz w:val="17"/>
              </w:rPr>
            </w:pPr>
            <w:r>
              <w:rPr>
                <w:sz w:val="17"/>
              </w:rPr>
              <w:t>Microterrazas</w:t>
            </w:r>
          </w:p>
        </w:tc>
      </w:tr>
      <w:tr>
        <w:trPr>
          <w:trHeight w:val="288" w:hRule="exact"/>
        </w:trPr>
        <w:tc>
          <w:tcPr>
            <w:tcW w:w="2817" w:type="dxa"/>
            <w:gridSpan w:val="3"/>
          </w:tcPr>
          <w:p>
            <w:pPr>
              <w:pStyle w:val="TableParagraph"/>
              <w:spacing w:before="27"/>
              <w:ind w:left="287"/>
              <w:rPr>
                <w:b/>
                <w:sz w:val="17"/>
              </w:rPr>
            </w:pPr>
            <w:r>
              <w:rPr>
                <w:b/>
                <w:sz w:val="17"/>
              </w:rPr>
              <w:t>Drenaje superficial del sitio</w:t>
            </w:r>
          </w:p>
        </w:tc>
        <w:tc>
          <w:tcPr>
            <w:tcW w:w="2702" w:type="dxa"/>
            <w:gridSpan w:val="2"/>
          </w:tcPr>
          <w:p>
            <w:pPr>
              <w:pStyle w:val="TableParagraph"/>
              <w:spacing w:before="27"/>
              <w:ind w:left="646"/>
              <w:rPr>
                <w:b/>
                <w:sz w:val="17"/>
              </w:rPr>
            </w:pPr>
            <w:r>
              <w:rPr>
                <w:b/>
                <w:sz w:val="17"/>
              </w:rPr>
              <w:t>Material parental</w:t>
            </w:r>
          </w:p>
        </w:tc>
        <w:tc>
          <w:tcPr>
            <w:tcW w:w="1150" w:type="dxa"/>
          </w:tcPr>
          <w:p>
            <w:pPr>
              <w:pStyle w:val="TableParagraph"/>
              <w:spacing w:before="42"/>
              <w:ind w:left="126" w:right="117"/>
              <w:jc w:val="center"/>
              <w:rPr>
                <w:b/>
                <w:sz w:val="17"/>
              </w:rPr>
            </w:pPr>
            <w:r>
              <w:rPr>
                <w:b/>
                <w:sz w:val="17"/>
              </w:rPr>
              <w:t>Color</w:t>
            </w:r>
          </w:p>
        </w:tc>
        <w:tc>
          <w:tcPr>
            <w:tcW w:w="2026" w:type="dxa"/>
          </w:tcPr>
          <w:p>
            <w:pPr>
              <w:pStyle w:val="TableParagraph"/>
              <w:spacing w:before="42"/>
              <w:ind w:right="182"/>
              <w:jc w:val="right"/>
              <w:rPr>
                <w:b/>
                <w:sz w:val="17"/>
              </w:rPr>
            </w:pPr>
            <w:r>
              <w:rPr>
                <w:b/>
                <w:sz w:val="17"/>
              </w:rPr>
              <w:t>Color intemperizado</w:t>
            </w:r>
          </w:p>
        </w:tc>
      </w:tr>
      <w:tr>
        <w:trPr>
          <w:trHeight w:val="287" w:hRule="exact"/>
        </w:trPr>
        <w:tc>
          <w:tcPr>
            <w:tcW w:w="2817" w:type="dxa"/>
            <w:gridSpan w:val="3"/>
          </w:tcPr>
          <w:p>
            <w:pPr>
              <w:pStyle w:val="TableParagraph"/>
              <w:spacing w:before="27"/>
              <w:ind w:left="1046" w:right="1054"/>
              <w:jc w:val="center"/>
              <w:rPr>
                <w:sz w:val="17"/>
              </w:rPr>
            </w:pPr>
            <w:r>
              <w:rPr>
                <w:sz w:val="17"/>
              </w:rPr>
              <w:t>Donador</w:t>
            </w:r>
          </w:p>
        </w:tc>
        <w:tc>
          <w:tcPr>
            <w:tcW w:w="2702" w:type="dxa"/>
            <w:gridSpan w:val="2"/>
          </w:tcPr>
          <w:p>
            <w:pPr>
              <w:pStyle w:val="TableParagraph"/>
              <w:spacing w:before="27"/>
              <w:ind w:left="574"/>
              <w:rPr>
                <w:sz w:val="17"/>
              </w:rPr>
            </w:pPr>
            <w:r>
              <w:rPr>
                <w:sz w:val="17"/>
              </w:rPr>
              <w:t>Cenizas volcánicas</w:t>
            </w:r>
          </w:p>
        </w:tc>
        <w:tc>
          <w:tcPr>
            <w:tcW w:w="1150" w:type="dxa"/>
          </w:tcPr>
          <w:p>
            <w:pPr>
              <w:pStyle w:val="TableParagraph"/>
              <w:spacing w:before="56"/>
              <w:ind w:left="126" w:right="117"/>
              <w:jc w:val="center"/>
              <w:rPr>
                <w:sz w:val="17"/>
              </w:rPr>
            </w:pPr>
            <w:r>
              <w:rPr>
                <w:sz w:val="17"/>
              </w:rPr>
              <w:t>Café</w:t>
            </w:r>
          </w:p>
        </w:tc>
        <w:tc>
          <w:tcPr>
            <w:tcW w:w="2026" w:type="dxa"/>
          </w:tcPr>
          <w:p>
            <w:pPr>
              <w:pStyle w:val="TableParagraph"/>
              <w:spacing w:before="56"/>
              <w:ind w:left="431"/>
              <w:rPr>
                <w:sz w:val="17"/>
              </w:rPr>
            </w:pPr>
            <w:r>
              <w:rPr>
                <w:sz w:val="17"/>
              </w:rPr>
              <w:t>No se observa</w:t>
            </w:r>
          </w:p>
        </w:tc>
      </w:tr>
      <w:tr>
        <w:trPr>
          <w:trHeight w:val="288" w:hRule="exact"/>
        </w:trPr>
        <w:tc>
          <w:tcPr>
            <w:tcW w:w="1135" w:type="dxa"/>
          </w:tcPr>
          <w:p>
            <w:pPr>
              <w:pStyle w:val="TableParagraph"/>
              <w:spacing w:before="42"/>
              <w:ind w:left="112" w:right="115"/>
              <w:jc w:val="center"/>
              <w:rPr>
                <w:b/>
                <w:sz w:val="17"/>
              </w:rPr>
            </w:pPr>
            <w:r>
              <w:rPr>
                <w:b/>
                <w:sz w:val="17"/>
              </w:rPr>
              <w:t>Textura</w:t>
            </w:r>
          </w:p>
        </w:tc>
        <w:tc>
          <w:tcPr>
            <w:tcW w:w="2846" w:type="dxa"/>
            <w:gridSpan w:val="3"/>
          </w:tcPr>
          <w:p>
            <w:pPr>
              <w:pStyle w:val="TableParagraph"/>
              <w:spacing w:before="27"/>
              <w:ind w:left="488"/>
              <w:rPr>
                <w:b/>
                <w:sz w:val="17"/>
              </w:rPr>
            </w:pPr>
            <w:r>
              <w:rPr>
                <w:b/>
                <w:sz w:val="17"/>
              </w:rPr>
              <w:t>Minerales observables</w:t>
            </w:r>
          </w:p>
        </w:tc>
        <w:tc>
          <w:tcPr>
            <w:tcW w:w="2687" w:type="dxa"/>
            <w:gridSpan w:val="2"/>
          </w:tcPr>
          <w:p>
            <w:pPr>
              <w:pStyle w:val="TableParagraph"/>
              <w:spacing w:before="27"/>
              <w:ind w:left="603"/>
              <w:rPr>
                <w:b/>
                <w:sz w:val="17"/>
              </w:rPr>
            </w:pPr>
            <w:r>
              <w:rPr>
                <w:b/>
                <w:sz w:val="17"/>
              </w:rPr>
              <w:t>Vegetación nativa</w:t>
            </w:r>
          </w:p>
        </w:tc>
        <w:tc>
          <w:tcPr>
            <w:tcW w:w="2026" w:type="dxa"/>
          </w:tcPr>
          <w:p>
            <w:pPr>
              <w:pStyle w:val="TableParagraph"/>
              <w:spacing w:before="42"/>
              <w:ind w:right="135"/>
              <w:jc w:val="right"/>
              <w:rPr>
                <w:b/>
                <w:sz w:val="17"/>
              </w:rPr>
            </w:pPr>
            <w:r>
              <w:rPr>
                <w:b/>
                <w:sz w:val="17"/>
              </w:rPr>
              <w:t>Especies dominantes</w:t>
            </w:r>
          </w:p>
        </w:tc>
      </w:tr>
      <w:tr>
        <w:trPr>
          <w:trHeight w:val="288" w:hRule="exact"/>
        </w:trPr>
        <w:tc>
          <w:tcPr>
            <w:tcW w:w="1135" w:type="dxa"/>
            <w:tcBorders>
              <w:left w:val="nil"/>
              <w:bottom w:val="single" w:sz="6" w:space="0" w:color="000000"/>
            </w:tcBorders>
          </w:tcPr>
          <w:p>
            <w:pPr>
              <w:pStyle w:val="TableParagraph"/>
              <w:spacing w:before="42"/>
              <w:ind w:left="-8" w:right="-7"/>
              <w:jc w:val="center"/>
              <w:rPr>
                <w:sz w:val="17"/>
              </w:rPr>
            </w:pPr>
            <w:r>
              <w:rPr>
                <w:sz w:val="17"/>
              </w:rPr>
              <w:t>No </w:t>
            </w:r>
            <w:r>
              <w:rPr>
                <w:spacing w:val="7"/>
                <w:sz w:val="17"/>
              </w:rPr>
              <w:t>se</w:t>
            </w:r>
            <w:r>
              <w:rPr>
                <w:spacing w:val="30"/>
                <w:sz w:val="17"/>
              </w:rPr>
              <w:t> </w:t>
            </w:r>
            <w:r>
              <w:rPr>
                <w:sz w:val="17"/>
              </w:rPr>
              <w:t>observa</w:t>
            </w:r>
          </w:p>
        </w:tc>
        <w:tc>
          <w:tcPr>
            <w:tcW w:w="2846" w:type="dxa"/>
            <w:gridSpan w:val="3"/>
            <w:tcBorders>
              <w:bottom w:val="single" w:sz="6" w:space="0" w:color="000000"/>
            </w:tcBorders>
          </w:tcPr>
          <w:p>
            <w:pPr>
              <w:pStyle w:val="TableParagraph"/>
              <w:spacing w:before="27"/>
              <w:ind w:left="833"/>
              <w:rPr>
                <w:sz w:val="17"/>
              </w:rPr>
            </w:pPr>
            <w:r>
              <w:rPr>
                <w:sz w:val="17"/>
              </w:rPr>
              <w:t>No se observa</w:t>
            </w:r>
          </w:p>
        </w:tc>
        <w:tc>
          <w:tcPr>
            <w:tcW w:w="2687" w:type="dxa"/>
            <w:gridSpan w:val="2"/>
            <w:tcBorders>
              <w:bottom w:val="single" w:sz="6" w:space="0" w:color="000000"/>
            </w:tcBorders>
          </w:tcPr>
          <w:p>
            <w:pPr>
              <w:pStyle w:val="TableParagraph"/>
              <w:spacing w:before="27"/>
              <w:ind w:left="430"/>
              <w:rPr>
                <w:sz w:val="17"/>
              </w:rPr>
            </w:pPr>
            <w:r>
              <w:rPr>
                <w:sz w:val="17"/>
              </w:rPr>
              <w:t>Abies, encinos, cedros</w:t>
            </w:r>
          </w:p>
        </w:tc>
        <w:tc>
          <w:tcPr>
            <w:tcW w:w="2026" w:type="dxa"/>
            <w:tcBorders>
              <w:bottom w:val="single" w:sz="6" w:space="0" w:color="000000"/>
            </w:tcBorders>
          </w:tcPr>
          <w:p>
            <w:pPr>
              <w:pStyle w:val="TableParagraph"/>
              <w:spacing w:before="42"/>
              <w:ind w:left="647"/>
              <w:rPr>
                <w:sz w:val="17"/>
              </w:rPr>
            </w:pPr>
            <w:r>
              <w:rPr>
                <w:sz w:val="17"/>
              </w:rPr>
              <w:t>arboreas</w:t>
            </w:r>
          </w:p>
        </w:tc>
      </w:tr>
      <w:tr>
        <w:trPr>
          <w:trHeight w:val="288" w:hRule="exact"/>
        </w:trPr>
        <w:tc>
          <w:tcPr>
            <w:tcW w:w="2817" w:type="dxa"/>
            <w:gridSpan w:val="3"/>
            <w:tcBorders>
              <w:top w:val="single" w:sz="6" w:space="0" w:color="000000"/>
            </w:tcBorders>
          </w:tcPr>
          <w:p>
            <w:pPr>
              <w:pStyle w:val="TableParagraph"/>
              <w:spacing w:before="27"/>
              <w:ind w:left="1046" w:right="1054"/>
              <w:jc w:val="center"/>
              <w:rPr>
                <w:b/>
                <w:sz w:val="17"/>
              </w:rPr>
            </w:pPr>
            <w:r>
              <w:rPr>
                <w:b/>
                <w:sz w:val="17"/>
              </w:rPr>
              <w:t>Función</w:t>
            </w:r>
          </w:p>
        </w:tc>
        <w:tc>
          <w:tcPr>
            <w:tcW w:w="5878" w:type="dxa"/>
            <w:gridSpan w:val="4"/>
            <w:tcBorders>
              <w:top w:val="single" w:sz="6" w:space="0" w:color="000000"/>
            </w:tcBorders>
          </w:tcPr>
          <w:p>
            <w:pPr>
              <w:pStyle w:val="TableParagraph"/>
              <w:spacing w:before="27"/>
              <w:ind w:left="2063" w:right="2069"/>
              <w:jc w:val="center"/>
              <w:rPr>
                <w:b/>
                <w:sz w:val="17"/>
              </w:rPr>
            </w:pPr>
            <w:r>
              <w:rPr>
                <w:b/>
                <w:sz w:val="17"/>
              </w:rPr>
              <w:t>Vegetación cultivada</w:t>
            </w:r>
          </w:p>
        </w:tc>
      </w:tr>
      <w:tr>
        <w:trPr>
          <w:trHeight w:val="288" w:hRule="exact"/>
        </w:trPr>
        <w:tc>
          <w:tcPr>
            <w:tcW w:w="2817" w:type="dxa"/>
            <w:gridSpan w:val="3"/>
          </w:tcPr>
          <w:p>
            <w:pPr>
              <w:pStyle w:val="TableParagraph"/>
              <w:spacing w:before="27"/>
              <w:ind w:left="819"/>
              <w:rPr>
                <w:sz w:val="17"/>
              </w:rPr>
            </w:pPr>
            <w:r>
              <w:rPr>
                <w:sz w:val="17"/>
              </w:rPr>
              <w:t>Siempre verde</w:t>
            </w:r>
          </w:p>
        </w:tc>
        <w:tc>
          <w:tcPr>
            <w:tcW w:w="5878" w:type="dxa"/>
            <w:gridSpan w:val="4"/>
          </w:tcPr>
          <w:p>
            <w:pPr>
              <w:pStyle w:val="TableParagraph"/>
              <w:spacing w:before="27"/>
              <w:ind w:left="2063" w:right="2063"/>
              <w:jc w:val="center"/>
              <w:rPr>
                <w:sz w:val="17"/>
              </w:rPr>
            </w:pPr>
            <w:r>
              <w:rPr>
                <w:sz w:val="17"/>
              </w:rPr>
              <w:t>No</w:t>
            </w:r>
          </w:p>
        </w:tc>
      </w:tr>
      <w:tr>
        <w:trPr>
          <w:trHeight w:val="287" w:hRule="exact"/>
        </w:trPr>
        <w:tc>
          <w:tcPr>
            <w:tcW w:w="3981" w:type="dxa"/>
            <w:gridSpan w:val="4"/>
          </w:tcPr>
          <w:p>
            <w:pPr>
              <w:pStyle w:val="TableParagraph"/>
              <w:spacing w:before="56"/>
              <w:ind w:left="833"/>
              <w:rPr>
                <w:b/>
                <w:sz w:val="17"/>
              </w:rPr>
            </w:pPr>
            <w:r>
              <w:rPr>
                <w:b/>
                <w:sz w:val="17"/>
              </w:rPr>
              <w:t>Prácticas agrícolas visibles:</w:t>
            </w:r>
          </w:p>
        </w:tc>
        <w:tc>
          <w:tcPr>
            <w:tcW w:w="4714" w:type="dxa"/>
            <w:gridSpan w:val="3"/>
          </w:tcPr>
          <w:p>
            <w:pPr>
              <w:pStyle w:val="TableParagraph"/>
              <w:spacing w:before="56"/>
              <w:ind w:left="1523"/>
              <w:rPr>
                <w:b/>
                <w:sz w:val="17"/>
              </w:rPr>
            </w:pPr>
            <w:r>
              <w:rPr>
                <w:b/>
                <w:sz w:val="17"/>
              </w:rPr>
              <w:t>Superficie del suelo:</w:t>
            </w:r>
          </w:p>
        </w:tc>
      </w:tr>
      <w:tr>
        <w:trPr>
          <w:trHeight w:val="331" w:hRule="exact"/>
        </w:trPr>
        <w:tc>
          <w:tcPr>
            <w:tcW w:w="3981" w:type="dxa"/>
            <w:gridSpan w:val="4"/>
          </w:tcPr>
          <w:p>
            <w:pPr>
              <w:pStyle w:val="TableParagraph"/>
              <w:spacing w:before="99"/>
              <w:ind w:left="1854" w:right="1854"/>
              <w:jc w:val="center"/>
              <w:rPr>
                <w:sz w:val="17"/>
              </w:rPr>
            </w:pPr>
            <w:r>
              <w:rPr>
                <w:sz w:val="17"/>
              </w:rPr>
              <w:t>No</w:t>
            </w:r>
          </w:p>
        </w:tc>
        <w:tc>
          <w:tcPr>
            <w:tcW w:w="4714" w:type="dxa"/>
            <w:gridSpan w:val="3"/>
          </w:tcPr>
          <w:p>
            <w:pPr>
              <w:pStyle w:val="TableParagraph"/>
              <w:spacing w:before="99"/>
              <w:ind w:left="1408"/>
              <w:rPr>
                <w:sz w:val="17"/>
              </w:rPr>
            </w:pPr>
            <w:r>
              <w:rPr>
                <w:sz w:val="17"/>
              </w:rPr>
              <w:t>Sin costras, sin piedras</w:t>
            </w:r>
          </w:p>
        </w:tc>
      </w:tr>
      <w:tr>
        <w:trPr>
          <w:trHeight w:val="374" w:hRule="exact"/>
        </w:trPr>
        <w:tc>
          <w:tcPr>
            <w:tcW w:w="2817" w:type="dxa"/>
            <w:gridSpan w:val="3"/>
          </w:tcPr>
          <w:p>
            <w:pPr>
              <w:pStyle w:val="TableParagraph"/>
              <w:spacing w:before="70"/>
              <w:ind w:left="129"/>
              <w:rPr>
                <w:b/>
                <w:sz w:val="17"/>
              </w:rPr>
            </w:pPr>
            <w:r>
              <w:rPr>
                <w:b/>
                <w:sz w:val="17"/>
              </w:rPr>
              <w:t>Material combustible presente:</w:t>
            </w:r>
          </w:p>
        </w:tc>
        <w:tc>
          <w:tcPr>
            <w:tcW w:w="5878" w:type="dxa"/>
            <w:gridSpan w:val="4"/>
          </w:tcPr>
          <w:p>
            <w:pPr>
              <w:pStyle w:val="TableParagraph"/>
              <w:spacing w:before="70"/>
              <w:ind w:left="1394"/>
              <w:rPr>
                <w:sz w:val="17"/>
              </w:rPr>
            </w:pPr>
            <w:r>
              <w:rPr>
                <w:sz w:val="17"/>
              </w:rPr>
              <w:t>Hojas de cedro, ramas, troncos  caídos</w:t>
            </w:r>
          </w:p>
        </w:tc>
      </w:tr>
      <w:tr>
        <w:trPr>
          <w:trHeight w:val="288" w:hRule="exact"/>
        </w:trPr>
        <w:tc>
          <w:tcPr>
            <w:tcW w:w="3981" w:type="dxa"/>
            <w:gridSpan w:val="4"/>
          </w:tcPr>
          <w:p>
            <w:pPr>
              <w:pStyle w:val="TableParagraph"/>
              <w:spacing w:before="27"/>
              <w:ind w:left="1049"/>
              <w:rPr>
                <w:b/>
                <w:sz w:val="17"/>
              </w:rPr>
            </w:pPr>
            <w:r>
              <w:rPr>
                <w:b/>
                <w:sz w:val="17"/>
              </w:rPr>
              <w:t>Evidencia  de incendios</w:t>
            </w:r>
          </w:p>
        </w:tc>
        <w:tc>
          <w:tcPr>
            <w:tcW w:w="4714" w:type="dxa"/>
            <w:gridSpan w:val="3"/>
          </w:tcPr>
          <w:p>
            <w:pPr>
              <w:pStyle w:val="TableParagraph"/>
              <w:spacing w:before="27"/>
              <w:ind w:left="1607" w:right="1596"/>
              <w:jc w:val="center"/>
              <w:rPr>
                <w:b/>
                <w:sz w:val="17"/>
              </w:rPr>
            </w:pPr>
            <w:r>
              <w:rPr>
                <w:b/>
                <w:sz w:val="17"/>
              </w:rPr>
              <w:t>Plagas forestales:</w:t>
            </w:r>
          </w:p>
        </w:tc>
      </w:tr>
      <w:tr>
        <w:trPr>
          <w:trHeight w:val="287" w:hRule="exact"/>
        </w:trPr>
        <w:tc>
          <w:tcPr>
            <w:tcW w:w="3981" w:type="dxa"/>
            <w:gridSpan w:val="4"/>
          </w:tcPr>
          <w:p>
            <w:pPr>
              <w:pStyle w:val="TableParagraph"/>
              <w:spacing w:before="27"/>
              <w:ind w:left="1854" w:right="1854"/>
              <w:jc w:val="center"/>
              <w:rPr>
                <w:sz w:val="17"/>
              </w:rPr>
            </w:pPr>
            <w:r>
              <w:rPr>
                <w:sz w:val="17"/>
              </w:rPr>
              <w:t>No</w:t>
            </w:r>
          </w:p>
        </w:tc>
        <w:tc>
          <w:tcPr>
            <w:tcW w:w="4714" w:type="dxa"/>
            <w:gridSpan w:val="3"/>
          </w:tcPr>
          <w:p>
            <w:pPr>
              <w:pStyle w:val="TableParagraph"/>
              <w:spacing w:before="27"/>
              <w:ind w:left="1584" w:right="1596"/>
              <w:jc w:val="center"/>
              <w:rPr>
                <w:sz w:val="17"/>
              </w:rPr>
            </w:pPr>
            <w:r>
              <w:rPr>
                <w:sz w:val="17"/>
              </w:rPr>
              <w:t>No</w:t>
            </w:r>
          </w:p>
        </w:tc>
      </w:tr>
      <w:tr>
        <w:trPr>
          <w:trHeight w:val="446" w:hRule="exact"/>
        </w:trPr>
        <w:tc>
          <w:tcPr>
            <w:tcW w:w="1653" w:type="dxa"/>
            <w:gridSpan w:val="2"/>
          </w:tcPr>
          <w:p>
            <w:pPr>
              <w:pStyle w:val="TableParagraph"/>
              <w:spacing w:before="114"/>
              <w:ind w:left="172"/>
              <w:rPr>
                <w:b/>
                <w:sz w:val="17"/>
              </w:rPr>
            </w:pPr>
            <w:r>
              <w:rPr>
                <w:b/>
                <w:sz w:val="17"/>
              </w:rPr>
              <w:t>Observaciones:</w:t>
            </w:r>
          </w:p>
        </w:tc>
        <w:tc>
          <w:tcPr>
            <w:tcW w:w="7042" w:type="dxa"/>
            <w:gridSpan w:val="5"/>
          </w:tcPr>
          <w:p>
            <w:pPr>
              <w:pStyle w:val="TableParagraph"/>
              <w:spacing w:before="114"/>
              <w:ind w:left="28"/>
              <w:rPr>
                <w:sz w:val="17"/>
              </w:rPr>
            </w:pPr>
            <w:r>
              <w:rPr>
                <w:sz w:val="17"/>
              </w:rPr>
              <w:t>Vegetación vieja, árboles  muertos. Se observa acción antropogénica.</w:t>
            </w:r>
          </w:p>
        </w:tc>
      </w:tr>
    </w:tbl>
    <w:p>
      <w:pPr>
        <w:pStyle w:val="BodyText"/>
      </w:pPr>
    </w:p>
    <w:p>
      <w:pPr>
        <w:pStyle w:val="BodyText"/>
      </w:pPr>
    </w:p>
    <w:p>
      <w:pPr>
        <w:pStyle w:val="BodyText"/>
        <w:rPr>
          <w:sz w:val="31"/>
        </w:rPr>
      </w:pPr>
    </w:p>
    <w:p>
      <w:pPr>
        <w:pStyle w:val="BodyText"/>
        <w:ind w:left="102"/>
      </w:pPr>
      <w:r>
        <w:rPr/>
        <w:drawing>
          <wp:anchor distT="0" distB="0" distL="0" distR="0" allowOverlap="1" layoutInCell="1" locked="0" behindDoc="0" simplePos="0" relativeHeight="4000">
            <wp:simplePos x="0" y="0"/>
            <wp:positionH relativeFrom="page">
              <wp:posOffset>1260475</wp:posOffset>
            </wp:positionH>
            <wp:positionV relativeFrom="paragraph">
              <wp:posOffset>253566</wp:posOffset>
            </wp:positionV>
            <wp:extent cx="1616723" cy="909447"/>
            <wp:effectExtent l="0" t="0" r="0" b="0"/>
            <wp:wrapTopAndBottom/>
            <wp:docPr id="117" name="image79.jpeg" descr=""/>
            <wp:cNvGraphicFramePr>
              <a:graphicFrameLocks noChangeAspect="1"/>
            </wp:cNvGraphicFramePr>
            <a:graphic>
              <a:graphicData uri="http://schemas.openxmlformats.org/drawingml/2006/picture">
                <pic:pic>
                  <pic:nvPicPr>
                    <pic:cNvPr id="118" name="image79.jpeg"/>
                    <pic:cNvPicPr/>
                  </pic:nvPicPr>
                  <pic:blipFill>
                    <a:blip r:embed="rId126"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4024">
            <wp:simplePos x="0" y="0"/>
            <wp:positionH relativeFrom="page">
              <wp:posOffset>3084195</wp:posOffset>
            </wp:positionH>
            <wp:positionV relativeFrom="paragraph">
              <wp:posOffset>253566</wp:posOffset>
            </wp:positionV>
            <wp:extent cx="1616723" cy="909447"/>
            <wp:effectExtent l="0" t="0" r="0" b="0"/>
            <wp:wrapTopAndBottom/>
            <wp:docPr id="119" name="image80.jpeg" descr=""/>
            <wp:cNvGraphicFramePr>
              <a:graphicFrameLocks noChangeAspect="1"/>
            </wp:cNvGraphicFramePr>
            <a:graphic>
              <a:graphicData uri="http://schemas.openxmlformats.org/drawingml/2006/picture">
                <pic:pic>
                  <pic:nvPicPr>
                    <pic:cNvPr id="120" name="image80.jpeg"/>
                    <pic:cNvPicPr/>
                  </pic:nvPicPr>
                  <pic:blipFill>
                    <a:blip r:embed="rId127" cstate="print"/>
                    <a:stretch>
                      <a:fillRect/>
                    </a:stretch>
                  </pic:blipFill>
                  <pic:spPr>
                    <a:xfrm>
                      <a:off x="0" y="0"/>
                      <a:ext cx="1616723" cy="909447"/>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4909820</wp:posOffset>
            </wp:positionH>
            <wp:positionV relativeFrom="paragraph">
              <wp:posOffset>253566</wp:posOffset>
            </wp:positionV>
            <wp:extent cx="1616723" cy="909447"/>
            <wp:effectExtent l="0" t="0" r="0" b="0"/>
            <wp:wrapTopAndBottom/>
            <wp:docPr id="121" name="image81.jpeg" descr=""/>
            <wp:cNvGraphicFramePr>
              <a:graphicFrameLocks noChangeAspect="1"/>
            </wp:cNvGraphicFramePr>
            <a:graphic>
              <a:graphicData uri="http://schemas.openxmlformats.org/drawingml/2006/picture">
                <pic:pic>
                  <pic:nvPicPr>
                    <pic:cNvPr id="122" name="image81.jpeg"/>
                    <pic:cNvPicPr/>
                  </pic:nvPicPr>
                  <pic:blipFill>
                    <a:blip r:embed="rId128" cstate="print"/>
                    <a:stretch>
                      <a:fillRect/>
                    </a:stretch>
                  </pic:blipFill>
                  <pic:spPr>
                    <a:xfrm>
                      <a:off x="0" y="0"/>
                      <a:ext cx="1616723" cy="909447"/>
                    </a:xfrm>
                    <a:prstGeom prst="rect">
                      <a:avLst/>
                    </a:prstGeom>
                  </pic:spPr>
                </pic:pic>
              </a:graphicData>
            </a:graphic>
          </wp:anchor>
        </w:drawing>
      </w:r>
      <w:r>
        <w:rPr/>
        <w:t>Imágenes del sitio 6.</w:t>
      </w:r>
    </w:p>
    <w:p>
      <w:pPr>
        <w:pStyle w:val="BodyText"/>
        <w:spacing w:before="7"/>
        <w:rPr>
          <w:sz w:val="6"/>
        </w:rPr>
      </w:pPr>
    </w:p>
    <w:p>
      <w:pPr>
        <w:tabs>
          <w:tab w:pos="3594" w:val="left" w:leader="none"/>
          <w:tab w:pos="6473" w:val="left" w:leader="none"/>
        </w:tabs>
        <w:spacing w:line="240" w:lineRule="auto"/>
        <w:ind w:left="724" w:right="0" w:firstLine="0"/>
        <w:rPr>
          <w:sz w:val="20"/>
        </w:rPr>
      </w:pPr>
      <w:r>
        <w:rPr>
          <w:position w:val="1"/>
          <w:sz w:val="20"/>
        </w:rPr>
        <w:drawing>
          <wp:inline distT="0" distB="0" distL="0" distR="0">
            <wp:extent cx="1161566" cy="1241012"/>
            <wp:effectExtent l="0" t="0" r="0" b="0"/>
            <wp:docPr id="123" name="image82.jpeg" descr=""/>
            <wp:cNvGraphicFramePr>
              <a:graphicFrameLocks noChangeAspect="1"/>
            </wp:cNvGraphicFramePr>
            <a:graphic>
              <a:graphicData uri="http://schemas.openxmlformats.org/drawingml/2006/picture">
                <pic:pic>
                  <pic:nvPicPr>
                    <pic:cNvPr id="124" name="image82.jpeg"/>
                    <pic:cNvPicPr/>
                  </pic:nvPicPr>
                  <pic:blipFill>
                    <a:blip r:embed="rId129" cstate="print"/>
                    <a:stretch>
                      <a:fillRect/>
                    </a:stretch>
                  </pic:blipFill>
                  <pic:spPr>
                    <a:xfrm>
                      <a:off x="0" y="0"/>
                      <a:ext cx="1161566" cy="1241012"/>
                    </a:xfrm>
                    <a:prstGeom prst="rect">
                      <a:avLst/>
                    </a:prstGeom>
                  </pic:spPr>
                </pic:pic>
              </a:graphicData>
            </a:graphic>
          </wp:inline>
        </w:drawing>
      </w:r>
      <w:r>
        <w:rPr>
          <w:position w:val="1"/>
          <w:sz w:val="20"/>
        </w:rPr>
      </w:r>
      <w:r>
        <w:rPr>
          <w:position w:val="1"/>
          <w:sz w:val="20"/>
        </w:rPr>
        <w:tab/>
      </w:r>
      <w:r>
        <w:rPr>
          <w:position w:val="1"/>
          <w:sz w:val="20"/>
        </w:rPr>
        <w:drawing>
          <wp:inline distT="0" distB="0" distL="0" distR="0">
            <wp:extent cx="1156533" cy="1241012"/>
            <wp:effectExtent l="0" t="0" r="0" b="0"/>
            <wp:docPr id="125" name="image83.jpeg" descr=""/>
            <wp:cNvGraphicFramePr>
              <a:graphicFrameLocks noChangeAspect="1"/>
            </wp:cNvGraphicFramePr>
            <a:graphic>
              <a:graphicData uri="http://schemas.openxmlformats.org/drawingml/2006/picture">
                <pic:pic>
                  <pic:nvPicPr>
                    <pic:cNvPr id="126" name="image83.jpeg"/>
                    <pic:cNvPicPr/>
                  </pic:nvPicPr>
                  <pic:blipFill>
                    <a:blip r:embed="rId130" cstate="print"/>
                    <a:stretch>
                      <a:fillRect/>
                    </a:stretch>
                  </pic:blipFill>
                  <pic:spPr>
                    <a:xfrm>
                      <a:off x="0" y="0"/>
                      <a:ext cx="1156533" cy="1241012"/>
                    </a:xfrm>
                    <a:prstGeom prst="rect">
                      <a:avLst/>
                    </a:prstGeom>
                  </pic:spPr>
                </pic:pic>
              </a:graphicData>
            </a:graphic>
          </wp:inline>
        </w:drawing>
      </w:r>
      <w:r>
        <w:rPr>
          <w:position w:val="1"/>
          <w:sz w:val="20"/>
        </w:rPr>
      </w:r>
      <w:r>
        <w:rPr>
          <w:position w:val="1"/>
          <w:sz w:val="20"/>
        </w:rPr>
        <w:tab/>
      </w:r>
      <w:r>
        <w:rPr>
          <w:sz w:val="20"/>
        </w:rPr>
        <w:drawing>
          <wp:inline distT="0" distB="0" distL="0" distR="0">
            <wp:extent cx="1147141" cy="1245108"/>
            <wp:effectExtent l="0" t="0" r="0" b="0"/>
            <wp:docPr id="127" name="image84.jpeg" descr=""/>
            <wp:cNvGraphicFramePr>
              <a:graphicFrameLocks noChangeAspect="1"/>
            </wp:cNvGraphicFramePr>
            <a:graphic>
              <a:graphicData uri="http://schemas.openxmlformats.org/drawingml/2006/picture">
                <pic:pic>
                  <pic:nvPicPr>
                    <pic:cNvPr id="128" name="image84.jpeg"/>
                    <pic:cNvPicPr/>
                  </pic:nvPicPr>
                  <pic:blipFill>
                    <a:blip r:embed="rId131" cstate="print"/>
                    <a:stretch>
                      <a:fillRect/>
                    </a:stretch>
                  </pic:blipFill>
                  <pic:spPr>
                    <a:xfrm>
                      <a:off x="0" y="0"/>
                      <a:ext cx="1147141" cy="1245108"/>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7.</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1"/>
        <w:gridCol w:w="520"/>
        <w:gridCol w:w="1170"/>
        <w:gridCol w:w="1170"/>
        <w:gridCol w:w="1546"/>
        <w:gridCol w:w="1156"/>
        <w:gridCol w:w="2037"/>
      </w:tblGrid>
      <w:tr>
        <w:trPr>
          <w:trHeight w:val="289" w:hRule="exact"/>
        </w:trPr>
        <w:tc>
          <w:tcPr>
            <w:tcW w:w="1141" w:type="dxa"/>
            <w:vMerge w:val="restart"/>
          </w:tcPr>
          <w:p>
            <w:pPr>
              <w:pStyle w:val="TableParagraph"/>
              <w:spacing w:before="0"/>
              <w:rPr>
                <w:sz w:val="15"/>
              </w:rPr>
            </w:pPr>
          </w:p>
          <w:p>
            <w:pPr>
              <w:pStyle w:val="TableParagraph"/>
              <w:spacing w:before="0"/>
              <w:ind w:left="317"/>
              <w:rPr>
                <w:b/>
                <w:sz w:val="17"/>
              </w:rPr>
            </w:pPr>
            <w:r>
              <w:rPr>
                <w:b/>
                <w:sz w:val="17"/>
              </w:rPr>
              <w:t>Fecha</w:t>
            </w:r>
          </w:p>
        </w:tc>
        <w:tc>
          <w:tcPr>
            <w:tcW w:w="520" w:type="dxa"/>
            <w:vMerge w:val="restart"/>
          </w:tcPr>
          <w:p>
            <w:pPr>
              <w:pStyle w:val="TableParagraph"/>
              <w:spacing w:before="0"/>
              <w:rPr>
                <w:sz w:val="15"/>
              </w:rPr>
            </w:pPr>
          </w:p>
          <w:p>
            <w:pPr>
              <w:pStyle w:val="TableParagraph"/>
              <w:spacing w:before="0"/>
              <w:ind w:left="72"/>
              <w:rPr>
                <w:b/>
                <w:sz w:val="17"/>
              </w:rPr>
            </w:pPr>
            <w:r>
              <w:rPr>
                <w:b/>
                <w:sz w:val="17"/>
              </w:rPr>
              <w:t>Sitio</w:t>
            </w:r>
          </w:p>
        </w:tc>
        <w:tc>
          <w:tcPr>
            <w:tcW w:w="2341" w:type="dxa"/>
            <w:gridSpan w:val="2"/>
          </w:tcPr>
          <w:p>
            <w:pPr>
              <w:pStyle w:val="TableParagraph"/>
              <w:spacing w:before="57"/>
              <w:ind w:left="404"/>
              <w:rPr>
                <w:b/>
                <w:sz w:val="17"/>
              </w:rPr>
            </w:pPr>
            <w:r>
              <w:rPr>
                <w:b/>
                <w:sz w:val="17"/>
              </w:rPr>
              <w:t>Coordenadas UTM</w:t>
            </w:r>
          </w:p>
        </w:tc>
        <w:tc>
          <w:tcPr>
            <w:tcW w:w="1546" w:type="dxa"/>
            <w:vMerge w:val="restart"/>
          </w:tcPr>
          <w:p>
            <w:pPr>
              <w:pStyle w:val="TableParagraph"/>
              <w:spacing w:before="0"/>
              <w:rPr>
                <w:sz w:val="15"/>
              </w:rPr>
            </w:pPr>
          </w:p>
          <w:p>
            <w:pPr>
              <w:pStyle w:val="TableParagraph"/>
              <w:spacing w:before="0"/>
              <w:ind w:left="361"/>
              <w:rPr>
                <w:b/>
                <w:sz w:val="17"/>
              </w:rPr>
            </w:pPr>
            <w:r>
              <w:rPr>
                <w:b/>
                <w:sz w:val="17"/>
              </w:rPr>
              <w:t>Localidad</w:t>
            </w:r>
          </w:p>
        </w:tc>
        <w:tc>
          <w:tcPr>
            <w:tcW w:w="1156" w:type="dxa"/>
            <w:vMerge w:val="restart"/>
          </w:tcPr>
          <w:p>
            <w:pPr>
              <w:pStyle w:val="TableParagraph"/>
              <w:spacing w:before="0"/>
              <w:rPr>
                <w:sz w:val="15"/>
              </w:rPr>
            </w:pPr>
          </w:p>
          <w:p>
            <w:pPr>
              <w:pStyle w:val="TableParagraph"/>
              <w:spacing w:before="0"/>
              <w:ind w:left="115"/>
              <w:rPr>
                <w:b/>
                <w:sz w:val="17"/>
              </w:rPr>
            </w:pPr>
            <w:r>
              <w:rPr>
                <w:b/>
                <w:sz w:val="17"/>
              </w:rPr>
              <w:t>Delegación</w:t>
            </w:r>
          </w:p>
        </w:tc>
        <w:tc>
          <w:tcPr>
            <w:tcW w:w="2037" w:type="dxa"/>
            <w:vMerge w:val="restart"/>
          </w:tcPr>
          <w:p>
            <w:pPr>
              <w:pStyle w:val="TableParagraph"/>
              <w:spacing w:before="0"/>
              <w:rPr>
                <w:sz w:val="15"/>
              </w:rPr>
            </w:pPr>
          </w:p>
          <w:p>
            <w:pPr>
              <w:pStyle w:val="TableParagraph"/>
              <w:spacing w:before="0"/>
              <w:ind w:left="332"/>
              <w:rPr>
                <w:b/>
                <w:sz w:val="17"/>
              </w:rPr>
            </w:pPr>
            <w:r>
              <w:rPr>
                <w:b/>
                <w:sz w:val="17"/>
              </w:rPr>
              <w:t>Elevación msnm</w:t>
            </w:r>
          </w:p>
        </w:tc>
      </w:tr>
      <w:tr>
        <w:trPr>
          <w:trHeight w:val="289" w:hRule="exact"/>
        </w:trPr>
        <w:tc>
          <w:tcPr>
            <w:tcW w:w="1141" w:type="dxa"/>
            <w:vMerge/>
          </w:tcPr>
          <w:p>
            <w:pPr/>
          </w:p>
        </w:tc>
        <w:tc>
          <w:tcPr>
            <w:tcW w:w="520" w:type="dxa"/>
            <w:vMerge/>
          </w:tcPr>
          <w:p>
            <w:pPr/>
          </w:p>
        </w:tc>
        <w:tc>
          <w:tcPr>
            <w:tcW w:w="1170" w:type="dxa"/>
          </w:tcPr>
          <w:p>
            <w:pPr>
              <w:pStyle w:val="TableParagraph"/>
              <w:spacing w:before="42"/>
              <w:ind w:left="149" w:right="152"/>
              <w:jc w:val="center"/>
              <w:rPr>
                <w:b/>
                <w:sz w:val="17"/>
              </w:rPr>
            </w:pPr>
            <w:r>
              <w:rPr>
                <w:b/>
                <w:sz w:val="17"/>
              </w:rPr>
              <w:t>Oeste</w:t>
            </w:r>
          </w:p>
        </w:tc>
        <w:tc>
          <w:tcPr>
            <w:tcW w:w="1170" w:type="dxa"/>
          </w:tcPr>
          <w:p>
            <w:pPr>
              <w:pStyle w:val="TableParagraph"/>
              <w:spacing w:before="42"/>
              <w:ind w:left="228" w:right="220"/>
              <w:jc w:val="center"/>
              <w:rPr>
                <w:b/>
                <w:sz w:val="17"/>
              </w:rPr>
            </w:pPr>
            <w:r>
              <w:rPr>
                <w:b/>
                <w:sz w:val="17"/>
              </w:rPr>
              <w:t>Norte</w:t>
            </w:r>
          </w:p>
        </w:tc>
        <w:tc>
          <w:tcPr>
            <w:tcW w:w="1546" w:type="dxa"/>
            <w:vMerge/>
          </w:tcPr>
          <w:p>
            <w:pPr/>
          </w:p>
        </w:tc>
        <w:tc>
          <w:tcPr>
            <w:tcW w:w="1156" w:type="dxa"/>
            <w:vMerge/>
          </w:tcPr>
          <w:p>
            <w:pPr/>
          </w:p>
        </w:tc>
        <w:tc>
          <w:tcPr>
            <w:tcW w:w="2037" w:type="dxa"/>
            <w:vMerge/>
          </w:tcPr>
          <w:p>
            <w:pPr/>
          </w:p>
        </w:tc>
      </w:tr>
      <w:tr>
        <w:trPr>
          <w:trHeight w:val="708" w:hRule="exact"/>
        </w:trPr>
        <w:tc>
          <w:tcPr>
            <w:tcW w:w="1141" w:type="dxa"/>
          </w:tcPr>
          <w:p>
            <w:pPr>
              <w:pStyle w:val="TableParagraph"/>
              <w:spacing w:before="3"/>
              <w:rPr>
                <w:sz w:val="21"/>
              </w:rPr>
            </w:pPr>
          </w:p>
          <w:p>
            <w:pPr>
              <w:pStyle w:val="TableParagraph"/>
              <w:spacing w:before="0"/>
              <w:ind w:left="115" w:right="120"/>
              <w:jc w:val="center"/>
              <w:rPr>
                <w:sz w:val="17"/>
              </w:rPr>
            </w:pPr>
            <w:r>
              <w:rPr>
                <w:sz w:val="17"/>
              </w:rPr>
              <w:t>15/01/2015</w:t>
            </w:r>
          </w:p>
        </w:tc>
        <w:tc>
          <w:tcPr>
            <w:tcW w:w="520" w:type="dxa"/>
          </w:tcPr>
          <w:p>
            <w:pPr>
              <w:pStyle w:val="TableParagraph"/>
              <w:spacing w:before="3"/>
              <w:rPr>
                <w:sz w:val="21"/>
              </w:rPr>
            </w:pPr>
          </w:p>
          <w:p>
            <w:pPr>
              <w:pStyle w:val="TableParagraph"/>
              <w:spacing w:before="0"/>
              <w:ind w:right="2"/>
              <w:jc w:val="center"/>
              <w:rPr>
                <w:sz w:val="17"/>
              </w:rPr>
            </w:pPr>
            <w:r>
              <w:rPr>
                <w:w w:val="102"/>
                <w:sz w:val="17"/>
              </w:rPr>
              <w:t>7</w:t>
            </w:r>
          </w:p>
        </w:tc>
        <w:tc>
          <w:tcPr>
            <w:tcW w:w="1170" w:type="dxa"/>
          </w:tcPr>
          <w:p>
            <w:pPr>
              <w:pStyle w:val="TableParagraph"/>
              <w:spacing w:before="3"/>
              <w:rPr>
                <w:sz w:val="21"/>
              </w:rPr>
            </w:pPr>
          </w:p>
          <w:p>
            <w:pPr>
              <w:pStyle w:val="TableParagraph"/>
              <w:spacing w:before="0"/>
              <w:ind w:left="159" w:right="152"/>
              <w:jc w:val="center"/>
              <w:rPr>
                <w:sz w:val="17"/>
              </w:rPr>
            </w:pPr>
            <w:r>
              <w:rPr>
                <w:sz w:val="17"/>
              </w:rPr>
              <w:t>468396.84</w:t>
            </w:r>
          </w:p>
        </w:tc>
        <w:tc>
          <w:tcPr>
            <w:tcW w:w="1170" w:type="dxa"/>
          </w:tcPr>
          <w:p>
            <w:pPr>
              <w:pStyle w:val="TableParagraph"/>
              <w:spacing w:before="3"/>
              <w:rPr>
                <w:sz w:val="21"/>
              </w:rPr>
            </w:pPr>
          </w:p>
          <w:p>
            <w:pPr>
              <w:pStyle w:val="TableParagraph"/>
              <w:spacing w:before="0"/>
              <w:ind w:left="233" w:right="220"/>
              <w:jc w:val="center"/>
              <w:rPr>
                <w:sz w:val="17"/>
              </w:rPr>
            </w:pPr>
            <w:r>
              <w:rPr>
                <w:sz w:val="17"/>
              </w:rPr>
              <w:t>2136476</w:t>
            </w:r>
          </w:p>
        </w:tc>
        <w:tc>
          <w:tcPr>
            <w:tcW w:w="1546" w:type="dxa"/>
          </w:tcPr>
          <w:p>
            <w:pPr>
              <w:pStyle w:val="TableParagraph"/>
              <w:spacing w:line="283" w:lineRule="auto" w:before="0"/>
              <w:ind w:left="158" w:firstLine="216"/>
              <w:rPr>
                <w:sz w:val="17"/>
              </w:rPr>
            </w:pPr>
            <w:r>
              <w:rPr>
                <w:sz w:val="17"/>
              </w:rPr>
              <w:t>Límite del Desierto de los</w:t>
            </w:r>
          </w:p>
          <w:p>
            <w:pPr>
              <w:pStyle w:val="TableParagraph"/>
              <w:spacing w:before="1"/>
              <w:ind w:left="462"/>
              <w:rPr>
                <w:sz w:val="17"/>
              </w:rPr>
            </w:pPr>
            <w:r>
              <w:rPr>
                <w:sz w:val="17"/>
              </w:rPr>
              <w:t>Leones</w:t>
            </w:r>
          </w:p>
        </w:tc>
        <w:tc>
          <w:tcPr>
            <w:tcW w:w="1156" w:type="dxa"/>
          </w:tcPr>
          <w:p>
            <w:pPr>
              <w:pStyle w:val="TableParagraph"/>
              <w:spacing w:before="0"/>
              <w:rPr>
                <w:sz w:val="16"/>
              </w:rPr>
            </w:pPr>
          </w:p>
          <w:p>
            <w:pPr>
              <w:pStyle w:val="TableParagraph"/>
              <w:spacing w:before="0"/>
              <w:rPr>
                <w:sz w:val="16"/>
              </w:rPr>
            </w:pPr>
          </w:p>
          <w:p>
            <w:pPr>
              <w:pStyle w:val="TableParagraph"/>
              <w:spacing w:before="107"/>
              <w:ind w:left="129" w:right="122"/>
              <w:jc w:val="center"/>
              <w:rPr>
                <w:sz w:val="17"/>
              </w:rPr>
            </w:pPr>
            <w:r>
              <w:rPr>
                <w:sz w:val="17"/>
              </w:rPr>
              <w:t>Cuajimalpa</w:t>
            </w:r>
          </w:p>
        </w:tc>
        <w:tc>
          <w:tcPr>
            <w:tcW w:w="2037" w:type="dxa"/>
          </w:tcPr>
          <w:p>
            <w:pPr>
              <w:pStyle w:val="TableParagraph"/>
              <w:spacing w:before="0"/>
              <w:rPr>
                <w:sz w:val="16"/>
              </w:rPr>
            </w:pPr>
          </w:p>
          <w:p>
            <w:pPr>
              <w:pStyle w:val="TableParagraph"/>
              <w:spacing w:before="0"/>
              <w:rPr>
                <w:sz w:val="16"/>
              </w:rPr>
            </w:pPr>
          </w:p>
          <w:p>
            <w:pPr>
              <w:pStyle w:val="TableParagraph"/>
              <w:spacing w:before="107"/>
              <w:ind w:left="802" w:right="802"/>
              <w:jc w:val="center"/>
              <w:rPr>
                <w:sz w:val="17"/>
              </w:rPr>
            </w:pPr>
            <w:r>
              <w:rPr>
                <w:sz w:val="17"/>
              </w:rPr>
              <w:t>2992</w:t>
            </w:r>
          </w:p>
        </w:tc>
      </w:tr>
      <w:tr>
        <w:trPr>
          <w:trHeight w:val="317" w:hRule="exact"/>
        </w:trPr>
        <w:tc>
          <w:tcPr>
            <w:tcW w:w="2832" w:type="dxa"/>
            <w:gridSpan w:val="3"/>
          </w:tcPr>
          <w:p>
            <w:pPr>
              <w:pStyle w:val="TableParagraph"/>
              <w:spacing w:before="42"/>
              <w:ind w:left="491"/>
              <w:rPr>
                <w:b/>
                <w:sz w:val="17"/>
              </w:rPr>
            </w:pPr>
            <w:r>
              <w:rPr>
                <w:b/>
                <w:sz w:val="17"/>
              </w:rPr>
              <w:t>Ángulo de la pendiente</w:t>
            </w:r>
          </w:p>
        </w:tc>
        <w:tc>
          <w:tcPr>
            <w:tcW w:w="2716" w:type="dxa"/>
            <w:gridSpan w:val="2"/>
          </w:tcPr>
          <w:p>
            <w:pPr>
              <w:pStyle w:val="TableParagraph"/>
              <w:spacing w:before="42"/>
              <w:ind w:left="447"/>
              <w:rPr>
                <w:b/>
                <w:sz w:val="17"/>
              </w:rPr>
            </w:pPr>
            <w:r>
              <w:rPr>
                <w:b/>
                <w:sz w:val="17"/>
              </w:rPr>
              <w:t>Forma de la pendiente</w:t>
            </w:r>
          </w:p>
        </w:tc>
        <w:tc>
          <w:tcPr>
            <w:tcW w:w="3193" w:type="dxa"/>
            <w:gridSpan w:val="2"/>
          </w:tcPr>
          <w:p>
            <w:pPr>
              <w:pStyle w:val="TableParagraph"/>
              <w:spacing w:before="42"/>
              <w:ind w:left="1071" w:right="1075"/>
              <w:jc w:val="center"/>
              <w:rPr>
                <w:b/>
                <w:sz w:val="17"/>
              </w:rPr>
            </w:pPr>
            <w:r>
              <w:rPr>
                <w:b/>
                <w:sz w:val="17"/>
              </w:rPr>
              <w:t>Microrelieve</w:t>
            </w:r>
          </w:p>
        </w:tc>
      </w:tr>
      <w:tr>
        <w:trPr>
          <w:trHeight w:val="289" w:hRule="exact"/>
        </w:trPr>
        <w:tc>
          <w:tcPr>
            <w:tcW w:w="2832" w:type="dxa"/>
            <w:gridSpan w:val="3"/>
          </w:tcPr>
          <w:p>
            <w:pPr>
              <w:pStyle w:val="TableParagraph"/>
              <w:spacing w:before="57"/>
              <w:ind w:left="1054" w:right="1054"/>
              <w:jc w:val="center"/>
              <w:rPr>
                <w:sz w:val="17"/>
              </w:rPr>
            </w:pPr>
            <w:r>
              <w:rPr>
                <w:sz w:val="17"/>
              </w:rPr>
              <w:t>45°</w:t>
            </w:r>
          </w:p>
        </w:tc>
        <w:tc>
          <w:tcPr>
            <w:tcW w:w="2716" w:type="dxa"/>
            <w:gridSpan w:val="2"/>
          </w:tcPr>
          <w:p>
            <w:pPr>
              <w:pStyle w:val="TableParagraph"/>
              <w:spacing w:before="57"/>
              <w:ind w:left="986" w:right="1004"/>
              <w:jc w:val="center"/>
              <w:rPr>
                <w:sz w:val="17"/>
              </w:rPr>
            </w:pPr>
            <w:r>
              <w:rPr>
                <w:sz w:val="17"/>
              </w:rPr>
              <w:t>Concava</w:t>
            </w:r>
          </w:p>
        </w:tc>
        <w:tc>
          <w:tcPr>
            <w:tcW w:w="3193" w:type="dxa"/>
            <w:gridSpan w:val="2"/>
          </w:tcPr>
          <w:p>
            <w:pPr>
              <w:pStyle w:val="TableParagraph"/>
              <w:spacing w:before="57"/>
              <w:ind w:left="1071" w:right="1075"/>
              <w:jc w:val="center"/>
              <w:rPr>
                <w:sz w:val="17"/>
              </w:rPr>
            </w:pPr>
            <w:r>
              <w:rPr>
                <w:sz w:val="17"/>
              </w:rPr>
              <w:t>Ondulado</w:t>
            </w:r>
          </w:p>
        </w:tc>
      </w:tr>
      <w:tr>
        <w:trPr>
          <w:trHeight w:val="289" w:hRule="exact"/>
        </w:trPr>
        <w:tc>
          <w:tcPr>
            <w:tcW w:w="2832" w:type="dxa"/>
            <w:gridSpan w:val="3"/>
          </w:tcPr>
          <w:p>
            <w:pPr>
              <w:pStyle w:val="TableParagraph"/>
              <w:spacing w:before="28"/>
              <w:ind w:left="288"/>
              <w:rPr>
                <w:b/>
                <w:sz w:val="17"/>
              </w:rPr>
            </w:pPr>
            <w:r>
              <w:rPr>
                <w:b/>
                <w:sz w:val="17"/>
              </w:rPr>
              <w:t>Drenaje superficial del sitio</w:t>
            </w:r>
          </w:p>
        </w:tc>
        <w:tc>
          <w:tcPr>
            <w:tcW w:w="2716" w:type="dxa"/>
            <w:gridSpan w:val="2"/>
          </w:tcPr>
          <w:p>
            <w:pPr>
              <w:pStyle w:val="TableParagraph"/>
              <w:spacing w:before="28"/>
              <w:ind w:left="649"/>
              <w:rPr>
                <w:b/>
                <w:sz w:val="17"/>
              </w:rPr>
            </w:pPr>
            <w:r>
              <w:rPr>
                <w:b/>
                <w:sz w:val="17"/>
              </w:rPr>
              <w:t>Material parental</w:t>
            </w:r>
          </w:p>
        </w:tc>
        <w:tc>
          <w:tcPr>
            <w:tcW w:w="1156" w:type="dxa"/>
          </w:tcPr>
          <w:p>
            <w:pPr>
              <w:pStyle w:val="TableParagraph"/>
              <w:spacing w:before="42"/>
              <w:ind w:left="129" w:right="120"/>
              <w:jc w:val="center"/>
              <w:rPr>
                <w:b/>
                <w:sz w:val="17"/>
              </w:rPr>
            </w:pPr>
            <w:r>
              <w:rPr>
                <w:b/>
                <w:sz w:val="17"/>
              </w:rPr>
              <w:t>Color</w:t>
            </w:r>
          </w:p>
        </w:tc>
        <w:tc>
          <w:tcPr>
            <w:tcW w:w="2037" w:type="dxa"/>
          </w:tcPr>
          <w:p>
            <w:pPr>
              <w:pStyle w:val="TableParagraph"/>
              <w:spacing w:before="42"/>
              <w:ind w:right="183"/>
              <w:jc w:val="right"/>
              <w:rPr>
                <w:b/>
                <w:sz w:val="17"/>
              </w:rPr>
            </w:pPr>
            <w:r>
              <w:rPr>
                <w:b/>
                <w:sz w:val="17"/>
              </w:rPr>
              <w:t>Color intemperizado</w:t>
            </w:r>
          </w:p>
        </w:tc>
      </w:tr>
      <w:tr>
        <w:trPr>
          <w:trHeight w:val="289" w:hRule="exact"/>
        </w:trPr>
        <w:tc>
          <w:tcPr>
            <w:tcW w:w="2832" w:type="dxa"/>
            <w:gridSpan w:val="3"/>
          </w:tcPr>
          <w:p>
            <w:pPr>
              <w:pStyle w:val="TableParagraph"/>
              <w:spacing w:before="28"/>
              <w:ind w:left="1054" w:right="1062"/>
              <w:jc w:val="center"/>
              <w:rPr>
                <w:sz w:val="17"/>
              </w:rPr>
            </w:pPr>
            <w:r>
              <w:rPr>
                <w:sz w:val="17"/>
              </w:rPr>
              <w:t>Donador</w:t>
            </w:r>
          </w:p>
        </w:tc>
        <w:tc>
          <w:tcPr>
            <w:tcW w:w="2716" w:type="dxa"/>
            <w:gridSpan w:val="2"/>
          </w:tcPr>
          <w:p>
            <w:pPr>
              <w:pStyle w:val="TableParagraph"/>
              <w:spacing w:before="28"/>
              <w:ind w:left="577"/>
              <w:rPr>
                <w:sz w:val="17"/>
              </w:rPr>
            </w:pPr>
            <w:r>
              <w:rPr>
                <w:sz w:val="17"/>
              </w:rPr>
              <w:t>Cenizas  volcánicas</w:t>
            </w:r>
          </w:p>
        </w:tc>
        <w:tc>
          <w:tcPr>
            <w:tcW w:w="1156" w:type="dxa"/>
          </w:tcPr>
          <w:p>
            <w:pPr>
              <w:pStyle w:val="TableParagraph"/>
              <w:spacing w:before="57"/>
              <w:ind w:left="129" w:right="120"/>
              <w:jc w:val="center"/>
              <w:rPr>
                <w:sz w:val="17"/>
              </w:rPr>
            </w:pPr>
            <w:r>
              <w:rPr>
                <w:sz w:val="17"/>
              </w:rPr>
              <w:t>Café</w:t>
            </w:r>
          </w:p>
        </w:tc>
        <w:tc>
          <w:tcPr>
            <w:tcW w:w="2037" w:type="dxa"/>
          </w:tcPr>
          <w:p>
            <w:pPr>
              <w:pStyle w:val="TableParagraph"/>
              <w:spacing w:before="57"/>
              <w:ind w:left="433"/>
              <w:rPr>
                <w:sz w:val="17"/>
              </w:rPr>
            </w:pPr>
            <w:r>
              <w:rPr>
                <w:sz w:val="17"/>
              </w:rPr>
              <w:t>No se observa</w:t>
            </w:r>
          </w:p>
        </w:tc>
      </w:tr>
      <w:tr>
        <w:trPr>
          <w:trHeight w:val="289" w:hRule="exact"/>
        </w:trPr>
        <w:tc>
          <w:tcPr>
            <w:tcW w:w="1141" w:type="dxa"/>
          </w:tcPr>
          <w:p>
            <w:pPr>
              <w:pStyle w:val="TableParagraph"/>
              <w:spacing w:before="42"/>
              <w:ind w:left="115" w:right="118"/>
              <w:jc w:val="center"/>
              <w:rPr>
                <w:b/>
                <w:sz w:val="17"/>
              </w:rPr>
            </w:pPr>
            <w:r>
              <w:rPr>
                <w:b/>
                <w:sz w:val="17"/>
              </w:rPr>
              <w:t>Textura</w:t>
            </w:r>
          </w:p>
        </w:tc>
        <w:tc>
          <w:tcPr>
            <w:tcW w:w="2861" w:type="dxa"/>
            <w:gridSpan w:val="3"/>
          </w:tcPr>
          <w:p>
            <w:pPr>
              <w:pStyle w:val="TableParagraph"/>
              <w:spacing w:before="28"/>
              <w:ind w:left="491"/>
              <w:rPr>
                <w:b/>
                <w:sz w:val="17"/>
              </w:rPr>
            </w:pPr>
            <w:r>
              <w:rPr>
                <w:b/>
                <w:sz w:val="17"/>
              </w:rPr>
              <w:t>Minerales observables</w:t>
            </w:r>
          </w:p>
        </w:tc>
        <w:tc>
          <w:tcPr>
            <w:tcW w:w="2702" w:type="dxa"/>
            <w:gridSpan w:val="2"/>
          </w:tcPr>
          <w:p>
            <w:pPr>
              <w:pStyle w:val="TableParagraph"/>
              <w:spacing w:before="28"/>
              <w:ind w:left="606"/>
              <w:rPr>
                <w:b/>
                <w:sz w:val="17"/>
              </w:rPr>
            </w:pPr>
            <w:r>
              <w:rPr>
                <w:b/>
                <w:sz w:val="17"/>
              </w:rPr>
              <w:t>Vegetación nativa</w:t>
            </w:r>
          </w:p>
        </w:tc>
        <w:tc>
          <w:tcPr>
            <w:tcW w:w="2037" w:type="dxa"/>
          </w:tcPr>
          <w:p>
            <w:pPr>
              <w:pStyle w:val="TableParagraph"/>
              <w:spacing w:before="42"/>
              <w:ind w:right="135"/>
              <w:jc w:val="right"/>
              <w:rPr>
                <w:b/>
                <w:sz w:val="17"/>
              </w:rPr>
            </w:pPr>
            <w:r>
              <w:rPr>
                <w:b/>
                <w:sz w:val="17"/>
              </w:rPr>
              <w:t>Especies dominantes</w:t>
            </w:r>
          </w:p>
        </w:tc>
      </w:tr>
      <w:tr>
        <w:trPr>
          <w:trHeight w:val="289" w:hRule="exact"/>
        </w:trPr>
        <w:tc>
          <w:tcPr>
            <w:tcW w:w="1141" w:type="dxa"/>
            <w:tcBorders>
              <w:left w:val="nil"/>
            </w:tcBorders>
          </w:tcPr>
          <w:p>
            <w:pPr>
              <w:pStyle w:val="TableParagraph"/>
              <w:spacing w:before="42"/>
              <w:ind w:left="-8" w:right="-7"/>
              <w:jc w:val="center"/>
              <w:rPr>
                <w:sz w:val="17"/>
              </w:rPr>
            </w:pPr>
            <w:r>
              <w:rPr>
                <w:sz w:val="17"/>
              </w:rPr>
              <w:t>No </w:t>
            </w:r>
            <w:r>
              <w:rPr>
                <w:spacing w:val="7"/>
                <w:sz w:val="17"/>
              </w:rPr>
              <w:t>se</w:t>
            </w:r>
            <w:r>
              <w:rPr>
                <w:spacing w:val="35"/>
                <w:sz w:val="17"/>
              </w:rPr>
              <w:t> </w:t>
            </w:r>
            <w:r>
              <w:rPr>
                <w:sz w:val="17"/>
              </w:rPr>
              <w:t>observa</w:t>
            </w:r>
          </w:p>
        </w:tc>
        <w:tc>
          <w:tcPr>
            <w:tcW w:w="2861" w:type="dxa"/>
            <w:gridSpan w:val="3"/>
          </w:tcPr>
          <w:p>
            <w:pPr>
              <w:pStyle w:val="TableParagraph"/>
              <w:spacing w:before="28"/>
              <w:ind w:left="838"/>
              <w:rPr>
                <w:sz w:val="17"/>
              </w:rPr>
            </w:pPr>
            <w:r>
              <w:rPr>
                <w:sz w:val="17"/>
              </w:rPr>
              <w:t>No se observa</w:t>
            </w:r>
          </w:p>
        </w:tc>
        <w:tc>
          <w:tcPr>
            <w:tcW w:w="2702" w:type="dxa"/>
            <w:gridSpan w:val="2"/>
          </w:tcPr>
          <w:p>
            <w:pPr>
              <w:pStyle w:val="TableParagraph"/>
              <w:spacing w:before="28"/>
              <w:ind w:left="433"/>
              <w:rPr>
                <w:sz w:val="17"/>
              </w:rPr>
            </w:pPr>
            <w:r>
              <w:rPr>
                <w:sz w:val="17"/>
              </w:rPr>
              <w:t>Abies, encinos, cedros</w:t>
            </w:r>
          </w:p>
        </w:tc>
        <w:tc>
          <w:tcPr>
            <w:tcW w:w="2037" w:type="dxa"/>
          </w:tcPr>
          <w:p>
            <w:pPr>
              <w:pStyle w:val="TableParagraph"/>
              <w:spacing w:before="42"/>
              <w:ind w:left="650"/>
              <w:rPr>
                <w:sz w:val="17"/>
              </w:rPr>
            </w:pPr>
            <w:r>
              <w:rPr>
                <w:sz w:val="17"/>
              </w:rPr>
              <w:t>arboreas</w:t>
            </w:r>
          </w:p>
        </w:tc>
      </w:tr>
      <w:tr>
        <w:trPr>
          <w:trHeight w:val="289" w:hRule="exact"/>
        </w:trPr>
        <w:tc>
          <w:tcPr>
            <w:tcW w:w="2832" w:type="dxa"/>
            <w:gridSpan w:val="3"/>
          </w:tcPr>
          <w:p>
            <w:pPr>
              <w:pStyle w:val="TableParagraph"/>
              <w:spacing w:before="28"/>
              <w:ind w:left="1054" w:right="1062"/>
              <w:jc w:val="center"/>
              <w:rPr>
                <w:b/>
                <w:sz w:val="17"/>
              </w:rPr>
            </w:pPr>
            <w:r>
              <w:rPr>
                <w:b/>
                <w:sz w:val="17"/>
              </w:rPr>
              <w:t>Función</w:t>
            </w:r>
          </w:p>
        </w:tc>
        <w:tc>
          <w:tcPr>
            <w:tcW w:w="5909" w:type="dxa"/>
            <w:gridSpan w:val="4"/>
          </w:tcPr>
          <w:p>
            <w:pPr>
              <w:pStyle w:val="TableParagraph"/>
              <w:spacing w:before="28"/>
              <w:ind w:left="435" w:right="441"/>
              <w:jc w:val="center"/>
              <w:rPr>
                <w:b/>
                <w:sz w:val="17"/>
              </w:rPr>
            </w:pPr>
            <w:r>
              <w:rPr>
                <w:b/>
                <w:sz w:val="17"/>
              </w:rPr>
              <w:t>Vegetación cultivada</w:t>
            </w:r>
          </w:p>
        </w:tc>
      </w:tr>
      <w:tr>
        <w:trPr>
          <w:trHeight w:val="289" w:hRule="exact"/>
        </w:trPr>
        <w:tc>
          <w:tcPr>
            <w:tcW w:w="2832" w:type="dxa"/>
            <w:gridSpan w:val="3"/>
          </w:tcPr>
          <w:p>
            <w:pPr>
              <w:pStyle w:val="TableParagraph"/>
              <w:spacing w:before="28"/>
              <w:ind w:left="823"/>
              <w:rPr>
                <w:sz w:val="17"/>
              </w:rPr>
            </w:pPr>
            <w:r>
              <w:rPr>
                <w:sz w:val="17"/>
              </w:rPr>
              <w:t>Siempre verde</w:t>
            </w:r>
          </w:p>
        </w:tc>
        <w:tc>
          <w:tcPr>
            <w:tcW w:w="5909" w:type="dxa"/>
            <w:gridSpan w:val="4"/>
          </w:tcPr>
          <w:p>
            <w:pPr>
              <w:pStyle w:val="TableParagraph"/>
              <w:spacing w:before="28"/>
              <w:ind w:left="435" w:right="435"/>
              <w:jc w:val="center"/>
              <w:rPr>
                <w:sz w:val="17"/>
              </w:rPr>
            </w:pPr>
            <w:r>
              <w:rPr>
                <w:sz w:val="17"/>
              </w:rPr>
              <w:t>No</w:t>
            </w:r>
          </w:p>
        </w:tc>
      </w:tr>
      <w:tr>
        <w:trPr>
          <w:trHeight w:val="289" w:hRule="exact"/>
        </w:trPr>
        <w:tc>
          <w:tcPr>
            <w:tcW w:w="4002" w:type="dxa"/>
            <w:gridSpan w:val="4"/>
          </w:tcPr>
          <w:p>
            <w:pPr>
              <w:pStyle w:val="TableParagraph"/>
              <w:spacing w:before="57"/>
              <w:ind w:left="838"/>
              <w:rPr>
                <w:b/>
                <w:sz w:val="17"/>
              </w:rPr>
            </w:pPr>
            <w:r>
              <w:rPr>
                <w:b/>
                <w:sz w:val="17"/>
              </w:rPr>
              <w:t>Prácticas agrícolas visibles:</w:t>
            </w:r>
          </w:p>
        </w:tc>
        <w:tc>
          <w:tcPr>
            <w:tcW w:w="4739" w:type="dxa"/>
            <w:gridSpan w:val="3"/>
          </w:tcPr>
          <w:p>
            <w:pPr>
              <w:pStyle w:val="TableParagraph"/>
              <w:spacing w:before="57"/>
              <w:ind w:left="1531"/>
              <w:rPr>
                <w:b/>
                <w:sz w:val="17"/>
              </w:rPr>
            </w:pPr>
            <w:r>
              <w:rPr>
                <w:b/>
                <w:sz w:val="17"/>
              </w:rPr>
              <w:t>Superficie del suelo:</w:t>
            </w:r>
          </w:p>
        </w:tc>
      </w:tr>
      <w:tr>
        <w:trPr>
          <w:trHeight w:val="332" w:hRule="exact"/>
        </w:trPr>
        <w:tc>
          <w:tcPr>
            <w:tcW w:w="4002" w:type="dxa"/>
            <w:gridSpan w:val="4"/>
          </w:tcPr>
          <w:p>
            <w:pPr>
              <w:pStyle w:val="TableParagraph"/>
              <w:spacing w:before="100"/>
              <w:ind w:left="1865" w:right="1865"/>
              <w:jc w:val="center"/>
              <w:rPr>
                <w:sz w:val="17"/>
              </w:rPr>
            </w:pPr>
            <w:r>
              <w:rPr>
                <w:sz w:val="17"/>
              </w:rPr>
              <w:t>No</w:t>
            </w:r>
          </w:p>
        </w:tc>
        <w:tc>
          <w:tcPr>
            <w:tcW w:w="4739" w:type="dxa"/>
            <w:gridSpan w:val="3"/>
          </w:tcPr>
          <w:p>
            <w:pPr>
              <w:pStyle w:val="TableParagraph"/>
              <w:spacing w:before="100"/>
              <w:ind w:left="1415"/>
              <w:rPr>
                <w:sz w:val="17"/>
              </w:rPr>
            </w:pPr>
            <w:r>
              <w:rPr>
                <w:sz w:val="17"/>
              </w:rPr>
              <w:t>Sin costras, sin piedras</w:t>
            </w:r>
          </w:p>
        </w:tc>
      </w:tr>
      <w:tr>
        <w:trPr>
          <w:trHeight w:val="375" w:hRule="exact"/>
        </w:trPr>
        <w:tc>
          <w:tcPr>
            <w:tcW w:w="2832" w:type="dxa"/>
            <w:gridSpan w:val="3"/>
          </w:tcPr>
          <w:p>
            <w:pPr>
              <w:pStyle w:val="TableParagraph"/>
              <w:spacing w:before="71"/>
              <w:ind w:left="130"/>
              <w:rPr>
                <w:b/>
                <w:sz w:val="17"/>
              </w:rPr>
            </w:pPr>
            <w:r>
              <w:rPr>
                <w:b/>
                <w:sz w:val="17"/>
              </w:rPr>
              <w:t>Material combustible presente:</w:t>
            </w:r>
          </w:p>
        </w:tc>
        <w:tc>
          <w:tcPr>
            <w:tcW w:w="5909" w:type="dxa"/>
            <w:gridSpan w:val="4"/>
          </w:tcPr>
          <w:p>
            <w:pPr>
              <w:pStyle w:val="TableParagraph"/>
              <w:spacing w:line="166" w:lineRule="exact" w:before="0"/>
              <w:ind w:left="435" w:right="476"/>
              <w:jc w:val="center"/>
              <w:rPr>
                <w:sz w:val="17"/>
              </w:rPr>
            </w:pPr>
            <w:r>
              <w:rPr>
                <w:sz w:val="17"/>
              </w:rPr>
              <w:t>Árboles  caídos, ramas secas aereas, hojas, ramas de  diferentes</w:t>
            </w:r>
          </w:p>
          <w:p>
            <w:pPr>
              <w:pStyle w:val="TableParagraph"/>
              <w:spacing w:before="35"/>
              <w:ind w:left="435" w:right="434"/>
              <w:jc w:val="center"/>
              <w:rPr>
                <w:sz w:val="17"/>
              </w:rPr>
            </w:pPr>
            <w:r>
              <w:rPr>
                <w:sz w:val="17"/>
              </w:rPr>
              <w:t>tamaños  y troncos.</w:t>
            </w:r>
          </w:p>
        </w:tc>
      </w:tr>
      <w:tr>
        <w:trPr>
          <w:trHeight w:val="289" w:hRule="exact"/>
        </w:trPr>
        <w:tc>
          <w:tcPr>
            <w:tcW w:w="4002" w:type="dxa"/>
            <w:gridSpan w:val="4"/>
          </w:tcPr>
          <w:p>
            <w:pPr>
              <w:pStyle w:val="TableParagraph"/>
              <w:spacing w:before="28"/>
              <w:ind w:left="1054"/>
              <w:rPr>
                <w:b/>
                <w:sz w:val="17"/>
              </w:rPr>
            </w:pPr>
            <w:r>
              <w:rPr>
                <w:b/>
                <w:sz w:val="17"/>
              </w:rPr>
              <w:t>Evidencia  de incendios</w:t>
            </w:r>
          </w:p>
        </w:tc>
        <w:tc>
          <w:tcPr>
            <w:tcW w:w="4739" w:type="dxa"/>
            <w:gridSpan w:val="3"/>
          </w:tcPr>
          <w:p>
            <w:pPr>
              <w:pStyle w:val="TableParagraph"/>
              <w:spacing w:before="28"/>
              <w:ind w:left="1620" w:right="1609"/>
              <w:jc w:val="center"/>
              <w:rPr>
                <w:b/>
                <w:sz w:val="17"/>
              </w:rPr>
            </w:pPr>
            <w:r>
              <w:rPr>
                <w:b/>
                <w:sz w:val="17"/>
              </w:rPr>
              <w:t>Plagas forestales:</w:t>
            </w:r>
          </w:p>
        </w:tc>
      </w:tr>
      <w:tr>
        <w:trPr>
          <w:trHeight w:val="289" w:hRule="exact"/>
        </w:trPr>
        <w:tc>
          <w:tcPr>
            <w:tcW w:w="4002" w:type="dxa"/>
            <w:gridSpan w:val="4"/>
          </w:tcPr>
          <w:p>
            <w:pPr>
              <w:pStyle w:val="TableParagraph"/>
              <w:spacing w:before="28"/>
              <w:ind w:left="1865" w:right="1865"/>
              <w:jc w:val="center"/>
              <w:rPr>
                <w:sz w:val="17"/>
              </w:rPr>
            </w:pPr>
            <w:r>
              <w:rPr>
                <w:sz w:val="17"/>
              </w:rPr>
              <w:t>No</w:t>
            </w:r>
          </w:p>
        </w:tc>
        <w:tc>
          <w:tcPr>
            <w:tcW w:w="4739" w:type="dxa"/>
            <w:gridSpan w:val="3"/>
          </w:tcPr>
          <w:p>
            <w:pPr>
              <w:pStyle w:val="TableParagraph"/>
              <w:spacing w:before="28"/>
              <w:ind w:left="1596" w:right="1609"/>
              <w:jc w:val="center"/>
              <w:rPr>
                <w:sz w:val="17"/>
              </w:rPr>
            </w:pPr>
            <w:r>
              <w:rPr>
                <w:sz w:val="17"/>
              </w:rPr>
              <w:t>Insectos</w:t>
            </w:r>
          </w:p>
        </w:tc>
      </w:tr>
      <w:tr>
        <w:trPr>
          <w:trHeight w:val="635" w:hRule="exact"/>
        </w:trPr>
        <w:tc>
          <w:tcPr>
            <w:tcW w:w="1662" w:type="dxa"/>
            <w:gridSpan w:val="2"/>
          </w:tcPr>
          <w:p>
            <w:pPr>
              <w:pStyle w:val="TableParagraph"/>
              <w:spacing w:before="6"/>
              <w:rPr>
                <w:sz w:val="17"/>
              </w:rPr>
            </w:pPr>
          </w:p>
          <w:p>
            <w:pPr>
              <w:pStyle w:val="TableParagraph"/>
              <w:spacing w:before="0"/>
              <w:ind w:left="173"/>
              <w:rPr>
                <w:b/>
                <w:sz w:val="17"/>
              </w:rPr>
            </w:pPr>
            <w:r>
              <w:rPr>
                <w:b/>
                <w:sz w:val="17"/>
              </w:rPr>
              <w:t>Observaciones:</w:t>
            </w:r>
          </w:p>
        </w:tc>
        <w:tc>
          <w:tcPr>
            <w:tcW w:w="7079" w:type="dxa"/>
            <w:gridSpan w:val="5"/>
          </w:tcPr>
          <w:p>
            <w:pPr>
              <w:pStyle w:val="TableParagraph"/>
              <w:spacing w:line="283" w:lineRule="auto" w:before="86"/>
              <w:ind w:left="28" w:right="166"/>
              <w:rPr>
                <w:sz w:val="17"/>
              </w:rPr>
            </w:pPr>
            <w:r>
              <w:rPr>
                <w:sz w:val="17"/>
              </w:rPr>
              <w:t>Presencia de senderos, veredas,basura como papeles, botellas. Hay presas de ramas en el área.</w:t>
            </w:r>
          </w:p>
        </w:tc>
      </w:tr>
    </w:tbl>
    <w:p>
      <w:pPr>
        <w:pStyle w:val="BodyText"/>
      </w:pPr>
    </w:p>
    <w:p>
      <w:pPr>
        <w:pStyle w:val="BodyText"/>
        <w:spacing w:before="9"/>
        <w:rPr>
          <w:sz w:val="20"/>
        </w:rPr>
      </w:pPr>
    </w:p>
    <w:p>
      <w:pPr>
        <w:pStyle w:val="BodyText"/>
        <w:ind w:left="102"/>
      </w:pPr>
      <w:r>
        <w:rPr/>
        <w:drawing>
          <wp:anchor distT="0" distB="0" distL="0" distR="0" allowOverlap="1" layoutInCell="1" locked="0" behindDoc="0" simplePos="0" relativeHeight="4072">
            <wp:simplePos x="0" y="0"/>
            <wp:positionH relativeFrom="page">
              <wp:posOffset>1260475</wp:posOffset>
            </wp:positionH>
            <wp:positionV relativeFrom="paragraph">
              <wp:posOffset>253312</wp:posOffset>
            </wp:positionV>
            <wp:extent cx="1616951" cy="909447"/>
            <wp:effectExtent l="0" t="0" r="0" b="0"/>
            <wp:wrapTopAndBottom/>
            <wp:docPr id="129" name="image85.jpeg" descr=""/>
            <wp:cNvGraphicFramePr>
              <a:graphicFrameLocks noChangeAspect="1"/>
            </wp:cNvGraphicFramePr>
            <a:graphic>
              <a:graphicData uri="http://schemas.openxmlformats.org/drawingml/2006/picture">
                <pic:pic>
                  <pic:nvPicPr>
                    <pic:cNvPr id="130" name="image85.jpeg"/>
                    <pic:cNvPicPr/>
                  </pic:nvPicPr>
                  <pic:blipFill>
                    <a:blip r:embed="rId132"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3084195</wp:posOffset>
            </wp:positionH>
            <wp:positionV relativeFrom="paragraph">
              <wp:posOffset>253312</wp:posOffset>
            </wp:positionV>
            <wp:extent cx="1616951" cy="909447"/>
            <wp:effectExtent l="0" t="0" r="0" b="0"/>
            <wp:wrapTopAndBottom/>
            <wp:docPr id="131" name="image86.jpeg" descr=""/>
            <wp:cNvGraphicFramePr>
              <a:graphicFrameLocks noChangeAspect="1"/>
            </wp:cNvGraphicFramePr>
            <a:graphic>
              <a:graphicData uri="http://schemas.openxmlformats.org/drawingml/2006/picture">
                <pic:pic>
                  <pic:nvPicPr>
                    <pic:cNvPr id="132" name="image86.jpeg"/>
                    <pic:cNvPicPr/>
                  </pic:nvPicPr>
                  <pic:blipFill>
                    <a:blip r:embed="rId133"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4909820</wp:posOffset>
            </wp:positionH>
            <wp:positionV relativeFrom="paragraph">
              <wp:posOffset>253312</wp:posOffset>
            </wp:positionV>
            <wp:extent cx="1616951" cy="909447"/>
            <wp:effectExtent l="0" t="0" r="0" b="0"/>
            <wp:wrapTopAndBottom/>
            <wp:docPr id="133" name="image87.jpeg" descr=""/>
            <wp:cNvGraphicFramePr>
              <a:graphicFrameLocks noChangeAspect="1"/>
            </wp:cNvGraphicFramePr>
            <a:graphic>
              <a:graphicData uri="http://schemas.openxmlformats.org/drawingml/2006/picture">
                <pic:pic>
                  <pic:nvPicPr>
                    <pic:cNvPr id="134" name="image87.jpeg"/>
                    <pic:cNvPicPr/>
                  </pic:nvPicPr>
                  <pic:blipFill>
                    <a:blip r:embed="rId134" cstate="print"/>
                    <a:stretch>
                      <a:fillRect/>
                    </a:stretch>
                  </pic:blipFill>
                  <pic:spPr>
                    <a:xfrm>
                      <a:off x="0" y="0"/>
                      <a:ext cx="1616951" cy="909447"/>
                    </a:xfrm>
                    <a:prstGeom prst="rect">
                      <a:avLst/>
                    </a:prstGeom>
                  </pic:spPr>
                </pic:pic>
              </a:graphicData>
            </a:graphic>
          </wp:anchor>
        </w:drawing>
      </w:r>
      <w:r>
        <w:rPr/>
        <w:t>Imágenes del sitio 7.</w:t>
      </w:r>
    </w:p>
    <w:p>
      <w:pPr>
        <w:pStyle w:val="BodyText"/>
        <w:spacing w:before="5"/>
        <w:rPr>
          <w:sz w:val="6"/>
        </w:rPr>
      </w:pPr>
    </w:p>
    <w:p>
      <w:pPr>
        <w:tabs>
          <w:tab w:pos="3603" w:val="left" w:leader="none"/>
          <w:tab w:pos="6469" w:val="left" w:leader="none"/>
        </w:tabs>
        <w:spacing w:line="240" w:lineRule="auto"/>
        <w:ind w:left="722" w:right="0" w:firstLine="0"/>
        <w:rPr>
          <w:sz w:val="20"/>
        </w:rPr>
      </w:pPr>
      <w:r>
        <w:rPr>
          <w:sz w:val="20"/>
        </w:rPr>
        <w:drawing>
          <wp:inline distT="0" distB="0" distL="0" distR="0">
            <wp:extent cx="1158985" cy="1253299"/>
            <wp:effectExtent l="0" t="0" r="0" b="0"/>
            <wp:docPr id="135" name="image88.jpeg" descr=""/>
            <wp:cNvGraphicFramePr>
              <a:graphicFrameLocks noChangeAspect="1"/>
            </wp:cNvGraphicFramePr>
            <a:graphic>
              <a:graphicData uri="http://schemas.openxmlformats.org/drawingml/2006/picture">
                <pic:pic>
                  <pic:nvPicPr>
                    <pic:cNvPr id="136" name="image88.jpeg"/>
                    <pic:cNvPicPr/>
                  </pic:nvPicPr>
                  <pic:blipFill>
                    <a:blip r:embed="rId135" cstate="print"/>
                    <a:stretch>
                      <a:fillRect/>
                    </a:stretch>
                  </pic:blipFill>
                  <pic:spPr>
                    <a:xfrm>
                      <a:off x="0" y="0"/>
                      <a:ext cx="1158985" cy="1253299"/>
                    </a:xfrm>
                    <a:prstGeom prst="rect">
                      <a:avLst/>
                    </a:prstGeom>
                  </pic:spPr>
                </pic:pic>
              </a:graphicData>
            </a:graphic>
          </wp:inline>
        </w:drawing>
      </w:r>
      <w:r>
        <w:rPr>
          <w:sz w:val="20"/>
        </w:rPr>
      </w:r>
      <w:r>
        <w:rPr>
          <w:sz w:val="20"/>
        </w:rPr>
        <w:tab/>
      </w:r>
      <w:r>
        <w:rPr>
          <w:position w:val="1"/>
          <w:sz w:val="20"/>
        </w:rPr>
        <w:drawing>
          <wp:inline distT="0" distB="0" distL="0" distR="0">
            <wp:extent cx="1152295" cy="1249203"/>
            <wp:effectExtent l="0" t="0" r="0" b="0"/>
            <wp:docPr id="137" name="image89.jpeg" descr=""/>
            <wp:cNvGraphicFramePr>
              <a:graphicFrameLocks noChangeAspect="1"/>
            </wp:cNvGraphicFramePr>
            <a:graphic>
              <a:graphicData uri="http://schemas.openxmlformats.org/drawingml/2006/picture">
                <pic:pic>
                  <pic:nvPicPr>
                    <pic:cNvPr id="138" name="image89.jpeg"/>
                    <pic:cNvPicPr/>
                  </pic:nvPicPr>
                  <pic:blipFill>
                    <a:blip r:embed="rId136" cstate="print"/>
                    <a:stretch>
                      <a:fillRect/>
                    </a:stretch>
                  </pic:blipFill>
                  <pic:spPr>
                    <a:xfrm>
                      <a:off x="0" y="0"/>
                      <a:ext cx="1152295" cy="1249203"/>
                    </a:xfrm>
                    <a:prstGeom prst="rect">
                      <a:avLst/>
                    </a:prstGeom>
                  </pic:spPr>
                </pic:pic>
              </a:graphicData>
            </a:graphic>
          </wp:inline>
        </w:drawing>
      </w:r>
      <w:r>
        <w:rPr>
          <w:position w:val="1"/>
          <w:sz w:val="20"/>
        </w:rPr>
      </w:r>
      <w:r>
        <w:rPr>
          <w:position w:val="1"/>
          <w:sz w:val="20"/>
        </w:rPr>
        <w:tab/>
      </w:r>
      <w:r>
        <w:rPr>
          <w:position w:val="2"/>
          <w:sz w:val="20"/>
        </w:rPr>
        <w:drawing>
          <wp:inline distT="0" distB="0" distL="0" distR="0">
            <wp:extent cx="1162038" cy="1241012"/>
            <wp:effectExtent l="0" t="0" r="0" b="0"/>
            <wp:docPr id="139" name="image90.jpeg" descr=""/>
            <wp:cNvGraphicFramePr>
              <a:graphicFrameLocks noChangeAspect="1"/>
            </wp:cNvGraphicFramePr>
            <a:graphic>
              <a:graphicData uri="http://schemas.openxmlformats.org/drawingml/2006/picture">
                <pic:pic>
                  <pic:nvPicPr>
                    <pic:cNvPr id="140" name="image90.jpeg"/>
                    <pic:cNvPicPr/>
                  </pic:nvPicPr>
                  <pic:blipFill>
                    <a:blip r:embed="rId137" cstate="print"/>
                    <a:stretch>
                      <a:fillRect/>
                    </a:stretch>
                  </pic:blipFill>
                  <pic:spPr>
                    <a:xfrm>
                      <a:off x="0" y="0"/>
                      <a:ext cx="1162038" cy="1241012"/>
                    </a:xfrm>
                    <a:prstGeom prst="rect">
                      <a:avLst/>
                    </a:prstGeom>
                  </pic:spPr>
                </pic:pic>
              </a:graphicData>
            </a:graphic>
          </wp:inline>
        </w:drawing>
      </w:r>
      <w:r>
        <w:rPr>
          <w:position w:val="2"/>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8.</w:t>
      </w:r>
    </w:p>
    <w:p>
      <w:pPr>
        <w:pStyle w:val="BodyText"/>
        <w:spacing w:before="9" w:after="1"/>
        <w:rPr>
          <w:sz w:val="10"/>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4"/>
        <w:gridCol w:w="517"/>
        <w:gridCol w:w="1162"/>
        <w:gridCol w:w="1162"/>
        <w:gridCol w:w="1535"/>
        <w:gridCol w:w="1148"/>
        <w:gridCol w:w="2024"/>
      </w:tblGrid>
      <w:tr>
        <w:trPr>
          <w:trHeight w:val="287" w:hRule="exact"/>
        </w:trPr>
        <w:tc>
          <w:tcPr>
            <w:tcW w:w="1134" w:type="dxa"/>
            <w:vMerge w:val="restart"/>
          </w:tcPr>
          <w:p>
            <w:pPr>
              <w:pStyle w:val="TableParagraph"/>
              <w:spacing w:before="9"/>
              <w:rPr>
                <w:sz w:val="14"/>
              </w:rPr>
            </w:pPr>
          </w:p>
          <w:p>
            <w:pPr>
              <w:pStyle w:val="TableParagraph"/>
              <w:spacing w:before="1"/>
              <w:ind w:left="315"/>
              <w:rPr>
                <w:b/>
                <w:sz w:val="17"/>
              </w:rPr>
            </w:pPr>
            <w:r>
              <w:rPr>
                <w:b/>
                <w:sz w:val="17"/>
              </w:rPr>
              <w:t>Fecha</w:t>
            </w:r>
          </w:p>
        </w:tc>
        <w:tc>
          <w:tcPr>
            <w:tcW w:w="517" w:type="dxa"/>
            <w:vMerge w:val="restart"/>
          </w:tcPr>
          <w:p>
            <w:pPr>
              <w:pStyle w:val="TableParagraph"/>
              <w:spacing w:before="9"/>
              <w:rPr>
                <w:sz w:val="14"/>
              </w:rPr>
            </w:pPr>
          </w:p>
          <w:p>
            <w:pPr>
              <w:pStyle w:val="TableParagraph"/>
              <w:spacing w:before="1"/>
              <w:ind w:left="71"/>
              <w:rPr>
                <w:b/>
                <w:sz w:val="17"/>
              </w:rPr>
            </w:pPr>
            <w:r>
              <w:rPr>
                <w:b/>
                <w:sz w:val="17"/>
              </w:rPr>
              <w:t>Sitio</w:t>
            </w:r>
          </w:p>
        </w:tc>
        <w:tc>
          <w:tcPr>
            <w:tcW w:w="2325" w:type="dxa"/>
            <w:gridSpan w:val="2"/>
            <w:tcBorders>
              <w:bottom w:val="single" w:sz="6" w:space="0" w:color="000000"/>
            </w:tcBorders>
          </w:tcPr>
          <w:p>
            <w:pPr>
              <w:pStyle w:val="TableParagraph"/>
              <w:spacing w:before="55"/>
              <w:ind w:left="401"/>
              <w:rPr>
                <w:b/>
                <w:sz w:val="17"/>
              </w:rPr>
            </w:pPr>
            <w:r>
              <w:rPr>
                <w:b/>
                <w:sz w:val="17"/>
              </w:rPr>
              <w:t>Coordenadas UTM</w:t>
            </w:r>
          </w:p>
        </w:tc>
        <w:tc>
          <w:tcPr>
            <w:tcW w:w="1535" w:type="dxa"/>
            <w:vMerge w:val="restart"/>
          </w:tcPr>
          <w:p>
            <w:pPr>
              <w:pStyle w:val="TableParagraph"/>
              <w:spacing w:before="9"/>
              <w:rPr>
                <w:sz w:val="14"/>
              </w:rPr>
            </w:pPr>
          </w:p>
          <w:p>
            <w:pPr>
              <w:pStyle w:val="TableParagraph"/>
              <w:spacing w:before="1"/>
              <w:ind w:left="358"/>
              <w:rPr>
                <w:b/>
                <w:sz w:val="17"/>
              </w:rPr>
            </w:pPr>
            <w:r>
              <w:rPr>
                <w:b/>
                <w:sz w:val="17"/>
              </w:rPr>
              <w:t>Localidad</w:t>
            </w:r>
          </w:p>
        </w:tc>
        <w:tc>
          <w:tcPr>
            <w:tcW w:w="1148" w:type="dxa"/>
            <w:vMerge w:val="restart"/>
          </w:tcPr>
          <w:p>
            <w:pPr>
              <w:pStyle w:val="TableParagraph"/>
              <w:spacing w:before="9"/>
              <w:rPr>
                <w:sz w:val="14"/>
              </w:rPr>
            </w:pPr>
          </w:p>
          <w:p>
            <w:pPr>
              <w:pStyle w:val="TableParagraph"/>
              <w:spacing w:before="1"/>
              <w:ind w:left="115"/>
              <w:rPr>
                <w:b/>
                <w:sz w:val="17"/>
              </w:rPr>
            </w:pPr>
            <w:r>
              <w:rPr>
                <w:b/>
                <w:sz w:val="17"/>
              </w:rPr>
              <w:t>Delegación</w:t>
            </w:r>
          </w:p>
        </w:tc>
        <w:tc>
          <w:tcPr>
            <w:tcW w:w="2024" w:type="dxa"/>
            <w:vMerge w:val="restart"/>
          </w:tcPr>
          <w:p>
            <w:pPr>
              <w:pStyle w:val="TableParagraph"/>
              <w:spacing w:before="9"/>
              <w:rPr>
                <w:sz w:val="14"/>
              </w:rPr>
            </w:pPr>
          </w:p>
          <w:p>
            <w:pPr>
              <w:pStyle w:val="TableParagraph"/>
              <w:spacing w:before="1"/>
              <w:ind w:left="329"/>
              <w:rPr>
                <w:b/>
                <w:sz w:val="17"/>
              </w:rPr>
            </w:pPr>
            <w:r>
              <w:rPr>
                <w:b/>
                <w:sz w:val="17"/>
              </w:rPr>
              <w:t>Elevación msnm</w:t>
            </w:r>
          </w:p>
        </w:tc>
      </w:tr>
      <w:tr>
        <w:trPr>
          <w:trHeight w:val="287" w:hRule="exact"/>
        </w:trPr>
        <w:tc>
          <w:tcPr>
            <w:tcW w:w="1134" w:type="dxa"/>
            <w:vMerge/>
          </w:tcPr>
          <w:p>
            <w:pPr/>
          </w:p>
        </w:tc>
        <w:tc>
          <w:tcPr>
            <w:tcW w:w="517" w:type="dxa"/>
            <w:vMerge/>
          </w:tcPr>
          <w:p>
            <w:pPr/>
          </w:p>
        </w:tc>
        <w:tc>
          <w:tcPr>
            <w:tcW w:w="1162" w:type="dxa"/>
            <w:tcBorders>
              <w:top w:val="single" w:sz="6" w:space="0" w:color="000000"/>
            </w:tcBorders>
          </w:tcPr>
          <w:p>
            <w:pPr>
              <w:pStyle w:val="TableParagraph"/>
              <w:spacing w:before="41"/>
              <w:ind w:left="145" w:right="148"/>
              <w:jc w:val="center"/>
              <w:rPr>
                <w:b/>
                <w:sz w:val="17"/>
              </w:rPr>
            </w:pPr>
            <w:r>
              <w:rPr>
                <w:b/>
                <w:sz w:val="17"/>
              </w:rPr>
              <w:t>Oeste</w:t>
            </w:r>
          </w:p>
        </w:tc>
        <w:tc>
          <w:tcPr>
            <w:tcW w:w="1162" w:type="dxa"/>
            <w:tcBorders>
              <w:top w:val="single" w:sz="6" w:space="0" w:color="000000"/>
            </w:tcBorders>
          </w:tcPr>
          <w:p>
            <w:pPr>
              <w:pStyle w:val="TableParagraph"/>
              <w:spacing w:before="41"/>
              <w:ind w:left="104" w:right="96"/>
              <w:jc w:val="center"/>
              <w:rPr>
                <w:b/>
                <w:sz w:val="17"/>
              </w:rPr>
            </w:pPr>
            <w:r>
              <w:rPr>
                <w:b/>
                <w:sz w:val="17"/>
              </w:rPr>
              <w:t>Norte</w:t>
            </w:r>
          </w:p>
        </w:tc>
        <w:tc>
          <w:tcPr>
            <w:tcW w:w="1535" w:type="dxa"/>
            <w:vMerge/>
          </w:tcPr>
          <w:p>
            <w:pPr/>
          </w:p>
        </w:tc>
        <w:tc>
          <w:tcPr>
            <w:tcW w:w="1148" w:type="dxa"/>
            <w:vMerge/>
          </w:tcPr>
          <w:p>
            <w:pPr/>
          </w:p>
        </w:tc>
        <w:tc>
          <w:tcPr>
            <w:tcW w:w="2024" w:type="dxa"/>
            <w:vMerge/>
          </w:tcPr>
          <w:p>
            <w:pPr/>
          </w:p>
        </w:tc>
      </w:tr>
      <w:tr>
        <w:trPr>
          <w:trHeight w:val="703" w:hRule="exact"/>
        </w:trPr>
        <w:tc>
          <w:tcPr>
            <w:tcW w:w="1134" w:type="dxa"/>
          </w:tcPr>
          <w:p>
            <w:pPr>
              <w:pStyle w:val="TableParagraph"/>
              <w:spacing w:before="0"/>
              <w:rPr>
                <w:sz w:val="21"/>
              </w:rPr>
            </w:pPr>
          </w:p>
          <w:p>
            <w:pPr>
              <w:pStyle w:val="TableParagraph"/>
              <w:spacing w:before="1"/>
              <w:ind w:left="111" w:right="116"/>
              <w:jc w:val="center"/>
              <w:rPr>
                <w:sz w:val="17"/>
              </w:rPr>
            </w:pPr>
            <w:r>
              <w:rPr>
                <w:sz w:val="17"/>
              </w:rPr>
              <w:t>15/01/2015</w:t>
            </w:r>
          </w:p>
        </w:tc>
        <w:tc>
          <w:tcPr>
            <w:tcW w:w="517" w:type="dxa"/>
          </w:tcPr>
          <w:p>
            <w:pPr>
              <w:pStyle w:val="TableParagraph"/>
              <w:spacing w:before="0"/>
              <w:rPr>
                <w:sz w:val="21"/>
              </w:rPr>
            </w:pPr>
          </w:p>
          <w:p>
            <w:pPr>
              <w:pStyle w:val="TableParagraph"/>
              <w:spacing w:before="1"/>
              <w:ind w:right="2"/>
              <w:jc w:val="center"/>
              <w:rPr>
                <w:sz w:val="17"/>
              </w:rPr>
            </w:pPr>
            <w:r>
              <w:rPr>
                <w:w w:val="101"/>
                <w:sz w:val="17"/>
              </w:rPr>
              <w:t>8</w:t>
            </w:r>
          </w:p>
        </w:tc>
        <w:tc>
          <w:tcPr>
            <w:tcW w:w="1162" w:type="dxa"/>
          </w:tcPr>
          <w:p>
            <w:pPr>
              <w:pStyle w:val="TableParagraph"/>
              <w:spacing w:before="0"/>
              <w:rPr>
                <w:sz w:val="21"/>
              </w:rPr>
            </w:pPr>
          </w:p>
          <w:p>
            <w:pPr>
              <w:pStyle w:val="TableParagraph"/>
              <w:spacing w:before="1"/>
              <w:ind w:left="155" w:right="148"/>
              <w:jc w:val="center"/>
              <w:rPr>
                <w:sz w:val="17"/>
              </w:rPr>
            </w:pPr>
            <w:r>
              <w:rPr>
                <w:sz w:val="17"/>
              </w:rPr>
              <w:t>469058.07</w:t>
            </w:r>
          </w:p>
        </w:tc>
        <w:tc>
          <w:tcPr>
            <w:tcW w:w="1162" w:type="dxa"/>
          </w:tcPr>
          <w:p>
            <w:pPr>
              <w:pStyle w:val="TableParagraph"/>
              <w:spacing w:before="0"/>
              <w:rPr>
                <w:sz w:val="21"/>
              </w:rPr>
            </w:pPr>
          </w:p>
          <w:p>
            <w:pPr>
              <w:pStyle w:val="TableParagraph"/>
              <w:spacing w:before="1"/>
              <w:ind w:left="104" w:right="105"/>
              <w:jc w:val="center"/>
              <w:rPr>
                <w:sz w:val="17"/>
              </w:rPr>
            </w:pPr>
            <w:r>
              <w:rPr>
                <w:sz w:val="17"/>
              </w:rPr>
              <w:t>2130047.78</w:t>
            </w:r>
          </w:p>
        </w:tc>
        <w:tc>
          <w:tcPr>
            <w:tcW w:w="1535" w:type="dxa"/>
          </w:tcPr>
          <w:p>
            <w:pPr>
              <w:pStyle w:val="TableParagraph"/>
              <w:spacing w:before="0"/>
              <w:rPr>
                <w:sz w:val="22"/>
              </w:rPr>
            </w:pPr>
          </w:p>
          <w:p>
            <w:pPr>
              <w:pStyle w:val="TableParagraph"/>
              <w:spacing w:before="178"/>
              <w:ind w:left="28"/>
              <w:rPr>
                <w:rFonts w:ascii="Calibri"/>
                <w:sz w:val="21"/>
              </w:rPr>
            </w:pPr>
            <w:r>
              <w:rPr>
                <w:rFonts w:ascii="Calibri"/>
                <w:w w:val="105"/>
                <w:sz w:val="21"/>
              </w:rPr>
              <w:t>4to. Dinamo</w:t>
            </w:r>
          </w:p>
        </w:tc>
        <w:tc>
          <w:tcPr>
            <w:tcW w:w="1148" w:type="dxa"/>
          </w:tcPr>
          <w:p>
            <w:pPr>
              <w:pStyle w:val="TableParagraph"/>
              <w:spacing w:line="280" w:lineRule="auto" w:before="0"/>
              <w:ind w:left="129" w:right="133" w:firstLine="20"/>
              <w:jc w:val="center"/>
              <w:rPr>
                <w:sz w:val="17"/>
              </w:rPr>
            </w:pPr>
            <w:r>
              <w:rPr>
                <w:sz w:val="17"/>
              </w:rPr>
              <w:t>La   Magdalena Contreras</w:t>
            </w:r>
          </w:p>
        </w:tc>
        <w:tc>
          <w:tcPr>
            <w:tcW w:w="2024" w:type="dxa"/>
          </w:tcPr>
          <w:p>
            <w:pPr>
              <w:pStyle w:val="TableParagraph"/>
              <w:spacing w:before="0"/>
              <w:rPr>
                <w:sz w:val="16"/>
              </w:rPr>
            </w:pPr>
          </w:p>
          <w:p>
            <w:pPr>
              <w:pStyle w:val="TableParagraph"/>
              <w:spacing w:before="0"/>
              <w:rPr>
                <w:sz w:val="16"/>
              </w:rPr>
            </w:pPr>
          </w:p>
          <w:p>
            <w:pPr>
              <w:pStyle w:val="TableParagraph"/>
              <w:spacing w:before="104"/>
              <w:ind w:left="112" w:right="112"/>
              <w:jc w:val="center"/>
              <w:rPr>
                <w:sz w:val="17"/>
              </w:rPr>
            </w:pPr>
            <w:r>
              <w:rPr>
                <w:sz w:val="17"/>
              </w:rPr>
              <w:t>3111</w:t>
            </w:r>
          </w:p>
        </w:tc>
      </w:tr>
      <w:tr>
        <w:trPr>
          <w:trHeight w:val="316" w:hRule="exact"/>
        </w:trPr>
        <w:tc>
          <w:tcPr>
            <w:tcW w:w="2813" w:type="dxa"/>
            <w:gridSpan w:val="3"/>
          </w:tcPr>
          <w:p>
            <w:pPr>
              <w:pStyle w:val="TableParagraph"/>
              <w:spacing w:before="41"/>
              <w:ind w:left="488"/>
              <w:rPr>
                <w:b/>
                <w:sz w:val="17"/>
              </w:rPr>
            </w:pPr>
            <w:r>
              <w:rPr>
                <w:b/>
                <w:sz w:val="17"/>
              </w:rPr>
              <w:t>Ángulo de la pendiente</w:t>
            </w:r>
          </w:p>
        </w:tc>
        <w:tc>
          <w:tcPr>
            <w:tcW w:w="2698" w:type="dxa"/>
            <w:gridSpan w:val="2"/>
          </w:tcPr>
          <w:p>
            <w:pPr>
              <w:pStyle w:val="TableParagraph"/>
              <w:spacing w:before="41"/>
              <w:ind w:left="444"/>
              <w:rPr>
                <w:b/>
                <w:sz w:val="17"/>
              </w:rPr>
            </w:pPr>
            <w:r>
              <w:rPr>
                <w:b/>
                <w:sz w:val="17"/>
              </w:rPr>
              <w:t>Forma de la pendiente</w:t>
            </w:r>
          </w:p>
        </w:tc>
        <w:tc>
          <w:tcPr>
            <w:tcW w:w="3172" w:type="dxa"/>
            <w:gridSpan w:val="2"/>
          </w:tcPr>
          <w:p>
            <w:pPr>
              <w:pStyle w:val="TableParagraph"/>
              <w:spacing w:before="41"/>
              <w:ind w:left="1060" w:right="1064"/>
              <w:jc w:val="center"/>
              <w:rPr>
                <w:b/>
                <w:sz w:val="17"/>
              </w:rPr>
            </w:pPr>
            <w:r>
              <w:rPr>
                <w:b/>
                <w:sz w:val="17"/>
              </w:rPr>
              <w:t>Microrelieve</w:t>
            </w:r>
          </w:p>
        </w:tc>
      </w:tr>
      <w:tr>
        <w:trPr>
          <w:trHeight w:val="287" w:hRule="exact"/>
        </w:trPr>
        <w:tc>
          <w:tcPr>
            <w:tcW w:w="2813" w:type="dxa"/>
            <w:gridSpan w:val="3"/>
          </w:tcPr>
          <w:p>
            <w:pPr>
              <w:pStyle w:val="TableParagraph"/>
              <w:spacing w:before="55"/>
              <w:ind w:left="1044" w:right="1044"/>
              <w:jc w:val="center"/>
              <w:rPr>
                <w:sz w:val="17"/>
              </w:rPr>
            </w:pPr>
            <w:r>
              <w:rPr>
                <w:sz w:val="17"/>
              </w:rPr>
              <w:t>45°</w:t>
            </w:r>
          </w:p>
        </w:tc>
        <w:tc>
          <w:tcPr>
            <w:tcW w:w="2698" w:type="dxa"/>
            <w:gridSpan w:val="2"/>
          </w:tcPr>
          <w:p>
            <w:pPr>
              <w:pStyle w:val="TableParagraph"/>
              <w:spacing w:before="55"/>
              <w:ind w:left="889"/>
              <w:rPr>
                <w:sz w:val="17"/>
              </w:rPr>
            </w:pPr>
            <w:r>
              <w:rPr>
                <w:sz w:val="17"/>
              </w:rPr>
              <w:t>Terraceado</w:t>
            </w:r>
          </w:p>
        </w:tc>
        <w:tc>
          <w:tcPr>
            <w:tcW w:w="3172" w:type="dxa"/>
            <w:gridSpan w:val="2"/>
          </w:tcPr>
          <w:p>
            <w:pPr>
              <w:pStyle w:val="TableParagraph"/>
              <w:spacing w:before="55"/>
              <w:ind w:left="1060" w:right="1064"/>
              <w:jc w:val="center"/>
              <w:rPr>
                <w:sz w:val="17"/>
              </w:rPr>
            </w:pPr>
            <w:r>
              <w:rPr>
                <w:sz w:val="17"/>
              </w:rPr>
              <w:t>Ondulado</w:t>
            </w:r>
          </w:p>
        </w:tc>
      </w:tr>
      <w:tr>
        <w:trPr>
          <w:trHeight w:val="287" w:hRule="exact"/>
        </w:trPr>
        <w:tc>
          <w:tcPr>
            <w:tcW w:w="2813" w:type="dxa"/>
            <w:gridSpan w:val="3"/>
          </w:tcPr>
          <w:p>
            <w:pPr>
              <w:pStyle w:val="TableParagraph"/>
              <w:spacing w:before="27"/>
              <w:ind w:left="287"/>
              <w:rPr>
                <w:b/>
                <w:sz w:val="17"/>
              </w:rPr>
            </w:pPr>
            <w:r>
              <w:rPr>
                <w:b/>
                <w:sz w:val="17"/>
              </w:rPr>
              <w:t>Drenaje superficial del sitio</w:t>
            </w:r>
          </w:p>
        </w:tc>
        <w:tc>
          <w:tcPr>
            <w:tcW w:w="2698" w:type="dxa"/>
            <w:gridSpan w:val="2"/>
          </w:tcPr>
          <w:p>
            <w:pPr>
              <w:pStyle w:val="TableParagraph"/>
              <w:spacing w:before="27"/>
              <w:ind w:left="645"/>
              <w:rPr>
                <w:b/>
                <w:sz w:val="17"/>
              </w:rPr>
            </w:pPr>
            <w:r>
              <w:rPr>
                <w:b/>
                <w:sz w:val="17"/>
              </w:rPr>
              <w:t>Material parental</w:t>
            </w:r>
          </w:p>
        </w:tc>
        <w:tc>
          <w:tcPr>
            <w:tcW w:w="1148" w:type="dxa"/>
          </w:tcPr>
          <w:p>
            <w:pPr>
              <w:pStyle w:val="TableParagraph"/>
              <w:spacing w:before="41"/>
              <w:ind w:left="181" w:right="172"/>
              <w:jc w:val="center"/>
              <w:rPr>
                <w:b/>
                <w:sz w:val="17"/>
              </w:rPr>
            </w:pPr>
            <w:r>
              <w:rPr>
                <w:b/>
                <w:sz w:val="17"/>
              </w:rPr>
              <w:t>Color</w:t>
            </w:r>
          </w:p>
        </w:tc>
        <w:tc>
          <w:tcPr>
            <w:tcW w:w="2024" w:type="dxa"/>
          </w:tcPr>
          <w:p>
            <w:pPr>
              <w:pStyle w:val="TableParagraph"/>
              <w:spacing w:before="41"/>
              <w:ind w:left="112" w:right="110"/>
              <w:jc w:val="center"/>
              <w:rPr>
                <w:b/>
                <w:sz w:val="17"/>
              </w:rPr>
            </w:pPr>
            <w:r>
              <w:rPr>
                <w:b/>
                <w:sz w:val="17"/>
              </w:rPr>
              <w:t>Color intemperizado</w:t>
            </w:r>
          </w:p>
        </w:tc>
      </w:tr>
      <w:tr>
        <w:trPr>
          <w:trHeight w:val="287" w:hRule="exact"/>
        </w:trPr>
        <w:tc>
          <w:tcPr>
            <w:tcW w:w="2813" w:type="dxa"/>
            <w:gridSpan w:val="3"/>
          </w:tcPr>
          <w:p>
            <w:pPr>
              <w:pStyle w:val="TableParagraph"/>
              <w:spacing w:before="27"/>
              <w:ind w:left="1044" w:right="1052"/>
              <w:jc w:val="center"/>
              <w:rPr>
                <w:sz w:val="17"/>
              </w:rPr>
            </w:pPr>
            <w:r>
              <w:rPr>
                <w:sz w:val="17"/>
              </w:rPr>
              <w:t>Donador</w:t>
            </w:r>
          </w:p>
        </w:tc>
        <w:tc>
          <w:tcPr>
            <w:tcW w:w="2698" w:type="dxa"/>
            <w:gridSpan w:val="2"/>
          </w:tcPr>
          <w:p>
            <w:pPr>
              <w:pStyle w:val="TableParagraph"/>
              <w:spacing w:before="27"/>
              <w:ind w:left="588"/>
              <w:rPr>
                <w:sz w:val="17"/>
              </w:rPr>
            </w:pPr>
            <w:r>
              <w:rPr>
                <w:sz w:val="17"/>
              </w:rPr>
              <w:t>Reolitas extrusivas</w:t>
            </w:r>
          </w:p>
        </w:tc>
        <w:tc>
          <w:tcPr>
            <w:tcW w:w="1148" w:type="dxa"/>
          </w:tcPr>
          <w:p>
            <w:pPr>
              <w:pStyle w:val="TableParagraph"/>
              <w:spacing w:before="56"/>
              <w:ind w:left="181" w:right="184"/>
              <w:jc w:val="center"/>
              <w:rPr>
                <w:sz w:val="17"/>
              </w:rPr>
            </w:pPr>
            <w:r>
              <w:rPr>
                <w:sz w:val="17"/>
              </w:rPr>
              <w:t>Gris claro</w:t>
            </w:r>
          </w:p>
        </w:tc>
        <w:tc>
          <w:tcPr>
            <w:tcW w:w="2024" w:type="dxa"/>
          </w:tcPr>
          <w:p>
            <w:pPr>
              <w:pStyle w:val="TableParagraph"/>
              <w:spacing w:before="56"/>
              <w:ind w:left="112" w:right="116"/>
              <w:jc w:val="center"/>
              <w:rPr>
                <w:sz w:val="17"/>
              </w:rPr>
            </w:pPr>
            <w:r>
              <w:rPr>
                <w:sz w:val="17"/>
              </w:rPr>
              <w:t>Gris oscuro</w:t>
            </w:r>
          </w:p>
        </w:tc>
      </w:tr>
      <w:tr>
        <w:trPr>
          <w:trHeight w:val="287" w:hRule="exact"/>
        </w:trPr>
        <w:tc>
          <w:tcPr>
            <w:tcW w:w="1134" w:type="dxa"/>
          </w:tcPr>
          <w:p>
            <w:pPr>
              <w:pStyle w:val="TableParagraph"/>
              <w:spacing w:before="41"/>
              <w:ind w:left="111" w:right="114"/>
              <w:jc w:val="center"/>
              <w:rPr>
                <w:b/>
                <w:sz w:val="17"/>
              </w:rPr>
            </w:pPr>
            <w:r>
              <w:rPr>
                <w:b/>
                <w:sz w:val="17"/>
              </w:rPr>
              <w:t>Textura</w:t>
            </w:r>
          </w:p>
        </w:tc>
        <w:tc>
          <w:tcPr>
            <w:tcW w:w="2842" w:type="dxa"/>
            <w:gridSpan w:val="3"/>
          </w:tcPr>
          <w:p>
            <w:pPr>
              <w:pStyle w:val="TableParagraph"/>
              <w:spacing w:before="27"/>
              <w:ind w:left="488"/>
              <w:rPr>
                <w:b/>
                <w:sz w:val="17"/>
              </w:rPr>
            </w:pPr>
            <w:r>
              <w:rPr>
                <w:b/>
                <w:sz w:val="17"/>
              </w:rPr>
              <w:t>Minerales observables</w:t>
            </w:r>
          </w:p>
        </w:tc>
        <w:tc>
          <w:tcPr>
            <w:tcW w:w="2684" w:type="dxa"/>
            <w:gridSpan w:val="2"/>
          </w:tcPr>
          <w:p>
            <w:pPr>
              <w:pStyle w:val="TableParagraph"/>
              <w:spacing w:before="27"/>
              <w:ind w:left="602"/>
              <w:rPr>
                <w:b/>
                <w:sz w:val="17"/>
              </w:rPr>
            </w:pPr>
            <w:r>
              <w:rPr>
                <w:b/>
                <w:sz w:val="17"/>
              </w:rPr>
              <w:t>Vegetación nativa</w:t>
            </w:r>
          </w:p>
        </w:tc>
        <w:tc>
          <w:tcPr>
            <w:tcW w:w="2024" w:type="dxa"/>
          </w:tcPr>
          <w:p>
            <w:pPr>
              <w:pStyle w:val="TableParagraph"/>
              <w:spacing w:before="41"/>
              <w:ind w:left="112" w:right="117"/>
              <w:jc w:val="center"/>
              <w:rPr>
                <w:b/>
                <w:sz w:val="17"/>
              </w:rPr>
            </w:pPr>
            <w:r>
              <w:rPr>
                <w:b/>
                <w:sz w:val="17"/>
              </w:rPr>
              <w:t>Especies dominantes</w:t>
            </w:r>
          </w:p>
        </w:tc>
      </w:tr>
      <w:tr>
        <w:trPr>
          <w:trHeight w:val="287" w:hRule="exact"/>
        </w:trPr>
        <w:tc>
          <w:tcPr>
            <w:tcW w:w="1134" w:type="dxa"/>
          </w:tcPr>
          <w:p>
            <w:pPr>
              <w:pStyle w:val="TableParagraph"/>
              <w:spacing w:before="41"/>
              <w:ind w:left="111" w:right="114"/>
              <w:jc w:val="center"/>
              <w:rPr>
                <w:sz w:val="17"/>
              </w:rPr>
            </w:pPr>
            <w:r>
              <w:rPr>
                <w:sz w:val="17"/>
              </w:rPr>
              <w:t>Afanítica</w:t>
            </w:r>
          </w:p>
        </w:tc>
        <w:tc>
          <w:tcPr>
            <w:tcW w:w="2842" w:type="dxa"/>
            <w:gridSpan w:val="3"/>
          </w:tcPr>
          <w:p>
            <w:pPr>
              <w:pStyle w:val="TableParagraph"/>
              <w:spacing w:before="27"/>
              <w:ind w:left="832"/>
              <w:rPr>
                <w:sz w:val="17"/>
              </w:rPr>
            </w:pPr>
            <w:r>
              <w:rPr>
                <w:sz w:val="17"/>
              </w:rPr>
              <w:t>No se observa</w:t>
            </w:r>
          </w:p>
        </w:tc>
        <w:tc>
          <w:tcPr>
            <w:tcW w:w="2684" w:type="dxa"/>
            <w:gridSpan w:val="2"/>
          </w:tcPr>
          <w:p>
            <w:pPr>
              <w:pStyle w:val="TableParagraph"/>
              <w:spacing w:before="27"/>
              <w:ind w:left="344"/>
              <w:rPr>
                <w:sz w:val="17"/>
              </w:rPr>
            </w:pPr>
            <w:r>
              <w:rPr>
                <w:sz w:val="17"/>
              </w:rPr>
              <w:t>Abies, encinos, helechos</w:t>
            </w:r>
          </w:p>
        </w:tc>
        <w:tc>
          <w:tcPr>
            <w:tcW w:w="2024" w:type="dxa"/>
          </w:tcPr>
          <w:p>
            <w:pPr>
              <w:pStyle w:val="TableParagraph"/>
              <w:spacing w:before="41"/>
              <w:ind w:left="111" w:right="117"/>
              <w:jc w:val="center"/>
              <w:rPr>
                <w:sz w:val="17"/>
              </w:rPr>
            </w:pPr>
            <w:r>
              <w:rPr>
                <w:sz w:val="17"/>
              </w:rPr>
              <w:t>Arborea y herbacea</w:t>
            </w:r>
          </w:p>
        </w:tc>
      </w:tr>
      <w:tr>
        <w:trPr>
          <w:trHeight w:val="287" w:hRule="exact"/>
        </w:trPr>
        <w:tc>
          <w:tcPr>
            <w:tcW w:w="2813" w:type="dxa"/>
            <w:gridSpan w:val="3"/>
            <w:tcBorders>
              <w:bottom w:val="single" w:sz="6" w:space="0" w:color="000000"/>
            </w:tcBorders>
          </w:tcPr>
          <w:p>
            <w:pPr>
              <w:pStyle w:val="TableParagraph"/>
              <w:spacing w:before="27"/>
              <w:ind w:left="1044" w:right="1052"/>
              <w:jc w:val="center"/>
              <w:rPr>
                <w:b/>
                <w:sz w:val="17"/>
              </w:rPr>
            </w:pPr>
            <w:r>
              <w:rPr>
                <w:b/>
                <w:sz w:val="17"/>
              </w:rPr>
              <w:t>Función</w:t>
            </w:r>
          </w:p>
        </w:tc>
        <w:tc>
          <w:tcPr>
            <w:tcW w:w="5870" w:type="dxa"/>
            <w:gridSpan w:val="4"/>
            <w:tcBorders>
              <w:bottom w:val="single" w:sz="6" w:space="0" w:color="000000"/>
            </w:tcBorders>
          </w:tcPr>
          <w:p>
            <w:pPr>
              <w:pStyle w:val="TableParagraph"/>
              <w:spacing w:before="27"/>
              <w:ind w:left="2059" w:right="2065"/>
              <w:jc w:val="center"/>
              <w:rPr>
                <w:b/>
                <w:sz w:val="17"/>
              </w:rPr>
            </w:pPr>
            <w:r>
              <w:rPr>
                <w:b/>
                <w:sz w:val="17"/>
              </w:rPr>
              <w:t>Vegetación cultivada</w:t>
            </w:r>
          </w:p>
        </w:tc>
      </w:tr>
      <w:tr>
        <w:trPr>
          <w:trHeight w:val="287" w:hRule="exact"/>
        </w:trPr>
        <w:tc>
          <w:tcPr>
            <w:tcW w:w="2813" w:type="dxa"/>
            <w:gridSpan w:val="3"/>
            <w:tcBorders>
              <w:top w:val="single" w:sz="6" w:space="0" w:color="000000"/>
            </w:tcBorders>
          </w:tcPr>
          <w:p>
            <w:pPr>
              <w:pStyle w:val="TableParagraph"/>
              <w:spacing w:before="26"/>
              <w:ind w:left="818"/>
              <w:rPr>
                <w:sz w:val="17"/>
              </w:rPr>
            </w:pPr>
            <w:r>
              <w:rPr>
                <w:sz w:val="17"/>
              </w:rPr>
              <w:t>Siempre verde</w:t>
            </w:r>
          </w:p>
        </w:tc>
        <w:tc>
          <w:tcPr>
            <w:tcW w:w="5870" w:type="dxa"/>
            <w:gridSpan w:val="4"/>
            <w:tcBorders>
              <w:top w:val="single" w:sz="6" w:space="0" w:color="000000"/>
            </w:tcBorders>
          </w:tcPr>
          <w:p>
            <w:pPr>
              <w:pStyle w:val="TableParagraph"/>
              <w:spacing w:before="26"/>
              <w:ind w:left="2059" w:right="2059"/>
              <w:jc w:val="center"/>
              <w:rPr>
                <w:sz w:val="17"/>
              </w:rPr>
            </w:pPr>
            <w:r>
              <w:rPr>
                <w:sz w:val="17"/>
              </w:rPr>
              <w:t>No</w:t>
            </w:r>
          </w:p>
        </w:tc>
      </w:tr>
      <w:tr>
        <w:trPr>
          <w:trHeight w:val="287" w:hRule="exact"/>
        </w:trPr>
        <w:tc>
          <w:tcPr>
            <w:tcW w:w="3975" w:type="dxa"/>
            <w:gridSpan w:val="4"/>
          </w:tcPr>
          <w:p>
            <w:pPr>
              <w:pStyle w:val="TableParagraph"/>
              <w:spacing w:before="55"/>
              <w:ind w:left="832"/>
              <w:rPr>
                <w:b/>
                <w:sz w:val="17"/>
              </w:rPr>
            </w:pPr>
            <w:r>
              <w:rPr>
                <w:b/>
                <w:sz w:val="17"/>
              </w:rPr>
              <w:t>Prácticas agrícolas visibles:</w:t>
            </w:r>
          </w:p>
        </w:tc>
        <w:tc>
          <w:tcPr>
            <w:tcW w:w="4707" w:type="dxa"/>
            <w:gridSpan w:val="3"/>
          </w:tcPr>
          <w:p>
            <w:pPr>
              <w:pStyle w:val="TableParagraph"/>
              <w:spacing w:before="55"/>
              <w:ind w:left="1520"/>
              <w:rPr>
                <w:b/>
                <w:sz w:val="17"/>
              </w:rPr>
            </w:pPr>
            <w:r>
              <w:rPr>
                <w:b/>
                <w:sz w:val="17"/>
              </w:rPr>
              <w:t>Superficie del suelo:</w:t>
            </w:r>
          </w:p>
        </w:tc>
      </w:tr>
      <w:tr>
        <w:trPr>
          <w:trHeight w:val="330" w:hRule="exact"/>
        </w:trPr>
        <w:tc>
          <w:tcPr>
            <w:tcW w:w="3975" w:type="dxa"/>
            <w:gridSpan w:val="4"/>
          </w:tcPr>
          <w:p>
            <w:pPr>
              <w:pStyle w:val="TableParagraph"/>
              <w:spacing w:before="99"/>
              <w:ind w:left="1851" w:right="1851"/>
              <w:jc w:val="center"/>
              <w:rPr>
                <w:sz w:val="17"/>
              </w:rPr>
            </w:pPr>
            <w:r>
              <w:rPr>
                <w:sz w:val="17"/>
              </w:rPr>
              <w:t>No</w:t>
            </w:r>
          </w:p>
        </w:tc>
        <w:tc>
          <w:tcPr>
            <w:tcW w:w="4707" w:type="dxa"/>
            <w:gridSpan w:val="3"/>
          </w:tcPr>
          <w:p>
            <w:pPr>
              <w:pStyle w:val="TableParagraph"/>
              <w:spacing w:before="99"/>
              <w:ind w:left="1580" w:right="1593"/>
              <w:jc w:val="center"/>
              <w:rPr>
                <w:sz w:val="17"/>
              </w:rPr>
            </w:pPr>
            <w:r>
              <w:rPr>
                <w:sz w:val="17"/>
              </w:rPr>
              <w:t>Piedras</w:t>
            </w:r>
          </w:p>
        </w:tc>
      </w:tr>
      <w:tr>
        <w:trPr>
          <w:trHeight w:val="574" w:hRule="exact"/>
        </w:trPr>
        <w:tc>
          <w:tcPr>
            <w:tcW w:w="2813" w:type="dxa"/>
            <w:gridSpan w:val="3"/>
          </w:tcPr>
          <w:p>
            <w:pPr>
              <w:pStyle w:val="TableParagraph"/>
              <w:spacing w:before="9"/>
              <w:rPr>
                <w:sz w:val="14"/>
              </w:rPr>
            </w:pPr>
          </w:p>
          <w:p>
            <w:pPr>
              <w:pStyle w:val="TableParagraph"/>
              <w:spacing w:before="1"/>
              <w:ind w:left="129"/>
              <w:rPr>
                <w:b/>
                <w:sz w:val="17"/>
              </w:rPr>
            </w:pPr>
            <w:r>
              <w:rPr>
                <w:b/>
                <w:sz w:val="17"/>
              </w:rPr>
              <w:t>Material combustible presente:</w:t>
            </w:r>
          </w:p>
        </w:tc>
        <w:tc>
          <w:tcPr>
            <w:tcW w:w="5870" w:type="dxa"/>
            <w:gridSpan w:val="4"/>
          </w:tcPr>
          <w:p>
            <w:pPr>
              <w:pStyle w:val="TableParagraph"/>
              <w:spacing w:line="280" w:lineRule="auto" w:before="56"/>
              <w:ind w:left="2224" w:hanging="2038"/>
              <w:rPr>
                <w:sz w:val="17"/>
              </w:rPr>
            </w:pPr>
            <w:r>
              <w:rPr>
                <w:sz w:val="17"/>
              </w:rPr>
              <w:t>Restos de arbustivos, ascículas, árboles caídos, ramas de diferentes tamaños, basura,</w:t>
            </w:r>
          </w:p>
        </w:tc>
      </w:tr>
      <w:tr>
        <w:trPr>
          <w:trHeight w:val="287" w:hRule="exact"/>
        </w:trPr>
        <w:tc>
          <w:tcPr>
            <w:tcW w:w="3975" w:type="dxa"/>
            <w:gridSpan w:val="4"/>
          </w:tcPr>
          <w:p>
            <w:pPr>
              <w:pStyle w:val="TableParagraph"/>
              <w:spacing w:before="27"/>
              <w:ind w:left="1047"/>
              <w:rPr>
                <w:b/>
                <w:sz w:val="17"/>
              </w:rPr>
            </w:pPr>
            <w:r>
              <w:rPr>
                <w:b/>
                <w:sz w:val="17"/>
              </w:rPr>
              <w:t>Evidencia  de incendios</w:t>
            </w:r>
          </w:p>
        </w:tc>
        <w:tc>
          <w:tcPr>
            <w:tcW w:w="4707" w:type="dxa"/>
            <w:gridSpan w:val="3"/>
          </w:tcPr>
          <w:p>
            <w:pPr>
              <w:pStyle w:val="TableParagraph"/>
              <w:spacing w:before="27"/>
              <w:ind w:left="1604" w:right="1593"/>
              <w:jc w:val="center"/>
              <w:rPr>
                <w:b/>
                <w:sz w:val="17"/>
              </w:rPr>
            </w:pPr>
            <w:r>
              <w:rPr>
                <w:b/>
                <w:sz w:val="17"/>
              </w:rPr>
              <w:t>Plagas forestales:</w:t>
            </w:r>
          </w:p>
        </w:tc>
      </w:tr>
      <w:tr>
        <w:trPr>
          <w:trHeight w:val="287" w:hRule="exact"/>
        </w:trPr>
        <w:tc>
          <w:tcPr>
            <w:tcW w:w="3975" w:type="dxa"/>
            <w:gridSpan w:val="4"/>
          </w:tcPr>
          <w:p>
            <w:pPr>
              <w:pStyle w:val="TableParagraph"/>
              <w:spacing w:before="27"/>
              <w:ind w:left="1851" w:right="1851"/>
              <w:jc w:val="center"/>
              <w:rPr>
                <w:sz w:val="17"/>
              </w:rPr>
            </w:pPr>
            <w:r>
              <w:rPr>
                <w:sz w:val="17"/>
              </w:rPr>
              <w:t>No</w:t>
            </w:r>
          </w:p>
        </w:tc>
        <w:tc>
          <w:tcPr>
            <w:tcW w:w="4707" w:type="dxa"/>
            <w:gridSpan w:val="3"/>
          </w:tcPr>
          <w:p>
            <w:pPr>
              <w:pStyle w:val="TableParagraph"/>
              <w:spacing w:before="27"/>
              <w:ind w:left="1581" w:right="1593"/>
              <w:jc w:val="center"/>
              <w:rPr>
                <w:sz w:val="17"/>
              </w:rPr>
            </w:pPr>
            <w:r>
              <w:rPr>
                <w:sz w:val="17"/>
              </w:rPr>
              <w:t>No</w:t>
            </w:r>
          </w:p>
        </w:tc>
      </w:tr>
      <w:tr>
        <w:trPr>
          <w:trHeight w:val="646" w:hRule="exact"/>
        </w:trPr>
        <w:tc>
          <w:tcPr>
            <w:tcW w:w="1651" w:type="dxa"/>
            <w:gridSpan w:val="2"/>
          </w:tcPr>
          <w:p>
            <w:pPr>
              <w:pStyle w:val="TableParagraph"/>
              <w:spacing w:before="6"/>
              <w:rPr>
                <w:sz w:val="18"/>
              </w:rPr>
            </w:pPr>
          </w:p>
          <w:p>
            <w:pPr>
              <w:pStyle w:val="TableParagraph"/>
              <w:spacing w:before="1"/>
              <w:ind w:left="172"/>
              <w:rPr>
                <w:b/>
                <w:sz w:val="17"/>
              </w:rPr>
            </w:pPr>
            <w:r>
              <w:rPr>
                <w:b/>
                <w:sz w:val="17"/>
              </w:rPr>
              <w:t>Observaciones:</w:t>
            </w:r>
          </w:p>
        </w:tc>
        <w:tc>
          <w:tcPr>
            <w:tcW w:w="7032" w:type="dxa"/>
            <w:gridSpan w:val="5"/>
          </w:tcPr>
          <w:p>
            <w:pPr>
              <w:pStyle w:val="TableParagraph"/>
              <w:spacing w:line="280" w:lineRule="auto" w:before="98"/>
              <w:ind w:left="28"/>
              <w:rPr>
                <w:sz w:val="17"/>
              </w:rPr>
            </w:pPr>
            <w:r>
              <w:rPr>
                <w:sz w:val="17"/>
              </w:rPr>
              <w:t>Evidencia de pastoreo, visitantes, paseantes, turistas, veredas, senderos para turismo. Basura en exceso producto de los  turistas.</w:t>
            </w:r>
          </w:p>
        </w:tc>
      </w:tr>
    </w:tbl>
    <w:p>
      <w:pPr>
        <w:pStyle w:val="BodyText"/>
      </w:pPr>
    </w:p>
    <w:p>
      <w:pPr>
        <w:pStyle w:val="BodyText"/>
        <w:spacing w:before="8"/>
        <w:rPr>
          <w:sz w:val="20"/>
        </w:rPr>
      </w:pPr>
    </w:p>
    <w:p>
      <w:pPr>
        <w:pStyle w:val="BodyText"/>
        <w:ind w:left="102"/>
      </w:pPr>
      <w:r>
        <w:rPr/>
        <w:drawing>
          <wp:anchor distT="0" distB="0" distL="0" distR="0" allowOverlap="1" layoutInCell="1" locked="0" behindDoc="0" simplePos="0" relativeHeight="4144">
            <wp:simplePos x="0" y="0"/>
            <wp:positionH relativeFrom="page">
              <wp:posOffset>1260475</wp:posOffset>
            </wp:positionH>
            <wp:positionV relativeFrom="paragraph">
              <wp:posOffset>253312</wp:posOffset>
            </wp:positionV>
            <wp:extent cx="1616951" cy="909447"/>
            <wp:effectExtent l="0" t="0" r="0" b="0"/>
            <wp:wrapTopAndBottom/>
            <wp:docPr id="141" name="image91.jpeg" descr=""/>
            <wp:cNvGraphicFramePr>
              <a:graphicFrameLocks noChangeAspect="1"/>
            </wp:cNvGraphicFramePr>
            <a:graphic>
              <a:graphicData uri="http://schemas.openxmlformats.org/drawingml/2006/picture">
                <pic:pic>
                  <pic:nvPicPr>
                    <pic:cNvPr id="142" name="image91.jpeg"/>
                    <pic:cNvPicPr/>
                  </pic:nvPicPr>
                  <pic:blipFill>
                    <a:blip r:embed="rId138"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3084195</wp:posOffset>
            </wp:positionH>
            <wp:positionV relativeFrom="paragraph">
              <wp:posOffset>253312</wp:posOffset>
            </wp:positionV>
            <wp:extent cx="1616951" cy="909447"/>
            <wp:effectExtent l="0" t="0" r="0" b="0"/>
            <wp:wrapTopAndBottom/>
            <wp:docPr id="143" name="image92.jpeg" descr=""/>
            <wp:cNvGraphicFramePr>
              <a:graphicFrameLocks noChangeAspect="1"/>
            </wp:cNvGraphicFramePr>
            <a:graphic>
              <a:graphicData uri="http://schemas.openxmlformats.org/drawingml/2006/picture">
                <pic:pic>
                  <pic:nvPicPr>
                    <pic:cNvPr id="144" name="image92.jpeg"/>
                    <pic:cNvPicPr/>
                  </pic:nvPicPr>
                  <pic:blipFill>
                    <a:blip r:embed="rId139"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4909820</wp:posOffset>
            </wp:positionH>
            <wp:positionV relativeFrom="paragraph">
              <wp:posOffset>253312</wp:posOffset>
            </wp:positionV>
            <wp:extent cx="1616951" cy="909447"/>
            <wp:effectExtent l="0" t="0" r="0" b="0"/>
            <wp:wrapTopAndBottom/>
            <wp:docPr id="145" name="image93.jpeg" descr=""/>
            <wp:cNvGraphicFramePr>
              <a:graphicFrameLocks noChangeAspect="1"/>
            </wp:cNvGraphicFramePr>
            <a:graphic>
              <a:graphicData uri="http://schemas.openxmlformats.org/drawingml/2006/picture">
                <pic:pic>
                  <pic:nvPicPr>
                    <pic:cNvPr id="146" name="image93.jpeg"/>
                    <pic:cNvPicPr/>
                  </pic:nvPicPr>
                  <pic:blipFill>
                    <a:blip r:embed="rId140" cstate="print"/>
                    <a:stretch>
                      <a:fillRect/>
                    </a:stretch>
                  </pic:blipFill>
                  <pic:spPr>
                    <a:xfrm>
                      <a:off x="0" y="0"/>
                      <a:ext cx="1616951" cy="909447"/>
                    </a:xfrm>
                    <a:prstGeom prst="rect">
                      <a:avLst/>
                    </a:prstGeom>
                  </pic:spPr>
                </pic:pic>
              </a:graphicData>
            </a:graphic>
          </wp:anchor>
        </w:drawing>
      </w:r>
      <w:r>
        <w:rPr/>
        <w:t>Imágenes del sitio 8.</w:t>
      </w:r>
    </w:p>
    <w:p>
      <w:pPr>
        <w:pStyle w:val="BodyText"/>
        <w:spacing w:before="5"/>
        <w:rPr>
          <w:sz w:val="6"/>
        </w:rPr>
      </w:pPr>
    </w:p>
    <w:p>
      <w:pPr>
        <w:tabs>
          <w:tab w:pos="3598" w:val="left" w:leader="none"/>
          <w:tab w:pos="6474" w:val="left" w:leader="none"/>
        </w:tabs>
        <w:spacing w:line="240" w:lineRule="auto"/>
        <w:ind w:left="719" w:right="0" w:firstLine="0"/>
        <w:rPr>
          <w:sz w:val="20"/>
        </w:rPr>
      </w:pPr>
      <w:r>
        <w:rPr>
          <w:position w:val="1"/>
          <w:sz w:val="20"/>
        </w:rPr>
        <w:drawing>
          <wp:inline distT="0" distB="0" distL="0" distR="0">
            <wp:extent cx="1155267" cy="1240155"/>
            <wp:effectExtent l="0" t="0" r="0" b="0"/>
            <wp:docPr id="147" name="image94.jpeg" descr=""/>
            <wp:cNvGraphicFramePr>
              <a:graphicFrameLocks noChangeAspect="1"/>
            </wp:cNvGraphicFramePr>
            <a:graphic>
              <a:graphicData uri="http://schemas.openxmlformats.org/drawingml/2006/picture">
                <pic:pic>
                  <pic:nvPicPr>
                    <pic:cNvPr id="148" name="image94.jpeg"/>
                    <pic:cNvPicPr/>
                  </pic:nvPicPr>
                  <pic:blipFill>
                    <a:blip r:embed="rId141" cstate="print"/>
                    <a:stretch>
                      <a:fillRect/>
                    </a:stretch>
                  </pic:blipFill>
                  <pic:spPr>
                    <a:xfrm>
                      <a:off x="0" y="0"/>
                      <a:ext cx="1155267" cy="1240155"/>
                    </a:xfrm>
                    <a:prstGeom prst="rect">
                      <a:avLst/>
                    </a:prstGeom>
                  </pic:spPr>
                </pic:pic>
              </a:graphicData>
            </a:graphic>
          </wp:inline>
        </w:drawing>
      </w:r>
      <w:r>
        <w:rPr>
          <w:position w:val="1"/>
          <w:sz w:val="20"/>
        </w:rPr>
      </w:r>
      <w:r>
        <w:rPr>
          <w:position w:val="1"/>
          <w:sz w:val="20"/>
        </w:rPr>
        <w:tab/>
      </w:r>
      <w:r>
        <w:rPr>
          <w:position w:val="1"/>
          <w:sz w:val="20"/>
        </w:rPr>
        <w:drawing>
          <wp:inline distT="0" distB="0" distL="0" distR="0">
            <wp:extent cx="1154809" cy="1241012"/>
            <wp:effectExtent l="0" t="0" r="0" b="0"/>
            <wp:docPr id="149" name="image95.jpeg" descr=""/>
            <wp:cNvGraphicFramePr>
              <a:graphicFrameLocks noChangeAspect="1"/>
            </wp:cNvGraphicFramePr>
            <a:graphic>
              <a:graphicData uri="http://schemas.openxmlformats.org/drawingml/2006/picture">
                <pic:pic>
                  <pic:nvPicPr>
                    <pic:cNvPr id="150" name="image95.jpeg"/>
                    <pic:cNvPicPr/>
                  </pic:nvPicPr>
                  <pic:blipFill>
                    <a:blip r:embed="rId142" cstate="print"/>
                    <a:stretch>
                      <a:fillRect/>
                    </a:stretch>
                  </pic:blipFill>
                  <pic:spPr>
                    <a:xfrm>
                      <a:off x="0" y="0"/>
                      <a:ext cx="1154809" cy="1241012"/>
                    </a:xfrm>
                    <a:prstGeom prst="rect">
                      <a:avLst/>
                    </a:prstGeom>
                  </pic:spPr>
                </pic:pic>
              </a:graphicData>
            </a:graphic>
          </wp:inline>
        </w:drawing>
      </w:r>
      <w:r>
        <w:rPr>
          <w:position w:val="1"/>
          <w:sz w:val="20"/>
        </w:rPr>
      </w:r>
      <w:r>
        <w:rPr>
          <w:position w:val="1"/>
          <w:sz w:val="20"/>
        </w:rPr>
        <w:tab/>
      </w:r>
      <w:r>
        <w:rPr>
          <w:sz w:val="20"/>
        </w:rPr>
        <w:drawing>
          <wp:inline distT="0" distB="0" distL="0" distR="0">
            <wp:extent cx="1157990" cy="1245108"/>
            <wp:effectExtent l="0" t="0" r="0" b="0"/>
            <wp:docPr id="151" name="image96.jpeg" descr=""/>
            <wp:cNvGraphicFramePr>
              <a:graphicFrameLocks noChangeAspect="1"/>
            </wp:cNvGraphicFramePr>
            <a:graphic>
              <a:graphicData uri="http://schemas.openxmlformats.org/drawingml/2006/picture">
                <pic:pic>
                  <pic:nvPicPr>
                    <pic:cNvPr id="152" name="image96.jpeg"/>
                    <pic:cNvPicPr/>
                  </pic:nvPicPr>
                  <pic:blipFill>
                    <a:blip r:embed="rId143" cstate="print"/>
                    <a:stretch>
                      <a:fillRect/>
                    </a:stretch>
                  </pic:blipFill>
                  <pic:spPr>
                    <a:xfrm>
                      <a:off x="0" y="0"/>
                      <a:ext cx="1157990" cy="1245108"/>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9.</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4"/>
        <w:gridCol w:w="522"/>
        <w:gridCol w:w="1173"/>
        <w:gridCol w:w="1173"/>
        <w:gridCol w:w="1550"/>
        <w:gridCol w:w="1159"/>
        <w:gridCol w:w="2042"/>
      </w:tblGrid>
      <w:tr>
        <w:trPr>
          <w:trHeight w:val="290" w:hRule="exact"/>
        </w:trPr>
        <w:tc>
          <w:tcPr>
            <w:tcW w:w="1144" w:type="dxa"/>
            <w:vMerge w:val="restart"/>
          </w:tcPr>
          <w:p>
            <w:pPr>
              <w:pStyle w:val="TableParagraph"/>
              <w:spacing w:before="1"/>
              <w:rPr>
                <w:sz w:val="15"/>
              </w:rPr>
            </w:pPr>
          </w:p>
          <w:p>
            <w:pPr>
              <w:pStyle w:val="TableParagraph"/>
              <w:spacing w:before="0"/>
              <w:ind w:left="318"/>
              <w:rPr>
                <w:b/>
                <w:sz w:val="17"/>
              </w:rPr>
            </w:pPr>
            <w:r>
              <w:rPr>
                <w:b/>
                <w:sz w:val="17"/>
              </w:rPr>
              <w:t>Fecha</w:t>
            </w:r>
          </w:p>
        </w:tc>
        <w:tc>
          <w:tcPr>
            <w:tcW w:w="522" w:type="dxa"/>
            <w:vMerge w:val="restart"/>
          </w:tcPr>
          <w:p>
            <w:pPr>
              <w:pStyle w:val="TableParagraph"/>
              <w:spacing w:before="1"/>
              <w:rPr>
                <w:sz w:val="15"/>
              </w:rPr>
            </w:pPr>
          </w:p>
          <w:p>
            <w:pPr>
              <w:pStyle w:val="TableParagraph"/>
              <w:spacing w:before="0"/>
              <w:ind w:left="72"/>
              <w:rPr>
                <w:b/>
                <w:sz w:val="17"/>
              </w:rPr>
            </w:pPr>
            <w:r>
              <w:rPr>
                <w:b/>
                <w:sz w:val="17"/>
              </w:rPr>
              <w:t>Sitio</w:t>
            </w:r>
          </w:p>
        </w:tc>
        <w:tc>
          <w:tcPr>
            <w:tcW w:w="2346" w:type="dxa"/>
            <w:gridSpan w:val="2"/>
          </w:tcPr>
          <w:p>
            <w:pPr>
              <w:pStyle w:val="TableParagraph"/>
              <w:spacing w:before="58"/>
              <w:ind w:left="405"/>
              <w:rPr>
                <w:b/>
                <w:sz w:val="17"/>
              </w:rPr>
            </w:pPr>
            <w:r>
              <w:rPr>
                <w:b/>
                <w:sz w:val="17"/>
              </w:rPr>
              <w:t>Coordenadas UTM</w:t>
            </w:r>
          </w:p>
        </w:tc>
        <w:tc>
          <w:tcPr>
            <w:tcW w:w="1550" w:type="dxa"/>
            <w:vMerge w:val="restart"/>
          </w:tcPr>
          <w:p>
            <w:pPr>
              <w:pStyle w:val="TableParagraph"/>
              <w:spacing w:before="1"/>
              <w:rPr>
                <w:sz w:val="15"/>
              </w:rPr>
            </w:pPr>
          </w:p>
          <w:p>
            <w:pPr>
              <w:pStyle w:val="TableParagraph"/>
              <w:spacing w:before="0"/>
              <w:ind w:left="362"/>
              <w:rPr>
                <w:b/>
                <w:sz w:val="17"/>
              </w:rPr>
            </w:pPr>
            <w:r>
              <w:rPr>
                <w:b/>
                <w:sz w:val="17"/>
              </w:rPr>
              <w:t>Localidad</w:t>
            </w:r>
          </w:p>
        </w:tc>
        <w:tc>
          <w:tcPr>
            <w:tcW w:w="1159" w:type="dxa"/>
            <w:vMerge w:val="restart"/>
          </w:tcPr>
          <w:p>
            <w:pPr>
              <w:pStyle w:val="TableParagraph"/>
              <w:spacing w:before="1"/>
              <w:rPr>
                <w:sz w:val="15"/>
              </w:rPr>
            </w:pPr>
          </w:p>
          <w:p>
            <w:pPr>
              <w:pStyle w:val="TableParagraph"/>
              <w:spacing w:before="0"/>
              <w:ind w:left="116"/>
              <w:rPr>
                <w:b/>
                <w:sz w:val="17"/>
              </w:rPr>
            </w:pPr>
            <w:r>
              <w:rPr>
                <w:b/>
                <w:sz w:val="17"/>
              </w:rPr>
              <w:t>Delegación</w:t>
            </w:r>
          </w:p>
        </w:tc>
        <w:tc>
          <w:tcPr>
            <w:tcW w:w="2042" w:type="dxa"/>
            <w:vMerge w:val="restart"/>
          </w:tcPr>
          <w:p>
            <w:pPr>
              <w:pStyle w:val="TableParagraph"/>
              <w:spacing w:before="1"/>
              <w:rPr>
                <w:sz w:val="15"/>
              </w:rPr>
            </w:pPr>
          </w:p>
          <w:p>
            <w:pPr>
              <w:pStyle w:val="TableParagraph"/>
              <w:spacing w:before="0"/>
              <w:ind w:left="333"/>
              <w:rPr>
                <w:b/>
                <w:sz w:val="17"/>
              </w:rPr>
            </w:pPr>
            <w:r>
              <w:rPr>
                <w:b/>
                <w:sz w:val="17"/>
              </w:rPr>
              <w:t>Elevación msnm</w:t>
            </w:r>
          </w:p>
        </w:tc>
      </w:tr>
      <w:tr>
        <w:trPr>
          <w:trHeight w:val="290" w:hRule="exact"/>
        </w:trPr>
        <w:tc>
          <w:tcPr>
            <w:tcW w:w="1144" w:type="dxa"/>
            <w:vMerge/>
          </w:tcPr>
          <w:p>
            <w:pPr/>
          </w:p>
        </w:tc>
        <w:tc>
          <w:tcPr>
            <w:tcW w:w="522" w:type="dxa"/>
            <w:vMerge/>
          </w:tcPr>
          <w:p>
            <w:pPr/>
          </w:p>
        </w:tc>
        <w:tc>
          <w:tcPr>
            <w:tcW w:w="1173" w:type="dxa"/>
          </w:tcPr>
          <w:p>
            <w:pPr>
              <w:pStyle w:val="TableParagraph"/>
              <w:spacing w:before="43"/>
              <w:ind w:left="202" w:right="205"/>
              <w:jc w:val="center"/>
              <w:rPr>
                <w:b/>
                <w:sz w:val="17"/>
              </w:rPr>
            </w:pPr>
            <w:r>
              <w:rPr>
                <w:b/>
                <w:sz w:val="17"/>
              </w:rPr>
              <w:t>Oeste</w:t>
            </w:r>
          </w:p>
        </w:tc>
        <w:tc>
          <w:tcPr>
            <w:tcW w:w="1173" w:type="dxa"/>
          </w:tcPr>
          <w:p>
            <w:pPr>
              <w:pStyle w:val="TableParagraph"/>
              <w:spacing w:before="43"/>
              <w:ind w:left="229" w:right="221"/>
              <w:jc w:val="center"/>
              <w:rPr>
                <w:b/>
                <w:sz w:val="17"/>
              </w:rPr>
            </w:pPr>
            <w:r>
              <w:rPr>
                <w:b/>
                <w:sz w:val="17"/>
              </w:rPr>
              <w:t>Norte</w:t>
            </w:r>
          </w:p>
        </w:tc>
        <w:tc>
          <w:tcPr>
            <w:tcW w:w="1550" w:type="dxa"/>
            <w:vMerge/>
          </w:tcPr>
          <w:p>
            <w:pPr/>
          </w:p>
        </w:tc>
        <w:tc>
          <w:tcPr>
            <w:tcW w:w="1159" w:type="dxa"/>
            <w:vMerge/>
          </w:tcPr>
          <w:p>
            <w:pPr/>
          </w:p>
        </w:tc>
        <w:tc>
          <w:tcPr>
            <w:tcW w:w="2042" w:type="dxa"/>
            <w:vMerge/>
          </w:tcPr>
          <w:p>
            <w:pPr/>
          </w:p>
        </w:tc>
      </w:tr>
      <w:tr>
        <w:trPr>
          <w:trHeight w:val="290" w:hRule="exact"/>
        </w:trPr>
        <w:tc>
          <w:tcPr>
            <w:tcW w:w="1144" w:type="dxa"/>
          </w:tcPr>
          <w:p>
            <w:pPr>
              <w:pStyle w:val="TableParagraph"/>
              <w:spacing w:before="43"/>
              <w:ind w:left="117" w:right="122"/>
              <w:jc w:val="center"/>
              <w:rPr>
                <w:sz w:val="17"/>
              </w:rPr>
            </w:pPr>
            <w:r>
              <w:rPr>
                <w:sz w:val="17"/>
              </w:rPr>
              <w:t>15/01/2015</w:t>
            </w:r>
          </w:p>
        </w:tc>
        <w:tc>
          <w:tcPr>
            <w:tcW w:w="522" w:type="dxa"/>
          </w:tcPr>
          <w:p>
            <w:pPr>
              <w:pStyle w:val="TableParagraph"/>
              <w:spacing w:before="43"/>
              <w:ind w:right="2"/>
              <w:jc w:val="center"/>
              <w:rPr>
                <w:sz w:val="17"/>
              </w:rPr>
            </w:pPr>
            <w:r>
              <w:rPr>
                <w:w w:val="102"/>
                <w:sz w:val="17"/>
              </w:rPr>
              <w:t>9</w:t>
            </w:r>
          </w:p>
        </w:tc>
        <w:tc>
          <w:tcPr>
            <w:tcW w:w="1173" w:type="dxa"/>
          </w:tcPr>
          <w:p>
            <w:pPr>
              <w:pStyle w:val="TableParagraph"/>
              <w:spacing w:before="43"/>
              <w:ind w:left="202" w:right="206"/>
              <w:jc w:val="center"/>
              <w:rPr>
                <w:sz w:val="17"/>
              </w:rPr>
            </w:pPr>
            <w:r>
              <w:rPr>
                <w:sz w:val="17"/>
              </w:rPr>
              <w:t>474934.9</w:t>
            </w:r>
          </w:p>
        </w:tc>
        <w:tc>
          <w:tcPr>
            <w:tcW w:w="1173" w:type="dxa"/>
          </w:tcPr>
          <w:p>
            <w:pPr>
              <w:pStyle w:val="TableParagraph"/>
              <w:spacing w:before="43"/>
              <w:ind w:left="234" w:right="221"/>
              <w:jc w:val="center"/>
              <w:rPr>
                <w:sz w:val="17"/>
              </w:rPr>
            </w:pPr>
            <w:r>
              <w:rPr>
                <w:sz w:val="17"/>
              </w:rPr>
              <w:t>2129553</w:t>
            </w:r>
          </w:p>
        </w:tc>
        <w:tc>
          <w:tcPr>
            <w:tcW w:w="1550" w:type="dxa"/>
          </w:tcPr>
          <w:p>
            <w:pPr>
              <w:pStyle w:val="TableParagraph"/>
              <w:spacing w:before="17"/>
              <w:ind w:left="28"/>
              <w:rPr>
                <w:rFonts w:ascii="Calibri"/>
                <w:sz w:val="21"/>
              </w:rPr>
            </w:pPr>
            <w:r>
              <w:rPr>
                <w:rFonts w:ascii="Calibri"/>
                <w:w w:val="105"/>
                <w:sz w:val="21"/>
              </w:rPr>
              <w:t>Ajusco</w:t>
            </w:r>
          </w:p>
        </w:tc>
        <w:tc>
          <w:tcPr>
            <w:tcW w:w="1159" w:type="dxa"/>
          </w:tcPr>
          <w:p>
            <w:pPr>
              <w:pStyle w:val="TableParagraph"/>
              <w:spacing w:before="43"/>
              <w:ind w:right="279"/>
              <w:jc w:val="right"/>
              <w:rPr>
                <w:sz w:val="17"/>
              </w:rPr>
            </w:pPr>
            <w:r>
              <w:rPr>
                <w:sz w:val="17"/>
              </w:rPr>
              <w:t>Tlalpan</w:t>
            </w:r>
          </w:p>
        </w:tc>
        <w:tc>
          <w:tcPr>
            <w:tcW w:w="2042" w:type="dxa"/>
          </w:tcPr>
          <w:p>
            <w:pPr>
              <w:pStyle w:val="TableParagraph"/>
              <w:spacing w:before="58"/>
              <w:ind w:left="122" w:right="122"/>
              <w:jc w:val="center"/>
              <w:rPr>
                <w:sz w:val="17"/>
              </w:rPr>
            </w:pPr>
            <w:r>
              <w:rPr>
                <w:sz w:val="17"/>
              </w:rPr>
              <w:t>2870</w:t>
            </w:r>
          </w:p>
        </w:tc>
      </w:tr>
      <w:tr>
        <w:trPr>
          <w:trHeight w:val="319" w:hRule="exact"/>
        </w:trPr>
        <w:tc>
          <w:tcPr>
            <w:tcW w:w="2839" w:type="dxa"/>
            <w:gridSpan w:val="3"/>
          </w:tcPr>
          <w:p>
            <w:pPr>
              <w:pStyle w:val="TableParagraph"/>
              <w:spacing w:before="43"/>
              <w:ind w:left="492"/>
              <w:rPr>
                <w:b/>
                <w:sz w:val="17"/>
              </w:rPr>
            </w:pPr>
            <w:r>
              <w:rPr>
                <w:b/>
                <w:sz w:val="17"/>
              </w:rPr>
              <w:t>Ángulo de la pendiente</w:t>
            </w:r>
          </w:p>
        </w:tc>
        <w:tc>
          <w:tcPr>
            <w:tcW w:w="2723" w:type="dxa"/>
            <w:gridSpan w:val="2"/>
          </w:tcPr>
          <w:p>
            <w:pPr>
              <w:pStyle w:val="TableParagraph"/>
              <w:spacing w:before="43"/>
              <w:ind w:left="448"/>
              <w:rPr>
                <w:b/>
                <w:sz w:val="17"/>
              </w:rPr>
            </w:pPr>
            <w:r>
              <w:rPr>
                <w:b/>
                <w:sz w:val="17"/>
              </w:rPr>
              <w:t>Forma de la pendiente</w:t>
            </w:r>
          </w:p>
        </w:tc>
        <w:tc>
          <w:tcPr>
            <w:tcW w:w="3201" w:type="dxa"/>
            <w:gridSpan w:val="2"/>
          </w:tcPr>
          <w:p>
            <w:pPr>
              <w:pStyle w:val="TableParagraph"/>
              <w:spacing w:before="43"/>
              <w:ind w:left="1075" w:right="1079"/>
              <w:jc w:val="center"/>
              <w:rPr>
                <w:b/>
                <w:sz w:val="17"/>
              </w:rPr>
            </w:pPr>
            <w:r>
              <w:rPr>
                <w:b/>
                <w:sz w:val="17"/>
              </w:rPr>
              <w:t>Microrelieve</w:t>
            </w:r>
          </w:p>
        </w:tc>
      </w:tr>
      <w:tr>
        <w:trPr>
          <w:trHeight w:val="290" w:hRule="exact"/>
        </w:trPr>
        <w:tc>
          <w:tcPr>
            <w:tcW w:w="2839" w:type="dxa"/>
            <w:gridSpan w:val="3"/>
          </w:tcPr>
          <w:p>
            <w:pPr>
              <w:pStyle w:val="TableParagraph"/>
              <w:spacing w:before="58"/>
              <w:ind w:left="1040" w:right="1050"/>
              <w:jc w:val="center"/>
              <w:rPr>
                <w:sz w:val="17"/>
              </w:rPr>
            </w:pPr>
            <w:r>
              <w:rPr>
                <w:sz w:val="17"/>
              </w:rPr>
              <w:t>0°</w:t>
            </w:r>
          </w:p>
        </w:tc>
        <w:tc>
          <w:tcPr>
            <w:tcW w:w="2723" w:type="dxa"/>
            <w:gridSpan w:val="2"/>
          </w:tcPr>
          <w:p>
            <w:pPr>
              <w:pStyle w:val="TableParagraph"/>
              <w:spacing w:before="58"/>
              <w:ind w:left="1008" w:right="1027"/>
              <w:jc w:val="center"/>
              <w:rPr>
                <w:sz w:val="17"/>
              </w:rPr>
            </w:pPr>
            <w:r>
              <w:rPr>
                <w:sz w:val="17"/>
              </w:rPr>
              <w:t>No tiene</w:t>
            </w:r>
          </w:p>
        </w:tc>
        <w:tc>
          <w:tcPr>
            <w:tcW w:w="3201" w:type="dxa"/>
            <w:gridSpan w:val="2"/>
          </w:tcPr>
          <w:p>
            <w:pPr>
              <w:pStyle w:val="TableParagraph"/>
              <w:spacing w:before="58"/>
              <w:ind w:left="1075" w:right="1078"/>
              <w:jc w:val="center"/>
              <w:rPr>
                <w:sz w:val="17"/>
              </w:rPr>
            </w:pPr>
            <w:r>
              <w:rPr>
                <w:sz w:val="17"/>
              </w:rPr>
              <w:t>Plano</w:t>
            </w:r>
          </w:p>
        </w:tc>
      </w:tr>
      <w:tr>
        <w:trPr>
          <w:trHeight w:val="290" w:hRule="exact"/>
        </w:trPr>
        <w:tc>
          <w:tcPr>
            <w:tcW w:w="2839" w:type="dxa"/>
            <w:gridSpan w:val="3"/>
          </w:tcPr>
          <w:p>
            <w:pPr>
              <w:pStyle w:val="TableParagraph"/>
              <w:spacing w:before="29"/>
              <w:ind w:left="289"/>
              <w:rPr>
                <w:b/>
                <w:sz w:val="17"/>
              </w:rPr>
            </w:pPr>
            <w:r>
              <w:rPr>
                <w:b/>
                <w:sz w:val="17"/>
              </w:rPr>
              <w:t>Drenaje superficial del sitio</w:t>
            </w:r>
          </w:p>
        </w:tc>
        <w:tc>
          <w:tcPr>
            <w:tcW w:w="2723" w:type="dxa"/>
            <w:gridSpan w:val="2"/>
          </w:tcPr>
          <w:p>
            <w:pPr>
              <w:pStyle w:val="TableParagraph"/>
              <w:spacing w:before="29"/>
              <w:ind w:left="651"/>
              <w:rPr>
                <w:b/>
                <w:sz w:val="17"/>
              </w:rPr>
            </w:pPr>
            <w:r>
              <w:rPr>
                <w:b/>
                <w:sz w:val="17"/>
              </w:rPr>
              <w:t>Material parental</w:t>
            </w:r>
          </w:p>
        </w:tc>
        <w:tc>
          <w:tcPr>
            <w:tcW w:w="1159" w:type="dxa"/>
          </w:tcPr>
          <w:p>
            <w:pPr>
              <w:pStyle w:val="TableParagraph"/>
              <w:spacing w:before="43"/>
              <w:ind w:right="350"/>
              <w:jc w:val="right"/>
              <w:rPr>
                <w:b/>
                <w:sz w:val="17"/>
              </w:rPr>
            </w:pPr>
            <w:r>
              <w:rPr>
                <w:b/>
                <w:sz w:val="17"/>
              </w:rPr>
              <w:t>Color</w:t>
            </w:r>
          </w:p>
        </w:tc>
        <w:tc>
          <w:tcPr>
            <w:tcW w:w="2042" w:type="dxa"/>
          </w:tcPr>
          <w:p>
            <w:pPr>
              <w:pStyle w:val="TableParagraph"/>
              <w:spacing w:before="43"/>
              <w:ind w:left="122" w:right="120"/>
              <w:jc w:val="center"/>
              <w:rPr>
                <w:b/>
                <w:sz w:val="17"/>
              </w:rPr>
            </w:pPr>
            <w:r>
              <w:rPr>
                <w:b/>
                <w:sz w:val="17"/>
              </w:rPr>
              <w:t>Color intemperizado</w:t>
            </w:r>
          </w:p>
        </w:tc>
      </w:tr>
      <w:tr>
        <w:trPr>
          <w:trHeight w:val="290" w:hRule="exact"/>
        </w:trPr>
        <w:tc>
          <w:tcPr>
            <w:tcW w:w="2839" w:type="dxa"/>
            <w:gridSpan w:val="3"/>
          </w:tcPr>
          <w:p>
            <w:pPr>
              <w:pStyle w:val="TableParagraph"/>
              <w:spacing w:before="29"/>
              <w:ind w:left="1040" w:right="1054"/>
              <w:jc w:val="center"/>
              <w:rPr>
                <w:sz w:val="17"/>
              </w:rPr>
            </w:pPr>
            <w:r>
              <w:rPr>
                <w:sz w:val="17"/>
              </w:rPr>
              <w:t>Receptor</w:t>
            </w:r>
          </w:p>
        </w:tc>
        <w:tc>
          <w:tcPr>
            <w:tcW w:w="2723" w:type="dxa"/>
            <w:gridSpan w:val="2"/>
          </w:tcPr>
          <w:p>
            <w:pPr>
              <w:pStyle w:val="TableParagraph"/>
              <w:spacing w:before="29"/>
              <w:ind w:left="1008" w:right="1026"/>
              <w:jc w:val="center"/>
              <w:rPr>
                <w:sz w:val="17"/>
              </w:rPr>
            </w:pPr>
            <w:r>
              <w:rPr>
                <w:sz w:val="17"/>
              </w:rPr>
              <w:t>Basalto</w:t>
            </w:r>
          </w:p>
        </w:tc>
        <w:tc>
          <w:tcPr>
            <w:tcW w:w="1159" w:type="dxa"/>
          </w:tcPr>
          <w:p>
            <w:pPr>
              <w:pStyle w:val="TableParagraph"/>
              <w:spacing w:before="58"/>
              <w:ind w:right="322"/>
              <w:jc w:val="right"/>
              <w:rPr>
                <w:sz w:val="17"/>
              </w:rPr>
            </w:pPr>
            <w:r>
              <w:rPr>
                <w:sz w:val="17"/>
              </w:rPr>
              <w:t>Negro</w:t>
            </w:r>
          </w:p>
        </w:tc>
        <w:tc>
          <w:tcPr>
            <w:tcW w:w="2042" w:type="dxa"/>
          </w:tcPr>
          <w:p>
            <w:pPr>
              <w:pStyle w:val="TableParagraph"/>
              <w:spacing w:before="58"/>
              <w:ind w:left="122" w:right="122"/>
              <w:jc w:val="center"/>
              <w:rPr>
                <w:sz w:val="17"/>
              </w:rPr>
            </w:pPr>
            <w:r>
              <w:rPr>
                <w:sz w:val="17"/>
              </w:rPr>
              <w:t>Gris</w:t>
            </w:r>
          </w:p>
        </w:tc>
      </w:tr>
      <w:tr>
        <w:trPr>
          <w:trHeight w:val="290" w:hRule="exact"/>
        </w:trPr>
        <w:tc>
          <w:tcPr>
            <w:tcW w:w="1144" w:type="dxa"/>
          </w:tcPr>
          <w:p>
            <w:pPr>
              <w:pStyle w:val="TableParagraph"/>
              <w:spacing w:before="43"/>
              <w:ind w:left="117" w:right="120"/>
              <w:jc w:val="center"/>
              <w:rPr>
                <w:b/>
                <w:sz w:val="17"/>
              </w:rPr>
            </w:pPr>
            <w:r>
              <w:rPr>
                <w:b/>
                <w:sz w:val="17"/>
              </w:rPr>
              <w:t>Textura</w:t>
            </w:r>
          </w:p>
        </w:tc>
        <w:tc>
          <w:tcPr>
            <w:tcW w:w="2868" w:type="dxa"/>
            <w:gridSpan w:val="3"/>
          </w:tcPr>
          <w:p>
            <w:pPr>
              <w:pStyle w:val="TableParagraph"/>
              <w:spacing w:before="29"/>
              <w:ind w:left="492"/>
              <w:rPr>
                <w:b/>
                <w:sz w:val="17"/>
              </w:rPr>
            </w:pPr>
            <w:r>
              <w:rPr>
                <w:b/>
                <w:sz w:val="17"/>
              </w:rPr>
              <w:t>Minerales observables</w:t>
            </w:r>
          </w:p>
        </w:tc>
        <w:tc>
          <w:tcPr>
            <w:tcW w:w="2708" w:type="dxa"/>
            <w:gridSpan w:val="2"/>
          </w:tcPr>
          <w:p>
            <w:pPr>
              <w:pStyle w:val="TableParagraph"/>
              <w:spacing w:before="29"/>
              <w:ind w:left="608"/>
              <w:rPr>
                <w:b/>
                <w:sz w:val="17"/>
              </w:rPr>
            </w:pPr>
            <w:r>
              <w:rPr>
                <w:b/>
                <w:sz w:val="17"/>
              </w:rPr>
              <w:t>Vegetación nativa</w:t>
            </w:r>
          </w:p>
        </w:tc>
        <w:tc>
          <w:tcPr>
            <w:tcW w:w="2042" w:type="dxa"/>
          </w:tcPr>
          <w:p>
            <w:pPr>
              <w:pStyle w:val="TableParagraph"/>
              <w:spacing w:before="43"/>
              <w:ind w:left="122" w:right="127"/>
              <w:jc w:val="center"/>
              <w:rPr>
                <w:b/>
                <w:sz w:val="17"/>
              </w:rPr>
            </w:pPr>
            <w:r>
              <w:rPr>
                <w:b/>
                <w:sz w:val="17"/>
              </w:rPr>
              <w:t>Especies dominantes</w:t>
            </w:r>
          </w:p>
        </w:tc>
      </w:tr>
      <w:tr>
        <w:trPr>
          <w:trHeight w:val="478" w:hRule="exact"/>
        </w:trPr>
        <w:tc>
          <w:tcPr>
            <w:tcW w:w="1144" w:type="dxa"/>
          </w:tcPr>
          <w:p>
            <w:pPr>
              <w:pStyle w:val="TableParagraph"/>
              <w:spacing w:before="130"/>
              <w:ind w:left="117" w:right="120"/>
              <w:jc w:val="center"/>
              <w:rPr>
                <w:sz w:val="17"/>
              </w:rPr>
            </w:pPr>
            <w:r>
              <w:rPr>
                <w:sz w:val="17"/>
              </w:rPr>
              <w:t>Afanítica</w:t>
            </w:r>
          </w:p>
        </w:tc>
        <w:tc>
          <w:tcPr>
            <w:tcW w:w="2868" w:type="dxa"/>
            <w:gridSpan w:val="3"/>
          </w:tcPr>
          <w:p>
            <w:pPr>
              <w:pStyle w:val="TableParagraph"/>
              <w:spacing w:before="130"/>
              <w:ind w:left="840"/>
              <w:rPr>
                <w:sz w:val="17"/>
              </w:rPr>
            </w:pPr>
            <w:r>
              <w:rPr>
                <w:sz w:val="17"/>
              </w:rPr>
              <w:t>No se observa</w:t>
            </w:r>
          </w:p>
        </w:tc>
        <w:tc>
          <w:tcPr>
            <w:tcW w:w="2708" w:type="dxa"/>
            <w:gridSpan w:val="2"/>
          </w:tcPr>
          <w:p>
            <w:pPr>
              <w:pStyle w:val="TableParagraph"/>
              <w:spacing w:line="285" w:lineRule="auto"/>
              <w:ind w:left="926" w:hanging="710"/>
              <w:rPr>
                <w:sz w:val="17"/>
              </w:rPr>
            </w:pPr>
            <w:r>
              <w:rPr>
                <w:sz w:val="17"/>
              </w:rPr>
              <w:t>Plantación de pinos, pastos, herbáceas</w:t>
            </w:r>
          </w:p>
        </w:tc>
        <w:tc>
          <w:tcPr>
            <w:tcW w:w="2042" w:type="dxa"/>
          </w:tcPr>
          <w:p>
            <w:pPr>
              <w:pStyle w:val="TableParagraph"/>
              <w:spacing w:before="130"/>
              <w:ind w:left="121" w:right="127"/>
              <w:jc w:val="center"/>
              <w:rPr>
                <w:sz w:val="17"/>
              </w:rPr>
            </w:pPr>
            <w:r>
              <w:rPr>
                <w:sz w:val="17"/>
              </w:rPr>
              <w:t>Arborea y herbacea</w:t>
            </w:r>
          </w:p>
        </w:tc>
      </w:tr>
      <w:tr>
        <w:trPr>
          <w:trHeight w:val="290" w:hRule="exact"/>
        </w:trPr>
        <w:tc>
          <w:tcPr>
            <w:tcW w:w="2839" w:type="dxa"/>
            <w:gridSpan w:val="3"/>
          </w:tcPr>
          <w:p>
            <w:pPr>
              <w:pStyle w:val="TableParagraph"/>
              <w:spacing w:before="29"/>
              <w:ind w:left="1040" w:right="1048"/>
              <w:jc w:val="center"/>
              <w:rPr>
                <w:b/>
                <w:sz w:val="17"/>
              </w:rPr>
            </w:pPr>
            <w:r>
              <w:rPr>
                <w:b/>
                <w:sz w:val="17"/>
              </w:rPr>
              <w:t>Función</w:t>
            </w:r>
          </w:p>
        </w:tc>
        <w:tc>
          <w:tcPr>
            <w:tcW w:w="5924" w:type="dxa"/>
            <w:gridSpan w:val="4"/>
          </w:tcPr>
          <w:p>
            <w:pPr>
              <w:pStyle w:val="TableParagraph"/>
              <w:spacing w:before="29"/>
              <w:ind w:left="2086" w:right="2092"/>
              <w:jc w:val="center"/>
              <w:rPr>
                <w:b/>
                <w:sz w:val="17"/>
              </w:rPr>
            </w:pPr>
            <w:r>
              <w:rPr>
                <w:b/>
                <w:sz w:val="17"/>
              </w:rPr>
              <w:t>Vegetación cultivada</w:t>
            </w:r>
          </w:p>
        </w:tc>
      </w:tr>
      <w:tr>
        <w:trPr>
          <w:trHeight w:val="290" w:hRule="exact"/>
        </w:trPr>
        <w:tc>
          <w:tcPr>
            <w:tcW w:w="2839" w:type="dxa"/>
            <w:gridSpan w:val="3"/>
          </w:tcPr>
          <w:p>
            <w:pPr>
              <w:pStyle w:val="TableParagraph"/>
              <w:spacing w:before="29"/>
              <w:ind w:left="825"/>
              <w:rPr>
                <w:sz w:val="17"/>
              </w:rPr>
            </w:pPr>
            <w:r>
              <w:rPr>
                <w:sz w:val="17"/>
              </w:rPr>
              <w:t>Siempre verde</w:t>
            </w:r>
          </w:p>
        </w:tc>
        <w:tc>
          <w:tcPr>
            <w:tcW w:w="5924" w:type="dxa"/>
            <w:gridSpan w:val="4"/>
          </w:tcPr>
          <w:p>
            <w:pPr>
              <w:pStyle w:val="TableParagraph"/>
              <w:spacing w:before="29"/>
              <w:ind w:left="2086" w:right="2086"/>
              <w:jc w:val="center"/>
              <w:rPr>
                <w:sz w:val="17"/>
              </w:rPr>
            </w:pPr>
            <w:r>
              <w:rPr>
                <w:sz w:val="17"/>
              </w:rPr>
              <w:t>No</w:t>
            </w:r>
          </w:p>
        </w:tc>
      </w:tr>
      <w:tr>
        <w:trPr>
          <w:trHeight w:val="290" w:hRule="exact"/>
        </w:trPr>
        <w:tc>
          <w:tcPr>
            <w:tcW w:w="4012" w:type="dxa"/>
            <w:gridSpan w:val="4"/>
          </w:tcPr>
          <w:p>
            <w:pPr>
              <w:pStyle w:val="TableParagraph"/>
              <w:spacing w:before="58"/>
              <w:ind w:left="840"/>
              <w:rPr>
                <w:b/>
                <w:sz w:val="17"/>
              </w:rPr>
            </w:pPr>
            <w:r>
              <w:rPr>
                <w:b/>
                <w:sz w:val="17"/>
              </w:rPr>
              <w:t>Prácticas agrícolas visibles:</w:t>
            </w:r>
          </w:p>
        </w:tc>
        <w:tc>
          <w:tcPr>
            <w:tcW w:w="4751" w:type="dxa"/>
            <w:gridSpan w:val="3"/>
          </w:tcPr>
          <w:p>
            <w:pPr>
              <w:pStyle w:val="TableParagraph"/>
              <w:spacing w:before="58"/>
              <w:ind w:left="1535"/>
              <w:rPr>
                <w:b/>
                <w:sz w:val="17"/>
              </w:rPr>
            </w:pPr>
            <w:r>
              <w:rPr>
                <w:b/>
                <w:sz w:val="17"/>
              </w:rPr>
              <w:t>Superficie del suelo:</w:t>
            </w:r>
          </w:p>
        </w:tc>
      </w:tr>
      <w:tr>
        <w:trPr>
          <w:trHeight w:val="334" w:hRule="exact"/>
        </w:trPr>
        <w:tc>
          <w:tcPr>
            <w:tcW w:w="4012" w:type="dxa"/>
            <w:gridSpan w:val="4"/>
          </w:tcPr>
          <w:p>
            <w:pPr>
              <w:pStyle w:val="TableParagraph"/>
              <w:spacing w:before="101"/>
              <w:ind w:left="1870" w:right="1870"/>
              <w:jc w:val="center"/>
              <w:rPr>
                <w:sz w:val="17"/>
              </w:rPr>
            </w:pPr>
            <w:r>
              <w:rPr>
                <w:sz w:val="17"/>
              </w:rPr>
              <w:t>No</w:t>
            </w:r>
          </w:p>
        </w:tc>
        <w:tc>
          <w:tcPr>
            <w:tcW w:w="4751" w:type="dxa"/>
            <w:gridSpan w:val="3"/>
          </w:tcPr>
          <w:p>
            <w:pPr>
              <w:pStyle w:val="TableParagraph"/>
              <w:spacing w:before="101"/>
              <w:ind w:left="1602" w:right="1615"/>
              <w:jc w:val="center"/>
              <w:rPr>
                <w:sz w:val="17"/>
              </w:rPr>
            </w:pPr>
            <w:r>
              <w:rPr>
                <w:sz w:val="17"/>
              </w:rPr>
              <w:t>Piedras</w:t>
            </w:r>
          </w:p>
        </w:tc>
      </w:tr>
      <w:tr>
        <w:trPr>
          <w:trHeight w:val="406" w:hRule="exact"/>
        </w:trPr>
        <w:tc>
          <w:tcPr>
            <w:tcW w:w="2839" w:type="dxa"/>
            <w:gridSpan w:val="3"/>
          </w:tcPr>
          <w:p>
            <w:pPr>
              <w:pStyle w:val="TableParagraph"/>
              <w:spacing w:before="87"/>
              <w:ind w:left="130"/>
              <w:rPr>
                <w:b/>
                <w:sz w:val="17"/>
              </w:rPr>
            </w:pPr>
            <w:r>
              <w:rPr>
                <w:b/>
                <w:sz w:val="17"/>
              </w:rPr>
              <w:t>Material combustible  presente:</w:t>
            </w:r>
          </w:p>
        </w:tc>
        <w:tc>
          <w:tcPr>
            <w:tcW w:w="5924" w:type="dxa"/>
            <w:gridSpan w:val="4"/>
          </w:tcPr>
          <w:p>
            <w:pPr>
              <w:pStyle w:val="TableParagraph"/>
              <w:spacing w:before="87"/>
              <w:ind w:left="1680"/>
              <w:rPr>
                <w:sz w:val="17"/>
              </w:rPr>
            </w:pPr>
            <w:r>
              <w:rPr>
                <w:sz w:val="17"/>
              </w:rPr>
              <w:t>Ascículas, pasto  seco, arbustos</w:t>
            </w:r>
          </w:p>
        </w:tc>
      </w:tr>
      <w:tr>
        <w:trPr>
          <w:trHeight w:val="290" w:hRule="exact"/>
        </w:trPr>
        <w:tc>
          <w:tcPr>
            <w:tcW w:w="4012" w:type="dxa"/>
            <w:gridSpan w:val="4"/>
            <w:tcBorders>
              <w:bottom w:val="single" w:sz="6" w:space="0" w:color="000000"/>
            </w:tcBorders>
          </w:tcPr>
          <w:p>
            <w:pPr>
              <w:pStyle w:val="TableParagraph"/>
              <w:spacing w:before="29"/>
              <w:ind w:left="1057"/>
              <w:rPr>
                <w:b/>
                <w:sz w:val="17"/>
              </w:rPr>
            </w:pPr>
            <w:r>
              <w:rPr>
                <w:b/>
                <w:sz w:val="17"/>
              </w:rPr>
              <w:t>Evidencia  de incendios</w:t>
            </w:r>
          </w:p>
        </w:tc>
        <w:tc>
          <w:tcPr>
            <w:tcW w:w="4751" w:type="dxa"/>
            <w:gridSpan w:val="3"/>
            <w:tcBorders>
              <w:bottom w:val="single" w:sz="6" w:space="0" w:color="000000"/>
            </w:tcBorders>
          </w:tcPr>
          <w:p>
            <w:pPr>
              <w:pStyle w:val="TableParagraph"/>
              <w:spacing w:before="29"/>
              <w:ind w:left="1626" w:right="1615"/>
              <w:jc w:val="center"/>
              <w:rPr>
                <w:b/>
                <w:sz w:val="17"/>
              </w:rPr>
            </w:pPr>
            <w:r>
              <w:rPr>
                <w:b/>
                <w:sz w:val="17"/>
              </w:rPr>
              <w:t>Plagas forestales:</w:t>
            </w:r>
          </w:p>
        </w:tc>
      </w:tr>
      <w:tr>
        <w:trPr>
          <w:trHeight w:val="290" w:hRule="exact"/>
        </w:trPr>
        <w:tc>
          <w:tcPr>
            <w:tcW w:w="4012" w:type="dxa"/>
            <w:gridSpan w:val="4"/>
            <w:tcBorders>
              <w:top w:val="single" w:sz="6" w:space="0" w:color="000000"/>
            </w:tcBorders>
          </w:tcPr>
          <w:p>
            <w:pPr>
              <w:pStyle w:val="TableParagraph"/>
              <w:spacing w:before="29"/>
              <w:ind w:left="1115"/>
              <w:rPr>
                <w:sz w:val="17"/>
              </w:rPr>
            </w:pPr>
            <w:r>
              <w:rPr>
                <w:sz w:val="17"/>
              </w:rPr>
              <w:t>Si, de años  anteriores</w:t>
            </w:r>
          </w:p>
        </w:tc>
        <w:tc>
          <w:tcPr>
            <w:tcW w:w="4751" w:type="dxa"/>
            <w:gridSpan w:val="3"/>
            <w:tcBorders>
              <w:top w:val="single" w:sz="6" w:space="0" w:color="000000"/>
            </w:tcBorders>
          </w:tcPr>
          <w:p>
            <w:pPr>
              <w:pStyle w:val="TableParagraph"/>
              <w:spacing w:before="29"/>
              <w:ind w:left="1603" w:right="1615"/>
              <w:jc w:val="center"/>
              <w:rPr>
                <w:sz w:val="17"/>
              </w:rPr>
            </w:pPr>
            <w:r>
              <w:rPr>
                <w:sz w:val="17"/>
              </w:rPr>
              <w:t>No</w:t>
            </w:r>
          </w:p>
        </w:tc>
      </w:tr>
      <w:tr>
        <w:trPr>
          <w:trHeight w:val="565" w:hRule="exact"/>
        </w:trPr>
        <w:tc>
          <w:tcPr>
            <w:tcW w:w="1666" w:type="dxa"/>
            <w:gridSpan w:val="2"/>
          </w:tcPr>
          <w:p>
            <w:pPr>
              <w:pStyle w:val="TableParagraph"/>
              <w:spacing w:before="1"/>
              <w:rPr>
                <w:sz w:val="15"/>
              </w:rPr>
            </w:pPr>
          </w:p>
          <w:p>
            <w:pPr>
              <w:pStyle w:val="TableParagraph"/>
              <w:spacing w:before="0"/>
              <w:ind w:left="174"/>
              <w:rPr>
                <w:b/>
                <w:sz w:val="17"/>
              </w:rPr>
            </w:pPr>
            <w:r>
              <w:rPr>
                <w:b/>
                <w:sz w:val="17"/>
              </w:rPr>
              <w:t>Observaciones:</w:t>
            </w:r>
          </w:p>
        </w:tc>
        <w:tc>
          <w:tcPr>
            <w:tcW w:w="7097" w:type="dxa"/>
            <w:gridSpan w:val="5"/>
          </w:tcPr>
          <w:p>
            <w:pPr>
              <w:pStyle w:val="TableParagraph"/>
              <w:spacing w:line="285" w:lineRule="auto" w:before="58"/>
              <w:ind w:left="28" w:right="251"/>
              <w:rPr>
                <w:sz w:val="17"/>
              </w:rPr>
            </w:pPr>
            <w:r>
              <w:rPr>
                <w:sz w:val="17"/>
              </w:rPr>
              <w:t>Presencia de cascajo, desechos sólidos y árboles muertos. Árboles quemados a una altura de 3 metros.</w:t>
            </w:r>
          </w:p>
        </w:tc>
      </w:tr>
    </w:tbl>
    <w:p>
      <w:pPr>
        <w:pStyle w:val="BodyText"/>
      </w:pPr>
    </w:p>
    <w:p>
      <w:pPr>
        <w:pStyle w:val="BodyText"/>
        <w:spacing w:before="9"/>
        <w:rPr>
          <w:sz w:val="21"/>
        </w:rPr>
      </w:pPr>
    </w:p>
    <w:p>
      <w:pPr>
        <w:pStyle w:val="BodyText"/>
        <w:ind w:left="102"/>
      </w:pPr>
      <w:r>
        <w:rPr/>
        <w:drawing>
          <wp:anchor distT="0" distB="0" distL="0" distR="0" allowOverlap="1" layoutInCell="1" locked="0" behindDoc="0" simplePos="0" relativeHeight="4216">
            <wp:simplePos x="0" y="0"/>
            <wp:positionH relativeFrom="page">
              <wp:posOffset>1260475</wp:posOffset>
            </wp:positionH>
            <wp:positionV relativeFrom="paragraph">
              <wp:posOffset>253566</wp:posOffset>
            </wp:positionV>
            <wp:extent cx="1616951" cy="909447"/>
            <wp:effectExtent l="0" t="0" r="0" b="0"/>
            <wp:wrapTopAndBottom/>
            <wp:docPr id="153" name="image97.jpeg" descr=""/>
            <wp:cNvGraphicFramePr>
              <a:graphicFrameLocks noChangeAspect="1"/>
            </wp:cNvGraphicFramePr>
            <a:graphic>
              <a:graphicData uri="http://schemas.openxmlformats.org/drawingml/2006/picture">
                <pic:pic>
                  <pic:nvPicPr>
                    <pic:cNvPr id="154" name="image97.jpeg"/>
                    <pic:cNvPicPr/>
                  </pic:nvPicPr>
                  <pic:blipFill>
                    <a:blip r:embed="rId144"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3084195</wp:posOffset>
            </wp:positionH>
            <wp:positionV relativeFrom="paragraph">
              <wp:posOffset>253566</wp:posOffset>
            </wp:positionV>
            <wp:extent cx="1616951" cy="909447"/>
            <wp:effectExtent l="0" t="0" r="0" b="0"/>
            <wp:wrapTopAndBottom/>
            <wp:docPr id="155" name="image98.jpeg" descr=""/>
            <wp:cNvGraphicFramePr>
              <a:graphicFrameLocks noChangeAspect="1"/>
            </wp:cNvGraphicFramePr>
            <a:graphic>
              <a:graphicData uri="http://schemas.openxmlformats.org/drawingml/2006/picture">
                <pic:pic>
                  <pic:nvPicPr>
                    <pic:cNvPr id="156" name="image98.jpeg"/>
                    <pic:cNvPicPr/>
                  </pic:nvPicPr>
                  <pic:blipFill>
                    <a:blip r:embed="rId145" cstate="print"/>
                    <a:stretch>
                      <a:fillRect/>
                    </a:stretch>
                  </pic:blipFill>
                  <pic:spPr>
                    <a:xfrm>
                      <a:off x="0" y="0"/>
                      <a:ext cx="1616951" cy="909447"/>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4909820</wp:posOffset>
            </wp:positionH>
            <wp:positionV relativeFrom="paragraph">
              <wp:posOffset>253566</wp:posOffset>
            </wp:positionV>
            <wp:extent cx="1616951" cy="909447"/>
            <wp:effectExtent l="0" t="0" r="0" b="0"/>
            <wp:wrapTopAndBottom/>
            <wp:docPr id="157" name="image99.jpeg" descr=""/>
            <wp:cNvGraphicFramePr>
              <a:graphicFrameLocks noChangeAspect="1"/>
            </wp:cNvGraphicFramePr>
            <a:graphic>
              <a:graphicData uri="http://schemas.openxmlformats.org/drawingml/2006/picture">
                <pic:pic>
                  <pic:nvPicPr>
                    <pic:cNvPr id="158" name="image99.jpeg"/>
                    <pic:cNvPicPr/>
                  </pic:nvPicPr>
                  <pic:blipFill>
                    <a:blip r:embed="rId146" cstate="print"/>
                    <a:stretch>
                      <a:fillRect/>
                    </a:stretch>
                  </pic:blipFill>
                  <pic:spPr>
                    <a:xfrm>
                      <a:off x="0" y="0"/>
                      <a:ext cx="1616951" cy="909447"/>
                    </a:xfrm>
                    <a:prstGeom prst="rect">
                      <a:avLst/>
                    </a:prstGeom>
                  </pic:spPr>
                </pic:pic>
              </a:graphicData>
            </a:graphic>
          </wp:anchor>
        </w:drawing>
      </w:r>
      <w:r>
        <w:rPr/>
        <w:t>Imágenes del sitio 9.</w:t>
      </w:r>
    </w:p>
    <w:p>
      <w:pPr>
        <w:pStyle w:val="BodyText"/>
        <w:spacing w:before="5"/>
        <w:rPr>
          <w:sz w:val="6"/>
        </w:rPr>
      </w:pPr>
    </w:p>
    <w:p>
      <w:pPr>
        <w:tabs>
          <w:tab w:pos="3600" w:val="left" w:leader="none"/>
          <w:tab w:pos="6471" w:val="left" w:leader="none"/>
        </w:tabs>
        <w:spacing w:line="240" w:lineRule="auto"/>
        <w:ind w:left="724" w:right="0" w:firstLine="0"/>
        <w:rPr>
          <w:sz w:val="20"/>
        </w:rPr>
      </w:pPr>
      <w:r>
        <w:rPr>
          <w:position w:val="1"/>
          <w:sz w:val="20"/>
        </w:rPr>
        <w:drawing>
          <wp:inline distT="0" distB="0" distL="0" distR="0">
            <wp:extent cx="1153652" cy="1236916"/>
            <wp:effectExtent l="0" t="0" r="0" b="0"/>
            <wp:docPr id="159" name="image100.jpeg" descr=""/>
            <wp:cNvGraphicFramePr>
              <a:graphicFrameLocks noChangeAspect="1"/>
            </wp:cNvGraphicFramePr>
            <a:graphic>
              <a:graphicData uri="http://schemas.openxmlformats.org/drawingml/2006/picture">
                <pic:pic>
                  <pic:nvPicPr>
                    <pic:cNvPr id="160" name="image100.jpeg"/>
                    <pic:cNvPicPr/>
                  </pic:nvPicPr>
                  <pic:blipFill>
                    <a:blip r:embed="rId147" cstate="print"/>
                    <a:stretch>
                      <a:fillRect/>
                    </a:stretch>
                  </pic:blipFill>
                  <pic:spPr>
                    <a:xfrm>
                      <a:off x="0" y="0"/>
                      <a:ext cx="1153652" cy="1236916"/>
                    </a:xfrm>
                    <a:prstGeom prst="rect">
                      <a:avLst/>
                    </a:prstGeom>
                  </pic:spPr>
                </pic:pic>
              </a:graphicData>
            </a:graphic>
          </wp:inline>
        </w:drawing>
      </w:r>
      <w:r>
        <w:rPr>
          <w:position w:val="1"/>
          <w:sz w:val="20"/>
        </w:rPr>
      </w:r>
      <w:r>
        <w:rPr>
          <w:position w:val="1"/>
          <w:sz w:val="20"/>
        </w:rPr>
        <w:tab/>
      </w:r>
      <w:r>
        <w:rPr>
          <w:position w:val="1"/>
          <w:sz w:val="20"/>
        </w:rPr>
        <w:drawing>
          <wp:inline distT="0" distB="0" distL="0" distR="0">
            <wp:extent cx="1161247" cy="1241012"/>
            <wp:effectExtent l="0" t="0" r="0" b="0"/>
            <wp:docPr id="161" name="image101.jpeg" descr=""/>
            <wp:cNvGraphicFramePr>
              <a:graphicFrameLocks noChangeAspect="1"/>
            </wp:cNvGraphicFramePr>
            <a:graphic>
              <a:graphicData uri="http://schemas.openxmlformats.org/drawingml/2006/picture">
                <pic:pic>
                  <pic:nvPicPr>
                    <pic:cNvPr id="162" name="image101.jpeg"/>
                    <pic:cNvPicPr/>
                  </pic:nvPicPr>
                  <pic:blipFill>
                    <a:blip r:embed="rId148" cstate="print"/>
                    <a:stretch>
                      <a:fillRect/>
                    </a:stretch>
                  </pic:blipFill>
                  <pic:spPr>
                    <a:xfrm>
                      <a:off x="0" y="0"/>
                      <a:ext cx="1161247" cy="1241012"/>
                    </a:xfrm>
                    <a:prstGeom prst="rect">
                      <a:avLst/>
                    </a:prstGeom>
                  </pic:spPr>
                </pic:pic>
              </a:graphicData>
            </a:graphic>
          </wp:inline>
        </w:drawing>
      </w:r>
      <w:r>
        <w:rPr>
          <w:position w:val="1"/>
          <w:sz w:val="20"/>
        </w:rPr>
      </w:r>
      <w:r>
        <w:rPr>
          <w:position w:val="1"/>
          <w:sz w:val="20"/>
        </w:rPr>
        <w:tab/>
      </w:r>
      <w:r>
        <w:rPr>
          <w:sz w:val="20"/>
        </w:rPr>
        <w:drawing>
          <wp:inline distT="0" distB="0" distL="0" distR="0">
            <wp:extent cx="1155612" cy="1245108"/>
            <wp:effectExtent l="0" t="0" r="0" b="0"/>
            <wp:docPr id="163" name="image102.jpeg" descr=""/>
            <wp:cNvGraphicFramePr>
              <a:graphicFrameLocks noChangeAspect="1"/>
            </wp:cNvGraphicFramePr>
            <a:graphic>
              <a:graphicData uri="http://schemas.openxmlformats.org/drawingml/2006/picture">
                <pic:pic>
                  <pic:nvPicPr>
                    <pic:cNvPr id="164" name="image102.jpeg"/>
                    <pic:cNvPicPr/>
                  </pic:nvPicPr>
                  <pic:blipFill>
                    <a:blip r:embed="rId149" cstate="print"/>
                    <a:stretch>
                      <a:fillRect/>
                    </a:stretch>
                  </pic:blipFill>
                  <pic:spPr>
                    <a:xfrm>
                      <a:off x="0" y="0"/>
                      <a:ext cx="1155612" cy="1245108"/>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10.</w:t>
      </w:r>
    </w:p>
    <w:p>
      <w:pPr>
        <w:pStyle w:val="BodyText"/>
        <w:spacing w:before="10"/>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2"/>
        <w:gridCol w:w="516"/>
        <w:gridCol w:w="1161"/>
        <w:gridCol w:w="1161"/>
        <w:gridCol w:w="1533"/>
        <w:gridCol w:w="1147"/>
        <w:gridCol w:w="2021"/>
      </w:tblGrid>
      <w:tr>
        <w:trPr>
          <w:trHeight w:val="287" w:hRule="exact"/>
        </w:trPr>
        <w:tc>
          <w:tcPr>
            <w:tcW w:w="1132" w:type="dxa"/>
            <w:vMerge w:val="restart"/>
          </w:tcPr>
          <w:p>
            <w:pPr>
              <w:pStyle w:val="TableParagraph"/>
              <w:spacing w:before="9"/>
              <w:rPr>
                <w:sz w:val="14"/>
              </w:rPr>
            </w:pPr>
          </w:p>
          <w:p>
            <w:pPr>
              <w:pStyle w:val="TableParagraph"/>
              <w:spacing w:before="0"/>
              <w:ind w:left="315"/>
              <w:rPr>
                <w:b/>
                <w:sz w:val="17"/>
              </w:rPr>
            </w:pPr>
            <w:r>
              <w:rPr>
                <w:b/>
                <w:sz w:val="17"/>
              </w:rPr>
              <w:t>Fecha</w:t>
            </w:r>
          </w:p>
        </w:tc>
        <w:tc>
          <w:tcPr>
            <w:tcW w:w="516" w:type="dxa"/>
            <w:vMerge w:val="restart"/>
          </w:tcPr>
          <w:p>
            <w:pPr>
              <w:pStyle w:val="TableParagraph"/>
              <w:spacing w:before="9"/>
              <w:rPr>
                <w:sz w:val="14"/>
              </w:rPr>
            </w:pPr>
          </w:p>
          <w:p>
            <w:pPr>
              <w:pStyle w:val="TableParagraph"/>
              <w:spacing w:before="0"/>
              <w:ind w:left="71"/>
              <w:rPr>
                <w:b/>
                <w:sz w:val="17"/>
              </w:rPr>
            </w:pPr>
            <w:r>
              <w:rPr>
                <w:b/>
                <w:sz w:val="17"/>
              </w:rPr>
              <w:t>Sitio</w:t>
            </w:r>
          </w:p>
        </w:tc>
        <w:tc>
          <w:tcPr>
            <w:tcW w:w="2322" w:type="dxa"/>
            <w:gridSpan w:val="2"/>
            <w:tcBorders>
              <w:bottom w:val="single" w:sz="6" w:space="0" w:color="000000"/>
            </w:tcBorders>
          </w:tcPr>
          <w:p>
            <w:pPr>
              <w:pStyle w:val="TableParagraph"/>
              <w:spacing w:before="55"/>
              <w:ind w:left="401"/>
              <w:rPr>
                <w:b/>
                <w:sz w:val="17"/>
              </w:rPr>
            </w:pPr>
            <w:r>
              <w:rPr>
                <w:b/>
                <w:sz w:val="17"/>
              </w:rPr>
              <w:t>Coordenadas UTM</w:t>
            </w:r>
          </w:p>
        </w:tc>
        <w:tc>
          <w:tcPr>
            <w:tcW w:w="1533" w:type="dxa"/>
            <w:vMerge w:val="restart"/>
          </w:tcPr>
          <w:p>
            <w:pPr>
              <w:pStyle w:val="TableParagraph"/>
              <w:spacing w:before="9"/>
              <w:rPr>
                <w:sz w:val="14"/>
              </w:rPr>
            </w:pPr>
          </w:p>
          <w:p>
            <w:pPr>
              <w:pStyle w:val="TableParagraph"/>
              <w:spacing w:before="0"/>
              <w:ind w:left="358"/>
              <w:rPr>
                <w:b/>
                <w:sz w:val="17"/>
              </w:rPr>
            </w:pPr>
            <w:r>
              <w:rPr>
                <w:b/>
                <w:sz w:val="17"/>
              </w:rPr>
              <w:t>Localidad</w:t>
            </w:r>
          </w:p>
        </w:tc>
        <w:tc>
          <w:tcPr>
            <w:tcW w:w="1147" w:type="dxa"/>
            <w:vMerge w:val="restart"/>
          </w:tcPr>
          <w:p>
            <w:pPr>
              <w:pStyle w:val="TableParagraph"/>
              <w:spacing w:before="9"/>
              <w:rPr>
                <w:sz w:val="14"/>
              </w:rPr>
            </w:pPr>
          </w:p>
          <w:p>
            <w:pPr>
              <w:pStyle w:val="TableParagraph"/>
              <w:spacing w:before="0"/>
              <w:ind w:left="114"/>
              <w:rPr>
                <w:b/>
                <w:sz w:val="17"/>
              </w:rPr>
            </w:pPr>
            <w:r>
              <w:rPr>
                <w:b/>
                <w:sz w:val="17"/>
              </w:rPr>
              <w:t>Delegación</w:t>
            </w:r>
          </w:p>
        </w:tc>
        <w:tc>
          <w:tcPr>
            <w:tcW w:w="2021" w:type="dxa"/>
            <w:vMerge w:val="restart"/>
          </w:tcPr>
          <w:p>
            <w:pPr>
              <w:pStyle w:val="TableParagraph"/>
              <w:spacing w:before="9"/>
              <w:rPr>
                <w:sz w:val="14"/>
              </w:rPr>
            </w:pPr>
          </w:p>
          <w:p>
            <w:pPr>
              <w:pStyle w:val="TableParagraph"/>
              <w:spacing w:before="0"/>
              <w:ind w:left="329"/>
              <w:rPr>
                <w:b/>
                <w:sz w:val="17"/>
              </w:rPr>
            </w:pPr>
            <w:r>
              <w:rPr>
                <w:b/>
                <w:sz w:val="17"/>
              </w:rPr>
              <w:t>Elevación msnm</w:t>
            </w:r>
          </w:p>
        </w:tc>
      </w:tr>
      <w:tr>
        <w:trPr>
          <w:trHeight w:val="287" w:hRule="exact"/>
        </w:trPr>
        <w:tc>
          <w:tcPr>
            <w:tcW w:w="1132" w:type="dxa"/>
            <w:vMerge/>
          </w:tcPr>
          <w:p>
            <w:pPr/>
          </w:p>
        </w:tc>
        <w:tc>
          <w:tcPr>
            <w:tcW w:w="516" w:type="dxa"/>
            <w:vMerge/>
          </w:tcPr>
          <w:p>
            <w:pPr/>
          </w:p>
        </w:tc>
        <w:tc>
          <w:tcPr>
            <w:tcW w:w="1161" w:type="dxa"/>
            <w:tcBorders>
              <w:top w:val="single" w:sz="6" w:space="0" w:color="000000"/>
            </w:tcBorders>
          </w:tcPr>
          <w:p>
            <w:pPr>
              <w:pStyle w:val="TableParagraph"/>
              <w:spacing w:before="41"/>
              <w:ind w:left="145" w:right="148"/>
              <w:jc w:val="center"/>
              <w:rPr>
                <w:b/>
                <w:sz w:val="17"/>
              </w:rPr>
            </w:pPr>
            <w:r>
              <w:rPr>
                <w:b/>
                <w:sz w:val="17"/>
              </w:rPr>
              <w:t>Oeste</w:t>
            </w:r>
          </w:p>
        </w:tc>
        <w:tc>
          <w:tcPr>
            <w:tcW w:w="1161" w:type="dxa"/>
            <w:tcBorders>
              <w:top w:val="single" w:sz="6" w:space="0" w:color="000000"/>
            </w:tcBorders>
          </w:tcPr>
          <w:p>
            <w:pPr>
              <w:pStyle w:val="TableParagraph"/>
              <w:spacing w:before="41"/>
              <w:ind w:left="103" w:right="95"/>
              <w:jc w:val="center"/>
              <w:rPr>
                <w:b/>
                <w:sz w:val="17"/>
              </w:rPr>
            </w:pPr>
            <w:r>
              <w:rPr>
                <w:b/>
                <w:sz w:val="17"/>
              </w:rPr>
              <w:t>Norte</w:t>
            </w:r>
          </w:p>
        </w:tc>
        <w:tc>
          <w:tcPr>
            <w:tcW w:w="1533" w:type="dxa"/>
            <w:vMerge/>
          </w:tcPr>
          <w:p>
            <w:pPr/>
          </w:p>
        </w:tc>
        <w:tc>
          <w:tcPr>
            <w:tcW w:w="1147" w:type="dxa"/>
            <w:vMerge/>
          </w:tcPr>
          <w:p>
            <w:pPr/>
          </w:p>
        </w:tc>
        <w:tc>
          <w:tcPr>
            <w:tcW w:w="2021" w:type="dxa"/>
            <w:vMerge/>
          </w:tcPr>
          <w:p>
            <w:pPr/>
          </w:p>
        </w:tc>
      </w:tr>
      <w:tr>
        <w:trPr>
          <w:trHeight w:val="286" w:hRule="exact"/>
        </w:trPr>
        <w:tc>
          <w:tcPr>
            <w:tcW w:w="1132" w:type="dxa"/>
          </w:tcPr>
          <w:p>
            <w:pPr>
              <w:pStyle w:val="TableParagraph"/>
              <w:spacing w:before="41"/>
              <w:ind w:left="111" w:right="116"/>
              <w:jc w:val="center"/>
              <w:rPr>
                <w:sz w:val="17"/>
              </w:rPr>
            </w:pPr>
            <w:r>
              <w:rPr>
                <w:sz w:val="17"/>
              </w:rPr>
              <w:t>15/01/2015</w:t>
            </w:r>
          </w:p>
        </w:tc>
        <w:tc>
          <w:tcPr>
            <w:tcW w:w="516" w:type="dxa"/>
          </w:tcPr>
          <w:p>
            <w:pPr>
              <w:pStyle w:val="TableParagraph"/>
              <w:spacing w:before="41"/>
              <w:ind w:left="157"/>
              <w:rPr>
                <w:sz w:val="17"/>
              </w:rPr>
            </w:pPr>
            <w:r>
              <w:rPr>
                <w:sz w:val="17"/>
              </w:rPr>
              <w:t>10</w:t>
            </w:r>
          </w:p>
        </w:tc>
        <w:tc>
          <w:tcPr>
            <w:tcW w:w="1161" w:type="dxa"/>
          </w:tcPr>
          <w:p>
            <w:pPr>
              <w:pStyle w:val="TableParagraph"/>
              <w:spacing w:before="41"/>
              <w:ind w:left="155" w:right="148"/>
              <w:jc w:val="center"/>
              <w:rPr>
                <w:sz w:val="17"/>
              </w:rPr>
            </w:pPr>
            <w:r>
              <w:rPr>
                <w:sz w:val="17"/>
              </w:rPr>
              <w:t>474298.82</w:t>
            </w:r>
          </w:p>
        </w:tc>
        <w:tc>
          <w:tcPr>
            <w:tcW w:w="1161" w:type="dxa"/>
          </w:tcPr>
          <w:p>
            <w:pPr>
              <w:pStyle w:val="TableParagraph"/>
              <w:spacing w:before="41"/>
              <w:ind w:left="103" w:right="104"/>
              <w:jc w:val="center"/>
              <w:rPr>
                <w:sz w:val="17"/>
              </w:rPr>
            </w:pPr>
            <w:r>
              <w:rPr>
                <w:sz w:val="17"/>
              </w:rPr>
              <w:t>2125598.45</w:t>
            </w:r>
          </w:p>
        </w:tc>
        <w:tc>
          <w:tcPr>
            <w:tcW w:w="1533" w:type="dxa"/>
          </w:tcPr>
          <w:p>
            <w:pPr>
              <w:pStyle w:val="TableParagraph"/>
              <w:spacing w:before="15"/>
              <w:ind w:left="28"/>
              <w:rPr>
                <w:rFonts w:ascii="Calibri"/>
                <w:sz w:val="21"/>
              </w:rPr>
            </w:pPr>
            <w:r>
              <w:rPr>
                <w:rFonts w:ascii="Calibri"/>
                <w:sz w:val="21"/>
              </w:rPr>
              <w:t>Ajusco</w:t>
            </w:r>
          </w:p>
        </w:tc>
        <w:tc>
          <w:tcPr>
            <w:tcW w:w="1147" w:type="dxa"/>
          </w:tcPr>
          <w:p>
            <w:pPr>
              <w:pStyle w:val="TableParagraph"/>
              <w:spacing w:before="41"/>
              <w:ind w:left="265" w:right="269"/>
              <w:jc w:val="center"/>
              <w:rPr>
                <w:sz w:val="17"/>
              </w:rPr>
            </w:pPr>
            <w:r>
              <w:rPr>
                <w:sz w:val="17"/>
              </w:rPr>
              <w:t>Tlalpan</w:t>
            </w:r>
          </w:p>
        </w:tc>
        <w:tc>
          <w:tcPr>
            <w:tcW w:w="2021" w:type="dxa"/>
          </w:tcPr>
          <w:p>
            <w:pPr>
              <w:pStyle w:val="TableParagraph"/>
              <w:spacing w:before="55"/>
              <w:ind w:left="111" w:right="111"/>
              <w:jc w:val="center"/>
              <w:rPr>
                <w:sz w:val="17"/>
              </w:rPr>
            </w:pPr>
            <w:r>
              <w:rPr>
                <w:sz w:val="17"/>
              </w:rPr>
              <w:t>3211</w:t>
            </w:r>
          </w:p>
        </w:tc>
      </w:tr>
      <w:tr>
        <w:trPr>
          <w:trHeight w:val="316" w:hRule="exact"/>
        </w:trPr>
        <w:tc>
          <w:tcPr>
            <w:tcW w:w="2809" w:type="dxa"/>
            <w:gridSpan w:val="3"/>
          </w:tcPr>
          <w:p>
            <w:pPr>
              <w:pStyle w:val="TableParagraph"/>
              <w:spacing w:before="41"/>
              <w:ind w:left="487"/>
              <w:rPr>
                <w:b/>
                <w:sz w:val="17"/>
              </w:rPr>
            </w:pPr>
            <w:r>
              <w:rPr>
                <w:b/>
                <w:sz w:val="17"/>
              </w:rPr>
              <w:t>Ángulo de la pendiente</w:t>
            </w:r>
          </w:p>
        </w:tc>
        <w:tc>
          <w:tcPr>
            <w:tcW w:w="2694" w:type="dxa"/>
            <w:gridSpan w:val="2"/>
          </w:tcPr>
          <w:p>
            <w:pPr>
              <w:pStyle w:val="TableParagraph"/>
              <w:spacing w:before="41"/>
              <w:ind w:left="443"/>
              <w:rPr>
                <w:b/>
                <w:sz w:val="17"/>
              </w:rPr>
            </w:pPr>
            <w:r>
              <w:rPr>
                <w:b/>
                <w:sz w:val="17"/>
              </w:rPr>
              <w:t>Forma de la pendiente</w:t>
            </w:r>
          </w:p>
        </w:tc>
        <w:tc>
          <w:tcPr>
            <w:tcW w:w="3168" w:type="dxa"/>
            <w:gridSpan w:val="2"/>
          </w:tcPr>
          <w:p>
            <w:pPr>
              <w:pStyle w:val="TableParagraph"/>
              <w:spacing w:before="41"/>
              <w:ind w:left="1058" w:right="1062"/>
              <w:jc w:val="center"/>
              <w:rPr>
                <w:b/>
                <w:sz w:val="17"/>
              </w:rPr>
            </w:pPr>
            <w:r>
              <w:rPr>
                <w:b/>
                <w:sz w:val="17"/>
              </w:rPr>
              <w:t>Microrelieve</w:t>
            </w:r>
          </w:p>
        </w:tc>
      </w:tr>
      <w:tr>
        <w:trPr>
          <w:trHeight w:val="287" w:hRule="exact"/>
        </w:trPr>
        <w:tc>
          <w:tcPr>
            <w:tcW w:w="2809" w:type="dxa"/>
            <w:gridSpan w:val="3"/>
            <w:tcBorders>
              <w:bottom w:val="single" w:sz="6" w:space="0" w:color="000000"/>
            </w:tcBorders>
          </w:tcPr>
          <w:p>
            <w:pPr>
              <w:pStyle w:val="TableParagraph"/>
              <w:spacing w:before="55"/>
              <w:ind w:left="1043" w:right="1043"/>
              <w:jc w:val="center"/>
              <w:rPr>
                <w:sz w:val="17"/>
              </w:rPr>
            </w:pPr>
            <w:r>
              <w:rPr>
                <w:sz w:val="17"/>
              </w:rPr>
              <w:t>10°</w:t>
            </w:r>
          </w:p>
        </w:tc>
        <w:tc>
          <w:tcPr>
            <w:tcW w:w="2694" w:type="dxa"/>
            <w:gridSpan w:val="2"/>
            <w:tcBorders>
              <w:bottom w:val="single" w:sz="6" w:space="0" w:color="000000"/>
            </w:tcBorders>
          </w:tcPr>
          <w:p>
            <w:pPr>
              <w:pStyle w:val="TableParagraph"/>
              <w:spacing w:before="55"/>
              <w:ind w:left="1025" w:right="1028"/>
              <w:jc w:val="center"/>
              <w:rPr>
                <w:sz w:val="17"/>
              </w:rPr>
            </w:pPr>
            <w:r>
              <w:rPr>
                <w:sz w:val="17"/>
              </w:rPr>
              <w:t>Terraza</w:t>
            </w:r>
          </w:p>
        </w:tc>
        <w:tc>
          <w:tcPr>
            <w:tcW w:w="3168" w:type="dxa"/>
            <w:gridSpan w:val="2"/>
            <w:tcBorders>
              <w:bottom w:val="single" w:sz="6" w:space="0" w:color="000000"/>
            </w:tcBorders>
          </w:tcPr>
          <w:p>
            <w:pPr>
              <w:pStyle w:val="TableParagraph"/>
              <w:spacing w:before="55"/>
              <w:ind w:left="1058" w:right="1061"/>
              <w:jc w:val="center"/>
              <w:rPr>
                <w:sz w:val="17"/>
              </w:rPr>
            </w:pPr>
            <w:r>
              <w:rPr>
                <w:sz w:val="17"/>
              </w:rPr>
              <w:t>Plano</w:t>
            </w:r>
          </w:p>
        </w:tc>
      </w:tr>
      <w:tr>
        <w:trPr>
          <w:trHeight w:val="287" w:hRule="exact"/>
        </w:trPr>
        <w:tc>
          <w:tcPr>
            <w:tcW w:w="2809" w:type="dxa"/>
            <w:gridSpan w:val="3"/>
            <w:tcBorders>
              <w:top w:val="single" w:sz="6" w:space="0" w:color="000000"/>
            </w:tcBorders>
          </w:tcPr>
          <w:p>
            <w:pPr>
              <w:pStyle w:val="TableParagraph"/>
              <w:spacing w:before="26"/>
              <w:ind w:left="286"/>
              <w:rPr>
                <w:b/>
                <w:sz w:val="17"/>
              </w:rPr>
            </w:pPr>
            <w:r>
              <w:rPr>
                <w:b/>
                <w:sz w:val="17"/>
              </w:rPr>
              <w:t>Drenaje superficial del sitio</w:t>
            </w:r>
          </w:p>
        </w:tc>
        <w:tc>
          <w:tcPr>
            <w:tcW w:w="2694" w:type="dxa"/>
            <w:gridSpan w:val="2"/>
            <w:tcBorders>
              <w:top w:val="single" w:sz="6" w:space="0" w:color="000000"/>
            </w:tcBorders>
          </w:tcPr>
          <w:p>
            <w:pPr>
              <w:pStyle w:val="TableParagraph"/>
              <w:spacing w:before="26"/>
              <w:ind w:left="644"/>
              <w:rPr>
                <w:b/>
                <w:sz w:val="17"/>
              </w:rPr>
            </w:pPr>
            <w:r>
              <w:rPr>
                <w:b/>
                <w:sz w:val="17"/>
              </w:rPr>
              <w:t>Material parental</w:t>
            </w:r>
          </w:p>
        </w:tc>
        <w:tc>
          <w:tcPr>
            <w:tcW w:w="1147" w:type="dxa"/>
            <w:tcBorders>
              <w:top w:val="single" w:sz="6" w:space="0" w:color="000000"/>
            </w:tcBorders>
          </w:tcPr>
          <w:p>
            <w:pPr>
              <w:pStyle w:val="TableParagraph"/>
              <w:spacing w:before="41"/>
              <w:ind w:left="265" w:right="256"/>
              <w:jc w:val="center"/>
              <w:rPr>
                <w:b/>
                <w:sz w:val="17"/>
              </w:rPr>
            </w:pPr>
            <w:r>
              <w:rPr>
                <w:b/>
                <w:sz w:val="17"/>
              </w:rPr>
              <w:t>Color</w:t>
            </w:r>
          </w:p>
        </w:tc>
        <w:tc>
          <w:tcPr>
            <w:tcW w:w="2021" w:type="dxa"/>
            <w:tcBorders>
              <w:top w:val="single" w:sz="6" w:space="0" w:color="000000"/>
            </w:tcBorders>
          </w:tcPr>
          <w:p>
            <w:pPr>
              <w:pStyle w:val="TableParagraph"/>
              <w:spacing w:before="41"/>
              <w:ind w:left="111" w:right="109"/>
              <w:jc w:val="center"/>
              <w:rPr>
                <w:b/>
                <w:sz w:val="17"/>
              </w:rPr>
            </w:pPr>
            <w:r>
              <w:rPr>
                <w:b/>
                <w:sz w:val="17"/>
              </w:rPr>
              <w:t>Color intemperizado</w:t>
            </w:r>
          </w:p>
        </w:tc>
      </w:tr>
      <w:tr>
        <w:trPr>
          <w:trHeight w:val="286" w:hRule="exact"/>
        </w:trPr>
        <w:tc>
          <w:tcPr>
            <w:tcW w:w="2809" w:type="dxa"/>
            <w:gridSpan w:val="3"/>
          </w:tcPr>
          <w:p>
            <w:pPr>
              <w:pStyle w:val="TableParagraph"/>
              <w:spacing w:before="27"/>
              <w:ind w:left="1043" w:right="1051"/>
              <w:jc w:val="center"/>
              <w:rPr>
                <w:sz w:val="17"/>
              </w:rPr>
            </w:pPr>
            <w:r>
              <w:rPr>
                <w:sz w:val="17"/>
              </w:rPr>
              <w:t>Donador</w:t>
            </w:r>
          </w:p>
        </w:tc>
        <w:tc>
          <w:tcPr>
            <w:tcW w:w="2694" w:type="dxa"/>
            <w:gridSpan w:val="2"/>
          </w:tcPr>
          <w:p>
            <w:pPr>
              <w:pStyle w:val="TableParagraph"/>
              <w:spacing w:before="27"/>
              <w:ind w:left="516"/>
              <w:rPr>
                <w:sz w:val="17"/>
              </w:rPr>
            </w:pPr>
            <w:r>
              <w:rPr>
                <w:sz w:val="17"/>
              </w:rPr>
              <w:t>Extrusivas andesitas</w:t>
            </w:r>
          </w:p>
        </w:tc>
        <w:tc>
          <w:tcPr>
            <w:tcW w:w="1147" w:type="dxa"/>
          </w:tcPr>
          <w:p>
            <w:pPr>
              <w:pStyle w:val="TableParagraph"/>
              <w:spacing w:before="55"/>
              <w:ind w:left="257" w:right="269"/>
              <w:jc w:val="center"/>
              <w:rPr>
                <w:sz w:val="17"/>
              </w:rPr>
            </w:pPr>
            <w:r>
              <w:rPr>
                <w:sz w:val="17"/>
              </w:rPr>
              <w:t>Gris</w:t>
            </w:r>
          </w:p>
        </w:tc>
        <w:tc>
          <w:tcPr>
            <w:tcW w:w="2021" w:type="dxa"/>
          </w:tcPr>
          <w:p>
            <w:pPr>
              <w:pStyle w:val="TableParagraph"/>
              <w:spacing w:before="55"/>
              <w:ind w:left="111" w:right="115"/>
              <w:jc w:val="center"/>
              <w:rPr>
                <w:sz w:val="17"/>
              </w:rPr>
            </w:pPr>
            <w:r>
              <w:rPr>
                <w:sz w:val="17"/>
              </w:rPr>
              <w:t>Gris oscuro</w:t>
            </w:r>
          </w:p>
        </w:tc>
      </w:tr>
      <w:tr>
        <w:trPr>
          <w:trHeight w:val="287" w:hRule="exact"/>
        </w:trPr>
        <w:tc>
          <w:tcPr>
            <w:tcW w:w="1132" w:type="dxa"/>
          </w:tcPr>
          <w:p>
            <w:pPr>
              <w:pStyle w:val="TableParagraph"/>
              <w:spacing w:before="41"/>
              <w:ind w:left="111" w:right="114"/>
              <w:jc w:val="center"/>
              <w:rPr>
                <w:b/>
                <w:sz w:val="17"/>
              </w:rPr>
            </w:pPr>
            <w:r>
              <w:rPr>
                <w:b/>
                <w:sz w:val="17"/>
              </w:rPr>
              <w:t>Textura</w:t>
            </w:r>
          </w:p>
        </w:tc>
        <w:tc>
          <w:tcPr>
            <w:tcW w:w="2838" w:type="dxa"/>
            <w:gridSpan w:val="3"/>
          </w:tcPr>
          <w:p>
            <w:pPr>
              <w:pStyle w:val="TableParagraph"/>
              <w:spacing w:before="27"/>
              <w:ind w:left="487"/>
              <w:rPr>
                <w:b/>
                <w:sz w:val="17"/>
              </w:rPr>
            </w:pPr>
            <w:r>
              <w:rPr>
                <w:b/>
                <w:sz w:val="17"/>
              </w:rPr>
              <w:t>Minerales observables</w:t>
            </w:r>
          </w:p>
        </w:tc>
        <w:tc>
          <w:tcPr>
            <w:tcW w:w="2680" w:type="dxa"/>
            <w:gridSpan w:val="2"/>
          </w:tcPr>
          <w:p>
            <w:pPr>
              <w:pStyle w:val="TableParagraph"/>
              <w:spacing w:before="27"/>
              <w:ind w:left="601"/>
              <w:rPr>
                <w:b/>
                <w:sz w:val="17"/>
              </w:rPr>
            </w:pPr>
            <w:r>
              <w:rPr>
                <w:b/>
                <w:sz w:val="17"/>
              </w:rPr>
              <w:t>Vegetación nativa</w:t>
            </w:r>
          </w:p>
        </w:tc>
        <w:tc>
          <w:tcPr>
            <w:tcW w:w="2021" w:type="dxa"/>
          </w:tcPr>
          <w:p>
            <w:pPr>
              <w:pStyle w:val="TableParagraph"/>
              <w:spacing w:before="41"/>
              <w:ind w:left="111" w:right="116"/>
              <w:jc w:val="center"/>
              <w:rPr>
                <w:b/>
                <w:sz w:val="17"/>
              </w:rPr>
            </w:pPr>
            <w:r>
              <w:rPr>
                <w:b/>
                <w:sz w:val="17"/>
              </w:rPr>
              <w:t>Especies dominantes</w:t>
            </w:r>
          </w:p>
        </w:tc>
      </w:tr>
      <w:tr>
        <w:trPr>
          <w:trHeight w:val="559" w:hRule="exact"/>
        </w:trPr>
        <w:tc>
          <w:tcPr>
            <w:tcW w:w="1132" w:type="dxa"/>
          </w:tcPr>
          <w:p>
            <w:pPr>
              <w:pStyle w:val="TableParagraph"/>
              <w:spacing w:before="9"/>
              <w:rPr>
                <w:sz w:val="14"/>
              </w:rPr>
            </w:pPr>
          </w:p>
          <w:p>
            <w:pPr>
              <w:pStyle w:val="TableParagraph"/>
              <w:spacing w:before="0"/>
              <w:ind w:left="111" w:right="114"/>
              <w:jc w:val="center"/>
              <w:rPr>
                <w:sz w:val="17"/>
              </w:rPr>
            </w:pPr>
            <w:r>
              <w:rPr>
                <w:sz w:val="17"/>
              </w:rPr>
              <w:t>Afanítica</w:t>
            </w:r>
          </w:p>
        </w:tc>
        <w:tc>
          <w:tcPr>
            <w:tcW w:w="2838" w:type="dxa"/>
            <w:gridSpan w:val="3"/>
          </w:tcPr>
          <w:p>
            <w:pPr>
              <w:pStyle w:val="TableParagraph"/>
              <w:spacing w:before="9"/>
              <w:rPr>
                <w:sz w:val="14"/>
              </w:rPr>
            </w:pPr>
          </w:p>
          <w:p>
            <w:pPr>
              <w:pStyle w:val="TableParagraph"/>
              <w:spacing w:before="0"/>
              <w:ind w:left="831"/>
              <w:rPr>
                <w:sz w:val="17"/>
              </w:rPr>
            </w:pPr>
            <w:r>
              <w:rPr>
                <w:sz w:val="17"/>
              </w:rPr>
              <w:t>No se observa</w:t>
            </w:r>
          </w:p>
        </w:tc>
        <w:tc>
          <w:tcPr>
            <w:tcW w:w="2680" w:type="dxa"/>
            <w:gridSpan w:val="2"/>
          </w:tcPr>
          <w:p>
            <w:pPr>
              <w:pStyle w:val="TableParagraph"/>
              <w:spacing w:before="9"/>
              <w:rPr>
                <w:sz w:val="14"/>
              </w:rPr>
            </w:pPr>
          </w:p>
          <w:p>
            <w:pPr>
              <w:pStyle w:val="TableParagraph"/>
              <w:spacing w:before="0"/>
              <w:ind w:left="1086" w:right="1113"/>
              <w:jc w:val="center"/>
              <w:rPr>
                <w:sz w:val="17"/>
              </w:rPr>
            </w:pPr>
            <w:r>
              <w:rPr>
                <w:sz w:val="17"/>
              </w:rPr>
              <w:t>Abies</w:t>
            </w:r>
          </w:p>
        </w:tc>
        <w:tc>
          <w:tcPr>
            <w:tcW w:w="2021" w:type="dxa"/>
          </w:tcPr>
          <w:p>
            <w:pPr>
              <w:pStyle w:val="TableParagraph"/>
              <w:spacing w:line="280" w:lineRule="auto" w:before="55"/>
              <w:ind w:left="630" w:hanging="402"/>
              <w:rPr>
                <w:sz w:val="17"/>
              </w:rPr>
            </w:pPr>
            <w:r>
              <w:rPr>
                <w:sz w:val="17"/>
              </w:rPr>
              <w:t>Arborea, arbustiva y herbacea</w:t>
            </w:r>
          </w:p>
        </w:tc>
      </w:tr>
      <w:tr>
        <w:trPr>
          <w:trHeight w:val="286" w:hRule="exact"/>
        </w:trPr>
        <w:tc>
          <w:tcPr>
            <w:tcW w:w="2809" w:type="dxa"/>
            <w:gridSpan w:val="3"/>
          </w:tcPr>
          <w:p>
            <w:pPr>
              <w:pStyle w:val="TableParagraph"/>
              <w:spacing w:before="27"/>
              <w:ind w:left="1043" w:right="1051"/>
              <w:jc w:val="center"/>
              <w:rPr>
                <w:b/>
                <w:sz w:val="17"/>
              </w:rPr>
            </w:pPr>
            <w:r>
              <w:rPr>
                <w:b/>
                <w:sz w:val="17"/>
              </w:rPr>
              <w:t>Función</w:t>
            </w:r>
          </w:p>
        </w:tc>
        <w:tc>
          <w:tcPr>
            <w:tcW w:w="5862" w:type="dxa"/>
            <w:gridSpan w:val="4"/>
          </w:tcPr>
          <w:p>
            <w:pPr>
              <w:pStyle w:val="TableParagraph"/>
              <w:spacing w:before="27"/>
              <w:ind w:left="2055" w:right="2061"/>
              <w:jc w:val="center"/>
              <w:rPr>
                <w:b/>
                <w:sz w:val="17"/>
              </w:rPr>
            </w:pPr>
            <w:r>
              <w:rPr>
                <w:b/>
                <w:sz w:val="17"/>
              </w:rPr>
              <w:t>Vegetación cultivada</w:t>
            </w:r>
          </w:p>
        </w:tc>
      </w:tr>
      <w:tr>
        <w:trPr>
          <w:trHeight w:val="287" w:hRule="exact"/>
        </w:trPr>
        <w:tc>
          <w:tcPr>
            <w:tcW w:w="2809" w:type="dxa"/>
            <w:gridSpan w:val="3"/>
          </w:tcPr>
          <w:p>
            <w:pPr>
              <w:pStyle w:val="TableParagraph"/>
              <w:spacing w:before="27"/>
              <w:ind w:left="817"/>
              <w:rPr>
                <w:sz w:val="17"/>
              </w:rPr>
            </w:pPr>
            <w:r>
              <w:rPr>
                <w:sz w:val="17"/>
              </w:rPr>
              <w:t>Siempre verde</w:t>
            </w:r>
          </w:p>
        </w:tc>
        <w:tc>
          <w:tcPr>
            <w:tcW w:w="5862" w:type="dxa"/>
            <w:gridSpan w:val="4"/>
          </w:tcPr>
          <w:p>
            <w:pPr>
              <w:pStyle w:val="TableParagraph"/>
              <w:spacing w:before="27"/>
              <w:ind w:left="2055" w:right="2055"/>
              <w:jc w:val="center"/>
              <w:rPr>
                <w:sz w:val="17"/>
              </w:rPr>
            </w:pPr>
            <w:r>
              <w:rPr>
                <w:sz w:val="17"/>
              </w:rPr>
              <w:t>No</w:t>
            </w:r>
          </w:p>
        </w:tc>
      </w:tr>
      <w:tr>
        <w:trPr>
          <w:trHeight w:val="286" w:hRule="exact"/>
        </w:trPr>
        <w:tc>
          <w:tcPr>
            <w:tcW w:w="3970" w:type="dxa"/>
            <w:gridSpan w:val="4"/>
          </w:tcPr>
          <w:p>
            <w:pPr>
              <w:pStyle w:val="TableParagraph"/>
              <w:spacing w:before="55"/>
              <w:ind w:left="831"/>
              <w:rPr>
                <w:b/>
                <w:sz w:val="17"/>
              </w:rPr>
            </w:pPr>
            <w:r>
              <w:rPr>
                <w:b/>
                <w:sz w:val="17"/>
              </w:rPr>
              <w:t>Prácticas agrícolas visibles:</w:t>
            </w:r>
          </w:p>
        </w:tc>
        <w:tc>
          <w:tcPr>
            <w:tcW w:w="4701" w:type="dxa"/>
            <w:gridSpan w:val="3"/>
          </w:tcPr>
          <w:p>
            <w:pPr>
              <w:pStyle w:val="TableParagraph"/>
              <w:spacing w:before="55"/>
              <w:ind w:left="1519"/>
              <w:rPr>
                <w:b/>
                <w:sz w:val="17"/>
              </w:rPr>
            </w:pPr>
            <w:r>
              <w:rPr>
                <w:b/>
                <w:sz w:val="17"/>
              </w:rPr>
              <w:t>Superficie del suelo:</w:t>
            </w:r>
          </w:p>
        </w:tc>
      </w:tr>
      <w:tr>
        <w:trPr>
          <w:trHeight w:val="330" w:hRule="exact"/>
        </w:trPr>
        <w:tc>
          <w:tcPr>
            <w:tcW w:w="3970" w:type="dxa"/>
            <w:gridSpan w:val="4"/>
          </w:tcPr>
          <w:p>
            <w:pPr>
              <w:pStyle w:val="TableParagraph"/>
              <w:spacing w:before="98"/>
              <w:ind w:left="1849" w:right="1849"/>
              <w:jc w:val="center"/>
              <w:rPr>
                <w:sz w:val="17"/>
              </w:rPr>
            </w:pPr>
            <w:r>
              <w:rPr>
                <w:sz w:val="17"/>
              </w:rPr>
              <w:t>No</w:t>
            </w:r>
          </w:p>
        </w:tc>
        <w:tc>
          <w:tcPr>
            <w:tcW w:w="4701" w:type="dxa"/>
            <w:gridSpan w:val="3"/>
          </w:tcPr>
          <w:p>
            <w:pPr>
              <w:pStyle w:val="TableParagraph"/>
              <w:spacing w:before="98"/>
              <w:ind w:left="1577" w:right="1590"/>
              <w:jc w:val="center"/>
              <w:rPr>
                <w:sz w:val="17"/>
              </w:rPr>
            </w:pPr>
            <w:r>
              <w:rPr>
                <w:sz w:val="17"/>
              </w:rPr>
              <w:t>Piedras</w:t>
            </w:r>
          </w:p>
        </w:tc>
      </w:tr>
      <w:tr>
        <w:trPr>
          <w:trHeight w:val="401" w:hRule="exact"/>
        </w:trPr>
        <w:tc>
          <w:tcPr>
            <w:tcW w:w="2809" w:type="dxa"/>
            <w:gridSpan w:val="3"/>
          </w:tcPr>
          <w:p>
            <w:pPr>
              <w:pStyle w:val="TableParagraph"/>
              <w:spacing w:before="84"/>
              <w:ind w:left="129"/>
              <w:rPr>
                <w:b/>
                <w:sz w:val="17"/>
              </w:rPr>
            </w:pPr>
            <w:r>
              <w:rPr>
                <w:b/>
                <w:sz w:val="17"/>
              </w:rPr>
              <w:t>Material combustible presente:</w:t>
            </w:r>
          </w:p>
        </w:tc>
        <w:tc>
          <w:tcPr>
            <w:tcW w:w="5862" w:type="dxa"/>
            <w:gridSpan w:val="4"/>
          </w:tcPr>
          <w:p>
            <w:pPr>
              <w:pStyle w:val="TableParagraph"/>
              <w:spacing w:before="84"/>
              <w:ind w:left="1906"/>
              <w:rPr>
                <w:sz w:val="17"/>
              </w:rPr>
            </w:pPr>
            <w:r>
              <w:rPr>
                <w:sz w:val="17"/>
              </w:rPr>
              <w:t>Ramas y arbustos secos.</w:t>
            </w:r>
          </w:p>
        </w:tc>
      </w:tr>
      <w:tr>
        <w:trPr>
          <w:trHeight w:val="286" w:hRule="exact"/>
        </w:trPr>
        <w:tc>
          <w:tcPr>
            <w:tcW w:w="3970" w:type="dxa"/>
            <w:gridSpan w:val="4"/>
          </w:tcPr>
          <w:p>
            <w:pPr>
              <w:pStyle w:val="TableParagraph"/>
              <w:spacing w:before="27"/>
              <w:ind w:left="1046"/>
              <w:rPr>
                <w:b/>
                <w:sz w:val="17"/>
              </w:rPr>
            </w:pPr>
            <w:r>
              <w:rPr>
                <w:b/>
                <w:sz w:val="17"/>
              </w:rPr>
              <w:t>Evidencia  de incendios</w:t>
            </w:r>
          </w:p>
        </w:tc>
        <w:tc>
          <w:tcPr>
            <w:tcW w:w="4701" w:type="dxa"/>
            <w:gridSpan w:val="3"/>
          </w:tcPr>
          <w:p>
            <w:pPr>
              <w:pStyle w:val="TableParagraph"/>
              <w:spacing w:before="27"/>
              <w:ind w:left="1601" w:right="1590"/>
              <w:jc w:val="center"/>
              <w:rPr>
                <w:b/>
                <w:sz w:val="17"/>
              </w:rPr>
            </w:pPr>
            <w:r>
              <w:rPr>
                <w:b/>
                <w:sz w:val="17"/>
              </w:rPr>
              <w:t>Plagas forestales:</w:t>
            </w:r>
          </w:p>
        </w:tc>
      </w:tr>
      <w:tr>
        <w:trPr>
          <w:trHeight w:val="287" w:hRule="exact"/>
        </w:trPr>
        <w:tc>
          <w:tcPr>
            <w:tcW w:w="3970" w:type="dxa"/>
            <w:gridSpan w:val="4"/>
          </w:tcPr>
          <w:p>
            <w:pPr>
              <w:pStyle w:val="TableParagraph"/>
              <w:spacing w:before="27"/>
              <w:ind w:left="1849" w:right="1849"/>
              <w:jc w:val="center"/>
              <w:rPr>
                <w:sz w:val="17"/>
              </w:rPr>
            </w:pPr>
            <w:r>
              <w:rPr>
                <w:sz w:val="17"/>
              </w:rPr>
              <w:t>No</w:t>
            </w:r>
          </w:p>
        </w:tc>
        <w:tc>
          <w:tcPr>
            <w:tcW w:w="4701" w:type="dxa"/>
            <w:gridSpan w:val="3"/>
          </w:tcPr>
          <w:p>
            <w:pPr>
              <w:pStyle w:val="TableParagraph"/>
              <w:spacing w:before="27"/>
              <w:ind w:left="1578" w:right="1590"/>
              <w:jc w:val="center"/>
              <w:rPr>
                <w:sz w:val="17"/>
              </w:rPr>
            </w:pPr>
            <w:r>
              <w:rPr>
                <w:sz w:val="17"/>
              </w:rPr>
              <w:t>No</w:t>
            </w:r>
          </w:p>
        </w:tc>
      </w:tr>
      <w:tr>
        <w:trPr>
          <w:trHeight w:val="731" w:hRule="exact"/>
        </w:trPr>
        <w:tc>
          <w:tcPr>
            <w:tcW w:w="1648" w:type="dxa"/>
            <w:gridSpan w:val="2"/>
          </w:tcPr>
          <w:p>
            <w:pPr>
              <w:pStyle w:val="TableParagraph"/>
              <w:spacing w:before="3"/>
              <w:rPr>
                <w:sz w:val="22"/>
              </w:rPr>
            </w:pPr>
          </w:p>
          <w:p>
            <w:pPr>
              <w:pStyle w:val="TableParagraph"/>
              <w:spacing w:before="0"/>
              <w:ind w:left="172"/>
              <w:rPr>
                <w:b/>
                <w:sz w:val="17"/>
              </w:rPr>
            </w:pPr>
            <w:r>
              <w:rPr>
                <w:b/>
                <w:sz w:val="17"/>
              </w:rPr>
              <w:t>Observaciones:</w:t>
            </w:r>
          </w:p>
        </w:tc>
        <w:tc>
          <w:tcPr>
            <w:tcW w:w="7023" w:type="dxa"/>
            <w:gridSpan w:val="5"/>
          </w:tcPr>
          <w:p>
            <w:pPr>
              <w:pStyle w:val="TableParagraph"/>
              <w:spacing w:line="280" w:lineRule="auto" w:before="27"/>
              <w:ind w:left="28"/>
              <w:rPr>
                <w:sz w:val="17"/>
              </w:rPr>
            </w:pPr>
            <w:r>
              <w:rPr>
                <w:sz w:val="17"/>
              </w:rPr>
              <w:t>Presencia de basura. Se observan senderos. Abundante musgo en el suelo, vegetación madura y sana. Arbustos de más de 2 metros. Es un sitio húmedo. Hay una presa de</w:t>
            </w:r>
          </w:p>
          <w:p>
            <w:pPr>
              <w:pStyle w:val="TableParagraph"/>
              <w:spacing w:before="1"/>
              <w:ind w:left="28"/>
              <w:rPr>
                <w:sz w:val="17"/>
              </w:rPr>
            </w:pPr>
            <w:r>
              <w:rPr>
                <w:sz w:val="17"/>
              </w:rPr>
              <w:t>mampostería</w:t>
            </w:r>
          </w:p>
        </w:tc>
      </w:tr>
    </w:tbl>
    <w:p>
      <w:pPr>
        <w:pStyle w:val="BodyText"/>
      </w:pPr>
    </w:p>
    <w:p>
      <w:pPr>
        <w:pStyle w:val="BodyText"/>
        <w:spacing w:before="7"/>
        <w:rPr>
          <w:sz w:val="20"/>
        </w:rPr>
      </w:pPr>
    </w:p>
    <w:p>
      <w:pPr>
        <w:pStyle w:val="BodyText"/>
        <w:ind w:left="102"/>
      </w:pPr>
      <w:r>
        <w:rPr/>
        <w:drawing>
          <wp:anchor distT="0" distB="0" distL="0" distR="0" allowOverlap="1" layoutInCell="1" locked="0" behindDoc="0" simplePos="0" relativeHeight="4288">
            <wp:simplePos x="0" y="0"/>
            <wp:positionH relativeFrom="page">
              <wp:posOffset>1260475</wp:posOffset>
            </wp:positionH>
            <wp:positionV relativeFrom="paragraph">
              <wp:posOffset>253820</wp:posOffset>
            </wp:positionV>
            <wp:extent cx="1609599" cy="1207008"/>
            <wp:effectExtent l="0" t="0" r="0" b="0"/>
            <wp:wrapTopAndBottom/>
            <wp:docPr id="165" name="image103.jpeg" descr=""/>
            <wp:cNvGraphicFramePr>
              <a:graphicFrameLocks noChangeAspect="1"/>
            </wp:cNvGraphicFramePr>
            <a:graphic>
              <a:graphicData uri="http://schemas.openxmlformats.org/drawingml/2006/picture">
                <pic:pic>
                  <pic:nvPicPr>
                    <pic:cNvPr id="166" name="image103.jpeg"/>
                    <pic:cNvPicPr/>
                  </pic:nvPicPr>
                  <pic:blipFill>
                    <a:blip r:embed="rId150" cstate="print"/>
                    <a:stretch>
                      <a:fillRect/>
                    </a:stretch>
                  </pic:blipFill>
                  <pic:spPr>
                    <a:xfrm>
                      <a:off x="0" y="0"/>
                      <a:ext cx="1609599" cy="1207008"/>
                    </a:xfrm>
                    <a:prstGeom prst="rect">
                      <a:avLst/>
                    </a:prstGeom>
                  </pic:spPr>
                </pic:pic>
              </a:graphicData>
            </a:graphic>
          </wp:anchor>
        </w:drawing>
      </w:r>
      <w:r>
        <w:rPr/>
        <w:drawing>
          <wp:anchor distT="0" distB="0" distL="0" distR="0" allowOverlap="1" layoutInCell="1" locked="0" behindDoc="0" simplePos="0" relativeHeight="4312">
            <wp:simplePos x="0" y="0"/>
            <wp:positionH relativeFrom="page">
              <wp:posOffset>3084195</wp:posOffset>
            </wp:positionH>
            <wp:positionV relativeFrom="paragraph">
              <wp:posOffset>253820</wp:posOffset>
            </wp:positionV>
            <wp:extent cx="1609599" cy="1207008"/>
            <wp:effectExtent l="0" t="0" r="0" b="0"/>
            <wp:wrapTopAndBottom/>
            <wp:docPr id="167" name="image104.jpeg" descr=""/>
            <wp:cNvGraphicFramePr>
              <a:graphicFrameLocks noChangeAspect="1"/>
            </wp:cNvGraphicFramePr>
            <a:graphic>
              <a:graphicData uri="http://schemas.openxmlformats.org/drawingml/2006/picture">
                <pic:pic>
                  <pic:nvPicPr>
                    <pic:cNvPr id="168" name="image104.jpeg"/>
                    <pic:cNvPicPr/>
                  </pic:nvPicPr>
                  <pic:blipFill>
                    <a:blip r:embed="rId151" cstate="print"/>
                    <a:stretch>
                      <a:fillRect/>
                    </a:stretch>
                  </pic:blipFill>
                  <pic:spPr>
                    <a:xfrm>
                      <a:off x="0" y="0"/>
                      <a:ext cx="1609599" cy="1207008"/>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4909820</wp:posOffset>
            </wp:positionH>
            <wp:positionV relativeFrom="paragraph">
              <wp:posOffset>253820</wp:posOffset>
            </wp:positionV>
            <wp:extent cx="1609599" cy="1207008"/>
            <wp:effectExtent l="0" t="0" r="0" b="0"/>
            <wp:wrapTopAndBottom/>
            <wp:docPr id="169" name="image105.jpeg" descr=""/>
            <wp:cNvGraphicFramePr>
              <a:graphicFrameLocks noChangeAspect="1"/>
            </wp:cNvGraphicFramePr>
            <a:graphic>
              <a:graphicData uri="http://schemas.openxmlformats.org/drawingml/2006/picture">
                <pic:pic>
                  <pic:nvPicPr>
                    <pic:cNvPr id="170" name="image105.jpeg"/>
                    <pic:cNvPicPr/>
                  </pic:nvPicPr>
                  <pic:blipFill>
                    <a:blip r:embed="rId152" cstate="print"/>
                    <a:stretch>
                      <a:fillRect/>
                    </a:stretch>
                  </pic:blipFill>
                  <pic:spPr>
                    <a:xfrm>
                      <a:off x="0" y="0"/>
                      <a:ext cx="1609599" cy="1207008"/>
                    </a:xfrm>
                    <a:prstGeom prst="rect">
                      <a:avLst/>
                    </a:prstGeom>
                  </pic:spPr>
                </pic:pic>
              </a:graphicData>
            </a:graphic>
          </wp:anchor>
        </w:drawing>
      </w:r>
      <w:r>
        <w:rPr/>
        <w:t>Imágenes del sitio 10.</w:t>
      </w:r>
    </w:p>
    <w:p>
      <w:pPr>
        <w:pStyle w:val="BodyText"/>
        <w:rPr>
          <w:sz w:val="7"/>
        </w:rPr>
      </w:pPr>
    </w:p>
    <w:p>
      <w:pPr>
        <w:tabs>
          <w:tab w:pos="3257" w:val="left" w:leader="none"/>
          <w:tab w:pos="6124" w:val="left" w:leader="none"/>
        </w:tabs>
        <w:spacing w:line="240" w:lineRule="auto"/>
        <w:ind w:left="385" w:right="0" w:firstLine="0"/>
        <w:rPr>
          <w:sz w:val="20"/>
        </w:rPr>
      </w:pPr>
      <w:r>
        <w:rPr>
          <w:position w:val="29"/>
          <w:sz w:val="20"/>
        </w:rPr>
        <w:drawing>
          <wp:inline distT="0" distB="0" distL="0" distR="0">
            <wp:extent cx="1609941" cy="1207008"/>
            <wp:effectExtent l="0" t="0" r="0" b="0"/>
            <wp:docPr id="171" name="image106.jpeg" descr=""/>
            <wp:cNvGraphicFramePr>
              <a:graphicFrameLocks noChangeAspect="1"/>
            </wp:cNvGraphicFramePr>
            <a:graphic>
              <a:graphicData uri="http://schemas.openxmlformats.org/drawingml/2006/picture">
                <pic:pic>
                  <pic:nvPicPr>
                    <pic:cNvPr id="172" name="image106.jpeg"/>
                    <pic:cNvPicPr/>
                  </pic:nvPicPr>
                  <pic:blipFill>
                    <a:blip r:embed="rId153" cstate="print"/>
                    <a:stretch>
                      <a:fillRect/>
                    </a:stretch>
                  </pic:blipFill>
                  <pic:spPr>
                    <a:xfrm>
                      <a:off x="0" y="0"/>
                      <a:ext cx="1609941" cy="1207008"/>
                    </a:xfrm>
                    <a:prstGeom prst="rect">
                      <a:avLst/>
                    </a:prstGeom>
                  </pic:spPr>
                </pic:pic>
              </a:graphicData>
            </a:graphic>
          </wp:inline>
        </w:drawing>
      </w:r>
      <w:r>
        <w:rPr>
          <w:position w:val="29"/>
          <w:sz w:val="20"/>
        </w:rPr>
      </w:r>
      <w:r>
        <w:rPr>
          <w:position w:val="29"/>
          <w:sz w:val="20"/>
        </w:rPr>
        <w:tab/>
      </w:r>
      <w:r>
        <w:rPr>
          <w:position w:val="29"/>
          <w:sz w:val="20"/>
        </w:rPr>
        <w:drawing>
          <wp:inline distT="0" distB="0" distL="0" distR="0">
            <wp:extent cx="1609941" cy="1207008"/>
            <wp:effectExtent l="0" t="0" r="0" b="0"/>
            <wp:docPr id="173" name="image107.jpeg" descr=""/>
            <wp:cNvGraphicFramePr>
              <a:graphicFrameLocks noChangeAspect="1"/>
            </wp:cNvGraphicFramePr>
            <a:graphic>
              <a:graphicData uri="http://schemas.openxmlformats.org/drawingml/2006/picture">
                <pic:pic>
                  <pic:nvPicPr>
                    <pic:cNvPr id="174" name="image107.jpeg"/>
                    <pic:cNvPicPr/>
                  </pic:nvPicPr>
                  <pic:blipFill>
                    <a:blip r:embed="rId154" cstate="print"/>
                    <a:stretch>
                      <a:fillRect/>
                    </a:stretch>
                  </pic:blipFill>
                  <pic:spPr>
                    <a:xfrm>
                      <a:off x="0" y="0"/>
                      <a:ext cx="1609941" cy="1207008"/>
                    </a:xfrm>
                    <a:prstGeom prst="rect">
                      <a:avLst/>
                    </a:prstGeom>
                  </pic:spPr>
                </pic:pic>
              </a:graphicData>
            </a:graphic>
          </wp:inline>
        </w:drawing>
      </w:r>
      <w:r>
        <w:rPr>
          <w:position w:val="29"/>
          <w:sz w:val="20"/>
        </w:rPr>
      </w:r>
      <w:r>
        <w:rPr>
          <w:position w:val="29"/>
          <w:sz w:val="20"/>
        </w:rPr>
        <w:tab/>
      </w:r>
      <w:r>
        <w:rPr>
          <w:sz w:val="20"/>
        </w:rPr>
        <w:drawing>
          <wp:inline distT="0" distB="0" distL="0" distR="0">
            <wp:extent cx="1588728" cy="1183671"/>
            <wp:effectExtent l="0" t="0" r="0" b="0"/>
            <wp:docPr id="175" name="image108.jpeg" descr=""/>
            <wp:cNvGraphicFramePr>
              <a:graphicFrameLocks noChangeAspect="1"/>
            </wp:cNvGraphicFramePr>
            <a:graphic>
              <a:graphicData uri="http://schemas.openxmlformats.org/drawingml/2006/picture">
                <pic:pic>
                  <pic:nvPicPr>
                    <pic:cNvPr id="176" name="image108.jpeg"/>
                    <pic:cNvPicPr/>
                  </pic:nvPicPr>
                  <pic:blipFill>
                    <a:blip r:embed="rId155" cstate="print"/>
                    <a:stretch>
                      <a:fillRect/>
                    </a:stretch>
                  </pic:blipFill>
                  <pic:spPr>
                    <a:xfrm>
                      <a:off x="0" y="0"/>
                      <a:ext cx="1588728" cy="1183671"/>
                    </a:xfrm>
                    <a:prstGeom prst="rect">
                      <a:avLst/>
                    </a:prstGeom>
                  </pic:spPr>
                </pic:pic>
              </a:graphicData>
            </a:graphic>
          </wp:inline>
        </w:drawing>
      </w:r>
      <w:r>
        <w:rPr>
          <w:sz w:val="20"/>
        </w:rPr>
      </w:r>
    </w:p>
    <w:p>
      <w:pPr>
        <w:spacing w:after="0" w:line="240" w:lineRule="auto"/>
        <w:rPr>
          <w:sz w:val="20"/>
        </w:rPr>
        <w:sectPr>
          <w:pgSz w:w="12240" w:h="15840"/>
          <w:pgMar w:header="0" w:footer="1003" w:top="1360" w:bottom="1200" w:left="1600" w:right="1580"/>
        </w:sectPr>
      </w:pPr>
    </w:p>
    <w:p>
      <w:pPr>
        <w:pStyle w:val="BodyText"/>
        <w:spacing w:before="52"/>
        <w:ind w:left="102"/>
      </w:pPr>
      <w:r>
        <w:rPr/>
        <w:t>Cuadro del sitio 11.</w:t>
      </w:r>
    </w:p>
    <w:p>
      <w:pPr>
        <w:pStyle w:val="BodyText"/>
        <w:spacing w:before="9" w:after="1"/>
        <w:rPr>
          <w:sz w:val="10"/>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3"/>
        <w:gridCol w:w="521"/>
        <w:gridCol w:w="1172"/>
        <w:gridCol w:w="1172"/>
        <w:gridCol w:w="1548"/>
        <w:gridCol w:w="1157"/>
        <w:gridCol w:w="2040"/>
      </w:tblGrid>
      <w:tr>
        <w:trPr>
          <w:trHeight w:val="290" w:hRule="exact"/>
        </w:trPr>
        <w:tc>
          <w:tcPr>
            <w:tcW w:w="1143" w:type="dxa"/>
            <w:vMerge w:val="restart"/>
          </w:tcPr>
          <w:p>
            <w:pPr>
              <w:pStyle w:val="TableParagraph"/>
              <w:spacing w:before="0"/>
              <w:rPr>
                <w:sz w:val="15"/>
              </w:rPr>
            </w:pPr>
          </w:p>
          <w:p>
            <w:pPr>
              <w:pStyle w:val="TableParagraph"/>
              <w:spacing w:before="1"/>
              <w:ind w:left="318"/>
              <w:rPr>
                <w:b/>
                <w:sz w:val="17"/>
              </w:rPr>
            </w:pPr>
            <w:r>
              <w:rPr>
                <w:b/>
                <w:sz w:val="17"/>
              </w:rPr>
              <w:t>Fecha</w:t>
            </w:r>
          </w:p>
        </w:tc>
        <w:tc>
          <w:tcPr>
            <w:tcW w:w="521" w:type="dxa"/>
            <w:vMerge w:val="restart"/>
          </w:tcPr>
          <w:p>
            <w:pPr>
              <w:pStyle w:val="TableParagraph"/>
              <w:spacing w:before="0"/>
              <w:rPr>
                <w:sz w:val="15"/>
              </w:rPr>
            </w:pPr>
          </w:p>
          <w:p>
            <w:pPr>
              <w:pStyle w:val="TableParagraph"/>
              <w:spacing w:before="1"/>
              <w:ind w:left="72"/>
              <w:rPr>
                <w:b/>
                <w:sz w:val="17"/>
              </w:rPr>
            </w:pPr>
            <w:r>
              <w:rPr>
                <w:b/>
                <w:sz w:val="17"/>
              </w:rPr>
              <w:t>Sitio</w:t>
            </w:r>
          </w:p>
        </w:tc>
        <w:tc>
          <w:tcPr>
            <w:tcW w:w="2343" w:type="dxa"/>
            <w:gridSpan w:val="2"/>
          </w:tcPr>
          <w:p>
            <w:pPr>
              <w:pStyle w:val="TableParagraph"/>
              <w:spacing w:before="57"/>
              <w:ind w:left="404"/>
              <w:rPr>
                <w:b/>
                <w:sz w:val="17"/>
              </w:rPr>
            </w:pPr>
            <w:r>
              <w:rPr>
                <w:b/>
                <w:sz w:val="17"/>
              </w:rPr>
              <w:t>Coordenadas UTM</w:t>
            </w:r>
          </w:p>
        </w:tc>
        <w:tc>
          <w:tcPr>
            <w:tcW w:w="1548" w:type="dxa"/>
            <w:vMerge w:val="restart"/>
          </w:tcPr>
          <w:p>
            <w:pPr>
              <w:pStyle w:val="TableParagraph"/>
              <w:spacing w:before="0"/>
              <w:rPr>
                <w:sz w:val="15"/>
              </w:rPr>
            </w:pPr>
          </w:p>
          <w:p>
            <w:pPr>
              <w:pStyle w:val="TableParagraph"/>
              <w:spacing w:before="1"/>
              <w:ind w:left="361"/>
              <w:rPr>
                <w:b/>
                <w:sz w:val="17"/>
              </w:rPr>
            </w:pPr>
            <w:r>
              <w:rPr>
                <w:b/>
                <w:sz w:val="17"/>
              </w:rPr>
              <w:t>Localidad</w:t>
            </w:r>
          </w:p>
        </w:tc>
        <w:tc>
          <w:tcPr>
            <w:tcW w:w="1157" w:type="dxa"/>
            <w:vMerge w:val="restart"/>
          </w:tcPr>
          <w:p>
            <w:pPr>
              <w:pStyle w:val="TableParagraph"/>
              <w:spacing w:before="0"/>
              <w:rPr>
                <w:sz w:val="15"/>
              </w:rPr>
            </w:pPr>
          </w:p>
          <w:p>
            <w:pPr>
              <w:pStyle w:val="TableParagraph"/>
              <w:spacing w:before="1"/>
              <w:ind w:left="115"/>
              <w:rPr>
                <w:b/>
                <w:sz w:val="17"/>
              </w:rPr>
            </w:pPr>
            <w:r>
              <w:rPr>
                <w:b/>
                <w:sz w:val="17"/>
              </w:rPr>
              <w:t>Delegación</w:t>
            </w:r>
          </w:p>
        </w:tc>
        <w:tc>
          <w:tcPr>
            <w:tcW w:w="2040" w:type="dxa"/>
            <w:vMerge w:val="restart"/>
          </w:tcPr>
          <w:p>
            <w:pPr>
              <w:pStyle w:val="TableParagraph"/>
              <w:spacing w:before="0"/>
              <w:rPr>
                <w:sz w:val="15"/>
              </w:rPr>
            </w:pPr>
          </w:p>
          <w:p>
            <w:pPr>
              <w:pStyle w:val="TableParagraph"/>
              <w:spacing w:before="1"/>
              <w:ind w:left="332"/>
              <w:rPr>
                <w:b/>
                <w:sz w:val="17"/>
              </w:rPr>
            </w:pPr>
            <w:r>
              <w:rPr>
                <w:b/>
                <w:sz w:val="17"/>
              </w:rPr>
              <w:t>Elevación msnm</w:t>
            </w:r>
          </w:p>
        </w:tc>
      </w:tr>
      <w:tr>
        <w:trPr>
          <w:trHeight w:val="289" w:hRule="exact"/>
        </w:trPr>
        <w:tc>
          <w:tcPr>
            <w:tcW w:w="1143" w:type="dxa"/>
            <w:vMerge/>
          </w:tcPr>
          <w:p>
            <w:pPr/>
          </w:p>
        </w:tc>
        <w:tc>
          <w:tcPr>
            <w:tcW w:w="521" w:type="dxa"/>
            <w:vMerge/>
          </w:tcPr>
          <w:p>
            <w:pPr/>
          </w:p>
        </w:tc>
        <w:tc>
          <w:tcPr>
            <w:tcW w:w="1172" w:type="dxa"/>
          </w:tcPr>
          <w:p>
            <w:pPr>
              <w:pStyle w:val="TableParagraph"/>
              <w:spacing w:before="43"/>
              <w:ind w:left="150" w:right="153"/>
              <w:jc w:val="center"/>
              <w:rPr>
                <w:b/>
                <w:sz w:val="17"/>
              </w:rPr>
            </w:pPr>
            <w:r>
              <w:rPr>
                <w:b/>
                <w:sz w:val="17"/>
              </w:rPr>
              <w:t>Oeste</w:t>
            </w:r>
          </w:p>
        </w:tc>
        <w:tc>
          <w:tcPr>
            <w:tcW w:w="1172" w:type="dxa"/>
          </w:tcPr>
          <w:p>
            <w:pPr>
              <w:pStyle w:val="TableParagraph"/>
              <w:spacing w:before="43"/>
              <w:ind w:left="109" w:right="101"/>
              <w:jc w:val="center"/>
              <w:rPr>
                <w:b/>
                <w:sz w:val="17"/>
              </w:rPr>
            </w:pPr>
            <w:r>
              <w:rPr>
                <w:b/>
                <w:sz w:val="17"/>
              </w:rPr>
              <w:t>Norte</w:t>
            </w:r>
          </w:p>
        </w:tc>
        <w:tc>
          <w:tcPr>
            <w:tcW w:w="1548" w:type="dxa"/>
            <w:vMerge/>
          </w:tcPr>
          <w:p>
            <w:pPr/>
          </w:p>
        </w:tc>
        <w:tc>
          <w:tcPr>
            <w:tcW w:w="1157" w:type="dxa"/>
            <w:vMerge/>
          </w:tcPr>
          <w:p>
            <w:pPr/>
          </w:p>
        </w:tc>
        <w:tc>
          <w:tcPr>
            <w:tcW w:w="2040" w:type="dxa"/>
            <w:vMerge/>
          </w:tcPr>
          <w:p>
            <w:pPr/>
          </w:p>
        </w:tc>
      </w:tr>
      <w:tr>
        <w:trPr>
          <w:trHeight w:val="290" w:hRule="exact"/>
        </w:trPr>
        <w:tc>
          <w:tcPr>
            <w:tcW w:w="1143" w:type="dxa"/>
          </w:tcPr>
          <w:p>
            <w:pPr>
              <w:pStyle w:val="TableParagraph"/>
              <w:spacing w:before="43"/>
              <w:ind w:left="116" w:right="121"/>
              <w:jc w:val="center"/>
              <w:rPr>
                <w:sz w:val="17"/>
              </w:rPr>
            </w:pPr>
            <w:r>
              <w:rPr>
                <w:sz w:val="17"/>
              </w:rPr>
              <w:t>15/01/2015</w:t>
            </w:r>
          </w:p>
        </w:tc>
        <w:tc>
          <w:tcPr>
            <w:tcW w:w="521" w:type="dxa"/>
          </w:tcPr>
          <w:p>
            <w:pPr>
              <w:pStyle w:val="TableParagraph"/>
              <w:spacing w:before="43"/>
              <w:ind w:left="159"/>
              <w:rPr>
                <w:sz w:val="17"/>
              </w:rPr>
            </w:pPr>
            <w:r>
              <w:rPr>
                <w:sz w:val="17"/>
              </w:rPr>
              <w:t>11</w:t>
            </w:r>
          </w:p>
        </w:tc>
        <w:tc>
          <w:tcPr>
            <w:tcW w:w="1172" w:type="dxa"/>
          </w:tcPr>
          <w:p>
            <w:pPr>
              <w:pStyle w:val="TableParagraph"/>
              <w:spacing w:before="43"/>
              <w:ind w:left="160" w:right="153"/>
              <w:jc w:val="center"/>
              <w:rPr>
                <w:sz w:val="17"/>
              </w:rPr>
            </w:pPr>
            <w:r>
              <w:rPr>
                <w:sz w:val="17"/>
              </w:rPr>
              <w:t>470179.06</w:t>
            </w:r>
          </w:p>
        </w:tc>
        <w:tc>
          <w:tcPr>
            <w:tcW w:w="1172" w:type="dxa"/>
          </w:tcPr>
          <w:p>
            <w:pPr>
              <w:pStyle w:val="TableParagraph"/>
              <w:spacing w:before="43"/>
              <w:ind w:left="109" w:right="110"/>
              <w:jc w:val="center"/>
              <w:rPr>
                <w:sz w:val="17"/>
              </w:rPr>
            </w:pPr>
            <w:r>
              <w:rPr>
                <w:sz w:val="17"/>
              </w:rPr>
              <w:t>2126240.95</w:t>
            </w:r>
          </w:p>
        </w:tc>
        <w:tc>
          <w:tcPr>
            <w:tcW w:w="1548" w:type="dxa"/>
          </w:tcPr>
          <w:p>
            <w:pPr>
              <w:pStyle w:val="TableParagraph"/>
              <w:spacing w:before="17"/>
              <w:ind w:left="28"/>
              <w:rPr>
                <w:rFonts w:ascii="Calibri"/>
                <w:sz w:val="21"/>
              </w:rPr>
            </w:pPr>
            <w:r>
              <w:rPr>
                <w:rFonts w:ascii="Calibri"/>
                <w:w w:val="105"/>
                <w:sz w:val="21"/>
              </w:rPr>
              <w:t>Ajusco</w:t>
            </w:r>
          </w:p>
        </w:tc>
        <w:tc>
          <w:tcPr>
            <w:tcW w:w="1157" w:type="dxa"/>
          </w:tcPr>
          <w:p>
            <w:pPr>
              <w:pStyle w:val="TableParagraph"/>
              <w:spacing w:before="43"/>
              <w:ind w:right="279"/>
              <w:jc w:val="right"/>
              <w:rPr>
                <w:sz w:val="17"/>
              </w:rPr>
            </w:pPr>
            <w:r>
              <w:rPr>
                <w:sz w:val="17"/>
              </w:rPr>
              <w:t>Tlalpan</w:t>
            </w:r>
          </w:p>
        </w:tc>
        <w:tc>
          <w:tcPr>
            <w:tcW w:w="2040" w:type="dxa"/>
          </w:tcPr>
          <w:p>
            <w:pPr>
              <w:pStyle w:val="TableParagraph"/>
              <w:spacing w:before="57"/>
              <w:ind w:left="803" w:right="803"/>
              <w:jc w:val="center"/>
              <w:rPr>
                <w:sz w:val="17"/>
              </w:rPr>
            </w:pPr>
            <w:r>
              <w:rPr>
                <w:sz w:val="17"/>
              </w:rPr>
              <w:t>3316</w:t>
            </w:r>
          </w:p>
        </w:tc>
      </w:tr>
      <w:tr>
        <w:trPr>
          <w:trHeight w:val="318" w:hRule="exact"/>
        </w:trPr>
        <w:tc>
          <w:tcPr>
            <w:tcW w:w="2835" w:type="dxa"/>
            <w:gridSpan w:val="3"/>
          </w:tcPr>
          <w:p>
            <w:pPr>
              <w:pStyle w:val="TableParagraph"/>
              <w:spacing w:before="43"/>
              <w:ind w:left="491"/>
              <w:rPr>
                <w:b/>
                <w:sz w:val="17"/>
              </w:rPr>
            </w:pPr>
            <w:r>
              <w:rPr>
                <w:b/>
                <w:sz w:val="17"/>
              </w:rPr>
              <w:t>Ángulo de la pendiente</w:t>
            </w:r>
          </w:p>
        </w:tc>
        <w:tc>
          <w:tcPr>
            <w:tcW w:w="2719" w:type="dxa"/>
            <w:gridSpan w:val="2"/>
          </w:tcPr>
          <w:p>
            <w:pPr>
              <w:pStyle w:val="TableParagraph"/>
              <w:spacing w:before="43"/>
              <w:ind w:left="448"/>
              <w:rPr>
                <w:b/>
                <w:sz w:val="17"/>
              </w:rPr>
            </w:pPr>
            <w:r>
              <w:rPr>
                <w:b/>
                <w:sz w:val="17"/>
              </w:rPr>
              <w:t>Forma de la pendiente</w:t>
            </w:r>
          </w:p>
        </w:tc>
        <w:tc>
          <w:tcPr>
            <w:tcW w:w="3197" w:type="dxa"/>
            <w:gridSpan w:val="2"/>
          </w:tcPr>
          <w:p>
            <w:pPr>
              <w:pStyle w:val="TableParagraph"/>
              <w:spacing w:before="43"/>
              <w:ind w:left="1073" w:right="1077"/>
              <w:jc w:val="center"/>
              <w:rPr>
                <w:b/>
                <w:sz w:val="17"/>
              </w:rPr>
            </w:pPr>
            <w:r>
              <w:rPr>
                <w:b/>
                <w:sz w:val="17"/>
              </w:rPr>
              <w:t>Microrelieve</w:t>
            </w:r>
          </w:p>
        </w:tc>
      </w:tr>
      <w:tr>
        <w:trPr>
          <w:trHeight w:val="290" w:hRule="exact"/>
        </w:trPr>
        <w:tc>
          <w:tcPr>
            <w:tcW w:w="2835" w:type="dxa"/>
            <w:gridSpan w:val="3"/>
          </w:tcPr>
          <w:p>
            <w:pPr>
              <w:pStyle w:val="TableParagraph"/>
              <w:spacing w:before="57"/>
              <w:ind w:left="1055" w:right="1055"/>
              <w:jc w:val="center"/>
              <w:rPr>
                <w:sz w:val="17"/>
              </w:rPr>
            </w:pPr>
            <w:r>
              <w:rPr>
                <w:sz w:val="17"/>
              </w:rPr>
              <w:t>10°</w:t>
            </w:r>
          </w:p>
        </w:tc>
        <w:tc>
          <w:tcPr>
            <w:tcW w:w="2719" w:type="dxa"/>
            <w:gridSpan w:val="2"/>
          </w:tcPr>
          <w:p>
            <w:pPr>
              <w:pStyle w:val="TableParagraph"/>
              <w:spacing w:before="57"/>
              <w:ind w:left="1013" w:right="1017"/>
              <w:jc w:val="center"/>
              <w:rPr>
                <w:sz w:val="17"/>
              </w:rPr>
            </w:pPr>
            <w:r>
              <w:rPr>
                <w:sz w:val="17"/>
              </w:rPr>
              <w:t>concava</w:t>
            </w:r>
          </w:p>
        </w:tc>
        <w:tc>
          <w:tcPr>
            <w:tcW w:w="3197" w:type="dxa"/>
            <w:gridSpan w:val="2"/>
          </w:tcPr>
          <w:p>
            <w:pPr>
              <w:pStyle w:val="TableParagraph"/>
              <w:spacing w:before="57"/>
              <w:ind w:left="1073" w:right="1077"/>
              <w:jc w:val="center"/>
              <w:rPr>
                <w:sz w:val="17"/>
              </w:rPr>
            </w:pPr>
            <w:r>
              <w:rPr>
                <w:sz w:val="17"/>
              </w:rPr>
              <w:t>Ondulado</w:t>
            </w:r>
          </w:p>
        </w:tc>
      </w:tr>
      <w:tr>
        <w:trPr>
          <w:trHeight w:val="289" w:hRule="exact"/>
        </w:trPr>
        <w:tc>
          <w:tcPr>
            <w:tcW w:w="2835" w:type="dxa"/>
            <w:gridSpan w:val="3"/>
          </w:tcPr>
          <w:p>
            <w:pPr>
              <w:pStyle w:val="TableParagraph"/>
              <w:spacing w:before="28"/>
              <w:ind w:left="289"/>
              <w:rPr>
                <w:b/>
                <w:sz w:val="17"/>
              </w:rPr>
            </w:pPr>
            <w:r>
              <w:rPr>
                <w:b/>
                <w:sz w:val="17"/>
              </w:rPr>
              <w:t>Drenaje superficial del sitio</w:t>
            </w:r>
          </w:p>
        </w:tc>
        <w:tc>
          <w:tcPr>
            <w:tcW w:w="2719" w:type="dxa"/>
            <w:gridSpan w:val="2"/>
          </w:tcPr>
          <w:p>
            <w:pPr>
              <w:pStyle w:val="TableParagraph"/>
              <w:spacing w:before="28"/>
              <w:ind w:left="650"/>
              <w:rPr>
                <w:b/>
                <w:sz w:val="17"/>
              </w:rPr>
            </w:pPr>
            <w:r>
              <w:rPr>
                <w:b/>
                <w:sz w:val="17"/>
              </w:rPr>
              <w:t>Material parental</w:t>
            </w:r>
          </w:p>
        </w:tc>
        <w:tc>
          <w:tcPr>
            <w:tcW w:w="1157" w:type="dxa"/>
          </w:tcPr>
          <w:p>
            <w:pPr>
              <w:pStyle w:val="TableParagraph"/>
              <w:spacing w:before="43"/>
              <w:ind w:right="350"/>
              <w:jc w:val="right"/>
              <w:rPr>
                <w:b/>
                <w:sz w:val="17"/>
              </w:rPr>
            </w:pPr>
            <w:r>
              <w:rPr>
                <w:b/>
                <w:sz w:val="17"/>
              </w:rPr>
              <w:t>Color</w:t>
            </w:r>
          </w:p>
        </w:tc>
        <w:tc>
          <w:tcPr>
            <w:tcW w:w="2040" w:type="dxa"/>
          </w:tcPr>
          <w:p>
            <w:pPr>
              <w:pStyle w:val="TableParagraph"/>
              <w:spacing w:before="43"/>
              <w:ind w:right="183"/>
              <w:jc w:val="right"/>
              <w:rPr>
                <w:b/>
                <w:sz w:val="17"/>
              </w:rPr>
            </w:pPr>
            <w:r>
              <w:rPr>
                <w:b/>
                <w:sz w:val="17"/>
              </w:rPr>
              <w:t>Color intemperizado</w:t>
            </w:r>
          </w:p>
        </w:tc>
      </w:tr>
      <w:tr>
        <w:trPr>
          <w:trHeight w:val="290" w:hRule="exact"/>
        </w:trPr>
        <w:tc>
          <w:tcPr>
            <w:tcW w:w="2835" w:type="dxa"/>
            <w:gridSpan w:val="3"/>
          </w:tcPr>
          <w:p>
            <w:pPr>
              <w:pStyle w:val="TableParagraph"/>
              <w:spacing w:before="28"/>
              <w:ind w:left="1055" w:right="1063"/>
              <w:jc w:val="center"/>
              <w:rPr>
                <w:sz w:val="17"/>
              </w:rPr>
            </w:pPr>
            <w:r>
              <w:rPr>
                <w:sz w:val="17"/>
              </w:rPr>
              <w:t>Donador</w:t>
            </w:r>
          </w:p>
        </w:tc>
        <w:tc>
          <w:tcPr>
            <w:tcW w:w="2719" w:type="dxa"/>
            <w:gridSpan w:val="2"/>
          </w:tcPr>
          <w:p>
            <w:pPr>
              <w:pStyle w:val="TableParagraph"/>
              <w:spacing w:before="28"/>
              <w:ind w:left="318"/>
              <w:rPr>
                <w:sz w:val="17"/>
              </w:rPr>
            </w:pPr>
            <w:r>
              <w:rPr>
                <w:sz w:val="17"/>
              </w:rPr>
              <w:t>Ignea: Cenizas  volcánicas</w:t>
            </w:r>
          </w:p>
        </w:tc>
        <w:tc>
          <w:tcPr>
            <w:tcW w:w="1157" w:type="dxa"/>
          </w:tcPr>
          <w:p>
            <w:pPr>
              <w:pStyle w:val="TableParagraph"/>
              <w:spacing w:before="57"/>
              <w:ind w:right="321"/>
              <w:jc w:val="right"/>
              <w:rPr>
                <w:sz w:val="17"/>
              </w:rPr>
            </w:pPr>
            <w:r>
              <w:rPr>
                <w:sz w:val="17"/>
              </w:rPr>
              <w:t>Negro</w:t>
            </w:r>
          </w:p>
        </w:tc>
        <w:tc>
          <w:tcPr>
            <w:tcW w:w="2040" w:type="dxa"/>
          </w:tcPr>
          <w:p>
            <w:pPr>
              <w:pStyle w:val="TableParagraph"/>
              <w:spacing w:before="57"/>
              <w:ind w:left="549"/>
              <w:rPr>
                <w:sz w:val="17"/>
              </w:rPr>
            </w:pPr>
            <w:r>
              <w:rPr>
                <w:sz w:val="17"/>
              </w:rPr>
              <w:t>Gris oscuro</w:t>
            </w:r>
          </w:p>
        </w:tc>
      </w:tr>
      <w:tr>
        <w:trPr>
          <w:trHeight w:val="289" w:hRule="exact"/>
        </w:trPr>
        <w:tc>
          <w:tcPr>
            <w:tcW w:w="1143" w:type="dxa"/>
          </w:tcPr>
          <w:p>
            <w:pPr>
              <w:pStyle w:val="TableParagraph"/>
              <w:spacing w:before="43"/>
              <w:ind w:left="116" w:right="119"/>
              <w:jc w:val="center"/>
              <w:rPr>
                <w:b/>
                <w:sz w:val="17"/>
              </w:rPr>
            </w:pPr>
            <w:r>
              <w:rPr>
                <w:b/>
                <w:sz w:val="17"/>
              </w:rPr>
              <w:t>Textura</w:t>
            </w:r>
          </w:p>
        </w:tc>
        <w:tc>
          <w:tcPr>
            <w:tcW w:w="2864" w:type="dxa"/>
            <w:gridSpan w:val="3"/>
          </w:tcPr>
          <w:p>
            <w:pPr>
              <w:pStyle w:val="TableParagraph"/>
              <w:spacing w:before="28"/>
              <w:ind w:left="491"/>
              <w:rPr>
                <w:b/>
                <w:sz w:val="17"/>
              </w:rPr>
            </w:pPr>
            <w:r>
              <w:rPr>
                <w:b/>
                <w:sz w:val="17"/>
              </w:rPr>
              <w:t>Minerales observables</w:t>
            </w:r>
          </w:p>
        </w:tc>
        <w:tc>
          <w:tcPr>
            <w:tcW w:w="2705" w:type="dxa"/>
            <w:gridSpan w:val="2"/>
          </w:tcPr>
          <w:p>
            <w:pPr>
              <w:pStyle w:val="TableParagraph"/>
              <w:spacing w:before="28"/>
              <w:ind w:left="607"/>
              <w:rPr>
                <w:b/>
                <w:sz w:val="17"/>
              </w:rPr>
            </w:pPr>
            <w:r>
              <w:rPr>
                <w:b/>
                <w:sz w:val="17"/>
              </w:rPr>
              <w:t>Vegetación nativa</w:t>
            </w:r>
          </w:p>
        </w:tc>
        <w:tc>
          <w:tcPr>
            <w:tcW w:w="2040" w:type="dxa"/>
          </w:tcPr>
          <w:p>
            <w:pPr>
              <w:pStyle w:val="TableParagraph"/>
              <w:spacing w:before="43"/>
              <w:ind w:right="135"/>
              <w:jc w:val="right"/>
              <w:rPr>
                <w:b/>
                <w:sz w:val="17"/>
              </w:rPr>
            </w:pPr>
            <w:r>
              <w:rPr>
                <w:b/>
                <w:sz w:val="17"/>
              </w:rPr>
              <w:t>Especies dominantes</w:t>
            </w:r>
          </w:p>
        </w:tc>
      </w:tr>
      <w:tr>
        <w:trPr>
          <w:trHeight w:val="564" w:hRule="exact"/>
        </w:trPr>
        <w:tc>
          <w:tcPr>
            <w:tcW w:w="1143" w:type="dxa"/>
          </w:tcPr>
          <w:p>
            <w:pPr>
              <w:pStyle w:val="TableParagraph"/>
              <w:spacing w:before="0"/>
              <w:rPr>
                <w:sz w:val="15"/>
              </w:rPr>
            </w:pPr>
          </w:p>
          <w:p>
            <w:pPr>
              <w:pStyle w:val="TableParagraph"/>
              <w:spacing w:before="1"/>
              <w:ind w:left="116" w:right="119"/>
              <w:jc w:val="center"/>
              <w:rPr>
                <w:sz w:val="17"/>
              </w:rPr>
            </w:pPr>
            <w:r>
              <w:rPr>
                <w:sz w:val="17"/>
              </w:rPr>
              <w:t>Afanítica</w:t>
            </w:r>
          </w:p>
        </w:tc>
        <w:tc>
          <w:tcPr>
            <w:tcW w:w="2864" w:type="dxa"/>
            <w:gridSpan w:val="3"/>
          </w:tcPr>
          <w:p>
            <w:pPr>
              <w:pStyle w:val="TableParagraph"/>
              <w:spacing w:before="0"/>
              <w:rPr>
                <w:sz w:val="15"/>
              </w:rPr>
            </w:pPr>
          </w:p>
          <w:p>
            <w:pPr>
              <w:pStyle w:val="TableParagraph"/>
              <w:spacing w:before="1"/>
              <w:ind w:left="839"/>
              <w:rPr>
                <w:sz w:val="17"/>
              </w:rPr>
            </w:pPr>
            <w:r>
              <w:rPr>
                <w:sz w:val="17"/>
              </w:rPr>
              <w:t>No se observa</w:t>
            </w:r>
          </w:p>
        </w:tc>
        <w:tc>
          <w:tcPr>
            <w:tcW w:w="2705" w:type="dxa"/>
            <w:gridSpan w:val="2"/>
          </w:tcPr>
          <w:p>
            <w:pPr>
              <w:pStyle w:val="TableParagraph"/>
              <w:spacing w:before="0"/>
              <w:rPr>
                <w:sz w:val="15"/>
              </w:rPr>
            </w:pPr>
          </w:p>
          <w:p>
            <w:pPr>
              <w:pStyle w:val="TableParagraph"/>
              <w:spacing w:before="1"/>
              <w:ind w:left="1106" w:right="1119"/>
              <w:jc w:val="center"/>
              <w:rPr>
                <w:sz w:val="17"/>
              </w:rPr>
            </w:pPr>
            <w:r>
              <w:rPr>
                <w:sz w:val="17"/>
              </w:rPr>
              <w:t>Pinos</w:t>
            </w:r>
          </w:p>
        </w:tc>
        <w:tc>
          <w:tcPr>
            <w:tcW w:w="2040" w:type="dxa"/>
          </w:tcPr>
          <w:p>
            <w:pPr>
              <w:pStyle w:val="TableParagraph"/>
              <w:spacing w:before="0"/>
              <w:rPr>
                <w:sz w:val="15"/>
              </w:rPr>
            </w:pPr>
          </w:p>
          <w:p>
            <w:pPr>
              <w:pStyle w:val="TableParagraph"/>
              <w:spacing w:before="1"/>
              <w:ind w:left="419"/>
              <w:rPr>
                <w:sz w:val="17"/>
              </w:rPr>
            </w:pPr>
            <w:r>
              <w:rPr>
                <w:sz w:val="17"/>
              </w:rPr>
              <w:t>Pinos  y pastos</w:t>
            </w:r>
          </w:p>
        </w:tc>
      </w:tr>
      <w:tr>
        <w:trPr>
          <w:trHeight w:val="290" w:hRule="exact"/>
        </w:trPr>
        <w:tc>
          <w:tcPr>
            <w:tcW w:w="2835" w:type="dxa"/>
            <w:gridSpan w:val="3"/>
          </w:tcPr>
          <w:p>
            <w:pPr>
              <w:pStyle w:val="TableParagraph"/>
              <w:spacing w:before="28"/>
              <w:ind w:left="1055" w:right="1063"/>
              <w:jc w:val="center"/>
              <w:rPr>
                <w:b/>
                <w:sz w:val="17"/>
              </w:rPr>
            </w:pPr>
            <w:r>
              <w:rPr>
                <w:b/>
                <w:sz w:val="17"/>
              </w:rPr>
              <w:t>Función</w:t>
            </w:r>
          </w:p>
        </w:tc>
        <w:tc>
          <w:tcPr>
            <w:tcW w:w="5916" w:type="dxa"/>
            <w:gridSpan w:val="4"/>
          </w:tcPr>
          <w:p>
            <w:pPr>
              <w:pStyle w:val="TableParagraph"/>
              <w:spacing w:before="28"/>
              <w:ind w:left="2082" w:right="2088"/>
              <w:jc w:val="center"/>
              <w:rPr>
                <w:b/>
                <w:sz w:val="17"/>
              </w:rPr>
            </w:pPr>
            <w:r>
              <w:rPr>
                <w:b/>
                <w:sz w:val="17"/>
              </w:rPr>
              <w:t>Vegetación cultivada</w:t>
            </w:r>
          </w:p>
        </w:tc>
      </w:tr>
      <w:tr>
        <w:trPr>
          <w:trHeight w:val="289" w:hRule="exact"/>
        </w:trPr>
        <w:tc>
          <w:tcPr>
            <w:tcW w:w="2835" w:type="dxa"/>
            <w:gridSpan w:val="3"/>
          </w:tcPr>
          <w:p>
            <w:pPr>
              <w:pStyle w:val="TableParagraph"/>
              <w:spacing w:before="28"/>
              <w:ind w:left="824"/>
              <w:rPr>
                <w:sz w:val="17"/>
              </w:rPr>
            </w:pPr>
            <w:r>
              <w:rPr>
                <w:sz w:val="17"/>
              </w:rPr>
              <w:t>Siempre verde</w:t>
            </w:r>
          </w:p>
        </w:tc>
        <w:tc>
          <w:tcPr>
            <w:tcW w:w="5916" w:type="dxa"/>
            <w:gridSpan w:val="4"/>
          </w:tcPr>
          <w:p>
            <w:pPr>
              <w:pStyle w:val="TableParagraph"/>
              <w:spacing w:before="28"/>
              <w:ind w:left="2082" w:right="2082"/>
              <w:jc w:val="center"/>
              <w:rPr>
                <w:sz w:val="17"/>
              </w:rPr>
            </w:pPr>
            <w:r>
              <w:rPr>
                <w:sz w:val="17"/>
              </w:rPr>
              <w:t>No</w:t>
            </w:r>
          </w:p>
        </w:tc>
      </w:tr>
      <w:tr>
        <w:trPr>
          <w:trHeight w:val="290" w:hRule="exact"/>
        </w:trPr>
        <w:tc>
          <w:tcPr>
            <w:tcW w:w="4007" w:type="dxa"/>
            <w:gridSpan w:val="4"/>
          </w:tcPr>
          <w:p>
            <w:pPr>
              <w:pStyle w:val="TableParagraph"/>
              <w:spacing w:before="57"/>
              <w:ind w:left="839"/>
              <w:rPr>
                <w:b/>
                <w:sz w:val="17"/>
              </w:rPr>
            </w:pPr>
            <w:r>
              <w:rPr>
                <w:b/>
                <w:sz w:val="17"/>
              </w:rPr>
              <w:t>Prácticas agrícolas visibles:</w:t>
            </w:r>
          </w:p>
        </w:tc>
        <w:tc>
          <w:tcPr>
            <w:tcW w:w="4744" w:type="dxa"/>
            <w:gridSpan w:val="3"/>
          </w:tcPr>
          <w:p>
            <w:pPr>
              <w:pStyle w:val="TableParagraph"/>
              <w:spacing w:before="57"/>
              <w:ind w:left="1533"/>
              <w:rPr>
                <w:b/>
                <w:sz w:val="17"/>
              </w:rPr>
            </w:pPr>
            <w:r>
              <w:rPr>
                <w:b/>
                <w:sz w:val="17"/>
              </w:rPr>
              <w:t>Superficie del suelo:</w:t>
            </w:r>
          </w:p>
        </w:tc>
      </w:tr>
      <w:tr>
        <w:trPr>
          <w:trHeight w:val="332" w:hRule="exact"/>
        </w:trPr>
        <w:tc>
          <w:tcPr>
            <w:tcW w:w="4007" w:type="dxa"/>
            <w:gridSpan w:val="4"/>
          </w:tcPr>
          <w:p>
            <w:pPr>
              <w:pStyle w:val="TableParagraph"/>
              <w:spacing w:before="101"/>
              <w:ind w:left="1867" w:right="1867"/>
              <w:jc w:val="center"/>
              <w:rPr>
                <w:sz w:val="17"/>
              </w:rPr>
            </w:pPr>
            <w:r>
              <w:rPr>
                <w:sz w:val="17"/>
              </w:rPr>
              <w:t>No</w:t>
            </w:r>
          </w:p>
        </w:tc>
        <w:tc>
          <w:tcPr>
            <w:tcW w:w="4744" w:type="dxa"/>
            <w:gridSpan w:val="3"/>
          </w:tcPr>
          <w:p>
            <w:pPr>
              <w:pStyle w:val="TableParagraph"/>
              <w:spacing w:before="101"/>
              <w:ind w:left="1605" w:right="1611"/>
              <w:jc w:val="center"/>
              <w:rPr>
                <w:sz w:val="17"/>
              </w:rPr>
            </w:pPr>
            <w:r>
              <w:rPr>
                <w:sz w:val="17"/>
              </w:rPr>
              <w:t>cubierto de pasto</w:t>
            </w:r>
          </w:p>
        </w:tc>
      </w:tr>
      <w:tr>
        <w:trPr>
          <w:trHeight w:val="405" w:hRule="exact"/>
        </w:trPr>
        <w:tc>
          <w:tcPr>
            <w:tcW w:w="2835" w:type="dxa"/>
            <w:gridSpan w:val="3"/>
            <w:tcBorders>
              <w:bottom w:val="single" w:sz="6" w:space="0" w:color="000000"/>
            </w:tcBorders>
          </w:tcPr>
          <w:p>
            <w:pPr>
              <w:pStyle w:val="TableParagraph"/>
              <w:spacing w:before="87"/>
              <w:ind w:left="130"/>
              <w:rPr>
                <w:b/>
                <w:sz w:val="17"/>
              </w:rPr>
            </w:pPr>
            <w:r>
              <w:rPr>
                <w:b/>
                <w:sz w:val="17"/>
              </w:rPr>
              <w:t>Material combustible presente:</w:t>
            </w:r>
          </w:p>
        </w:tc>
        <w:tc>
          <w:tcPr>
            <w:tcW w:w="5916" w:type="dxa"/>
            <w:gridSpan w:val="4"/>
            <w:tcBorders>
              <w:bottom w:val="single" w:sz="6" w:space="0" w:color="000000"/>
            </w:tcBorders>
          </w:tcPr>
          <w:p>
            <w:pPr>
              <w:pStyle w:val="TableParagraph"/>
              <w:spacing w:before="87"/>
              <w:ind w:left="1504"/>
              <w:rPr>
                <w:sz w:val="17"/>
              </w:rPr>
            </w:pPr>
            <w:r>
              <w:rPr>
                <w:sz w:val="17"/>
              </w:rPr>
              <w:t>Ramas, ascículas  y arbustos secos.</w:t>
            </w:r>
          </w:p>
        </w:tc>
      </w:tr>
      <w:tr>
        <w:trPr>
          <w:trHeight w:val="289" w:hRule="exact"/>
        </w:trPr>
        <w:tc>
          <w:tcPr>
            <w:tcW w:w="4007" w:type="dxa"/>
            <w:gridSpan w:val="4"/>
            <w:tcBorders>
              <w:top w:val="single" w:sz="6" w:space="0" w:color="000000"/>
            </w:tcBorders>
          </w:tcPr>
          <w:p>
            <w:pPr>
              <w:pStyle w:val="TableParagraph"/>
              <w:spacing w:before="28"/>
              <w:ind w:left="1056"/>
              <w:rPr>
                <w:b/>
                <w:sz w:val="17"/>
              </w:rPr>
            </w:pPr>
            <w:r>
              <w:rPr>
                <w:b/>
                <w:sz w:val="17"/>
              </w:rPr>
              <w:t>Evidencia  de incendios</w:t>
            </w:r>
          </w:p>
        </w:tc>
        <w:tc>
          <w:tcPr>
            <w:tcW w:w="4744" w:type="dxa"/>
            <w:gridSpan w:val="3"/>
            <w:tcBorders>
              <w:top w:val="single" w:sz="6" w:space="0" w:color="000000"/>
            </w:tcBorders>
          </w:tcPr>
          <w:p>
            <w:pPr>
              <w:pStyle w:val="TableParagraph"/>
              <w:spacing w:before="28"/>
              <w:ind w:left="1622" w:right="1611"/>
              <w:jc w:val="center"/>
              <w:rPr>
                <w:b/>
                <w:sz w:val="17"/>
              </w:rPr>
            </w:pPr>
            <w:r>
              <w:rPr>
                <w:b/>
                <w:sz w:val="17"/>
              </w:rPr>
              <w:t>Plagas forestales:</w:t>
            </w:r>
          </w:p>
        </w:tc>
      </w:tr>
      <w:tr>
        <w:trPr>
          <w:trHeight w:val="289" w:hRule="exact"/>
        </w:trPr>
        <w:tc>
          <w:tcPr>
            <w:tcW w:w="4007" w:type="dxa"/>
            <w:gridSpan w:val="4"/>
            <w:tcBorders>
              <w:bottom w:val="single" w:sz="6" w:space="0" w:color="000000"/>
            </w:tcBorders>
          </w:tcPr>
          <w:p>
            <w:pPr>
              <w:pStyle w:val="TableParagraph"/>
              <w:spacing w:before="28"/>
              <w:ind w:left="1867" w:right="1867"/>
              <w:jc w:val="center"/>
              <w:rPr>
                <w:sz w:val="17"/>
              </w:rPr>
            </w:pPr>
            <w:r>
              <w:rPr>
                <w:sz w:val="17"/>
              </w:rPr>
              <w:t>No</w:t>
            </w:r>
          </w:p>
        </w:tc>
        <w:tc>
          <w:tcPr>
            <w:tcW w:w="4744" w:type="dxa"/>
            <w:gridSpan w:val="3"/>
            <w:tcBorders>
              <w:bottom w:val="single" w:sz="6" w:space="0" w:color="000000"/>
            </w:tcBorders>
          </w:tcPr>
          <w:p>
            <w:pPr>
              <w:pStyle w:val="TableParagraph"/>
              <w:spacing w:before="28"/>
              <w:ind w:left="1599" w:right="1611"/>
              <w:jc w:val="center"/>
              <w:rPr>
                <w:sz w:val="17"/>
              </w:rPr>
            </w:pPr>
            <w:r>
              <w:rPr>
                <w:sz w:val="17"/>
              </w:rPr>
              <w:t>No</w:t>
            </w:r>
          </w:p>
        </w:tc>
      </w:tr>
      <w:tr>
        <w:trPr>
          <w:trHeight w:val="637" w:hRule="exact"/>
        </w:trPr>
        <w:tc>
          <w:tcPr>
            <w:tcW w:w="1664" w:type="dxa"/>
            <w:gridSpan w:val="2"/>
            <w:tcBorders>
              <w:top w:val="single" w:sz="6" w:space="0" w:color="000000"/>
            </w:tcBorders>
          </w:tcPr>
          <w:p>
            <w:pPr>
              <w:pStyle w:val="TableParagraph"/>
              <w:spacing w:before="6"/>
              <w:rPr>
                <w:sz w:val="17"/>
              </w:rPr>
            </w:pPr>
          </w:p>
          <w:p>
            <w:pPr>
              <w:pStyle w:val="TableParagraph"/>
              <w:spacing w:before="0"/>
              <w:ind w:left="173"/>
              <w:rPr>
                <w:b/>
                <w:sz w:val="17"/>
              </w:rPr>
            </w:pPr>
            <w:r>
              <w:rPr>
                <w:b/>
                <w:sz w:val="17"/>
              </w:rPr>
              <w:t>Observaciones:</w:t>
            </w:r>
          </w:p>
        </w:tc>
        <w:tc>
          <w:tcPr>
            <w:tcW w:w="7088" w:type="dxa"/>
            <w:gridSpan w:val="5"/>
            <w:tcBorders>
              <w:top w:val="single" w:sz="6" w:space="0" w:color="000000"/>
            </w:tcBorders>
          </w:tcPr>
          <w:p>
            <w:pPr>
              <w:pStyle w:val="TableParagraph"/>
              <w:spacing w:line="283" w:lineRule="auto" w:before="86"/>
              <w:ind w:left="28" w:right="194"/>
              <w:rPr>
                <w:sz w:val="17"/>
              </w:rPr>
            </w:pPr>
            <w:r>
              <w:rPr>
                <w:sz w:val="17"/>
              </w:rPr>
              <w:t>Se observan ganadería. El sitio es una estación experimental, presenta áreas segmentadas  y en cada uno de los  segmentos  un experimento.</w:t>
            </w:r>
          </w:p>
        </w:tc>
      </w:tr>
    </w:tbl>
    <w:p>
      <w:pPr>
        <w:pStyle w:val="BodyText"/>
      </w:pPr>
    </w:p>
    <w:p>
      <w:pPr>
        <w:pStyle w:val="BodyText"/>
      </w:pPr>
    </w:p>
    <w:p>
      <w:pPr>
        <w:pStyle w:val="BodyText"/>
        <w:spacing w:before="1"/>
        <w:rPr>
          <w:sz w:val="31"/>
        </w:rPr>
      </w:pPr>
    </w:p>
    <w:p>
      <w:pPr>
        <w:pStyle w:val="BodyText"/>
        <w:ind w:left="102"/>
      </w:pPr>
      <w:r>
        <w:rPr/>
        <w:drawing>
          <wp:anchor distT="0" distB="0" distL="0" distR="0" allowOverlap="1" layoutInCell="1" locked="0" behindDoc="0" simplePos="0" relativeHeight="4360">
            <wp:simplePos x="0" y="0"/>
            <wp:positionH relativeFrom="page">
              <wp:posOffset>1260475</wp:posOffset>
            </wp:positionH>
            <wp:positionV relativeFrom="paragraph">
              <wp:posOffset>253312</wp:posOffset>
            </wp:positionV>
            <wp:extent cx="1610111" cy="1207008"/>
            <wp:effectExtent l="0" t="0" r="0" b="0"/>
            <wp:wrapTopAndBottom/>
            <wp:docPr id="177" name="image109.jpeg" descr=""/>
            <wp:cNvGraphicFramePr>
              <a:graphicFrameLocks noChangeAspect="1"/>
            </wp:cNvGraphicFramePr>
            <a:graphic>
              <a:graphicData uri="http://schemas.openxmlformats.org/drawingml/2006/picture">
                <pic:pic>
                  <pic:nvPicPr>
                    <pic:cNvPr id="178" name="image109.jpeg"/>
                    <pic:cNvPicPr/>
                  </pic:nvPicPr>
                  <pic:blipFill>
                    <a:blip r:embed="rId156" cstate="print"/>
                    <a:stretch>
                      <a:fillRect/>
                    </a:stretch>
                  </pic:blipFill>
                  <pic:spPr>
                    <a:xfrm>
                      <a:off x="0" y="0"/>
                      <a:ext cx="1610111" cy="1207008"/>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3084195</wp:posOffset>
            </wp:positionH>
            <wp:positionV relativeFrom="paragraph">
              <wp:posOffset>253312</wp:posOffset>
            </wp:positionV>
            <wp:extent cx="1610111" cy="1207008"/>
            <wp:effectExtent l="0" t="0" r="0" b="0"/>
            <wp:wrapTopAndBottom/>
            <wp:docPr id="179" name="image110.jpeg" descr=""/>
            <wp:cNvGraphicFramePr>
              <a:graphicFrameLocks noChangeAspect="1"/>
            </wp:cNvGraphicFramePr>
            <a:graphic>
              <a:graphicData uri="http://schemas.openxmlformats.org/drawingml/2006/picture">
                <pic:pic>
                  <pic:nvPicPr>
                    <pic:cNvPr id="180" name="image110.jpeg"/>
                    <pic:cNvPicPr/>
                  </pic:nvPicPr>
                  <pic:blipFill>
                    <a:blip r:embed="rId157" cstate="print"/>
                    <a:stretch>
                      <a:fillRect/>
                    </a:stretch>
                  </pic:blipFill>
                  <pic:spPr>
                    <a:xfrm>
                      <a:off x="0" y="0"/>
                      <a:ext cx="1610111" cy="1207008"/>
                    </a:xfrm>
                    <a:prstGeom prst="rect">
                      <a:avLst/>
                    </a:prstGeom>
                  </pic:spPr>
                </pic:pic>
              </a:graphicData>
            </a:graphic>
          </wp:anchor>
        </w:drawing>
      </w:r>
      <w:r>
        <w:rPr/>
        <w:drawing>
          <wp:anchor distT="0" distB="0" distL="0" distR="0" allowOverlap="1" layoutInCell="1" locked="0" behindDoc="0" simplePos="0" relativeHeight="4408">
            <wp:simplePos x="0" y="0"/>
            <wp:positionH relativeFrom="page">
              <wp:posOffset>4909820</wp:posOffset>
            </wp:positionH>
            <wp:positionV relativeFrom="paragraph">
              <wp:posOffset>253312</wp:posOffset>
            </wp:positionV>
            <wp:extent cx="1610111" cy="1207008"/>
            <wp:effectExtent l="0" t="0" r="0" b="0"/>
            <wp:wrapTopAndBottom/>
            <wp:docPr id="181" name="image111.jpeg" descr=""/>
            <wp:cNvGraphicFramePr>
              <a:graphicFrameLocks noChangeAspect="1"/>
            </wp:cNvGraphicFramePr>
            <a:graphic>
              <a:graphicData uri="http://schemas.openxmlformats.org/drawingml/2006/picture">
                <pic:pic>
                  <pic:nvPicPr>
                    <pic:cNvPr id="182" name="image111.jpeg"/>
                    <pic:cNvPicPr/>
                  </pic:nvPicPr>
                  <pic:blipFill>
                    <a:blip r:embed="rId158" cstate="print"/>
                    <a:stretch>
                      <a:fillRect/>
                    </a:stretch>
                  </pic:blipFill>
                  <pic:spPr>
                    <a:xfrm>
                      <a:off x="0" y="0"/>
                      <a:ext cx="1610111" cy="1207008"/>
                    </a:xfrm>
                    <a:prstGeom prst="rect">
                      <a:avLst/>
                    </a:prstGeom>
                  </pic:spPr>
                </pic:pic>
              </a:graphicData>
            </a:graphic>
          </wp:anchor>
        </w:drawing>
      </w:r>
      <w:r>
        <w:rPr/>
        <w:t>Imágenes del sitio 11.</w:t>
      </w:r>
    </w:p>
    <w:p>
      <w:pPr>
        <w:pStyle w:val="BodyText"/>
        <w:spacing w:before="10"/>
        <w:rPr>
          <w:sz w:val="6"/>
        </w:rPr>
      </w:pPr>
    </w:p>
    <w:p>
      <w:pPr>
        <w:tabs>
          <w:tab w:pos="3257" w:val="left" w:leader="none"/>
          <w:tab w:pos="6132" w:val="left" w:leader="none"/>
        </w:tabs>
        <w:spacing w:line="240" w:lineRule="auto"/>
        <w:ind w:left="385" w:right="0" w:firstLine="0"/>
        <w:rPr>
          <w:sz w:val="20"/>
        </w:rPr>
      </w:pPr>
      <w:r>
        <w:rPr>
          <w:sz w:val="20"/>
        </w:rPr>
        <w:drawing>
          <wp:inline distT="0" distB="0" distL="0" distR="0">
            <wp:extent cx="1573018" cy="1179576"/>
            <wp:effectExtent l="0" t="0" r="0" b="0"/>
            <wp:docPr id="183" name="image112.jpeg" descr=""/>
            <wp:cNvGraphicFramePr>
              <a:graphicFrameLocks noChangeAspect="1"/>
            </wp:cNvGraphicFramePr>
            <a:graphic>
              <a:graphicData uri="http://schemas.openxmlformats.org/drawingml/2006/picture">
                <pic:pic>
                  <pic:nvPicPr>
                    <pic:cNvPr id="184" name="image112.jpeg"/>
                    <pic:cNvPicPr/>
                  </pic:nvPicPr>
                  <pic:blipFill>
                    <a:blip r:embed="rId159" cstate="print"/>
                    <a:stretch>
                      <a:fillRect/>
                    </a:stretch>
                  </pic:blipFill>
                  <pic:spPr>
                    <a:xfrm>
                      <a:off x="0" y="0"/>
                      <a:ext cx="1573018" cy="1179576"/>
                    </a:xfrm>
                    <a:prstGeom prst="rect">
                      <a:avLst/>
                    </a:prstGeom>
                  </pic:spPr>
                </pic:pic>
              </a:graphicData>
            </a:graphic>
          </wp:inline>
        </w:drawing>
      </w:r>
      <w:r>
        <w:rPr>
          <w:sz w:val="20"/>
        </w:rPr>
      </w:r>
      <w:r>
        <w:rPr>
          <w:sz w:val="20"/>
        </w:rPr>
        <w:tab/>
      </w:r>
      <w:r>
        <w:rPr>
          <w:sz w:val="20"/>
        </w:rPr>
        <w:drawing>
          <wp:inline distT="0" distB="0" distL="0" distR="0">
            <wp:extent cx="1573018" cy="1179576"/>
            <wp:effectExtent l="0" t="0" r="0" b="0"/>
            <wp:docPr id="185" name="image113.jpeg" descr=""/>
            <wp:cNvGraphicFramePr>
              <a:graphicFrameLocks noChangeAspect="1"/>
            </wp:cNvGraphicFramePr>
            <a:graphic>
              <a:graphicData uri="http://schemas.openxmlformats.org/drawingml/2006/picture">
                <pic:pic>
                  <pic:nvPicPr>
                    <pic:cNvPr id="186" name="image113.jpeg"/>
                    <pic:cNvPicPr/>
                  </pic:nvPicPr>
                  <pic:blipFill>
                    <a:blip r:embed="rId160" cstate="print"/>
                    <a:stretch>
                      <a:fillRect/>
                    </a:stretch>
                  </pic:blipFill>
                  <pic:spPr>
                    <a:xfrm>
                      <a:off x="0" y="0"/>
                      <a:ext cx="1573018" cy="1179576"/>
                    </a:xfrm>
                    <a:prstGeom prst="rect">
                      <a:avLst/>
                    </a:prstGeom>
                  </pic:spPr>
                </pic:pic>
              </a:graphicData>
            </a:graphic>
          </wp:inline>
        </w:drawing>
      </w:r>
      <w:r>
        <w:rPr>
          <w:sz w:val="20"/>
        </w:rPr>
      </w:r>
      <w:r>
        <w:rPr>
          <w:sz w:val="20"/>
        </w:rPr>
        <w:tab/>
      </w:r>
      <w:r>
        <w:rPr>
          <w:sz w:val="20"/>
        </w:rPr>
        <w:drawing>
          <wp:inline distT="0" distB="0" distL="0" distR="0">
            <wp:extent cx="1573018" cy="1179576"/>
            <wp:effectExtent l="0" t="0" r="0" b="0"/>
            <wp:docPr id="187" name="image114.jpeg" descr=""/>
            <wp:cNvGraphicFramePr>
              <a:graphicFrameLocks noChangeAspect="1"/>
            </wp:cNvGraphicFramePr>
            <a:graphic>
              <a:graphicData uri="http://schemas.openxmlformats.org/drawingml/2006/picture">
                <pic:pic>
                  <pic:nvPicPr>
                    <pic:cNvPr id="188" name="image114.jpeg"/>
                    <pic:cNvPicPr/>
                  </pic:nvPicPr>
                  <pic:blipFill>
                    <a:blip r:embed="rId161" cstate="print"/>
                    <a:stretch>
                      <a:fillRect/>
                    </a:stretch>
                  </pic:blipFill>
                  <pic:spPr>
                    <a:xfrm>
                      <a:off x="0" y="0"/>
                      <a:ext cx="1573018" cy="1179576"/>
                    </a:xfrm>
                    <a:prstGeom prst="rect">
                      <a:avLst/>
                    </a:prstGeom>
                  </pic:spPr>
                </pic:pic>
              </a:graphicData>
            </a:graphic>
          </wp:inline>
        </w:drawing>
      </w:r>
      <w:r>
        <w:rPr>
          <w:sz w:val="20"/>
        </w:rPr>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2.419983pt;margin-top:730.856018pt;width:16.8pt;height:13.05pt;mso-position-horizontal-relative:page;mso-position-vertical-relative:page;z-index:-342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6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6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59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54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49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2.659973pt;margin-top:730.856018pt;width:16.4pt;height:13.05pt;mso-position-horizontal-relative:page;mso-position-vertical-relative:page;z-index:-342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44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42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42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42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342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8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7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427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42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6">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1"/>
      <w:numFmt w:val="bullet"/>
      <w:lvlText w:val=""/>
      <w:lvlJc w:val="left"/>
      <w:pPr>
        <w:ind w:left="694" w:hanging="356"/>
      </w:pPr>
      <w:rPr>
        <w:rFonts w:hint="default" w:ascii="Symbol" w:hAnsi="Symbol" w:eastAsia="Symbol" w:cs="Symbol"/>
        <w:w w:val="100"/>
        <w:sz w:val="22"/>
        <w:szCs w:val="22"/>
      </w:rPr>
    </w:lvl>
    <w:lvl w:ilvl="1">
      <w:start w:val="1"/>
      <w:numFmt w:val="bullet"/>
      <w:lvlText w:val="•"/>
      <w:lvlJc w:val="left"/>
      <w:pPr>
        <w:ind w:left="1524" w:hanging="356"/>
      </w:pPr>
      <w:rPr>
        <w:rFonts w:hint="default"/>
      </w:rPr>
    </w:lvl>
    <w:lvl w:ilvl="2">
      <w:start w:val="1"/>
      <w:numFmt w:val="bullet"/>
      <w:lvlText w:val="•"/>
      <w:lvlJc w:val="left"/>
      <w:pPr>
        <w:ind w:left="2348" w:hanging="356"/>
      </w:pPr>
      <w:rPr>
        <w:rFonts w:hint="default"/>
      </w:rPr>
    </w:lvl>
    <w:lvl w:ilvl="3">
      <w:start w:val="1"/>
      <w:numFmt w:val="bullet"/>
      <w:lvlText w:val="•"/>
      <w:lvlJc w:val="left"/>
      <w:pPr>
        <w:ind w:left="3172" w:hanging="356"/>
      </w:pPr>
      <w:rPr>
        <w:rFonts w:hint="default"/>
      </w:rPr>
    </w:lvl>
    <w:lvl w:ilvl="4">
      <w:start w:val="1"/>
      <w:numFmt w:val="bullet"/>
      <w:lvlText w:val="•"/>
      <w:lvlJc w:val="left"/>
      <w:pPr>
        <w:ind w:left="3996" w:hanging="356"/>
      </w:pPr>
      <w:rPr>
        <w:rFonts w:hint="default"/>
      </w:rPr>
    </w:lvl>
    <w:lvl w:ilvl="5">
      <w:start w:val="1"/>
      <w:numFmt w:val="bullet"/>
      <w:lvlText w:val="•"/>
      <w:lvlJc w:val="left"/>
      <w:pPr>
        <w:ind w:left="4820" w:hanging="356"/>
      </w:pPr>
      <w:rPr>
        <w:rFonts w:hint="default"/>
      </w:rPr>
    </w:lvl>
    <w:lvl w:ilvl="6">
      <w:start w:val="1"/>
      <w:numFmt w:val="bullet"/>
      <w:lvlText w:val="•"/>
      <w:lvlJc w:val="left"/>
      <w:pPr>
        <w:ind w:left="5644" w:hanging="356"/>
      </w:pPr>
      <w:rPr>
        <w:rFonts w:hint="default"/>
      </w:rPr>
    </w:lvl>
    <w:lvl w:ilvl="7">
      <w:start w:val="1"/>
      <w:numFmt w:val="bullet"/>
      <w:lvlText w:val="•"/>
      <w:lvlJc w:val="left"/>
      <w:pPr>
        <w:ind w:left="6468" w:hanging="356"/>
      </w:pPr>
      <w:rPr>
        <w:rFonts w:hint="default"/>
      </w:rPr>
    </w:lvl>
    <w:lvl w:ilvl="8">
      <w:start w:val="1"/>
      <w:numFmt w:val="bullet"/>
      <w:lvlText w:val="•"/>
      <w:lvlJc w:val="left"/>
      <w:pPr>
        <w:ind w:left="7292" w:hanging="356"/>
      </w:pPr>
      <w:rPr>
        <w:rFonts w:hint="default"/>
      </w:rPr>
    </w:lvl>
  </w:abstractNum>
  <w:abstractNum w:abstractNumId="18">
    <w:multiLevelType w:val="hybridMultilevel"/>
    <w:lvl w:ilvl="0">
      <w:start w:val="1"/>
      <w:numFmt w:val="bullet"/>
      <w:lvlText w:val="•"/>
      <w:lvlJc w:val="left"/>
      <w:pPr>
        <w:ind w:left="694" w:hanging="356"/>
      </w:pPr>
      <w:rPr>
        <w:rFonts w:hint="default" w:ascii="Arial" w:hAnsi="Arial" w:eastAsia="Arial" w:cs="Arial"/>
        <w:w w:val="99"/>
        <w:sz w:val="24"/>
        <w:szCs w:val="24"/>
      </w:rPr>
    </w:lvl>
    <w:lvl w:ilvl="1">
      <w:start w:val="1"/>
      <w:numFmt w:val="bullet"/>
      <w:lvlText w:val="•"/>
      <w:lvlJc w:val="left"/>
      <w:pPr>
        <w:ind w:left="1524" w:hanging="356"/>
      </w:pPr>
      <w:rPr>
        <w:rFonts w:hint="default"/>
      </w:rPr>
    </w:lvl>
    <w:lvl w:ilvl="2">
      <w:start w:val="1"/>
      <w:numFmt w:val="bullet"/>
      <w:lvlText w:val="•"/>
      <w:lvlJc w:val="left"/>
      <w:pPr>
        <w:ind w:left="2348" w:hanging="356"/>
      </w:pPr>
      <w:rPr>
        <w:rFonts w:hint="default"/>
      </w:rPr>
    </w:lvl>
    <w:lvl w:ilvl="3">
      <w:start w:val="1"/>
      <w:numFmt w:val="bullet"/>
      <w:lvlText w:val="•"/>
      <w:lvlJc w:val="left"/>
      <w:pPr>
        <w:ind w:left="3172" w:hanging="356"/>
      </w:pPr>
      <w:rPr>
        <w:rFonts w:hint="default"/>
      </w:rPr>
    </w:lvl>
    <w:lvl w:ilvl="4">
      <w:start w:val="1"/>
      <w:numFmt w:val="bullet"/>
      <w:lvlText w:val="•"/>
      <w:lvlJc w:val="left"/>
      <w:pPr>
        <w:ind w:left="3996" w:hanging="356"/>
      </w:pPr>
      <w:rPr>
        <w:rFonts w:hint="default"/>
      </w:rPr>
    </w:lvl>
    <w:lvl w:ilvl="5">
      <w:start w:val="1"/>
      <w:numFmt w:val="bullet"/>
      <w:lvlText w:val="•"/>
      <w:lvlJc w:val="left"/>
      <w:pPr>
        <w:ind w:left="4820" w:hanging="356"/>
      </w:pPr>
      <w:rPr>
        <w:rFonts w:hint="default"/>
      </w:rPr>
    </w:lvl>
    <w:lvl w:ilvl="6">
      <w:start w:val="1"/>
      <w:numFmt w:val="bullet"/>
      <w:lvlText w:val="•"/>
      <w:lvlJc w:val="left"/>
      <w:pPr>
        <w:ind w:left="5644" w:hanging="356"/>
      </w:pPr>
      <w:rPr>
        <w:rFonts w:hint="default"/>
      </w:rPr>
    </w:lvl>
    <w:lvl w:ilvl="7">
      <w:start w:val="1"/>
      <w:numFmt w:val="bullet"/>
      <w:lvlText w:val="•"/>
      <w:lvlJc w:val="left"/>
      <w:pPr>
        <w:ind w:left="6468" w:hanging="356"/>
      </w:pPr>
      <w:rPr>
        <w:rFonts w:hint="default"/>
      </w:rPr>
    </w:lvl>
    <w:lvl w:ilvl="8">
      <w:start w:val="1"/>
      <w:numFmt w:val="bullet"/>
      <w:lvlText w:val="•"/>
      <w:lvlJc w:val="left"/>
      <w:pPr>
        <w:ind w:left="7292" w:hanging="356"/>
      </w:pPr>
      <w:rPr>
        <w:rFonts w:hint="default"/>
      </w:rPr>
    </w:lvl>
  </w:abstractNum>
  <w:abstractNum w:abstractNumId="15">
    <w:multiLevelType w:val="hybridMultilevel"/>
    <w:lvl w:ilvl="0">
      <w:start w:val="6"/>
      <w:numFmt w:val="decimal"/>
      <w:lvlText w:val="%1."/>
      <w:lvlJc w:val="left"/>
      <w:pPr>
        <w:ind w:left="822" w:hanging="360"/>
        <w:jc w:val="right"/>
      </w:pPr>
      <w:rPr>
        <w:rFonts w:hint="default" w:ascii="Arial" w:hAnsi="Arial" w:eastAsia="Arial" w:cs="Arial"/>
        <w:b/>
        <w:bCs/>
        <w:w w:val="99"/>
        <w:sz w:val="24"/>
        <w:szCs w:val="24"/>
      </w:rPr>
    </w:lvl>
    <w:lvl w:ilvl="1">
      <w:start w:val="1"/>
      <w:numFmt w:val="decimal"/>
      <w:lvlText w:val="%1.%2"/>
      <w:lvlJc w:val="left"/>
      <w:pPr>
        <w:ind w:left="822" w:hanging="360"/>
        <w:jc w:val="left"/>
      </w:pPr>
      <w:rPr>
        <w:rFonts w:hint="default" w:ascii="Arial" w:hAnsi="Arial" w:eastAsia="Arial" w:cs="Arial"/>
        <w:b/>
        <w:bCs/>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decimal"/>
      <w:lvlText w:val="%1."/>
      <w:lvlJc w:val="left"/>
      <w:pPr>
        <w:ind w:left="822" w:hanging="360"/>
        <w:jc w:val="left"/>
      </w:pPr>
      <w:rPr>
        <w:rFonts w:hint="default" w:ascii="Arial" w:hAnsi="Arial" w:eastAsia="Arial" w:cs="Arial"/>
        <w:spacing w:val="-3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822" w:hanging="360"/>
      </w:pPr>
      <w:rPr>
        <w:rFonts w:hint="default"/>
        <w:w w:val="100"/>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2">
    <w:multiLevelType w:val="hybridMultilevel"/>
    <w:lvl w:ilvl="0">
      <w:start w:val="4"/>
      <w:numFmt w:val="decimal"/>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upperLetter"/>
      <w:lvlText w:val="%1)"/>
      <w:lvlJc w:val="left"/>
      <w:pPr>
        <w:ind w:left="822" w:hanging="360"/>
        <w:jc w:val="left"/>
      </w:pPr>
      <w:rPr>
        <w:rFonts w:hint="default"/>
        <w:b/>
        <w:bCs/>
        <w:spacing w:val="-3"/>
        <w:w w:val="99"/>
      </w:rPr>
    </w:lvl>
    <w:lvl w:ilvl="1">
      <w:start w:val="1"/>
      <w:numFmt w:val="decimal"/>
      <w:lvlText w:val="%2)"/>
      <w:lvlJc w:val="left"/>
      <w:pPr>
        <w:ind w:left="822" w:hanging="360"/>
        <w:jc w:val="left"/>
      </w:pPr>
      <w:rPr>
        <w:rFonts w:hint="default" w:ascii="Arial" w:hAnsi="Arial" w:eastAsia="Arial" w:cs="Arial"/>
        <w:b/>
        <w:bCs/>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lowerLetter"/>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822" w:hanging="360"/>
      </w:pPr>
      <w:rPr>
        <w:rFonts w:hint="default" w:ascii="Arial" w:hAnsi="Arial" w:eastAsia="Arial" w:cs="Arial"/>
        <w:spacing w:val="-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5"/>
      <w:numFmt w:val="upperRoman"/>
      <w:lvlText w:val="%1."/>
      <w:lvlJc w:val="left"/>
      <w:pPr>
        <w:ind w:left="102" w:hanging="312"/>
        <w:jc w:val="left"/>
      </w:pPr>
      <w:rPr>
        <w:rFonts w:hint="default" w:ascii="Arial" w:hAnsi="Arial" w:eastAsia="Arial" w:cs="Aria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2"/>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
    <w:multiLevelType w:val="hybridMultilevel"/>
    <w:lvl w:ilvl="0">
      <w:start w:val="1"/>
      <w:numFmt w:val="decimal"/>
      <w:lvlText w:val="%1"/>
      <w:lvlJc w:val="left"/>
      <w:pPr>
        <w:ind w:left="637" w:hanging="536"/>
        <w:jc w:val="left"/>
      </w:pPr>
      <w:rPr>
        <w:rFonts w:hint="default"/>
      </w:rPr>
    </w:lvl>
    <w:lvl w:ilvl="1">
      <w:start w:val="10"/>
      <w:numFmt w:val="decimal"/>
      <w:lvlText w:val="%1.%2"/>
      <w:lvlJc w:val="left"/>
      <w:pPr>
        <w:ind w:left="637" w:hanging="536"/>
        <w:jc w:val="left"/>
      </w:pPr>
      <w:rPr>
        <w:rFonts w:hint="default" w:ascii="Arial" w:hAnsi="Arial" w:eastAsia="Arial" w:cs="Arial"/>
        <w:b/>
        <w:bCs/>
        <w:w w:val="99"/>
        <w:sz w:val="24"/>
        <w:szCs w:val="24"/>
      </w:rPr>
    </w:lvl>
    <w:lvl w:ilvl="2">
      <w:start w:val="1"/>
      <w:numFmt w:val="bullet"/>
      <w:lvlText w:val="•"/>
      <w:lvlJc w:val="left"/>
      <w:pPr>
        <w:ind w:left="2324" w:hanging="536"/>
      </w:pPr>
      <w:rPr>
        <w:rFonts w:hint="default"/>
      </w:rPr>
    </w:lvl>
    <w:lvl w:ilvl="3">
      <w:start w:val="1"/>
      <w:numFmt w:val="bullet"/>
      <w:lvlText w:val="•"/>
      <w:lvlJc w:val="left"/>
      <w:pPr>
        <w:ind w:left="3166" w:hanging="536"/>
      </w:pPr>
      <w:rPr>
        <w:rFonts w:hint="default"/>
      </w:rPr>
    </w:lvl>
    <w:lvl w:ilvl="4">
      <w:start w:val="1"/>
      <w:numFmt w:val="bullet"/>
      <w:lvlText w:val="•"/>
      <w:lvlJc w:val="left"/>
      <w:pPr>
        <w:ind w:left="4008" w:hanging="536"/>
      </w:pPr>
      <w:rPr>
        <w:rFonts w:hint="default"/>
      </w:rPr>
    </w:lvl>
    <w:lvl w:ilvl="5">
      <w:start w:val="1"/>
      <w:numFmt w:val="bullet"/>
      <w:lvlText w:val="•"/>
      <w:lvlJc w:val="left"/>
      <w:pPr>
        <w:ind w:left="4850" w:hanging="536"/>
      </w:pPr>
      <w:rPr>
        <w:rFonts w:hint="default"/>
      </w:rPr>
    </w:lvl>
    <w:lvl w:ilvl="6">
      <w:start w:val="1"/>
      <w:numFmt w:val="bullet"/>
      <w:lvlText w:val="•"/>
      <w:lvlJc w:val="left"/>
      <w:pPr>
        <w:ind w:left="5692" w:hanging="536"/>
      </w:pPr>
      <w:rPr>
        <w:rFonts w:hint="default"/>
      </w:rPr>
    </w:lvl>
    <w:lvl w:ilvl="7">
      <w:start w:val="1"/>
      <w:numFmt w:val="bullet"/>
      <w:lvlText w:val="•"/>
      <w:lvlJc w:val="left"/>
      <w:pPr>
        <w:ind w:left="6534" w:hanging="536"/>
      </w:pPr>
      <w:rPr>
        <w:rFonts w:hint="default"/>
      </w:rPr>
    </w:lvl>
    <w:lvl w:ilvl="8">
      <w:start w:val="1"/>
      <w:numFmt w:val="bullet"/>
      <w:lvlText w:val="•"/>
      <w:lvlJc w:val="left"/>
      <w:pPr>
        <w:ind w:left="7376" w:hanging="536"/>
      </w:pPr>
      <w:rPr>
        <w:rFonts w:hint="default"/>
      </w:rPr>
    </w:lvl>
  </w:abstractNum>
  <w:abstractNum w:abstractNumId="5">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2268" w:hanging="404"/>
      </w:pPr>
      <w:rPr>
        <w:rFonts w:hint="default"/>
      </w:rPr>
    </w:lvl>
    <w:lvl w:ilvl="3">
      <w:start w:val="1"/>
      <w:numFmt w:val="bullet"/>
      <w:lvlText w:val="•"/>
      <w:lvlJc w:val="left"/>
      <w:pPr>
        <w:ind w:left="3117" w:hanging="404"/>
      </w:pPr>
      <w:rPr>
        <w:rFonts w:hint="default"/>
      </w:rPr>
    </w:lvl>
    <w:lvl w:ilvl="4">
      <w:start w:val="1"/>
      <w:numFmt w:val="bullet"/>
      <w:lvlText w:val="•"/>
      <w:lvlJc w:val="left"/>
      <w:pPr>
        <w:ind w:left="3966" w:hanging="404"/>
      </w:pPr>
      <w:rPr>
        <w:rFonts w:hint="default"/>
      </w:rPr>
    </w:lvl>
    <w:lvl w:ilvl="5">
      <w:start w:val="1"/>
      <w:numFmt w:val="bullet"/>
      <w:lvlText w:val="•"/>
      <w:lvlJc w:val="left"/>
      <w:pPr>
        <w:ind w:left="4815" w:hanging="404"/>
      </w:pPr>
      <w:rPr>
        <w:rFonts w:hint="default"/>
      </w:rPr>
    </w:lvl>
    <w:lvl w:ilvl="6">
      <w:start w:val="1"/>
      <w:numFmt w:val="bullet"/>
      <w:lvlText w:val="•"/>
      <w:lvlJc w:val="left"/>
      <w:pPr>
        <w:ind w:left="5664" w:hanging="404"/>
      </w:pPr>
      <w:rPr>
        <w:rFonts w:hint="default"/>
      </w:rPr>
    </w:lvl>
    <w:lvl w:ilvl="7">
      <w:start w:val="1"/>
      <w:numFmt w:val="bullet"/>
      <w:lvlText w:val="•"/>
      <w:lvlJc w:val="left"/>
      <w:pPr>
        <w:ind w:left="6513" w:hanging="404"/>
      </w:pPr>
      <w:rPr>
        <w:rFonts w:hint="default"/>
      </w:rPr>
    </w:lvl>
    <w:lvl w:ilvl="8">
      <w:start w:val="1"/>
      <w:numFmt w:val="bullet"/>
      <w:lvlText w:val="•"/>
      <w:lvlJc w:val="left"/>
      <w:pPr>
        <w:ind w:left="7362" w:hanging="404"/>
      </w:pPr>
      <w:rPr>
        <w:rFonts w:hint="default"/>
      </w:rPr>
    </w:lvl>
  </w:abstractNum>
  <w:abstractNum w:abstractNumId="4">
    <w:multiLevelType w:val="hybridMultilevel"/>
    <w:lvl w:ilvl="0">
      <w:start w:val="1"/>
      <w:numFmt w:val="decimal"/>
      <w:lvlText w:val="%1."/>
      <w:lvlJc w:val="left"/>
      <w:pPr>
        <w:ind w:left="102" w:hanging="360"/>
        <w:jc w:val="right"/>
      </w:pPr>
      <w:rPr>
        <w:rFonts w:hint="default" w:ascii="Arial" w:hAnsi="Arial" w:eastAsia="Arial" w:cs="Arial"/>
        <w:b/>
        <w:bCs/>
        <w:w w:val="99"/>
        <w:sz w:val="24"/>
        <w:szCs w:val="24"/>
      </w:rPr>
    </w:lvl>
    <w:lvl w:ilvl="1">
      <w:start w:val="1"/>
      <w:numFmt w:val="decimal"/>
      <w:lvlText w:val="%1.%2"/>
      <w:lvlJc w:val="left"/>
      <w:pPr>
        <w:ind w:left="822" w:hanging="360"/>
        <w:jc w:val="left"/>
      </w:pPr>
      <w:rPr>
        <w:rFonts w:hint="default" w:ascii="Arial" w:hAnsi="Arial" w:eastAsia="Arial" w:cs="Arial"/>
        <w:b/>
        <w:bCs/>
        <w:w w:val="99"/>
        <w:sz w:val="24"/>
        <w:szCs w:val="24"/>
      </w:rPr>
    </w:lvl>
    <w:lvl w:ilvl="2">
      <w:start w:val="1"/>
      <w:numFmt w:val="decimal"/>
      <w:lvlText w:val="%1.%2.%3"/>
      <w:lvlJc w:val="left"/>
      <w:pPr>
        <w:ind w:left="1815" w:hanging="720"/>
        <w:jc w:val="left"/>
      </w:pPr>
      <w:rPr>
        <w:rFonts w:hint="default" w:ascii="Arial" w:hAnsi="Arial" w:eastAsia="Arial" w:cs="Arial"/>
        <w:b/>
        <w:bCs/>
        <w:spacing w:val="-2"/>
        <w:w w:val="99"/>
        <w:sz w:val="24"/>
        <w:szCs w:val="24"/>
      </w:rPr>
    </w:lvl>
    <w:lvl w:ilvl="3">
      <w:start w:val="1"/>
      <w:numFmt w:val="bullet"/>
      <w:lvlText w:val="•"/>
      <w:lvlJc w:val="left"/>
      <w:pPr>
        <w:ind w:left="1820" w:hanging="720"/>
      </w:pPr>
      <w:rPr>
        <w:rFonts w:hint="default"/>
      </w:rPr>
    </w:lvl>
    <w:lvl w:ilvl="4">
      <w:start w:val="1"/>
      <w:numFmt w:val="bullet"/>
      <w:lvlText w:val="•"/>
      <w:lvlJc w:val="left"/>
      <w:pPr>
        <w:ind w:left="2854" w:hanging="720"/>
      </w:pPr>
      <w:rPr>
        <w:rFonts w:hint="default"/>
      </w:rPr>
    </w:lvl>
    <w:lvl w:ilvl="5">
      <w:start w:val="1"/>
      <w:numFmt w:val="bullet"/>
      <w:lvlText w:val="•"/>
      <w:lvlJc w:val="left"/>
      <w:pPr>
        <w:ind w:left="3888" w:hanging="720"/>
      </w:pPr>
      <w:rPr>
        <w:rFonts w:hint="default"/>
      </w:rPr>
    </w:lvl>
    <w:lvl w:ilvl="6">
      <w:start w:val="1"/>
      <w:numFmt w:val="bullet"/>
      <w:lvlText w:val="•"/>
      <w:lvlJc w:val="left"/>
      <w:pPr>
        <w:ind w:left="4922" w:hanging="720"/>
      </w:pPr>
      <w:rPr>
        <w:rFonts w:hint="default"/>
      </w:rPr>
    </w:lvl>
    <w:lvl w:ilvl="7">
      <w:start w:val="1"/>
      <w:numFmt w:val="bullet"/>
      <w:lvlText w:val="•"/>
      <w:lvlJc w:val="left"/>
      <w:pPr>
        <w:ind w:left="5957" w:hanging="720"/>
      </w:pPr>
      <w:rPr>
        <w:rFonts w:hint="default"/>
      </w:rPr>
    </w:lvl>
    <w:lvl w:ilvl="8">
      <w:start w:val="1"/>
      <w:numFmt w:val="bullet"/>
      <w:lvlText w:val="•"/>
      <w:lvlJc w:val="left"/>
      <w:pPr>
        <w:ind w:left="6991" w:hanging="720"/>
      </w:pPr>
      <w:rPr>
        <w:rFonts w:hint="default"/>
      </w:rPr>
    </w:lvl>
  </w:abstractNum>
  <w:abstractNum w:abstractNumId="3">
    <w:multiLevelType w:val="hybridMultilevel"/>
    <w:lvl w:ilvl="0">
      <w:start w:val="1"/>
      <w:numFmt w:val="upperRoman"/>
      <w:lvlText w:val="%1."/>
      <w:lvlJc w:val="left"/>
      <w:pPr>
        <w:ind w:left="102" w:hanging="720"/>
        <w:jc w:val="left"/>
      </w:pPr>
      <w:rPr>
        <w:rFonts w:hint="default" w:ascii="Arial" w:hAnsi="Arial" w:eastAsia="Arial" w:cs="Arial"/>
        <w:b/>
        <w:bCs/>
        <w:spacing w:val="-1"/>
        <w:w w:val="99"/>
        <w:sz w:val="24"/>
        <w:szCs w:val="24"/>
      </w:rPr>
    </w:lvl>
    <w:lvl w:ilvl="1">
      <w:start w:val="1"/>
      <w:numFmt w:val="bullet"/>
      <w:lvlText w:val=""/>
      <w:lvlJc w:val="left"/>
      <w:pPr>
        <w:ind w:left="1234" w:hanging="425"/>
      </w:pPr>
      <w:rPr>
        <w:rFonts w:hint="default" w:ascii="Symbol" w:hAnsi="Symbol" w:eastAsia="Symbol" w:cs="Symbol"/>
        <w:w w:val="100"/>
        <w:sz w:val="24"/>
        <w:szCs w:val="24"/>
      </w:rPr>
    </w:lvl>
    <w:lvl w:ilvl="2">
      <w:start w:val="1"/>
      <w:numFmt w:val="bullet"/>
      <w:lvlText w:val="•"/>
      <w:lvlJc w:val="left"/>
      <w:pPr>
        <w:ind w:left="2108" w:hanging="425"/>
      </w:pPr>
      <w:rPr>
        <w:rFonts w:hint="default"/>
      </w:rPr>
    </w:lvl>
    <w:lvl w:ilvl="3">
      <w:start w:val="1"/>
      <w:numFmt w:val="bullet"/>
      <w:lvlText w:val="•"/>
      <w:lvlJc w:val="left"/>
      <w:pPr>
        <w:ind w:left="2977" w:hanging="425"/>
      </w:pPr>
      <w:rPr>
        <w:rFonts w:hint="default"/>
      </w:rPr>
    </w:lvl>
    <w:lvl w:ilvl="4">
      <w:start w:val="1"/>
      <w:numFmt w:val="bullet"/>
      <w:lvlText w:val="•"/>
      <w:lvlJc w:val="left"/>
      <w:pPr>
        <w:ind w:left="3846" w:hanging="425"/>
      </w:pPr>
      <w:rPr>
        <w:rFonts w:hint="default"/>
      </w:rPr>
    </w:lvl>
    <w:lvl w:ilvl="5">
      <w:start w:val="1"/>
      <w:numFmt w:val="bullet"/>
      <w:lvlText w:val="•"/>
      <w:lvlJc w:val="left"/>
      <w:pPr>
        <w:ind w:left="4715" w:hanging="425"/>
      </w:pPr>
      <w:rPr>
        <w:rFonts w:hint="default"/>
      </w:rPr>
    </w:lvl>
    <w:lvl w:ilvl="6">
      <w:start w:val="1"/>
      <w:numFmt w:val="bullet"/>
      <w:lvlText w:val="•"/>
      <w:lvlJc w:val="left"/>
      <w:pPr>
        <w:ind w:left="5584" w:hanging="425"/>
      </w:pPr>
      <w:rPr>
        <w:rFonts w:hint="default"/>
      </w:rPr>
    </w:lvl>
    <w:lvl w:ilvl="7">
      <w:start w:val="1"/>
      <w:numFmt w:val="bullet"/>
      <w:lvlText w:val="•"/>
      <w:lvlJc w:val="left"/>
      <w:pPr>
        <w:ind w:left="6453" w:hanging="425"/>
      </w:pPr>
      <w:rPr>
        <w:rFonts w:hint="default"/>
      </w:rPr>
    </w:lvl>
    <w:lvl w:ilvl="8">
      <w:start w:val="1"/>
      <w:numFmt w:val="bullet"/>
      <w:lvlText w:val="•"/>
      <w:lvlJc w:val="left"/>
      <w:pPr>
        <w:ind w:left="7322" w:hanging="425"/>
      </w:pPr>
      <w:rPr>
        <w:rFonts w:hint="default"/>
      </w:rPr>
    </w:lvl>
  </w:abstractNum>
  <w:abstractNum w:abstractNumId="2">
    <w:multiLevelType w:val="hybridMultilevel"/>
    <w:lvl w:ilvl="0">
      <w:start w:val="5"/>
      <w:numFmt w:val="decimal"/>
      <w:lvlText w:val="%1"/>
      <w:lvlJc w:val="left"/>
      <w:pPr>
        <w:ind w:left="1422" w:hanging="881"/>
        <w:jc w:val="left"/>
      </w:pPr>
      <w:rPr>
        <w:rFonts w:hint="default"/>
      </w:rPr>
    </w:lvl>
    <w:lvl w:ilvl="1">
      <w:start w:val="3"/>
      <w:numFmt w:val="decimal"/>
      <w:lvlText w:val="%1.%2"/>
      <w:lvlJc w:val="left"/>
      <w:pPr>
        <w:ind w:left="1422" w:hanging="881"/>
        <w:jc w:val="left"/>
      </w:pPr>
      <w:rPr>
        <w:rFonts w:hint="default"/>
      </w:rPr>
    </w:lvl>
    <w:lvl w:ilvl="2">
      <w:start w:val="1"/>
      <w:numFmt w:val="decimal"/>
      <w:lvlText w:val="%1.%2.%3"/>
      <w:lvlJc w:val="left"/>
      <w:pPr>
        <w:ind w:left="1422" w:hanging="881"/>
        <w:jc w:val="left"/>
      </w:pPr>
      <w:rPr>
        <w:rFonts w:hint="default" w:ascii="Arial" w:hAnsi="Arial" w:eastAsia="Arial" w:cs="Arial"/>
        <w:w w:val="100"/>
        <w:sz w:val="22"/>
        <w:szCs w:val="22"/>
      </w:rPr>
    </w:lvl>
    <w:lvl w:ilvl="3">
      <w:start w:val="1"/>
      <w:numFmt w:val="bullet"/>
      <w:lvlText w:val="•"/>
      <w:lvlJc w:val="left"/>
      <w:pPr>
        <w:ind w:left="3712" w:hanging="881"/>
      </w:pPr>
      <w:rPr>
        <w:rFonts w:hint="default"/>
      </w:rPr>
    </w:lvl>
    <w:lvl w:ilvl="4">
      <w:start w:val="1"/>
      <w:numFmt w:val="bullet"/>
      <w:lvlText w:val="•"/>
      <w:lvlJc w:val="left"/>
      <w:pPr>
        <w:ind w:left="4476" w:hanging="881"/>
      </w:pPr>
      <w:rPr>
        <w:rFonts w:hint="default"/>
      </w:rPr>
    </w:lvl>
    <w:lvl w:ilvl="5">
      <w:start w:val="1"/>
      <w:numFmt w:val="bullet"/>
      <w:lvlText w:val="•"/>
      <w:lvlJc w:val="left"/>
      <w:pPr>
        <w:ind w:left="5240" w:hanging="881"/>
      </w:pPr>
      <w:rPr>
        <w:rFonts w:hint="default"/>
      </w:rPr>
    </w:lvl>
    <w:lvl w:ilvl="6">
      <w:start w:val="1"/>
      <w:numFmt w:val="bullet"/>
      <w:lvlText w:val="•"/>
      <w:lvlJc w:val="left"/>
      <w:pPr>
        <w:ind w:left="6004" w:hanging="881"/>
      </w:pPr>
      <w:rPr>
        <w:rFonts w:hint="default"/>
      </w:rPr>
    </w:lvl>
    <w:lvl w:ilvl="7">
      <w:start w:val="1"/>
      <w:numFmt w:val="bullet"/>
      <w:lvlText w:val="•"/>
      <w:lvlJc w:val="left"/>
      <w:pPr>
        <w:ind w:left="6768" w:hanging="881"/>
      </w:pPr>
      <w:rPr>
        <w:rFonts w:hint="default"/>
      </w:rPr>
    </w:lvl>
    <w:lvl w:ilvl="8">
      <w:start w:val="1"/>
      <w:numFmt w:val="bullet"/>
      <w:lvlText w:val="•"/>
      <w:lvlJc w:val="left"/>
      <w:pPr>
        <w:ind w:left="7532" w:hanging="881"/>
      </w:pPr>
      <w:rPr>
        <w:rFonts w:hint="default"/>
      </w:rPr>
    </w:lvl>
  </w:abstractNum>
  <w:abstractNum w:abstractNumId="1">
    <w:multiLevelType w:val="hybridMultilevel"/>
    <w:lvl w:ilvl="0">
      <w:start w:val="1"/>
      <w:numFmt w:val="decimal"/>
      <w:lvlText w:val="%1"/>
      <w:lvlJc w:val="left"/>
      <w:pPr>
        <w:ind w:left="814" w:hanging="492"/>
        <w:jc w:val="left"/>
      </w:pPr>
      <w:rPr>
        <w:rFonts w:hint="default"/>
      </w:rPr>
    </w:lvl>
    <w:lvl w:ilvl="1">
      <w:start w:val="10"/>
      <w:numFmt w:val="decimal"/>
      <w:lvlText w:val="%1.%2"/>
      <w:lvlJc w:val="left"/>
      <w:pPr>
        <w:ind w:left="814" w:hanging="492"/>
        <w:jc w:val="left"/>
      </w:pPr>
      <w:rPr>
        <w:rFonts w:hint="default" w:ascii="Arial" w:hAnsi="Arial" w:eastAsia="Arial" w:cs="Arial"/>
        <w:w w:val="100"/>
        <w:sz w:val="22"/>
        <w:szCs w:val="22"/>
      </w:rPr>
    </w:lvl>
    <w:lvl w:ilvl="2">
      <w:start w:val="1"/>
      <w:numFmt w:val="bullet"/>
      <w:lvlText w:val="•"/>
      <w:lvlJc w:val="left"/>
      <w:pPr>
        <w:ind w:left="2468" w:hanging="492"/>
      </w:pPr>
      <w:rPr>
        <w:rFonts w:hint="default"/>
      </w:rPr>
    </w:lvl>
    <w:lvl w:ilvl="3">
      <w:start w:val="1"/>
      <w:numFmt w:val="bullet"/>
      <w:lvlText w:val="•"/>
      <w:lvlJc w:val="left"/>
      <w:pPr>
        <w:ind w:left="3292" w:hanging="492"/>
      </w:pPr>
      <w:rPr>
        <w:rFonts w:hint="default"/>
      </w:rPr>
    </w:lvl>
    <w:lvl w:ilvl="4">
      <w:start w:val="1"/>
      <w:numFmt w:val="bullet"/>
      <w:lvlText w:val="•"/>
      <w:lvlJc w:val="left"/>
      <w:pPr>
        <w:ind w:left="4116" w:hanging="492"/>
      </w:pPr>
      <w:rPr>
        <w:rFonts w:hint="default"/>
      </w:rPr>
    </w:lvl>
    <w:lvl w:ilvl="5">
      <w:start w:val="1"/>
      <w:numFmt w:val="bullet"/>
      <w:lvlText w:val="•"/>
      <w:lvlJc w:val="left"/>
      <w:pPr>
        <w:ind w:left="4940" w:hanging="492"/>
      </w:pPr>
      <w:rPr>
        <w:rFonts w:hint="default"/>
      </w:rPr>
    </w:lvl>
    <w:lvl w:ilvl="6">
      <w:start w:val="1"/>
      <w:numFmt w:val="bullet"/>
      <w:lvlText w:val="•"/>
      <w:lvlJc w:val="left"/>
      <w:pPr>
        <w:ind w:left="5764" w:hanging="492"/>
      </w:pPr>
      <w:rPr>
        <w:rFonts w:hint="default"/>
      </w:rPr>
    </w:lvl>
    <w:lvl w:ilvl="7">
      <w:start w:val="1"/>
      <w:numFmt w:val="bullet"/>
      <w:lvlText w:val="•"/>
      <w:lvlJc w:val="left"/>
      <w:pPr>
        <w:ind w:left="6588" w:hanging="492"/>
      </w:pPr>
      <w:rPr>
        <w:rFonts w:hint="default"/>
      </w:rPr>
    </w:lvl>
    <w:lvl w:ilvl="8">
      <w:start w:val="1"/>
      <w:numFmt w:val="bullet"/>
      <w:lvlText w:val="•"/>
      <w:lvlJc w:val="left"/>
      <w:pPr>
        <w:ind w:left="7412" w:hanging="492"/>
      </w:pPr>
      <w:rPr>
        <w:rFonts w:hint="default"/>
      </w:rPr>
    </w:lvl>
  </w:abstractNum>
  <w:abstractNum w:abstractNumId="0">
    <w:multiLevelType w:val="hybridMultilevel"/>
    <w:lvl w:ilvl="0">
      <w:start w:val="1"/>
      <w:numFmt w:val="upperRoman"/>
      <w:lvlText w:val="%1."/>
      <w:lvlJc w:val="left"/>
      <w:pPr>
        <w:ind w:left="541" w:hanging="440"/>
        <w:jc w:val="left"/>
      </w:pPr>
      <w:rPr>
        <w:rFonts w:hint="default" w:ascii="Arial" w:hAnsi="Arial" w:eastAsia="Arial" w:cs="Arial"/>
        <w:spacing w:val="0"/>
        <w:w w:val="100"/>
        <w:sz w:val="22"/>
        <w:szCs w:val="22"/>
      </w:rPr>
    </w:lvl>
    <w:lvl w:ilvl="1">
      <w:start w:val="1"/>
      <w:numFmt w:val="decimal"/>
      <w:lvlText w:val="%2."/>
      <w:lvlJc w:val="left"/>
      <w:pPr>
        <w:ind w:left="541" w:hanging="440"/>
        <w:jc w:val="left"/>
      </w:pPr>
      <w:rPr>
        <w:rFonts w:hint="default" w:ascii="Arial" w:hAnsi="Arial" w:eastAsia="Arial" w:cs="Arial"/>
        <w:spacing w:val="-1"/>
        <w:w w:val="100"/>
        <w:sz w:val="22"/>
        <w:szCs w:val="22"/>
      </w:rPr>
    </w:lvl>
    <w:lvl w:ilvl="2">
      <w:start w:val="1"/>
      <w:numFmt w:val="decimal"/>
      <w:lvlText w:val="%2.%3"/>
      <w:lvlJc w:val="left"/>
      <w:pPr>
        <w:ind w:left="690" w:hanging="368"/>
        <w:jc w:val="left"/>
      </w:pPr>
      <w:rPr>
        <w:rFonts w:hint="default" w:ascii="Arial" w:hAnsi="Arial" w:eastAsia="Arial" w:cs="Arial"/>
        <w:w w:val="100"/>
        <w:sz w:val="22"/>
        <w:szCs w:val="22"/>
      </w:rPr>
    </w:lvl>
    <w:lvl w:ilvl="3">
      <w:start w:val="1"/>
      <w:numFmt w:val="lowerLetter"/>
      <w:lvlText w:val="%4)"/>
      <w:lvlJc w:val="left"/>
      <w:pPr>
        <w:ind w:left="102" w:hanging="442"/>
        <w:jc w:val="right"/>
      </w:pPr>
      <w:rPr>
        <w:rFonts w:hint="default"/>
        <w:spacing w:val="-1"/>
        <w:w w:val="100"/>
      </w:rPr>
    </w:lvl>
    <w:lvl w:ilvl="4">
      <w:start w:val="1"/>
      <w:numFmt w:val="bullet"/>
      <w:lvlText w:val="•"/>
      <w:lvlJc w:val="left"/>
      <w:pPr>
        <w:ind w:left="980" w:hanging="442"/>
      </w:pPr>
      <w:rPr>
        <w:rFonts w:hint="default"/>
      </w:rPr>
    </w:lvl>
    <w:lvl w:ilvl="5">
      <w:start w:val="1"/>
      <w:numFmt w:val="bullet"/>
      <w:lvlText w:val="•"/>
      <w:lvlJc w:val="left"/>
      <w:pPr>
        <w:ind w:left="1100" w:hanging="442"/>
      </w:pPr>
      <w:rPr>
        <w:rFonts w:hint="default"/>
      </w:rPr>
    </w:lvl>
    <w:lvl w:ilvl="6">
      <w:start w:val="1"/>
      <w:numFmt w:val="bullet"/>
      <w:lvlText w:val="•"/>
      <w:lvlJc w:val="left"/>
      <w:pPr>
        <w:ind w:left="2692" w:hanging="442"/>
      </w:pPr>
      <w:rPr>
        <w:rFonts w:hint="default"/>
      </w:rPr>
    </w:lvl>
    <w:lvl w:ilvl="7">
      <w:start w:val="1"/>
      <w:numFmt w:val="bullet"/>
      <w:lvlText w:val="•"/>
      <w:lvlJc w:val="left"/>
      <w:pPr>
        <w:ind w:left="4284" w:hanging="442"/>
      </w:pPr>
      <w:rPr>
        <w:rFonts w:hint="default"/>
      </w:rPr>
    </w:lvl>
    <w:lvl w:ilvl="8">
      <w:start w:val="1"/>
      <w:numFmt w:val="bullet"/>
      <w:lvlText w:val="•"/>
      <w:lvlJc w:val="left"/>
      <w:pPr>
        <w:ind w:left="5876" w:hanging="442"/>
      </w:pPr>
      <w:rPr>
        <w:rFonts w:hint="default"/>
      </w:rPr>
    </w:lvl>
  </w:abstractNum>
  <w:num w:numId="18">
    <w:abstractNumId w:val="17"/>
  </w:num>
  <w:num w:numId="17">
    <w:abstractNumId w:val="16"/>
  </w:num>
  <w:num w:numId="20">
    <w:abstractNumId w:val="19"/>
  </w:num>
  <w:num w:numId="19">
    <w:abstractNumId w:val="18"/>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541" w:hanging="439"/>
    </w:pPr>
    <w:rPr>
      <w:rFonts w:ascii="Arial" w:hAnsi="Arial" w:eastAsia="Arial" w:cs="Arial"/>
      <w:sz w:val="22"/>
      <w:szCs w:val="22"/>
    </w:rPr>
  </w:style>
  <w:style w:styleId="TOC2" w:type="paragraph">
    <w:name w:val="TOC 2"/>
    <w:basedOn w:val="Normal"/>
    <w:uiPriority w:val="1"/>
    <w:qFormat/>
    <w:pPr>
      <w:spacing w:before="139"/>
      <w:ind w:left="982" w:hanging="660"/>
    </w:pPr>
    <w:rPr>
      <w:rFonts w:ascii="Arial" w:hAnsi="Arial" w:eastAsia="Arial" w:cs="Arial"/>
      <w:sz w:val="22"/>
      <w:szCs w:val="22"/>
    </w:rPr>
  </w:style>
  <w:style w:styleId="TOC3" w:type="paragraph">
    <w:name w:val="TOC 3"/>
    <w:basedOn w:val="Normal"/>
    <w:uiPriority w:val="1"/>
    <w:qFormat/>
    <w:pPr>
      <w:spacing w:before="139"/>
      <w:ind w:left="1422" w:hanging="881"/>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hanging="360"/>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spacing w:before="1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5.png"/><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image" Target="media/image6.jpeg"/><Relationship Id="rId21" Type="http://schemas.openxmlformats.org/officeDocument/2006/relationships/footer" Target="footer11.xml"/><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hyperlink" Target="http://www.sma.df.gob.mx/corena/conservacion/notadia" TargetMode="External"/><Relationship Id="rId25" Type="http://schemas.openxmlformats.org/officeDocument/2006/relationships/hyperlink" Target="http://smn.cna.gob.mx/index.php?option=com_content" TargetMode="External"/><Relationship Id="rId26" Type="http://schemas.openxmlformats.org/officeDocument/2006/relationships/hyperlink" Target="http://smn.cna.gob.mx/emas/" TargetMode="External"/><Relationship Id="rId27" Type="http://schemas.openxmlformats.org/officeDocument/2006/relationships/hyperlink" Target="http://glovis.usgs.gov/" TargetMode="External"/><Relationship Id="rId28" Type="http://schemas.openxmlformats.org/officeDocument/2006/relationships/hyperlink" Target="http://earthexplorer.usgs.gov/" TargetMode="External"/><Relationship Id="rId29" Type="http://schemas.openxmlformats.org/officeDocument/2006/relationships/hyperlink" Target="http://www.inegi.org.mx/geo/contenidos/recnat/default.a" TargetMode="External"/><Relationship Id="rId30" Type="http://schemas.openxmlformats.org/officeDocument/2006/relationships/image" Target="media/image9.png"/><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image" Target="media/image10.jpeg"/><Relationship Id="rId34" Type="http://schemas.openxmlformats.org/officeDocument/2006/relationships/image" Target="media/image11.jpeg"/><Relationship Id="rId35" Type="http://schemas.openxmlformats.org/officeDocument/2006/relationships/footer" Target="footer14.xml"/><Relationship Id="rId36" Type="http://schemas.openxmlformats.org/officeDocument/2006/relationships/footer" Target="footer15.xml"/><Relationship Id="rId37" Type="http://schemas.openxmlformats.org/officeDocument/2006/relationships/image" Target="media/image12.jpeg"/><Relationship Id="rId38" Type="http://schemas.openxmlformats.org/officeDocument/2006/relationships/image" Target="media/image13.jpeg"/><Relationship Id="rId39" Type="http://schemas.openxmlformats.org/officeDocument/2006/relationships/image" Target="media/image14.jpeg"/><Relationship Id="rId40" Type="http://schemas.openxmlformats.org/officeDocument/2006/relationships/image" Target="media/image15.jpeg"/><Relationship Id="rId41" Type="http://schemas.openxmlformats.org/officeDocument/2006/relationships/footer" Target="footer16.xml"/><Relationship Id="rId42" Type="http://schemas.openxmlformats.org/officeDocument/2006/relationships/image" Target="media/image16.jpeg"/><Relationship Id="rId43" Type="http://schemas.openxmlformats.org/officeDocument/2006/relationships/footer" Target="footer17.xml"/><Relationship Id="rId44" Type="http://schemas.openxmlformats.org/officeDocument/2006/relationships/image" Target="media/image17.jpeg"/><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image" Target="media/image21.png"/><Relationship Id="rId49" Type="http://schemas.openxmlformats.org/officeDocument/2006/relationships/image" Target="media/image22.jpeg"/><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image" Target="media/image23.jpeg"/><Relationship Id="rId53" Type="http://schemas.openxmlformats.org/officeDocument/2006/relationships/image" Target="media/image24.jpeg"/><Relationship Id="rId54" Type="http://schemas.openxmlformats.org/officeDocument/2006/relationships/image" Target="media/image25.png"/><Relationship Id="rId55" Type="http://schemas.openxmlformats.org/officeDocument/2006/relationships/image" Target="media/image26.png"/><Relationship Id="rId56" Type="http://schemas.openxmlformats.org/officeDocument/2006/relationships/image" Target="media/image27.png"/><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image" Target="media/image30.png"/><Relationship Id="rId60" Type="http://schemas.openxmlformats.org/officeDocument/2006/relationships/image" Target="media/image31.png"/><Relationship Id="rId61" Type="http://schemas.openxmlformats.org/officeDocument/2006/relationships/footer" Target="footer20.xml"/><Relationship Id="rId62" Type="http://schemas.openxmlformats.org/officeDocument/2006/relationships/image" Target="media/image32.png"/><Relationship Id="rId63" Type="http://schemas.openxmlformats.org/officeDocument/2006/relationships/image" Target="media/image33.png"/><Relationship Id="rId64" Type="http://schemas.openxmlformats.org/officeDocument/2006/relationships/footer" Target="footer21.xml"/><Relationship Id="rId65" Type="http://schemas.openxmlformats.org/officeDocument/2006/relationships/image" Target="media/image34.jpeg"/><Relationship Id="rId66" Type="http://schemas.openxmlformats.org/officeDocument/2006/relationships/image" Target="media/image35.png"/><Relationship Id="rId67" Type="http://schemas.openxmlformats.org/officeDocument/2006/relationships/image" Target="media/image36.png"/><Relationship Id="rId68" Type="http://schemas.openxmlformats.org/officeDocument/2006/relationships/image" Target="media/image37.jpeg"/><Relationship Id="rId69" Type="http://schemas.openxmlformats.org/officeDocument/2006/relationships/image" Target="media/image38.png"/><Relationship Id="rId70" Type="http://schemas.openxmlformats.org/officeDocument/2006/relationships/image" Target="media/image39.png"/><Relationship Id="rId71" Type="http://schemas.openxmlformats.org/officeDocument/2006/relationships/image" Target="media/image40.png"/><Relationship Id="rId72" Type="http://schemas.openxmlformats.org/officeDocument/2006/relationships/image" Target="media/image41.png"/><Relationship Id="rId73" Type="http://schemas.openxmlformats.org/officeDocument/2006/relationships/footer" Target="footer22.xml"/><Relationship Id="rId74" Type="http://schemas.openxmlformats.org/officeDocument/2006/relationships/image" Target="media/image42.png"/><Relationship Id="rId75" Type="http://schemas.openxmlformats.org/officeDocument/2006/relationships/image" Target="media/image43.png"/><Relationship Id="rId76" Type="http://schemas.openxmlformats.org/officeDocument/2006/relationships/image" Target="media/image44.png"/><Relationship Id="rId77" Type="http://schemas.openxmlformats.org/officeDocument/2006/relationships/image" Target="media/image45.png"/><Relationship Id="rId78" Type="http://schemas.openxmlformats.org/officeDocument/2006/relationships/image" Target="media/image46.png"/><Relationship Id="rId79" Type="http://schemas.openxmlformats.org/officeDocument/2006/relationships/image" Target="media/image47.png"/><Relationship Id="rId80" Type="http://schemas.openxmlformats.org/officeDocument/2006/relationships/image" Target="media/image48.png"/><Relationship Id="rId81" Type="http://schemas.openxmlformats.org/officeDocument/2006/relationships/hyperlink" Target="http://www.pgjdf.gob.mx/fedapur/DF/Programas/Programa%20General%20Or" TargetMode="External"/><Relationship Id="rId82" Type="http://schemas.openxmlformats.org/officeDocument/2006/relationships/hyperlink" Target="http://www.prosoc.df.gob.mx/Prontuario/Codigos_y_leyes/Ley_Ambiental_par" TargetMode="External"/><Relationship Id="rId83" Type="http://schemas.openxmlformats.org/officeDocument/2006/relationships/footer" Target="footer23.xml"/><Relationship Id="rId84" Type="http://schemas.openxmlformats.org/officeDocument/2006/relationships/hyperlink" Target="http://www.ub.edu/geocrit/geo54.htm" TargetMode="External"/><Relationship Id="rId85" Type="http://schemas.openxmlformats.org/officeDocument/2006/relationships/hyperlink" Target="http://proteccioncivil.gob.mx/work/models/ProteccionCivil/Resource/373/1/im" TargetMode="External"/><Relationship Id="rId86" Type="http://schemas.openxmlformats.org/officeDocument/2006/relationships/hyperlink" Target="http://www.cenapred.unam.mx/es/Publicaciones/archivos/159-" TargetMode="External"/><Relationship Id="rId87" Type="http://schemas.openxmlformats.org/officeDocument/2006/relationships/hyperlink" Target="http://www.inegi.org.mx/" TargetMode="External"/><Relationship Id="rId88" Type="http://schemas.openxmlformats.org/officeDocument/2006/relationships/hyperlink" Target="http://www.miliarium.com/bibliografia/monografias/Incendios_Forestales/Sist" TargetMode="External"/><Relationship Id="rId89" Type="http://schemas.openxmlformats.org/officeDocument/2006/relationships/hyperlink" Target="http://www.sma.df.gob.mx/corena/conservacion/notadiaria/" TargetMode="External"/><Relationship Id="rId90" Type="http://schemas.openxmlformats.org/officeDocument/2006/relationships/hyperlink" Target="http://ciudadverde.sedema.df.gob.mx/corena/conservacion/proteccion_nota_diaria.php" TargetMode="External"/><Relationship Id="rId91" Type="http://schemas.openxmlformats.org/officeDocument/2006/relationships/hyperlink" Target="http://www.sma.df.gob.mx/corena/conservacion/proteccion_nota_diaria.php" TargetMode="External"/><Relationship Id="rId92" Type="http://schemas.openxmlformats.org/officeDocument/2006/relationships/hyperlink" Target="http://www.sma.df.gob.mx/corena/conservacion/proteccion_incendios_desc" TargetMode="External"/><Relationship Id="rId93" Type="http://schemas.openxmlformats.org/officeDocument/2006/relationships/hyperlink" Target="http://www.sma.df.gob.mx/corena/index.php?option=com_content&amp;amp;view=category&amp;amp;id=37&amp;amp;Itemid=65" TargetMode="External"/><Relationship Id="rId94" Type="http://schemas.openxmlformats.org/officeDocument/2006/relationships/hyperlink" Target="http://www.redalyc.org/articulo.oa?id=30241608" TargetMode="External"/><Relationship Id="rId95" Type="http://schemas.openxmlformats.org/officeDocument/2006/relationships/image" Target="media/image49.jpeg"/><Relationship Id="rId96" Type="http://schemas.openxmlformats.org/officeDocument/2006/relationships/image" Target="media/image50.jpeg"/><Relationship Id="rId97" Type="http://schemas.openxmlformats.org/officeDocument/2006/relationships/image" Target="media/image51.jpeg"/><Relationship Id="rId98" Type="http://schemas.openxmlformats.org/officeDocument/2006/relationships/image" Target="media/image52.jpeg"/><Relationship Id="rId99" Type="http://schemas.openxmlformats.org/officeDocument/2006/relationships/image" Target="media/image53.jpeg"/><Relationship Id="rId100" Type="http://schemas.openxmlformats.org/officeDocument/2006/relationships/image" Target="media/image54.jpeg"/><Relationship Id="rId101" Type="http://schemas.openxmlformats.org/officeDocument/2006/relationships/footer" Target="footer24.xml"/><Relationship Id="rId102" Type="http://schemas.openxmlformats.org/officeDocument/2006/relationships/image" Target="media/image55.jpeg"/><Relationship Id="rId103" Type="http://schemas.openxmlformats.org/officeDocument/2006/relationships/image" Target="media/image56.jpeg"/><Relationship Id="rId104" Type="http://schemas.openxmlformats.org/officeDocument/2006/relationships/image" Target="media/image57.jpeg"/><Relationship Id="rId105" Type="http://schemas.openxmlformats.org/officeDocument/2006/relationships/image" Target="media/image58.jpeg"/><Relationship Id="rId106" Type="http://schemas.openxmlformats.org/officeDocument/2006/relationships/image" Target="media/image59.jpeg"/><Relationship Id="rId107" Type="http://schemas.openxmlformats.org/officeDocument/2006/relationships/image" Target="media/image60.jpeg"/><Relationship Id="rId108" Type="http://schemas.openxmlformats.org/officeDocument/2006/relationships/image" Target="media/image61.jpeg"/><Relationship Id="rId109" Type="http://schemas.openxmlformats.org/officeDocument/2006/relationships/image" Target="media/image62.jpeg"/><Relationship Id="rId110" Type="http://schemas.openxmlformats.org/officeDocument/2006/relationships/image" Target="media/image63.jpeg"/><Relationship Id="rId111" Type="http://schemas.openxmlformats.org/officeDocument/2006/relationships/image" Target="media/image64.jpeg"/><Relationship Id="rId112" Type="http://schemas.openxmlformats.org/officeDocument/2006/relationships/image" Target="media/image65.jpeg"/><Relationship Id="rId113" Type="http://schemas.openxmlformats.org/officeDocument/2006/relationships/image" Target="media/image66.jpeg"/><Relationship Id="rId114" Type="http://schemas.openxmlformats.org/officeDocument/2006/relationships/image" Target="media/image67.jpeg"/><Relationship Id="rId115" Type="http://schemas.openxmlformats.org/officeDocument/2006/relationships/image" Target="media/image68.jpeg"/><Relationship Id="rId116" Type="http://schemas.openxmlformats.org/officeDocument/2006/relationships/image" Target="media/image69.jpeg"/><Relationship Id="rId117" Type="http://schemas.openxmlformats.org/officeDocument/2006/relationships/image" Target="media/image70.jpeg"/><Relationship Id="rId118" Type="http://schemas.openxmlformats.org/officeDocument/2006/relationships/image" Target="media/image71.jpeg"/><Relationship Id="rId119" Type="http://schemas.openxmlformats.org/officeDocument/2006/relationships/image" Target="media/image72.jpeg"/><Relationship Id="rId120" Type="http://schemas.openxmlformats.org/officeDocument/2006/relationships/image" Target="media/image73.jpeg"/><Relationship Id="rId121" Type="http://schemas.openxmlformats.org/officeDocument/2006/relationships/image" Target="media/image74.jpeg"/><Relationship Id="rId122" Type="http://schemas.openxmlformats.org/officeDocument/2006/relationships/image" Target="media/image75.jpeg"/><Relationship Id="rId123" Type="http://schemas.openxmlformats.org/officeDocument/2006/relationships/image" Target="media/image76.jpeg"/><Relationship Id="rId124" Type="http://schemas.openxmlformats.org/officeDocument/2006/relationships/image" Target="media/image77.jpeg"/><Relationship Id="rId125" Type="http://schemas.openxmlformats.org/officeDocument/2006/relationships/image" Target="media/image78.jpeg"/><Relationship Id="rId126" Type="http://schemas.openxmlformats.org/officeDocument/2006/relationships/image" Target="media/image79.jpeg"/><Relationship Id="rId127" Type="http://schemas.openxmlformats.org/officeDocument/2006/relationships/image" Target="media/image80.jpeg"/><Relationship Id="rId128" Type="http://schemas.openxmlformats.org/officeDocument/2006/relationships/image" Target="media/image81.jpeg"/><Relationship Id="rId129" Type="http://schemas.openxmlformats.org/officeDocument/2006/relationships/image" Target="media/image82.jpeg"/><Relationship Id="rId130" Type="http://schemas.openxmlformats.org/officeDocument/2006/relationships/image" Target="media/image83.jpeg"/><Relationship Id="rId131" Type="http://schemas.openxmlformats.org/officeDocument/2006/relationships/image" Target="media/image84.jpeg"/><Relationship Id="rId132" Type="http://schemas.openxmlformats.org/officeDocument/2006/relationships/image" Target="media/image85.jpeg"/><Relationship Id="rId133" Type="http://schemas.openxmlformats.org/officeDocument/2006/relationships/image" Target="media/image86.jpeg"/><Relationship Id="rId134" Type="http://schemas.openxmlformats.org/officeDocument/2006/relationships/image" Target="media/image87.jpeg"/><Relationship Id="rId135" Type="http://schemas.openxmlformats.org/officeDocument/2006/relationships/image" Target="media/image88.jpeg"/><Relationship Id="rId136" Type="http://schemas.openxmlformats.org/officeDocument/2006/relationships/image" Target="media/image89.jpeg"/><Relationship Id="rId137" Type="http://schemas.openxmlformats.org/officeDocument/2006/relationships/image" Target="media/image90.jpeg"/><Relationship Id="rId138" Type="http://schemas.openxmlformats.org/officeDocument/2006/relationships/image" Target="media/image91.jpeg"/><Relationship Id="rId139" Type="http://schemas.openxmlformats.org/officeDocument/2006/relationships/image" Target="media/image92.jpeg"/><Relationship Id="rId140" Type="http://schemas.openxmlformats.org/officeDocument/2006/relationships/image" Target="media/image93.jpeg"/><Relationship Id="rId141" Type="http://schemas.openxmlformats.org/officeDocument/2006/relationships/image" Target="media/image94.jpeg"/><Relationship Id="rId142" Type="http://schemas.openxmlformats.org/officeDocument/2006/relationships/image" Target="media/image95.jpeg"/><Relationship Id="rId143" Type="http://schemas.openxmlformats.org/officeDocument/2006/relationships/image" Target="media/image96.jpeg"/><Relationship Id="rId144" Type="http://schemas.openxmlformats.org/officeDocument/2006/relationships/image" Target="media/image97.jpeg"/><Relationship Id="rId145" Type="http://schemas.openxmlformats.org/officeDocument/2006/relationships/image" Target="media/image98.jpeg"/><Relationship Id="rId146" Type="http://schemas.openxmlformats.org/officeDocument/2006/relationships/image" Target="media/image99.jpeg"/><Relationship Id="rId147" Type="http://schemas.openxmlformats.org/officeDocument/2006/relationships/image" Target="media/image100.jpeg"/><Relationship Id="rId148" Type="http://schemas.openxmlformats.org/officeDocument/2006/relationships/image" Target="media/image101.jpeg"/><Relationship Id="rId149" Type="http://schemas.openxmlformats.org/officeDocument/2006/relationships/image" Target="media/image102.jpeg"/><Relationship Id="rId150" Type="http://schemas.openxmlformats.org/officeDocument/2006/relationships/image" Target="media/image103.jpeg"/><Relationship Id="rId151" Type="http://schemas.openxmlformats.org/officeDocument/2006/relationships/image" Target="media/image104.jpeg"/><Relationship Id="rId152" Type="http://schemas.openxmlformats.org/officeDocument/2006/relationships/image" Target="media/image105.jpeg"/><Relationship Id="rId153" Type="http://schemas.openxmlformats.org/officeDocument/2006/relationships/image" Target="media/image106.jpeg"/><Relationship Id="rId154" Type="http://schemas.openxmlformats.org/officeDocument/2006/relationships/image" Target="media/image107.jpeg"/><Relationship Id="rId155" Type="http://schemas.openxmlformats.org/officeDocument/2006/relationships/image" Target="media/image108.jpeg"/><Relationship Id="rId156" Type="http://schemas.openxmlformats.org/officeDocument/2006/relationships/image" Target="media/image109.jpeg"/><Relationship Id="rId157" Type="http://schemas.openxmlformats.org/officeDocument/2006/relationships/image" Target="media/image110.jpeg"/><Relationship Id="rId158" Type="http://schemas.openxmlformats.org/officeDocument/2006/relationships/image" Target="media/image111.jpeg"/><Relationship Id="rId159" Type="http://schemas.openxmlformats.org/officeDocument/2006/relationships/image" Target="media/image112.jpeg"/><Relationship Id="rId160" Type="http://schemas.openxmlformats.org/officeDocument/2006/relationships/image" Target="media/image113.jpeg"/><Relationship Id="rId161" Type="http://schemas.openxmlformats.org/officeDocument/2006/relationships/image" Target="media/image114.jpeg"/><Relationship Id="rId16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 1</dc:creator>
  <dcterms:created xsi:type="dcterms:W3CDTF">2017-05-27T02:35:38Z</dcterms:created>
  <dcterms:modified xsi:type="dcterms:W3CDTF">2017-05-27T02:35:38Z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2015-07-07T00:00:00Z</vt:filetime>
  </property>
  <property fmtid="{D5CDD505-2E9C-101B-9397-08002B2CF9AE}" pid="3" name="Creator">
    <vt:lpwstr>Microsoft® Word 2010</vt:lpwstr>
  </property>
  <property fmtid="{D5CDD505-2E9C-101B-9397-08002B2CF9AE}" pid="4" name="LastSaved">
    <vt:filetime>2017-05-27T00:00:00Z</vt:filetime>
  </property>
</Properties>
</file>