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AE383A" w14:textId="39F21B51" w:rsidR="00991092" w:rsidRPr="004736F2" w:rsidRDefault="004736F2" w:rsidP="00991092">
      <w:pPr>
        <w:jc w:val="center"/>
        <w:rPr>
          <w:rFonts w:ascii="Times New Roman" w:hAnsi="Times New Roman" w:cs="Times New Roman"/>
          <w:b/>
          <w:caps/>
          <w:lang w:val="es-MX"/>
        </w:rPr>
      </w:pPr>
      <w:r w:rsidRPr="004736F2">
        <w:rPr>
          <w:rFonts w:ascii="Times New Roman" w:hAnsi="Times New Roman" w:cs="Times New Roman"/>
          <w:b/>
          <w:caps/>
          <w:lang w:val="es-MX"/>
        </w:rPr>
        <w:t xml:space="preserve">TLC2-6: </w:t>
      </w:r>
      <w:r w:rsidR="00A81BD0">
        <w:rPr>
          <w:rFonts w:ascii="Times New Roman" w:hAnsi="Times New Roman" w:cs="Times New Roman"/>
          <w:b/>
          <w:lang w:val="es-MX"/>
        </w:rPr>
        <w:t>D</w:t>
      </w:r>
      <w:r w:rsidR="00A81BD0" w:rsidRPr="004736F2">
        <w:rPr>
          <w:rFonts w:ascii="Times New Roman" w:hAnsi="Times New Roman" w:cs="Times New Roman"/>
          <w:b/>
          <w:lang w:val="es-MX"/>
        </w:rPr>
        <w:t xml:space="preserve">eterminación de cambios en la actividad simpática en ratas espontáneamente hipertensas </w:t>
      </w:r>
      <w:r w:rsidRPr="004736F2">
        <w:rPr>
          <w:rFonts w:ascii="Times New Roman" w:hAnsi="Times New Roman" w:cs="Times New Roman"/>
          <w:b/>
          <w:caps/>
          <w:lang w:val="es-MX"/>
        </w:rPr>
        <w:t>(SHR)</w:t>
      </w:r>
    </w:p>
    <w:p w14:paraId="03AFC7A4" w14:textId="77777777" w:rsidR="00780A47" w:rsidRPr="00991092" w:rsidRDefault="00780A47">
      <w:pPr>
        <w:rPr>
          <w:rFonts w:ascii="Times New Roman" w:hAnsi="Times New Roman" w:cs="Times New Roman"/>
          <w:sz w:val="20"/>
          <w:szCs w:val="20"/>
          <w:lang w:val="es-MX"/>
        </w:rPr>
      </w:pPr>
    </w:p>
    <w:p w14:paraId="098A8565" w14:textId="3F111E3C" w:rsidR="00991092" w:rsidRPr="0064380B" w:rsidRDefault="003E2D57" w:rsidP="004736F2">
      <w:pPr>
        <w:jc w:val="center"/>
        <w:rPr>
          <w:rFonts w:ascii="Times New Roman" w:hAnsi="Times New Roman" w:cs="Times New Roman"/>
          <w:sz w:val="22"/>
          <w:szCs w:val="22"/>
          <w:lang w:val="es-MX"/>
        </w:rPr>
      </w:pPr>
      <w:r>
        <w:rPr>
          <w:rFonts w:ascii="Times New Roman" w:hAnsi="Times New Roman" w:cs="Times New Roman"/>
          <w:sz w:val="22"/>
          <w:szCs w:val="22"/>
          <w:lang w:val="es-MX"/>
        </w:rPr>
        <w:t xml:space="preserve">L. A. </w:t>
      </w:r>
      <w:r w:rsidR="00A81BD0">
        <w:rPr>
          <w:rFonts w:ascii="Times New Roman" w:hAnsi="Times New Roman" w:cs="Times New Roman"/>
          <w:sz w:val="22"/>
          <w:szCs w:val="22"/>
          <w:lang w:val="es-MX"/>
        </w:rPr>
        <w:t>Martínez</w:t>
      </w:r>
      <w:r>
        <w:rPr>
          <w:rFonts w:ascii="Times New Roman" w:hAnsi="Times New Roman" w:cs="Times New Roman"/>
          <w:sz w:val="22"/>
          <w:szCs w:val="22"/>
          <w:lang w:val="es-MX"/>
        </w:rPr>
        <w:t>-</w:t>
      </w:r>
      <w:proofErr w:type="spellStart"/>
      <w:r w:rsidR="004736F2">
        <w:rPr>
          <w:rFonts w:ascii="Times New Roman" w:hAnsi="Times New Roman" w:cs="Times New Roman"/>
          <w:sz w:val="22"/>
          <w:szCs w:val="22"/>
          <w:lang w:val="es-MX"/>
        </w:rPr>
        <w:t>Zaldivar</w:t>
      </w:r>
      <w:r w:rsidR="00A81BD0" w:rsidRPr="00A81BD0">
        <w:rPr>
          <w:rFonts w:ascii="Times New Roman" w:hAnsi="Times New Roman" w:cs="Times New Roman"/>
          <w:sz w:val="22"/>
          <w:szCs w:val="22"/>
          <w:vertAlign w:val="superscript"/>
          <w:lang w:val="es-MX"/>
        </w:rPr>
        <w:t>a</w:t>
      </w:r>
      <w:proofErr w:type="spellEnd"/>
      <w:r w:rsidR="00A81BD0" w:rsidRPr="00A81BD0">
        <w:rPr>
          <w:rFonts w:ascii="Times New Roman" w:hAnsi="Times New Roman" w:cs="Times New Roman"/>
          <w:sz w:val="22"/>
          <w:szCs w:val="22"/>
          <w:vertAlign w:val="superscript"/>
          <w:lang w:val="es-MX"/>
        </w:rPr>
        <w:t>,</w:t>
      </w:r>
      <w:r w:rsidR="004736F2" w:rsidRPr="00A81BD0">
        <w:rPr>
          <w:rFonts w:ascii="Times New Roman" w:hAnsi="Times New Roman" w:cs="Times New Roman"/>
          <w:sz w:val="22"/>
          <w:szCs w:val="22"/>
          <w:vertAlign w:val="superscript"/>
          <w:lang w:val="es-MX"/>
        </w:rPr>
        <w:t>*</w:t>
      </w:r>
      <w:r w:rsidR="004736F2">
        <w:rPr>
          <w:rFonts w:ascii="Times New Roman" w:hAnsi="Times New Roman" w:cs="Times New Roman"/>
          <w:sz w:val="22"/>
          <w:szCs w:val="22"/>
          <w:lang w:val="es-MX"/>
        </w:rPr>
        <w:t>,</w:t>
      </w:r>
      <w:r w:rsidR="00991092" w:rsidRPr="0064380B">
        <w:rPr>
          <w:rFonts w:ascii="Times New Roman" w:hAnsi="Times New Roman" w:cs="Times New Roman"/>
          <w:sz w:val="22"/>
          <w:szCs w:val="22"/>
          <w:lang w:val="es-MX"/>
        </w:rPr>
        <w:t xml:space="preserve"> M</w:t>
      </w:r>
      <w:r>
        <w:rPr>
          <w:rFonts w:ascii="Times New Roman" w:hAnsi="Times New Roman" w:cs="Times New Roman"/>
          <w:sz w:val="22"/>
          <w:szCs w:val="22"/>
          <w:lang w:val="es-MX"/>
        </w:rPr>
        <w:t>. A. Morales-</w:t>
      </w:r>
      <w:proofErr w:type="spellStart"/>
      <w:r w:rsidR="00991092" w:rsidRPr="0064380B">
        <w:rPr>
          <w:rFonts w:ascii="Times New Roman" w:hAnsi="Times New Roman" w:cs="Times New Roman"/>
          <w:sz w:val="22"/>
          <w:szCs w:val="22"/>
          <w:lang w:val="es-MX"/>
        </w:rPr>
        <w:t>Mendoza</w:t>
      </w:r>
      <w:r w:rsidR="00A81BD0" w:rsidRPr="00A81BD0">
        <w:rPr>
          <w:rFonts w:ascii="Times New Roman" w:hAnsi="Times New Roman" w:cs="Times New Roman"/>
          <w:sz w:val="22"/>
          <w:szCs w:val="22"/>
          <w:vertAlign w:val="superscript"/>
          <w:lang w:val="es-MX"/>
        </w:rPr>
        <w:t>a</w:t>
      </w:r>
      <w:proofErr w:type="spellEnd"/>
      <w:r w:rsidR="00991092" w:rsidRPr="0064380B">
        <w:rPr>
          <w:rFonts w:ascii="Times New Roman" w:hAnsi="Times New Roman" w:cs="Times New Roman"/>
          <w:sz w:val="22"/>
          <w:szCs w:val="22"/>
          <w:lang w:val="es-MX"/>
        </w:rPr>
        <w:t xml:space="preserve">, F. </w:t>
      </w:r>
      <w:proofErr w:type="spellStart"/>
      <w:r w:rsidR="00991092" w:rsidRPr="0064380B">
        <w:rPr>
          <w:rFonts w:ascii="Times New Roman" w:hAnsi="Times New Roman" w:cs="Times New Roman"/>
          <w:sz w:val="22"/>
          <w:szCs w:val="22"/>
          <w:lang w:val="es-MX"/>
        </w:rPr>
        <w:t>Cifuentes</w:t>
      </w:r>
      <w:r w:rsidR="00A81BD0" w:rsidRPr="00A81BD0">
        <w:rPr>
          <w:rFonts w:ascii="Times New Roman" w:hAnsi="Times New Roman" w:cs="Times New Roman"/>
          <w:sz w:val="22"/>
          <w:szCs w:val="22"/>
          <w:vertAlign w:val="superscript"/>
          <w:lang w:val="es-MX"/>
        </w:rPr>
        <w:t>a</w:t>
      </w:r>
      <w:proofErr w:type="spellEnd"/>
    </w:p>
    <w:p w14:paraId="660FFC85" w14:textId="77777777" w:rsidR="00A81BD0" w:rsidRDefault="00A81BD0" w:rsidP="00A81BD0">
      <w:pPr>
        <w:rPr>
          <w:rFonts w:ascii="Times New Roman" w:hAnsi="Times New Roman" w:cs="Times New Roman"/>
          <w:sz w:val="22"/>
          <w:szCs w:val="22"/>
          <w:vertAlign w:val="superscript"/>
          <w:lang w:val="es-MX"/>
        </w:rPr>
      </w:pPr>
    </w:p>
    <w:p w14:paraId="222C2A9E" w14:textId="3194580D" w:rsidR="00991092" w:rsidRPr="0064380B" w:rsidRDefault="00A81BD0" w:rsidP="00A81BD0">
      <w:pPr>
        <w:rPr>
          <w:rFonts w:ascii="Times New Roman" w:hAnsi="Times New Roman" w:cs="Times New Roman"/>
          <w:sz w:val="22"/>
          <w:szCs w:val="22"/>
          <w:lang w:val="es-MX"/>
        </w:rPr>
      </w:pPr>
      <w:proofErr w:type="gramStart"/>
      <w:r w:rsidRPr="00A81BD0">
        <w:rPr>
          <w:rFonts w:ascii="Times New Roman" w:hAnsi="Times New Roman" w:cs="Times New Roman"/>
          <w:sz w:val="22"/>
          <w:szCs w:val="22"/>
          <w:vertAlign w:val="superscript"/>
          <w:lang w:val="es-MX"/>
        </w:rPr>
        <w:t>a</w:t>
      </w:r>
      <w:proofErr w:type="gramEnd"/>
      <w:r>
        <w:rPr>
          <w:rFonts w:ascii="Times New Roman" w:hAnsi="Times New Roman" w:cs="Times New Roman"/>
          <w:sz w:val="22"/>
          <w:szCs w:val="22"/>
          <w:vertAlign w:val="superscript"/>
          <w:lang w:val="es-MX"/>
        </w:rPr>
        <w:t xml:space="preserve"> </w:t>
      </w:r>
      <w:r w:rsidR="004736F2">
        <w:rPr>
          <w:rFonts w:ascii="Times New Roman" w:hAnsi="Times New Roman" w:cs="Times New Roman"/>
          <w:sz w:val="22"/>
          <w:szCs w:val="22"/>
          <w:lang w:val="es-MX"/>
        </w:rPr>
        <w:t xml:space="preserve">Instituto de Investigaciones </w:t>
      </w:r>
      <w:r w:rsidR="00991092" w:rsidRPr="0064380B">
        <w:rPr>
          <w:rFonts w:ascii="Times New Roman" w:hAnsi="Times New Roman" w:cs="Times New Roman"/>
          <w:sz w:val="22"/>
          <w:szCs w:val="22"/>
          <w:lang w:val="es-MX"/>
        </w:rPr>
        <w:t>B</w:t>
      </w:r>
      <w:r w:rsidR="004736F2">
        <w:rPr>
          <w:rFonts w:ascii="Times New Roman" w:hAnsi="Times New Roman" w:cs="Times New Roman"/>
          <w:sz w:val="22"/>
          <w:szCs w:val="22"/>
          <w:lang w:val="es-MX"/>
        </w:rPr>
        <w:t>iomédicas</w:t>
      </w:r>
      <w:r>
        <w:rPr>
          <w:rFonts w:ascii="Times New Roman" w:hAnsi="Times New Roman" w:cs="Times New Roman"/>
          <w:sz w:val="22"/>
          <w:szCs w:val="22"/>
          <w:lang w:val="es-MX"/>
        </w:rPr>
        <w:t>, UNAM, México</w:t>
      </w:r>
    </w:p>
    <w:p w14:paraId="136BA859" w14:textId="3394A86C" w:rsidR="00991092" w:rsidRPr="00A81BD0" w:rsidRDefault="004736F2">
      <w:pPr>
        <w:rPr>
          <w:rFonts w:ascii="Times New Roman" w:hAnsi="Times New Roman" w:cs="Times New Roman"/>
          <w:sz w:val="22"/>
          <w:szCs w:val="22"/>
          <w:lang w:val="es-MX"/>
        </w:rPr>
      </w:pPr>
      <w:r w:rsidRPr="00123B7A">
        <w:rPr>
          <w:sz w:val="22"/>
          <w:vertAlign w:val="superscript"/>
          <w:lang w:val="es-MX"/>
        </w:rPr>
        <w:t>*</w:t>
      </w:r>
      <w:r w:rsidR="003E2D57">
        <w:rPr>
          <w:sz w:val="22"/>
          <w:lang w:val="es-MX"/>
        </w:rPr>
        <w:t xml:space="preserve"> </w:t>
      </w:r>
      <w:r w:rsidR="008C7369">
        <w:rPr>
          <w:rFonts w:ascii="Times New Roman" w:hAnsi="Times New Roman" w:cs="Times New Roman"/>
          <w:sz w:val="22"/>
          <w:lang w:val="es-MX"/>
        </w:rPr>
        <w:t xml:space="preserve">Autor para </w:t>
      </w:r>
      <w:bookmarkStart w:id="0" w:name="_GoBack"/>
      <w:bookmarkEnd w:id="0"/>
      <w:r w:rsidR="003E2D57" w:rsidRPr="00A81BD0">
        <w:rPr>
          <w:rFonts w:ascii="Times New Roman" w:hAnsi="Times New Roman" w:cs="Times New Roman"/>
          <w:sz w:val="22"/>
          <w:lang w:val="es-MX"/>
        </w:rPr>
        <w:t>correspondencia</w:t>
      </w:r>
      <w:r w:rsidRPr="00123B7A">
        <w:rPr>
          <w:sz w:val="22"/>
          <w:lang w:val="es-MX"/>
        </w:rPr>
        <w:t xml:space="preserve">: </w:t>
      </w:r>
      <w:r w:rsidR="00991092" w:rsidRPr="00A81BD0">
        <w:rPr>
          <w:rFonts w:ascii="Times New Roman" w:hAnsi="Times New Roman" w:cs="Times New Roman"/>
          <w:sz w:val="22"/>
          <w:szCs w:val="22"/>
          <w:lang w:val="es-MX"/>
        </w:rPr>
        <w:t>lamz07@iibiomedcias.unam.mx</w:t>
      </w:r>
    </w:p>
    <w:p w14:paraId="2426139C" w14:textId="77777777" w:rsidR="00991092" w:rsidRPr="00A81BD0" w:rsidRDefault="00991092">
      <w:pPr>
        <w:rPr>
          <w:rFonts w:ascii="Times New Roman" w:hAnsi="Times New Roman" w:cs="Times New Roman"/>
          <w:sz w:val="22"/>
          <w:szCs w:val="22"/>
          <w:lang w:val="es-MX"/>
        </w:rPr>
      </w:pPr>
    </w:p>
    <w:p w14:paraId="63CB00C4" w14:textId="77777777" w:rsidR="00295D81" w:rsidRPr="00A81BD0" w:rsidRDefault="00295D81" w:rsidP="00991092">
      <w:pPr>
        <w:jc w:val="both"/>
        <w:rPr>
          <w:rFonts w:ascii="Times New Roman" w:hAnsi="Times New Roman" w:cs="Times New Roman"/>
          <w:sz w:val="20"/>
          <w:szCs w:val="20"/>
          <w:lang w:val="es-MX"/>
        </w:rPr>
        <w:sectPr w:rsidR="00295D81" w:rsidRPr="00A81BD0" w:rsidSect="00F370C2">
          <w:pgSz w:w="12240" w:h="15840"/>
          <w:pgMar w:top="1417" w:right="1701" w:bottom="1417" w:left="1701" w:header="708" w:footer="708" w:gutter="0"/>
          <w:cols w:space="708"/>
          <w:docGrid w:linePitch="360"/>
        </w:sectPr>
      </w:pPr>
    </w:p>
    <w:p w14:paraId="7999D182" w14:textId="11E22C3A" w:rsidR="00BA0FEF" w:rsidRPr="00597D54" w:rsidRDefault="00BC1F52" w:rsidP="00991092">
      <w:pPr>
        <w:jc w:val="both"/>
        <w:rPr>
          <w:rFonts w:ascii="Times New Roman" w:hAnsi="Times New Roman" w:cs="Times New Roman"/>
          <w:b/>
          <w:sz w:val="20"/>
          <w:szCs w:val="20"/>
          <w:lang w:val="es-MX"/>
        </w:rPr>
      </w:pPr>
      <w:r w:rsidRPr="003E2D57">
        <w:rPr>
          <w:rFonts w:ascii="Times New Roman" w:hAnsi="Times New Roman" w:cs="Times New Roman"/>
          <w:b/>
          <w:sz w:val="20"/>
          <w:szCs w:val="20"/>
          <w:lang w:val="es-MX"/>
        </w:rPr>
        <w:lastRenderedPageBreak/>
        <w:t>Introducción:</w:t>
      </w:r>
      <w:r w:rsidR="00597D54">
        <w:rPr>
          <w:rFonts w:ascii="Times New Roman" w:hAnsi="Times New Roman" w:cs="Times New Roman"/>
          <w:b/>
          <w:sz w:val="20"/>
          <w:szCs w:val="20"/>
          <w:lang w:val="es-MX"/>
        </w:rPr>
        <w:t xml:space="preserve"> </w:t>
      </w:r>
      <w:r w:rsidR="00BA0FEF" w:rsidRPr="00780A47">
        <w:rPr>
          <w:rFonts w:ascii="Times New Roman" w:hAnsi="Times New Roman" w:cs="Times New Roman"/>
          <w:sz w:val="20"/>
          <w:szCs w:val="20"/>
          <w:lang w:val="es-MX"/>
        </w:rPr>
        <w:t>El Sistema Nervioso Simpático (SNS) regula varias funciones escenciales y está implicado en la fisiopstología de la Hipertensión Arterial (HTA).</w:t>
      </w:r>
    </w:p>
    <w:p w14:paraId="1D07528D" w14:textId="64F999AC" w:rsidR="00780A47" w:rsidRPr="00780A47" w:rsidRDefault="00BA0FEF" w:rsidP="00991092">
      <w:pPr>
        <w:jc w:val="both"/>
        <w:rPr>
          <w:rFonts w:ascii="Times New Roman" w:hAnsi="Times New Roman" w:cs="Times New Roman"/>
          <w:sz w:val="20"/>
          <w:szCs w:val="20"/>
          <w:lang w:val="es-MX"/>
        </w:rPr>
      </w:pPr>
      <w:r w:rsidRPr="00780A47">
        <w:rPr>
          <w:rFonts w:ascii="Times New Roman" w:hAnsi="Times New Roman" w:cs="Times New Roman"/>
          <w:sz w:val="20"/>
          <w:szCs w:val="20"/>
        </w:rPr>
        <w:t>La HTA es un problema de primera importancia en México</w:t>
      </w:r>
      <w:r w:rsidR="00A81BD0">
        <w:rPr>
          <w:rFonts w:ascii="Times New Roman" w:hAnsi="Times New Roman" w:cs="Times New Roman"/>
          <w:sz w:val="20"/>
          <w:szCs w:val="20"/>
        </w:rPr>
        <w:t>,</w:t>
      </w:r>
      <w:r w:rsidRPr="00780A47">
        <w:rPr>
          <w:rFonts w:ascii="Times New Roman" w:hAnsi="Times New Roman" w:cs="Times New Roman"/>
          <w:sz w:val="20"/>
          <w:szCs w:val="20"/>
        </w:rPr>
        <w:t xml:space="preserve"> ya que 1 de cada 3 mexicanos padecen esta patología. </w:t>
      </w:r>
      <w:r w:rsidRPr="00780A47">
        <w:rPr>
          <w:rFonts w:ascii="Times New Roman" w:hAnsi="Times New Roman" w:cs="Times New Roman"/>
          <w:sz w:val="20"/>
          <w:szCs w:val="20"/>
          <w:lang w:val="es-MX"/>
        </w:rPr>
        <w:t>A lo largo del tiempo provoca severas consecuencias como deficiencia renal, infarto del miocardio y eventos cerebrovasculares</w:t>
      </w:r>
      <w:r w:rsidR="00A81BD0">
        <w:rPr>
          <w:rFonts w:ascii="Times New Roman" w:hAnsi="Times New Roman" w:cs="Times New Roman"/>
          <w:sz w:val="20"/>
          <w:szCs w:val="20"/>
          <w:lang w:val="es-MX"/>
        </w:rPr>
        <w:t>.</w:t>
      </w:r>
    </w:p>
    <w:p w14:paraId="3CF6BB79" w14:textId="5E950F52" w:rsidR="00780A47" w:rsidRPr="00780A47" w:rsidRDefault="00BA0FEF" w:rsidP="00991092">
      <w:pPr>
        <w:jc w:val="both"/>
        <w:rPr>
          <w:rFonts w:ascii="Times New Roman" w:hAnsi="Times New Roman" w:cs="Times New Roman"/>
          <w:sz w:val="20"/>
          <w:szCs w:val="20"/>
          <w:lang w:val="es-MX"/>
        </w:rPr>
      </w:pPr>
      <w:r w:rsidRPr="00780A47">
        <w:rPr>
          <w:rFonts w:ascii="Times New Roman" w:hAnsi="Times New Roman" w:cs="Times New Roman"/>
          <w:sz w:val="20"/>
          <w:szCs w:val="20"/>
          <w:lang w:val="es-MX"/>
        </w:rPr>
        <w:t>Se ha descrito qu</w:t>
      </w:r>
      <w:r w:rsidR="00A81BD0">
        <w:rPr>
          <w:rFonts w:ascii="Times New Roman" w:hAnsi="Times New Roman" w:cs="Times New Roman"/>
          <w:sz w:val="20"/>
          <w:szCs w:val="20"/>
          <w:lang w:val="es-MX"/>
        </w:rPr>
        <w:t xml:space="preserve">e existe una relación entre el </w:t>
      </w:r>
      <w:r w:rsidRPr="00780A47">
        <w:rPr>
          <w:rFonts w:ascii="Times New Roman" w:hAnsi="Times New Roman" w:cs="Times New Roman"/>
          <w:sz w:val="20"/>
          <w:szCs w:val="20"/>
          <w:lang w:val="es-MX"/>
        </w:rPr>
        <w:t>aumento en la actividad simpática y la HTA</w:t>
      </w:r>
      <w:r w:rsidR="00780A47" w:rsidRPr="00780A47">
        <w:rPr>
          <w:rFonts w:ascii="Times New Roman" w:hAnsi="Times New Roman" w:cs="Times New Roman"/>
          <w:sz w:val="20"/>
          <w:szCs w:val="20"/>
          <w:lang w:val="es-MX"/>
        </w:rPr>
        <w:t>. Una mayor activación del SNS favorece el desarrollo de la HTA y daño a órganos blanco como el cor</w:t>
      </w:r>
      <w:r w:rsidR="00BC1F52">
        <w:rPr>
          <w:rFonts w:ascii="Times New Roman" w:hAnsi="Times New Roman" w:cs="Times New Roman"/>
          <w:sz w:val="20"/>
          <w:szCs w:val="20"/>
          <w:lang w:val="es-MX"/>
        </w:rPr>
        <w:t>azón, el sistema vascular</w:t>
      </w:r>
      <w:r w:rsidR="00A81BD0">
        <w:rPr>
          <w:rFonts w:ascii="Times New Roman" w:hAnsi="Times New Roman" w:cs="Times New Roman"/>
          <w:sz w:val="20"/>
          <w:szCs w:val="20"/>
          <w:lang w:val="es-MX"/>
        </w:rPr>
        <w:t>, entre otros</w:t>
      </w:r>
      <w:r w:rsidR="00BC1F52">
        <w:rPr>
          <w:rFonts w:ascii="Times New Roman" w:hAnsi="Times New Roman" w:cs="Times New Roman"/>
          <w:sz w:val="20"/>
          <w:szCs w:val="20"/>
          <w:lang w:val="es-MX"/>
        </w:rPr>
        <w:t xml:space="preserve">. </w:t>
      </w:r>
    </w:p>
    <w:p w14:paraId="6082D909" w14:textId="32B64092" w:rsidR="00BC1F52" w:rsidRDefault="00780A47" w:rsidP="00991092">
      <w:pPr>
        <w:jc w:val="both"/>
        <w:rPr>
          <w:rFonts w:ascii="Times New Roman" w:hAnsi="Times New Roman" w:cs="Times New Roman"/>
          <w:sz w:val="20"/>
          <w:szCs w:val="20"/>
          <w:lang w:val="es-MX"/>
        </w:rPr>
      </w:pPr>
      <w:r w:rsidRPr="00780A47">
        <w:rPr>
          <w:rFonts w:ascii="Times New Roman" w:hAnsi="Times New Roman" w:cs="Times New Roman"/>
          <w:sz w:val="20"/>
          <w:szCs w:val="20"/>
          <w:lang w:val="es-MX"/>
        </w:rPr>
        <w:t>Para eval</w:t>
      </w:r>
      <w:r w:rsidR="00BC1F52">
        <w:rPr>
          <w:rFonts w:ascii="Times New Roman" w:hAnsi="Times New Roman" w:cs="Times New Roman"/>
          <w:sz w:val="20"/>
          <w:szCs w:val="20"/>
          <w:lang w:val="es-MX"/>
        </w:rPr>
        <w:t>uar la actividad simpática y</w:t>
      </w:r>
      <w:r w:rsidRPr="00780A47">
        <w:rPr>
          <w:rFonts w:ascii="Times New Roman" w:hAnsi="Times New Roman" w:cs="Times New Roman"/>
          <w:sz w:val="20"/>
          <w:szCs w:val="20"/>
          <w:lang w:val="es-MX"/>
        </w:rPr>
        <w:t xml:space="preserve"> determinar si sus alteraciones se correlacionan con la HTA, decidimos analizar los cambios que subyacen en diferentes formas de plasticidad sináptica como es la Potenciación a Largo Plazo (LTP) en condiciones control y de hipertensión. La LTP es un fenómeno de plasticidad sináptica descrito tanto en Sistema Nervioso Central (SNC) como en Sistema Nervioso Simpático (SNS), particularmente en los ganglios simpáticos, se define como un aumento en la eficacia de la transmisión sináptica, que per</w:t>
      </w:r>
      <w:r w:rsidR="00A81BD0">
        <w:rPr>
          <w:rFonts w:ascii="Times New Roman" w:hAnsi="Times New Roman" w:cs="Times New Roman"/>
          <w:sz w:val="20"/>
          <w:szCs w:val="20"/>
          <w:lang w:val="es-MX"/>
        </w:rPr>
        <w:t xml:space="preserve">manece durante minutos </w:t>
      </w:r>
      <w:r w:rsidR="00BC1F52">
        <w:rPr>
          <w:rFonts w:ascii="Times New Roman" w:hAnsi="Times New Roman" w:cs="Times New Roman"/>
          <w:sz w:val="20"/>
          <w:szCs w:val="20"/>
          <w:lang w:val="es-MX"/>
        </w:rPr>
        <w:t xml:space="preserve">u horas. </w:t>
      </w:r>
    </w:p>
    <w:p w14:paraId="16CD246F" w14:textId="77777777" w:rsidR="00BC1F52" w:rsidRDefault="00780A47" w:rsidP="00991092">
      <w:pPr>
        <w:jc w:val="both"/>
        <w:rPr>
          <w:rFonts w:ascii="Times New Roman" w:hAnsi="Times New Roman" w:cs="Times New Roman"/>
          <w:sz w:val="20"/>
          <w:szCs w:val="20"/>
          <w:lang w:val="es-MX"/>
        </w:rPr>
      </w:pPr>
      <w:r w:rsidRPr="00780A47">
        <w:rPr>
          <w:rFonts w:ascii="Times New Roman" w:hAnsi="Times New Roman" w:cs="Times New Roman"/>
          <w:sz w:val="20"/>
          <w:szCs w:val="20"/>
          <w:lang w:val="es-MX"/>
        </w:rPr>
        <w:t>El modelo experimental que seleccionamos para estudiar la HTA es el de la rata espontáneamente hipertensa (SHR). La rata SHR ha sido</w:t>
      </w:r>
      <w:r w:rsidR="00BC1F52">
        <w:rPr>
          <w:rFonts w:ascii="Times New Roman" w:hAnsi="Times New Roman" w:cs="Times New Roman"/>
          <w:sz w:val="20"/>
          <w:szCs w:val="20"/>
          <w:lang w:val="es-MX"/>
        </w:rPr>
        <w:t xml:space="preserve"> </w:t>
      </w:r>
      <w:r w:rsidRPr="00780A47">
        <w:rPr>
          <w:rFonts w:ascii="Times New Roman" w:hAnsi="Times New Roman" w:cs="Times New Roman"/>
          <w:sz w:val="20"/>
          <w:szCs w:val="20"/>
          <w:lang w:val="es-MX"/>
        </w:rPr>
        <w:t>el modelo animal mas estudiado para la HTA humana</w:t>
      </w:r>
      <w:r w:rsidR="00BC1F52">
        <w:rPr>
          <w:rFonts w:ascii="Times New Roman" w:hAnsi="Times New Roman" w:cs="Times New Roman"/>
          <w:sz w:val="20"/>
          <w:szCs w:val="20"/>
          <w:lang w:val="es-MX"/>
        </w:rPr>
        <w:t>.</w:t>
      </w:r>
    </w:p>
    <w:p w14:paraId="56FB7AF5" w14:textId="77777777" w:rsidR="00780A47" w:rsidRPr="00780A47" w:rsidRDefault="00780A47" w:rsidP="00991092">
      <w:pPr>
        <w:jc w:val="both"/>
        <w:rPr>
          <w:rStyle w:val="hps"/>
          <w:rFonts w:ascii="Times New Roman" w:hAnsi="Times New Roman" w:cs="Times New Roman"/>
          <w:sz w:val="20"/>
          <w:szCs w:val="20"/>
        </w:rPr>
      </w:pPr>
      <w:r w:rsidRPr="00780A47">
        <w:rPr>
          <w:rFonts w:ascii="Times New Roman" w:hAnsi="Times New Roman" w:cs="Times New Roman"/>
          <w:sz w:val="20"/>
          <w:szCs w:val="20"/>
          <w:lang w:val="es-MX"/>
        </w:rPr>
        <w:t>En un trabajo que relaciona la expresión de la LTP ganglionar y la HTA, se encontró que mientras que en ganglios de ratas SHR que ya muestran de manera constante HTA la LTP no se expresa y en ganglios de ratas WKY si se expresa la LTP</w:t>
      </w:r>
      <w:r w:rsidR="00BC1F52">
        <w:rPr>
          <w:rFonts w:ascii="Times New Roman" w:hAnsi="Times New Roman" w:cs="Times New Roman"/>
          <w:sz w:val="20"/>
          <w:szCs w:val="20"/>
          <w:lang w:val="es-MX"/>
        </w:rPr>
        <w:t xml:space="preserve">. </w:t>
      </w:r>
      <w:r w:rsidRPr="00780A47">
        <w:rPr>
          <w:rStyle w:val="hps"/>
          <w:rFonts w:ascii="Times New Roman" w:hAnsi="Times New Roman" w:cs="Times New Roman"/>
          <w:sz w:val="20"/>
          <w:szCs w:val="20"/>
        </w:rPr>
        <w:t>Dichos resultados apoyan la posible relación</w:t>
      </w:r>
      <w:r w:rsidRPr="00780A47">
        <w:rPr>
          <w:rFonts w:ascii="Times New Roman" w:hAnsi="Times New Roman" w:cs="Times New Roman"/>
          <w:sz w:val="20"/>
          <w:szCs w:val="20"/>
        </w:rPr>
        <w:t xml:space="preserve"> </w:t>
      </w:r>
      <w:r w:rsidRPr="00780A47">
        <w:rPr>
          <w:rStyle w:val="hps"/>
          <w:rFonts w:ascii="Times New Roman" w:hAnsi="Times New Roman" w:cs="Times New Roman"/>
          <w:sz w:val="20"/>
          <w:szCs w:val="20"/>
        </w:rPr>
        <w:t>entre el desarrollo</w:t>
      </w:r>
      <w:r w:rsidRPr="00780A47">
        <w:rPr>
          <w:rFonts w:ascii="Times New Roman" w:hAnsi="Times New Roman" w:cs="Times New Roman"/>
          <w:sz w:val="20"/>
          <w:szCs w:val="20"/>
        </w:rPr>
        <w:t xml:space="preserve"> </w:t>
      </w:r>
      <w:r w:rsidRPr="00780A47">
        <w:rPr>
          <w:rStyle w:val="hps"/>
          <w:rFonts w:ascii="Times New Roman" w:hAnsi="Times New Roman" w:cs="Times New Roman"/>
          <w:sz w:val="20"/>
          <w:szCs w:val="20"/>
        </w:rPr>
        <w:t>de la HTA y la expresión de</w:t>
      </w:r>
      <w:r w:rsidRPr="00780A47">
        <w:rPr>
          <w:rFonts w:ascii="Times New Roman" w:hAnsi="Times New Roman" w:cs="Times New Roman"/>
          <w:sz w:val="20"/>
          <w:szCs w:val="20"/>
        </w:rPr>
        <w:t xml:space="preserve"> la </w:t>
      </w:r>
      <w:r w:rsidRPr="00780A47">
        <w:rPr>
          <w:rStyle w:val="hps"/>
          <w:rFonts w:ascii="Times New Roman" w:hAnsi="Times New Roman" w:cs="Times New Roman"/>
          <w:sz w:val="20"/>
          <w:szCs w:val="20"/>
        </w:rPr>
        <w:t>LTP</w:t>
      </w:r>
      <w:r w:rsidRPr="00780A47">
        <w:rPr>
          <w:rFonts w:ascii="Times New Roman" w:hAnsi="Times New Roman" w:cs="Times New Roman"/>
          <w:sz w:val="20"/>
          <w:szCs w:val="20"/>
        </w:rPr>
        <w:t xml:space="preserve"> </w:t>
      </w:r>
      <w:r w:rsidRPr="00780A47">
        <w:rPr>
          <w:rStyle w:val="hps"/>
          <w:rFonts w:ascii="Times New Roman" w:hAnsi="Times New Roman" w:cs="Times New Roman"/>
          <w:sz w:val="20"/>
          <w:szCs w:val="20"/>
        </w:rPr>
        <w:t>en</w:t>
      </w:r>
      <w:r w:rsidRPr="00780A47">
        <w:rPr>
          <w:rFonts w:ascii="Times New Roman" w:hAnsi="Times New Roman" w:cs="Times New Roman"/>
          <w:sz w:val="20"/>
          <w:szCs w:val="20"/>
        </w:rPr>
        <w:t xml:space="preserve"> </w:t>
      </w:r>
      <w:r w:rsidRPr="00780A47">
        <w:rPr>
          <w:rStyle w:val="hps"/>
          <w:rFonts w:ascii="Times New Roman" w:hAnsi="Times New Roman" w:cs="Times New Roman"/>
          <w:sz w:val="20"/>
          <w:szCs w:val="20"/>
        </w:rPr>
        <w:t xml:space="preserve">los ganglios simpáticos. </w:t>
      </w:r>
    </w:p>
    <w:p w14:paraId="08A8F188" w14:textId="77777777" w:rsidR="00780A47" w:rsidRPr="00780A47" w:rsidRDefault="00780A47" w:rsidP="00991092">
      <w:pPr>
        <w:jc w:val="both"/>
        <w:rPr>
          <w:rFonts w:ascii="Times New Roman" w:hAnsi="Times New Roman" w:cs="Times New Roman"/>
          <w:sz w:val="20"/>
          <w:szCs w:val="20"/>
          <w:lang w:val="es-MX"/>
        </w:rPr>
      </w:pPr>
      <w:r w:rsidRPr="00780A47">
        <w:rPr>
          <w:rFonts w:ascii="Times New Roman" w:hAnsi="Times New Roman" w:cs="Times New Roman"/>
          <w:sz w:val="20"/>
          <w:szCs w:val="20"/>
          <w:lang w:val="es-MX"/>
        </w:rPr>
        <w:t>Con el propósito de determinar los cambios de la actividad simpática en ratas espontáneamente hipertensas (SHR), se estudiará la expresión</w:t>
      </w:r>
      <w:r w:rsidR="00991092">
        <w:rPr>
          <w:rFonts w:ascii="Times New Roman" w:hAnsi="Times New Roman" w:cs="Times New Roman"/>
          <w:sz w:val="20"/>
          <w:szCs w:val="20"/>
          <w:lang w:val="es-MX"/>
        </w:rPr>
        <w:t xml:space="preserve"> y modulacion</w:t>
      </w:r>
      <w:r w:rsidRPr="00780A47">
        <w:rPr>
          <w:rFonts w:ascii="Times New Roman" w:hAnsi="Times New Roman" w:cs="Times New Roman"/>
          <w:sz w:val="20"/>
          <w:szCs w:val="20"/>
          <w:lang w:val="es-MX"/>
        </w:rPr>
        <w:t xml:space="preserve"> de la LTP en el ganglio cervical superior de ratas SHR. El conoce</w:t>
      </w:r>
      <w:r w:rsidR="00991092">
        <w:rPr>
          <w:rFonts w:ascii="Times New Roman" w:hAnsi="Times New Roman" w:cs="Times New Roman"/>
          <w:sz w:val="20"/>
          <w:szCs w:val="20"/>
          <w:lang w:val="es-MX"/>
        </w:rPr>
        <w:t xml:space="preserve">r cómo es la expresión y modulación de la actividad simpática en las ratas SHR nos permite conocer la </w:t>
      </w:r>
      <w:r w:rsidR="00295D81">
        <w:rPr>
          <w:rFonts w:ascii="Times New Roman" w:hAnsi="Times New Roman" w:cs="Times New Roman"/>
          <w:sz w:val="20"/>
          <w:szCs w:val="20"/>
          <w:lang w:val="es-MX"/>
        </w:rPr>
        <w:t>participacion del SNS en la HTA</w:t>
      </w:r>
      <w:r w:rsidR="00991092">
        <w:rPr>
          <w:rFonts w:ascii="Times New Roman" w:hAnsi="Times New Roman" w:cs="Times New Roman"/>
          <w:sz w:val="20"/>
          <w:szCs w:val="20"/>
          <w:lang w:val="es-MX"/>
        </w:rPr>
        <w:t>.</w:t>
      </w:r>
    </w:p>
    <w:p w14:paraId="5446B0CB" w14:textId="77777777" w:rsidR="00BC1F52" w:rsidRDefault="00BC1F52" w:rsidP="00991092">
      <w:pPr>
        <w:jc w:val="both"/>
        <w:rPr>
          <w:rFonts w:ascii="Times New Roman" w:hAnsi="Times New Roman" w:cs="Times New Roman"/>
          <w:sz w:val="20"/>
          <w:szCs w:val="20"/>
        </w:rPr>
      </w:pPr>
    </w:p>
    <w:p w14:paraId="1127D190" w14:textId="78D540C2" w:rsidR="00BC1F52" w:rsidRPr="00597D54" w:rsidRDefault="00BC1F52" w:rsidP="00597D54">
      <w:pPr>
        <w:jc w:val="both"/>
        <w:rPr>
          <w:rFonts w:ascii="Times New Roman" w:hAnsi="Times New Roman" w:cs="Times New Roman"/>
          <w:b/>
          <w:sz w:val="20"/>
          <w:szCs w:val="20"/>
        </w:rPr>
      </w:pPr>
      <w:r w:rsidRPr="003E2D57">
        <w:rPr>
          <w:rFonts w:ascii="Times New Roman" w:hAnsi="Times New Roman" w:cs="Times New Roman"/>
          <w:b/>
          <w:sz w:val="20"/>
          <w:szCs w:val="20"/>
        </w:rPr>
        <w:t>Materiales y Métodos:</w:t>
      </w:r>
      <w:r w:rsidR="00597D54">
        <w:rPr>
          <w:rFonts w:ascii="Times New Roman" w:hAnsi="Times New Roman" w:cs="Times New Roman"/>
          <w:b/>
          <w:sz w:val="20"/>
          <w:szCs w:val="20"/>
        </w:rPr>
        <w:t xml:space="preserve"> </w:t>
      </w:r>
      <w:r w:rsidRPr="00BC1F52">
        <w:rPr>
          <w:rFonts w:ascii="Times New Roman" w:hAnsi="Times New Roman" w:cs="Times New Roman"/>
          <w:sz w:val="20"/>
          <w:szCs w:val="20"/>
        </w:rPr>
        <w:t>Se emplea el ganglio cervical superior (</w:t>
      </w:r>
      <w:proofErr w:type="spellStart"/>
      <w:r w:rsidR="006537E9" w:rsidRPr="00BC1F52">
        <w:rPr>
          <w:rFonts w:ascii="Times New Roman" w:hAnsi="Times New Roman" w:cs="Times New Roman"/>
          <w:sz w:val="20"/>
          <w:szCs w:val="20"/>
        </w:rPr>
        <w:t>gcs</w:t>
      </w:r>
      <w:proofErr w:type="spellEnd"/>
      <w:r w:rsidRPr="00BC1F52">
        <w:rPr>
          <w:rFonts w:ascii="Times New Roman" w:hAnsi="Times New Roman" w:cs="Times New Roman"/>
          <w:sz w:val="20"/>
          <w:szCs w:val="20"/>
        </w:rPr>
        <w:t>) aislado de ratas macho SHR y WKY, de tres edades diferentes</w:t>
      </w:r>
      <w:r w:rsidR="00A81BD0">
        <w:rPr>
          <w:rFonts w:ascii="Times New Roman" w:hAnsi="Times New Roman" w:cs="Times New Roman"/>
          <w:sz w:val="20"/>
          <w:szCs w:val="20"/>
        </w:rPr>
        <w:t xml:space="preserve">, 10, 14 y 18 semanas de vida. </w:t>
      </w:r>
      <w:r w:rsidRPr="00BC1F52">
        <w:rPr>
          <w:rFonts w:ascii="Times New Roman" w:hAnsi="Times New Roman" w:cs="Times New Roman"/>
          <w:sz w:val="20"/>
          <w:szCs w:val="20"/>
        </w:rPr>
        <w:t>Después de anestesiarse (</w:t>
      </w:r>
      <w:proofErr w:type="spellStart"/>
      <w:r w:rsidRPr="00BC1F52">
        <w:rPr>
          <w:rFonts w:ascii="Times New Roman" w:hAnsi="Times New Roman" w:cs="Times New Roman"/>
          <w:sz w:val="20"/>
          <w:szCs w:val="20"/>
        </w:rPr>
        <w:t>xi</w:t>
      </w:r>
      <w:r w:rsidR="00A81BD0">
        <w:rPr>
          <w:rFonts w:ascii="Times New Roman" w:hAnsi="Times New Roman" w:cs="Times New Roman"/>
          <w:sz w:val="20"/>
          <w:szCs w:val="20"/>
        </w:rPr>
        <w:t>lacina</w:t>
      </w:r>
      <w:proofErr w:type="spellEnd"/>
      <w:r w:rsidR="00A81BD0">
        <w:rPr>
          <w:rFonts w:ascii="Times New Roman" w:hAnsi="Times New Roman" w:cs="Times New Roman"/>
          <w:sz w:val="20"/>
          <w:szCs w:val="20"/>
        </w:rPr>
        <w:t xml:space="preserve"> y </w:t>
      </w:r>
      <w:proofErr w:type="spellStart"/>
      <w:r w:rsidR="00A81BD0">
        <w:rPr>
          <w:rFonts w:ascii="Times New Roman" w:hAnsi="Times New Roman" w:cs="Times New Roman"/>
          <w:sz w:val="20"/>
          <w:szCs w:val="20"/>
        </w:rPr>
        <w:t>ketamina</w:t>
      </w:r>
      <w:proofErr w:type="spellEnd"/>
      <w:r w:rsidR="00A81BD0">
        <w:rPr>
          <w:rFonts w:ascii="Times New Roman" w:hAnsi="Times New Roman" w:cs="Times New Roman"/>
          <w:sz w:val="20"/>
          <w:szCs w:val="20"/>
        </w:rPr>
        <w:t xml:space="preserve">) se extraerá </w:t>
      </w:r>
      <w:r w:rsidRPr="00BC1F52">
        <w:rPr>
          <w:rFonts w:ascii="Times New Roman" w:hAnsi="Times New Roman" w:cs="Times New Roman"/>
          <w:sz w:val="20"/>
          <w:szCs w:val="20"/>
        </w:rPr>
        <w:t xml:space="preserve">el </w:t>
      </w:r>
      <w:proofErr w:type="spellStart"/>
      <w:r w:rsidR="006537E9" w:rsidRPr="00BC1F52">
        <w:rPr>
          <w:rFonts w:ascii="Times New Roman" w:hAnsi="Times New Roman" w:cs="Times New Roman"/>
          <w:sz w:val="20"/>
          <w:szCs w:val="20"/>
        </w:rPr>
        <w:t>gcs</w:t>
      </w:r>
      <w:proofErr w:type="spellEnd"/>
      <w:r w:rsidRPr="00BC1F52">
        <w:rPr>
          <w:rFonts w:ascii="Times New Roman" w:hAnsi="Times New Roman" w:cs="Times New Roman"/>
          <w:sz w:val="20"/>
          <w:szCs w:val="20"/>
        </w:rPr>
        <w:t xml:space="preserve">. Se transfiere a una cámara de registro de 1 ml con una solución de Krebs. El ganglio se mantiene a una temperatura de 24ºC a 25ºC, con oxigenación continua (95% O2 y 5% CO2). Se estimula y registra a través de electrodos de succión colocados en los nervios </w:t>
      </w:r>
      <w:proofErr w:type="spellStart"/>
      <w:r w:rsidRPr="00BC1F52">
        <w:rPr>
          <w:rFonts w:ascii="Times New Roman" w:hAnsi="Times New Roman" w:cs="Times New Roman"/>
          <w:sz w:val="20"/>
          <w:szCs w:val="20"/>
        </w:rPr>
        <w:t>preganglionar</w:t>
      </w:r>
      <w:proofErr w:type="spellEnd"/>
      <w:r w:rsidRPr="00BC1F52">
        <w:rPr>
          <w:rFonts w:ascii="Times New Roman" w:hAnsi="Times New Roman" w:cs="Times New Roman"/>
          <w:sz w:val="20"/>
          <w:szCs w:val="20"/>
        </w:rPr>
        <w:t xml:space="preserve"> y </w:t>
      </w:r>
      <w:proofErr w:type="spellStart"/>
      <w:r w:rsidRPr="00BC1F52">
        <w:rPr>
          <w:rFonts w:ascii="Times New Roman" w:hAnsi="Times New Roman" w:cs="Times New Roman"/>
          <w:sz w:val="20"/>
          <w:szCs w:val="20"/>
        </w:rPr>
        <w:t>postganglionar</w:t>
      </w:r>
      <w:proofErr w:type="spellEnd"/>
      <w:r w:rsidRPr="00BC1F52" w:rsidDel="00934C4D">
        <w:rPr>
          <w:rFonts w:ascii="Times New Roman" w:hAnsi="Times New Roman" w:cs="Times New Roman"/>
          <w:sz w:val="20"/>
          <w:szCs w:val="20"/>
        </w:rPr>
        <w:t xml:space="preserve"> </w:t>
      </w:r>
      <w:r w:rsidRPr="00BC1F52">
        <w:rPr>
          <w:rFonts w:ascii="Times New Roman" w:hAnsi="Times New Roman" w:cs="Times New Roman"/>
          <w:sz w:val="20"/>
          <w:szCs w:val="20"/>
        </w:rPr>
        <w:t xml:space="preserve">respectivamente. Se inicia con estimulación basal con pulsos cuadrados de 100 ms y 0.2Hz, con amplitud </w:t>
      </w:r>
      <w:proofErr w:type="spellStart"/>
      <w:r w:rsidR="006537E9">
        <w:rPr>
          <w:rFonts w:ascii="Times New Roman" w:hAnsi="Times New Roman" w:cs="Times New Roman"/>
          <w:sz w:val="20"/>
          <w:szCs w:val="20"/>
        </w:rPr>
        <w:t>supramáxima</w:t>
      </w:r>
      <w:proofErr w:type="spellEnd"/>
      <w:r w:rsidR="006537E9">
        <w:rPr>
          <w:rFonts w:ascii="Times New Roman" w:hAnsi="Times New Roman" w:cs="Times New Roman"/>
          <w:sz w:val="20"/>
          <w:szCs w:val="20"/>
        </w:rPr>
        <w:t xml:space="preserve"> (0–</w:t>
      </w:r>
      <w:r w:rsidRPr="00BC1F52">
        <w:rPr>
          <w:rFonts w:ascii="Times New Roman" w:hAnsi="Times New Roman" w:cs="Times New Roman"/>
          <w:sz w:val="20"/>
          <w:szCs w:val="20"/>
        </w:rPr>
        <w:t xml:space="preserve">10 voltios), los cuales producen potenciales de acción compuestos (CAP). Esta estimulación basal se mantiene durante el tiempo necesario (20 a 40 min) hasta tener registros constantes. Después se agrega </w:t>
      </w:r>
      <w:proofErr w:type="spellStart"/>
      <w:r w:rsidRPr="00BC1F52">
        <w:rPr>
          <w:rFonts w:ascii="Times New Roman" w:hAnsi="Times New Roman" w:cs="Times New Roman"/>
          <w:sz w:val="20"/>
          <w:szCs w:val="20"/>
        </w:rPr>
        <w:t>hexametonio</w:t>
      </w:r>
      <w:proofErr w:type="spellEnd"/>
      <w:r w:rsidRPr="00BC1F52">
        <w:rPr>
          <w:rFonts w:ascii="Times New Roman" w:hAnsi="Times New Roman" w:cs="Times New Roman"/>
          <w:sz w:val="20"/>
          <w:szCs w:val="20"/>
        </w:rPr>
        <w:t xml:space="preserve"> 20mM a la solución de baño para bloquear en forma parcial la transmisión sináptica nicotínica (hasta llegar al 30% de la respuesta basal). La estimulación se cambia por un tren de estímulos de alta frecuencia (40Hz por 3 </w:t>
      </w:r>
      <w:proofErr w:type="spellStart"/>
      <w:r w:rsidRPr="00BC1F52">
        <w:rPr>
          <w:rFonts w:ascii="Times New Roman" w:hAnsi="Times New Roman" w:cs="Times New Roman"/>
          <w:sz w:val="20"/>
          <w:szCs w:val="20"/>
        </w:rPr>
        <w:t>seg</w:t>
      </w:r>
      <w:proofErr w:type="spellEnd"/>
      <w:r w:rsidRPr="00BC1F52">
        <w:rPr>
          <w:rFonts w:ascii="Times New Roman" w:hAnsi="Times New Roman" w:cs="Times New Roman"/>
          <w:sz w:val="20"/>
          <w:szCs w:val="20"/>
        </w:rPr>
        <w:t xml:space="preserve">.) que se sabe induce la LTP. Al término del tren se restablece (a los 5 </w:t>
      </w:r>
      <w:proofErr w:type="spellStart"/>
      <w:r w:rsidRPr="00BC1F52">
        <w:rPr>
          <w:rFonts w:ascii="Times New Roman" w:hAnsi="Times New Roman" w:cs="Times New Roman"/>
          <w:sz w:val="20"/>
          <w:szCs w:val="20"/>
        </w:rPr>
        <w:t>seg</w:t>
      </w:r>
      <w:proofErr w:type="spellEnd"/>
      <w:r w:rsidRPr="00BC1F52">
        <w:rPr>
          <w:rFonts w:ascii="Times New Roman" w:hAnsi="Times New Roman" w:cs="Times New Roman"/>
          <w:sz w:val="20"/>
          <w:szCs w:val="20"/>
        </w:rPr>
        <w:t xml:space="preserve">.) la estimulación basal de 0.2Hz y los </w:t>
      </w:r>
      <w:proofErr w:type="spellStart"/>
      <w:r w:rsidRPr="00BC1F52">
        <w:rPr>
          <w:rFonts w:ascii="Times New Roman" w:hAnsi="Times New Roman" w:cs="Times New Roman"/>
          <w:sz w:val="20"/>
          <w:szCs w:val="20"/>
        </w:rPr>
        <w:t>CAPs</w:t>
      </w:r>
      <w:proofErr w:type="spellEnd"/>
      <w:r w:rsidR="006537E9">
        <w:rPr>
          <w:rFonts w:ascii="Times New Roman" w:hAnsi="Times New Roman" w:cs="Times New Roman"/>
          <w:sz w:val="20"/>
          <w:szCs w:val="20"/>
        </w:rPr>
        <w:t xml:space="preserve"> se registran por 60 a 90 min.</w:t>
      </w:r>
    </w:p>
    <w:p w14:paraId="3F9F4D5D" w14:textId="77777777" w:rsidR="00991092" w:rsidRDefault="00991092" w:rsidP="00991092">
      <w:pPr>
        <w:jc w:val="both"/>
        <w:rPr>
          <w:rFonts w:ascii="Times New Roman" w:hAnsi="Times New Roman" w:cs="Times New Roman"/>
          <w:sz w:val="20"/>
          <w:szCs w:val="20"/>
        </w:rPr>
      </w:pPr>
    </w:p>
    <w:p w14:paraId="5D67D0A2" w14:textId="77777777" w:rsidR="00295D81" w:rsidRPr="003E2D57" w:rsidRDefault="00295D81" w:rsidP="00BC1F52">
      <w:pPr>
        <w:jc w:val="both"/>
        <w:rPr>
          <w:rFonts w:ascii="Times New Roman" w:hAnsi="Times New Roman" w:cs="Times New Roman"/>
          <w:b/>
          <w:sz w:val="20"/>
          <w:szCs w:val="20"/>
        </w:rPr>
      </w:pPr>
      <w:r w:rsidRPr="003E2D57">
        <w:rPr>
          <w:rFonts w:ascii="Times New Roman" w:hAnsi="Times New Roman" w:cs="Times New Roman"/>
          <w:b/>
          <w:sz w:val="20"/>
          <w:szCs w:val="20"/>
        </w:rPr>
        <w:t>Resultados:</w:t>
      </w:r>
    </w:p>
    <w:p w14:paraId="72BBCD9C" w14:textId="77777777" w:rsidR="00295D81" w:rsidRDefault="00295D81" w:rsidP="00BC1F52">
      <w:pPr>
        <w:jc w:val="both"/>
        <w:rPr>
          <w:rFonts w:ascii="Times New Roman" w:hAnsi="Times New Roman" w:cs="Times New Roman"/>
          <w:sz w:val="20"/>
          <w:szCs w:val="20"/>
        </w:rPr>
      </w:pPr>
    </w:p>
    <w:p w14:paraId="29CBD60E" w14:textId="561F7898" w:rsidR="00295D81" w:rsidRPr="00295D81" w:rsidRDefault="00295D81" w:rsidP="00295D81">
      <w:pPr>
        <w:rPr>
          <w:rFonts w:ascii="Times New Roman" w:hAnsi="Times New Roman" w:cs="Times New Roman"/>
          <w:sz w:val="18"/>
          <w:szCs w:val="18"/>
        </w:rPr>
      </w:pPr>
      <w:r w:rsidRPr="00295D81">
        <w:rPr>
          <w:rFonts w:ascii="Times New Roman" w:hAnsi="Times New Roman" w:cs="Times New Roman"/>
          <w:sz w:val="18"/>
          <w:szCs w:val="18"/>
        </w:rPr>
        <w:t xml:space="preserve">    Transmisión basal en SHR.</w:t>
      </w:r>
      <w:r w:rsidR="006537E9">
        <w:rPr>
          <w:rFonts w:ascii="Times New Roman" w:hAnsi="Times New Roman" w:cs="Times New Roman"/>
          <w:sz w:val="20"/>
          <w:szCs w:val="20"/>
        </w:rPr>
        <w:t xml:space="preserve"> </w:t>
      </w:r>
      <w:proofErr w:type="spellStart"/>
      <w:r w:rsidRPr="00295D81">
        <w:rPr>
          <w:rFonts w:ascii="Times New Roman" w:hAnsi="Times New Roman" w:cs="Times New Roman"/>
          <w:sz w:val="18"/>
          <w:szCs w:val="18"/>
        </w:rPr>
        <w:t>LTPg</w:t>
      </w:r>
      <w:proofErr w:type="spellEnd"/>
      <w:r w:rsidRPr="00295D81">
        <w:rPr>
          <w:rFonts w:ascii="Times New Roman" w:hAnsi="Times New Roman" w:cs="Times New Roman"/>
          <w:sz w:val="18"/>
          <w:szCs w:val="18"/>
        </w:rPr>
        <w:t xml:space="preserve"> en SHR</w:t>
      </w:r>
    </w:p>
    <w:p w14:paraId="0BDF9EA5" w14:textId="77777777" w:rsidR="00295D81" w:rsidRDefault="00295D81" w:rsidP="00BC1F52">
      <w:pPr>
        <w:jc w:val="both"/>
        <w:rPr>
          <w:rFonts w:ascii="Times New Roman" w:hAnsi="Times New Roman" w:cs="Times New Roman"/>
          <w:sz w:val="20"/>
          <w:szCs w:val="20"/>
        </w:rPr>
      </w:pPr>
      <w:r>
        <w:rPr>
          <w:rFonts w:ascii="Times New Roman" w:hAnsi="Times New Roman" w:cs="Times New Roman"/>
          <w:noProof/>
          <w:sz w:val="20"/>
          <w:szCs w:val="20"/>
          <w:lang w:val="es-MX" w:eastAsia="es-MX"/>
        </w:rPr>
        <w:drawing>
          <wp:inline distT="0" distB="0" distL="0" distR="0" wp14:anchorId="7F71CF0A" wp14:editId="4C20B4DC">
            <wp:extent cx="1270033" cy="1141095"/>
            <wp:effectExtent l="0" t="0" r="0"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70469" cy="1141486"/>
                    </a:xfrm>
                    <a:prstGeom prst="rect">
                      <a:avLst/>
                    </a:prstGeom>
                    <a:noFill/>
                    <a:ln>
                      <a:noFill/>
                    </a:ln>
                  </pic:spPr>
                </pic:pic>
              </a:graphicData>
            </a:graphic>
          </wp:inline>
        </w:drawing>
      </w:r>
      <w:r>
        <w:rPr>
          <w:rFonts w:ascii="Times New Roman" w:hAnsi="Times New Roman" w:cs="Times New Roman"/>
          <w:noProof/>
          <w:sz w:val="20"/>
          <w:szCs w:val="20"/>
          <w:lang w:val="es-MX" w:eastAsia="es-MX"/>
        </w:rPr>
        <w:drawing>
          <wp:inline distT="0" distB="0" distL="0" distR="0" wp14:anchorId="1DC72A13" wp14:editId="7CA5DFAF">
            <wp:extent cx="1181735" cy="1248314"/>
            <wp:effectExtent l="0" t="0" r="1206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183214" cy="1249877"/>
                    </a:xfrm>
                    <a:prstGeom prst="rect">
                      <a:avLst/>
                    </a:prstGeom>
                    <a:noFill/>
                    <a:ln>
                      <a:noFill/>
                    </a:ln>
                  </pic:spPr>
                </pic:pic>
              </a:graphicData>
            </a:graphic>
          </wp:inline>
        </w:drawing>
      </w:r>
    </w:p>
    <w:p w14:paraId="1CD5E554" w14:textId="77777777" w:rsidR="00295D81" w:rsidRDefault="00295D81" w:rsidP="00BC1F52">
      <w:pPr>
        <w:jc w:val="both"/>
        <w:rPr>
          <w:rFonts w:ascii="Times New Roman" w:hAnsi="Times New Roman" w:cs="Times New Roman"/>
          <w:sz w:val="20"/>
          <w:szCs w:val="20"/>
        </w:rPr>
      </w:pPr>
    </w:p>
    <w:p w14:paraId="54CB82A2" w14:textId="106238E9" w:rsidR="00BC1F52" w:rsidRPr="003E2D57" w:rsidRDefault="00BC1F52" w:rsidP="00BC1F52">
      <w:pPr>
        <w:jc w:val="both"/>
        <w:rPr>
          <w:rFonts w:ascii="Times New Roman" w:hAnsi="Times New Roman" w:cs="Times New Roman"/>
          <w:b/>
          <w:sz w:val="20"/>
          <w:szCs w:val="20"/>
        </w:rPr>
      </w:pPr>
      <w:r w:rsidRPr="003E2D57">
        <w:rPr>
          <w:rFonts w:ascii="Times New Roman" w:hAnsi="Times New Roman" w:cs="Times New Roman"/>
          <w:b/>
          <w:sz w:val="20"/>
          <w:szCs w:val="20"/>
        </w:rPr>
        <w:t xml:space="preserve">Conclusiones: </w:t>
      </w:r>
    </w:p>
    <w:p w14:paraId="1E5F66C2" w14:textId="2AA95861" w:rsidR="00BC1F52" w:rsidRDefault="00BC1F52" w:rsidP="00BC1F52">
      <w:pPr>
        <w:jc w:val="both"/>
        <w:rPr>
          <w:rFonts w:ascii="Times New Roman" w:hAnsi="Times New Roman" w:cs="Times New Roman"/>
          <w:sz w:val="20"/>
          <w:szCs w:val="20"/>
        </w:rPr>
      </w:pPr>
      <w:r>
        <w:rPr>
          <w:rFonts w:ascii="Times New Roman" w:hAnsi="Times New Roman" w:cs="Times New Roman"/>
          <w:sz w:val="20"/>
          <w:szCs w:val="20"/>
        </w:rPr>
        <w:t>Se demostró que la actividad basal del SNS en SHR es mayor que en las ratas WKY.</w:t>
      </w:r>
    </w:p>
    <w:p w14:paraId="4CF5D527" w14:textId="45E62F17" w:rsidR="00BC1F52" w:rsidRDefault="00BC1F52" w:rsidP="00BC1F52">
      <w:pPr>
        <w:jc w:val="both"/>
        <w:rPr>
          <w:rFonts w:ascii="Times New Roman" w:hAnsi="Times New Roman" w:cs="Times New Roman"/>
          <w:sz w:val="20"/>
          <w:szCs w:val="20"/>
        </w:rPr>
      </w:pPr>
      <w:r>
        <w:rPr>
          <w:rFonts w:ascii="Times New Roman" w:hAnsi="Times New Roman" w:cs="Times New Roman"/>
          <w:sz w:val="20"/>
          <w:szCs w:val="20"/>
        </w:rPr>
        <w:t>Se ha corroborado que la expresión de la LTP en ratas SHR con HTA e inexistente.</w:t>
      </w:r>
    </w:p>
    <w:p w14:paraId="49488DB9" w14:textId="3DB03E9B" w:rsidR="00A57872" w:rsidRPr="00A57872" w:rsidRDefault="00BC1F52" w:rsidP="00BC1F52">
      <w:pPr>
        <w:jc w:val="both"/>
        <w:rPr>
          <w:rFonts w:ascii="Times New Roman" w:hAnsi="Times New Roman" w:cs="Times New Roman"/>
          <w:sz w:val="20"/>
          <w:szCs w:val="20"/>
        </w:rPr>
      </w:pPr>
      <w:r>
        <w:rPr>
          <w:rFonts w:ascii="Times New Roman" w:hAnsi="Times New Roman" w:cs="Times New Roman"/>
          <w:sz w:val="20"/>
          <w:szCs w:val="20"/>
        </w:rPr>
        <w:lastRenderedPageBreak/>
        <w:t>Actualmente se trabaja con farmacología (GABA) para estudiar los cambios en la LTP de la rata SHR y sus diferencias con la rata WKY.</w:t>
      </w:r>
    </w:p>
    <w:sectPr w:rsidR="00A57872" w:rsidRPr="00A57872" w:rsidSect="00295D81">
      <w:type w:val="continuous"/>
      <w:pgSz w:w="12240" w:h="15840"/>
      <w:pgMar w:top="1417" w:right="1701" w:bottom="1417" w:left="1701" w:header="708" w:footer="708" w:gutter="0"/>
      <w:cols w:num="2" w:space="709"/>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FEF"/>
    <w:rsid w:val="0000254B"/>
    <w:rsid w:val="001A4818"/>
    <w:rsid w:val="00295D81"/>
    <w:rsid w:val="003E2D57"/>
    <w:rsid w:val="004736F2"/>
    <w:rsid w:val="00597D54"/>
    <w:rsid w:val="0064380B"/>
    <w:rsid w:val="006537E9"/>
    <w:rsid w:val="00715B39"/>
    <w:rsid w:val="00780A47"/>
    <w:rsid w:val="008B6C13"/>
    <w:rsid w:val="008C7369"/>
    <w:rsid w:val="00991092"/>
    <w:rsid w:val="00A57872"/>
    <w:rsid w:val="00A81BD0"/>
    <w:rsid w:val="00AC44E8"/>
    <w:rsid w:val="00BA0FEF"/>
    <w:rsid w:val="00BC1F52"/>
    <w:rsid w:val="00F370C2"/>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E49C0D9"/>
  <w14:defaultImageDpi w14:val="300"/>
  <w15:docId w15:val="{EADB632E-8247-41E9-9790-70B7E08EC0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ps">
    <w:name w:val="hps"/>
    <w:basedOn w:val="Fuentedeprrafopredeter"/>
    <w:rsid w:val="00780A47"/>
  </w:style>
  <w:style w:type="character" w:styleId="Hipervnculo">
    <w:name w:val="Hyperlink"/>
    <w:rsid w:val="00A57872"/>
    <w:rPr>
      <w:color w:val="0000FF"/>
      <w:u w:val="single"/>
    </w:rPr>
  </w:style>
  <w:style w:type="paragraph" w:styleId="Textodeglobo">
    <w:name w:val="Balloon Text"/>
    <w:basedOn w:val="Normal"/>
    <w:link w:val="TextodegloboCar"/>
    <w:uiPriority w:val="99"/>
    <w:semiHidden/>
    <w:unhideWhenUsed/>
    <w:rsid w:val="00295D81"/>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295D81"/>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73C793-F66A-4946-9686-D97B550A2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Pages>
  <Words>610</Words>
  <Characters>3358</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UNAM</Company>
  <LinksUpToDate>false</LinksUpToDate>
  <CharactersWithSpaces>3961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ANDRES MARTINEZ</dc:creator>
  <cp:keywords/>
  <dc:description/>
  <cp:lastModifiedBy>USUARIO</cp:lastModifiedBy>
  <cp:revision>10</cp:revision>
  <dcterms:created xsi:type="dcterms:W3CDTF">2016-01-15T15:39:00Z</dcterms:created>
  <dcterms:modified xsi:type="dcterms:W3CDTF">2016-10-04T17:24:00Z</dcterms:modified>
</cp:coreProperties>
</file>