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3FAC" w:rsidRPr="002F4E04" w:rsidRDefault="00374D9C" w:rsidP="00DE3FAC">
      <w:pPr>
        <w:pStyle w:val="Sinespaciado"/>
        <w:spacing w:line="36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TLC1-6: </w:t>
      </w:r>
      <w:r w:rsidR="00DE3FAC" w:rsidRPr="002F4E04">
        <w:rPr>
          <w:rFonts w:ascii="Times New Roman" w:hAnsi="Times New Roman" w:cs="Times New Roman"/>
          <w:b/>
          <w:sz w:val="24"/>
        </w:rPr>
        <w:t>C</w:t>
      </w:r>
      <w:r w:rsidR="002F6D9D" w:rsidRPr="002F4E04">
        <w:rPr>
          <w:rFonts w:ascii="Times New Roman" w:hAnsi="Times New Roman" w:cs="Times New Roman"/>
          <w:b/>
          <w:sz w:val="24"/>
        </w:rPr>
        <w:t>álculo</w:t>
      </w:r>
      <w:r w:rsidR="00DE3FAC" w:rsidRPr="002F4E04">
        <w:rPr>
          <w:rFonts w:ascii="Times New Roman" w:hAnsi="Times New Roman" w:cs="Times New Roman"/>
          <w:b/>
          <w:sz w:val="24"/>
        </w:rPr>
        <w:t xml:space="preserve"> </w:t>
      </w:r>
      <w:r w:rsidR="002F6D9D" w:rsidRPr="002F4E04">
        <w:rPr>
          <w:rFonts w:ascii="Times New Roman" w:hAnsi="Times New Roman" w:cs="Times New Roman"/>
          <w:b/>
          <w:sz w:val="24"/>
        </w:rPr>
        <w:t>teórico de la dosis absorbida de</w:t>
      </w:r>
      <w:r w:rsidR="00DE3FAC" w:rsidRPr="002F4E04">
        <w:rPr>
          <w:rFonts w:ascii="Times New Roman" w:hAnsi="Times New Roman" w:cs="Times New Roman"/>
          <w:b/>
          <w:sz w:val="24"/>
        </w:rPr>
        <w:t xml:space="preserve"> </w:t>
      </w:r>
      <w:r w:rsidR="00DE3FAC" w:rsidRPr="000F69D8">
        <w:rPr>
          <w:rFonts w:ascii="Times New Roman" w:hAnsi="Times New Roman" w:cs="Times New Roman"/>
          <w:b/>
          <w:sz w:val="24"/>
          <w:vertAlign w:val="superscript"/>
        </w:rPr>
        <w:t>223</w:t>
      </w:r>
      <w:r w:rsidR="00DE3FAC">
        <w:rPr>
          <w:rFonts w:ascii="Times New Roman" w:hAnsi="Times New Roman" w:cs="Times New Roman"/>
          <w:b/>
          <w:sz w:val="24"/>
        </w:rPr>
        <w:t>Ra</w:t>
      </w:r>
      <w:r w:rsidR="00DE3FAC" w:rsidRPr="002F4E04">
        <w:rPr>
          <w:rFonts w:ascii="Times New Roman" w:hAnsi="Times New Roman" w:cs="Times New Roman"/>
          <w:b/>
          <w:sz w:val="24"/>
        </w:rPr>
        <w:t>C</w:t>
      </w:r>
      <w:r w:rsidR="00DE3FAC">
        <w:rPr>
          <w:rFonts w:ascii="Times New Roman" w:hAnsi="Times New Roman" w:cs="Times New Roman"/>
          <w:b/>
          <w:sz w:val="24"/>
        </w:rPr>
        <w:t>l</w:t>
      </w:r>
      <w:r w:rsidR="00DE3FAC" w:rsidRPr="000F69D8">
        <w:rPr>
          <w:rFonts w:ascii="Times New Roman" w:hAnsi="Times New Roman" w:cs="Times New Roman"/>
          <w:b/>
          <w:sz w:val="24"/>
          <w:vertAlign w:val="subscript"/>
        </w:rPr>
        <w:t>2</w:t>
      </w:r>
      <w:r w:rsidR="00DE3FAC" w:rsidRPr="002F4E04">
        <w:rPr>
          <w:rFonts w:ascii="Times New Roman" w:hAnsi="Times New Roman" w:cs="Times New Roman"/>
          <w:b/>
          <w:sz w:val="24"/>
        </w:rPr>
        <w:t xml:space="preserve"> </w:t>
      </w:r>
      <w:r w:rsidR="002F6D9D" w:rsidRPr="002F4E04">
        <w:rPr>
          <w:rFonts w:ascii="Times New Roman" w:hAnsi="Times New Roman" w:cs="Times New Roman"/>
          <w:b/>
          <w:sz w:val="24"/>
        </w:rPr>
        <w:t>en pacientes con metástasis ósea</w:t>
      </w:r>
      <w:r w:rsidR="00DE3FAC" w:rsidRPr="002F4E04">
        <w:rPr>
          <w:rFonts w:ascii="Times New Roman" w:hAnsi="Times New Roman" w:cs="Times New Roman"/>
          <w:b/>
          <w:sz w:val="24"/>
        </w:rPr>
        <w:t xml:space="preserve"> </w:t>
      </w:r>
      <w:r w:rsidR="002F6D9D" w:rsidRPr="002F4E04">
        <w:rPr>
          <w:rFonts w:ascii="Times New Roman" w:hAnsi="Times New Roman" w:cs="Times New Roman"/>
          <w:b/>
          <w:sz w:val="24"/>
        </w:rPr>
        <w:t>derivado de cáncer de próstata resistente a la castración</w:t>
      </w:r>
    </w:p>
    <w:p w:rsidR="00DE3FAC" w:rsidRPr="00DE3FAC" w:rsidRDefault="00DE3FAC" w:rsidP="00DE3FAC">
      <w:pPr>
        <w:pStyle w:val="Ttulo2"/>
        <w:jc w:val="center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A. Astudillo-Velázquez</w:t>
      </w:r>
      <w:r w:rsidR="00663AF3">
        <w:rPr>
          <w:sz w:val="24"/>
          <w:szCs w:val="24"/>
          <w:vertAlign w:val="superscript"/>
          <w:lang w:val="es-MX"/>
        </w:rPr>
        <w:t>a,</w:t>
      </w:r>
      <w:r w:rsidR="00663AF3" w:rsidRPr="00663AF3">
        <w:rPr>
          <w:sz w:val="24"/>
          <w:szCs w:val="24"/>
          <w:vertAlign w:val="superscript"/>
          <w:lang w:val="es-MX"/>
        </w:rPr>
        <w:t>*</w:t>
      </w:r>
      <w:r>
        <w:rPr>
          <w:sz w:val="24"/>
          <w:szCs w:val="24"/>
          <w:lang w:val="es-MX"/>
        </w:rPr>
        <w:t>, L. Paredes-Gutiérrez</w:t>
      </w:r>
      <w:r w:rsidR="00663AF3">
        <w:rPr>
          <w:sz w:val="24"/>
          <w:szCs w:val="24"/>
          <w:vertAlign w:val="superscript"/>
          <w:lang w:val="es-MX"/>
        </w:rPr>
        <w:t>a</w:t>
      </w:r>
    </w:p>
    <w:p w:rsidR="00DE3FAC" w:rsidRPr="00123B7A" w:rsidRDefault="00663AF3" w:rsidP="008B0D84">
      <w:pPr>
        <w:rPr>
          <w:sz w:val="22"/>
          <w:lang w:val="es-MX"/>
        </w:rPr>
      </w:pPr>
      <w:r>
        <w:rPr>
          <w:sz w:val="22"/>
          <w:vertAlign w:val="superscript"/>
          <w:lang w:val="es-MX"/>
        </w:rPr>
        <w:t xml:space="preserve">a </w:t>
      </w:r>
      <w:r w:rsidR="00DE3FAC" w:rsidRPr="009A7217">
        <w:rPr>
          <w:sz w:val="24"/>
          <w:szCs w:val="24"/>
          <w:lang w:val="es-MX"/>
        </w:rPr>
        <w:t>Instituto Nacional de Investigaciones Nucleares</w:t>
      </w:r>
      <w:r w:rsidRPr="009A7217">
        <w:rPr>
          <w:sz w:val="24"/>
          <w:szCs w:val="24"/>
          <w:lang w:val="es-MX"/>
        </w:rPr>
        <w:t>, Toluca, Méx., México</w:t>
      </w:r>
    </w:p>
    <w:p w:rsidR="00DE3FAC" w:rsidRPr="00663AF3" w:rsidRDefault="005051AF" w:rsidP="008B0D84">
      <w:pPr>
        <w:rPr>
          <w:sz w:val="24"/>
          <w:szCs w:val="24"/>
          <w:lang w:val="es-MX"/>
        </w:rPr>
      </w:pPr>
      <w:bookmarkStart w:id="0" w:name="_GoBack"/>
      <w:r w:rsidRPr="005051AF">
        <w:rPr>
          <w:sz w:val="24"/>
          <w:szCs w:val="24"/>
          <w:vertAlign w:val="superscript"/>
          <w:lang w:val="es-MX"/>
        </w:rPr>
        <w:t>*</w:t>
      </w:r>
      <w:bookmarkEnd w:id="0"/>
      <w:r w:rsidR="00663AF3" w:rsidRPr="00E0130D">
        <w:rPr>
          <w:sz w:val="24"/>
          <w:szCs w:val="24"/>
          <w:lang w:val="es-MX"/>
        </w:rPr>
        <w:t xml:space="preserve">Autor para correspondencia: </w:t>
      </w:r>
      <w:hyperlink r:id="rId6" w:history="1">
        <w:r w:rsidR="00DE3FAC" w:rsidRPr="00663AF3">
          <w:rPr>
            <w:rStyle w:val="Hipervnculo"/>
            <w:color w:val="auto"/>
            <w:sz w:val="24"/>
            <w:szCs w:val="24"/>
            <w:u w:val="none"/>
            <w:lang w:val="es-MX"/>
          </w:rPr>
          <w:t>armando.astudillo@inin.gob.mx</w:t>
        </w:r>
      </w:hyperlink>
    </w:p>
    <w:p w:rsidR="00DE3FAC" w:rsidRPr="00DE3FAC" w:rsidRDefault="00DE3FAC" w:rsidP="00DE3FAC">
      <w:pPr>
        <w:jc w:val="center"/>
        <w:rPr>
          <w:sz w:val="22"/>
          <w:lang w:val="es-MX"/>
        </w:rPr>
      </w:pPr>
    </w:p>
    <w:p w:rsidR="00DE3FAC" w:rsidRPr="00123B7A" w:rsidRDefault="00DE3FAC" w:rsidP="00DE3FAC">
      <w:pPr>
        <w:autoSpaceDE w:val="0"/>
        <w:autoSpaceDN w:val="0"/>
        <w:adjustRightInd w:val="0"/>
        <w:rPr>
          <w:sz w:val="20"/>
          <w:lang w:val="es-MX"/>
        </w:rPr>
      </w:pPr>
    </w:p>
    <w:p w:rsidR="00DE3FAC" w:rsidRPr="00123B7A" w:rsidRDefault="00DE3FAC" w:rsidP="00DE3FAC">
      <w:pPr>
        <w:spacing w:line="240" w:lineRule="atLeast"/>
        <w:ind w:firstLine="288"/>
        <w:jc w:val="both"/>
        <w:rPr>
          <w:sz w:val="20"/>
          <w:lang w:val="es-MX"/>
        </w:rPr>
        <w:sectPr w:rsidR="00DE3FAC" w:rsidRPr="00123B7A" w:rsidSect="007F2DBF">
          <w:headerReference w:type="even" r:id="rId7"/>
          <w:footerReference w:type="even" r:id="rId8"/>
          <w:pgSz w:w="12240" w:h="15840" w:code="1"/>
          <w:pgMar w:top="1418" w:right="1325" w:bottom="1418" w:left="1418" w:header="720" w:footer="720" w:gutter="0"/>
          <w:cols w:space="480"/>
          <w:docGrid w:linePitch="245"/>
        </w:sectPr>
      </w:pPr>
    </w:p>
    <w:p w:rsidR="00DE3FAC" w:rsidRPr="00DE3FAC" w:rsidRDefault="00DE3FAC" w:rsidP="00DE3FAC">
      <w:pPr>
        <w:jc w:val="both"/>
        <w:rPr>
          <w:sz w:val="20"/>
          <w:lang w:val="es-MX"/>
        </w:rPr>
      </w:pPr>
      <w:r w:rsidRPr="00123B7A">
        <w:rPr>
          <w:b/>
          <w:sz w:val="20"/>
          <w:lang w:val="es-MX"/>
        </w:rPr>
        <w:lastRenderedPageBreak/>
        <w:t>Introducción:</w:t>
      </w:r>
      <w:r w:rsidRPr="00123B7A">
        <w:rPr>
          <w:sz w:val="20"/>
          <w:lang w:val="es-MX"/>
        </w:rPr>
        <w:t xml:space="preserve"> </w:t>
      </w:r>
      <w:r w:rsidRPr="00DE3FAC">
        <w:rPr>
          <w:sz w:val="20"/>
          <w:lang w:val="es-MX"/>
        </w:rPr>
        <w:t xml:space="preserve">El cáncer de próstata es reconocido como el tumor maligno más </w:t>
      </w:r>
      <w:r w:rsidR="00246E52">
        <w:rPr>
          <w:sz w:val="20"/>
          <w:lang w:val="es-MX"/>
        </w:rPr>
        <w:t>frecuente del varón</w:t>
      </w:r>
      <w:r w:rsidRPr="00DE3FAC">
        <w:rPr>
          <w:sz w:val="20"/>
          <w:lang w:val="es-MX"/>
        </w:rPr>
        <w:t xml:space="preserve"> mayor de 50 años</w:t>
      </w:r>
      <w:r w:rsidR="00C05D0D" w:rsidRPr="00C05D0D">
        <w:rPr>
          <w:sz w:val="20"/>
          <w:vertAlign w:val="superscript"/>
          <w:lang w:val="es-MX"/>
        </w:rPr>
        <w:t>1</w:t>
      </w:r>
      <w:r>
        <w:rPr>
          <w:sz w:val="20"/>
          <w:lang w:val="es-MX"/>
        </w:rPr>
        <w:t xml:space="preserve">. </w:t>
      </w:r>
      <w:r w:rsidR="00663AF3">
        <w:rPr>
          <w:sz w:val="20"/>
          <w:lang w:val="es-MX"/>
        </w:rPr>
        <w:t>A pesar de los</w:t>
      </w:r>
      <w:r w:rsidRPr="00DE3FAC">
        <w:rPr>
          <w:sz w:val="20"/>
          <w:lang w:val="es-MX"/>
        </w:rPr>
        <w:t xml:space="preserve"> avances recientes en el tratamiento del cáncer de próstata resistente a la castración metastásico, aún persiste una importante necesidad médica insatisfecha de contar con opciones terapéuticas adicionales, en especial para las metástasis óseas</w:t>
      </w:r>
      <w:r>
        <w:rPr>
          <w:sz w:val="20"/>
          <w:lang w:val="es-MX"/>
        </w:rPr>
        <w:t xml:space="preserve">. En </w:t>
      </w:r>
      <w:r w:rsidR="00663AF3">
        <w:rPr>
          <w:sz w:val="20"/>
          <w:lang w:val="es-MX"/>
        </w:rPr>
        <w:t>e</w:t>
      </w:r>
      <w:r w:rsidR="00C825D9">
        <w:rPr>
          <w:sz w:val="20"/>
          <w:lang w:val="es-MX"/>
        </w:rPr>
        <w:t xml:space="preserve">nero de 2014, COFEPRIS/SSA autorizó la utilización del </w:t>
      </w:r>
      <w:r w:rsidR="00C825D9" w:rsidRPr="00C825D9">
        <w:rPr>
          <w:sz w:val="20"/>
          <w:vertAlign w:val="superscript"/>
          <w:lang w:val="es-MX"/>
        </w:rPr>
        <w:t>223</w:t>
      </w:r>
      <w:r w:rsidR="00C825D9">
        <w:rPr>
          <w:sz w:val="20"/>
          <w:lang w:val="es-MX"/>
        </w:rPr>
        <w:t>RaCl</w:t>
      </w:r>
      <w:r w:rsidR="00C825D9" w:rsidRPr="00C825D9">
        <w:rPr>
          <w:sz w:val="20"/>
          <w:vertAlign w:val="subscript"/>
          <w:lang w:val="es-MX"/>
        </w:rPr>
        <w:t>2</w:t>
      </w:r>
      <w:r w:rsidR="00C825D9">
        <w:rPr>
          <w:sz w:val="20"/>
          <w:lang w:val="es-MX"/>
        </w:rPr>
        <w:t xml:space="preserve"> como el primer emisor-α para metástasis ósea derivado de cáncer de próstata resistente a la castración. Los cálculos de dosis absorbida se han visto comprometidos debido a que el </w:t>
      </w:r>
      <w:r w:rsidR="00C825D9" w:rsidRPr="00C825D9">
        <w:rPr>
          <w:sz w:val="20"/>
          <w:vertAlign w:val="superscript"/>
          <w:lang w:val="es-MX"/>
        </w:rPr>
        <w:t>223</w:t>
      </w:r>
      <w:r w:rsidR="00C825D9">
        <w:rPr>
          <w:sz w:val="20"/>
          <w:lang w:val="es-MX"/>
        </w:rPr>
        <w:t>Ra tiene un decaimiento múltiple</w:t>
      </w:r>
      <w:r w:rsidR="00663AF3">
        <w:rPr>
          <w:sz w:val="20"/>
          <w:lang w:val="es-MX"/>
        </w:rPr>
        <w:t xml:space="preserve"> (f</w:t>
      </w:r>
      <w:r w:rsidR="001077CE">
        <w:rPr>
          <w:sz w:val="20"/>
          <w:lang w:val="es-MX"/>
        </w:rPr>
        <w:t>ig</w:t>
      </w:r>
      <w:r w:rsidR="00663AF3">
        <w:rPr>
          <w:sz w:val="20"/>
          <w:lang w:val="es-MX"/>
        </w:rPr>
        <w:t>ura</w:t>
      </w:r>
      <w:r w:rsidR="001077CE">
        <w:rPr>
          <w:sz w:val="20"/>
          <w:lang w:val="es-MX"/>
        </w:rPr>
        <w:t xml:space="preserve"> 1)</w:t>
      </w:r>
      <w:r w:rsidR="00246E52">
        <w:rPr>
          <w:sz w:val="20"/>
          <w:lang w:val="es-MX"/>
        </w:rPr>
        <w:t xml:space="preserve">, la cual </w:t>
      </w:r>
      <w:r w:rsidR="00C825D9">
        <w:rPr>
          <w:sz w:val="20"/>
          <w:lang w:val="es-MX"/>
        </w:rPr>
        <w:t>debe ser verificada</w:t>
      </w:r>
      <w:r w:rsidR="00663AF3">
        <w:rPr>
          <w:sz w:val="20"/>
          <w:lang w:val="es-MX"/>
        </w:rPr>
        <w:t>.</w:t>
      </w:r>
    </w:p>
    <w:p w:rsidR="00DE3FAC" w:rsidRPr="00DE3FAC" w:rsidRDefault="00DE3FAC" w:rsidP="00DE3FAC">
      <w:pPr>
        <w:jc w:val="both"/>
        <w:rPr>
          <w:sz w:val="20"/>
          <w:lang w:val="es-MX"/>
        </w:rPr>
      </w:pPr>
    </w:p>
    <w:p w:rsidR="001077CE" w:rsidRDefault="00DE3FAC" w:rsidP="00246E52">
      <w:pPr>
        <w:jc w:val="both"/>
        <w:rPr>
          <w:sz w:val="20"/>
          <w:lang w:val="es-MX"/>
        </w:rPr>
      </w:pPr>
      <w:r w:rsidRPr="00123B7A">
        <w:rPr>
          <w:rFonts w:cs="Arial"/>
          <w:b/>
          <w:bCs/>
          <w:sz w:val="20"/>
          <w:lang w:val="es-MX"/>
        </w:rPr>
        <w:t>Materiales y métodos</w:t>
      </w:r>
      <w:r w:rsidRPr="001077CE">
        <w:rPr>
          <w:rFonts w:cs="Arial"/>
          <w:b/>
          <w:bCs/>
          <w:sz w:val="20"/>
          <w:lang w:val="es-MX"/>
        </w:rPr>
        <w:t>:</w:t>
      </w:r>
      <w:r w:rsidRPr="001077CE">
        <w:rPr>
          <w:rFonts w:cs="Arial"/>
          <w:bCs/>
          <w:sz w:val="20"/>
          <w:lang w:val="es-MX"/>
        </w:rPr>
        <w:t xml:space="preserve"> </w:t>
      </w:r>
      <w:r w:rsidR="001077CE" w:rsidRPr="001077CE">
        <w:rPr>
          <w:sz w:val="20"/>
          <w:lang w:val="es-MX"/>
        </w:rPr>
        <w:t xml:space="preserve">La presentación comercial de </w:t>
      </w:r>
      <w:r w:rsidR="001077CE" w:rsidRPr="001077CE">
        <w:rPr>
          <w:sz w:val="20"/>
          <w:vertAlign w:val="superscript"/>
          <w:lang w:val="es-MX"/>
        </w:rPr>
        <w:t>223</w:t>
      </w:r>
      <w:r w:rsidR="001077CE" w:rsidRPr="001077CE">
        <w:rPr>
          <w:sz w:val="20"/>
          <w:lang w:val="es-MX"/>
        </w:rPr>
        <w:t xml:space="preserve">Ra se presenta como solución inyectable con una concentración de 1000 kBq/ml. Cada vial de 6 ml contiene 6 MBq de </w:t>
      </w:r>
      <w:r w:rsidR="001077CE" w:rsidRPr="001077CE">
        <w:rPr>
          <w:sz w:val="20"/>
          <w:vertAlign w:val="superscript"/>
          <w:lang w:val="es-MX"/>
        </w:rPr>
        <w:t>223</w:t>
      </w:r>
      <w:r w:rsidR="001077CE" w:rsidRPr="001077CE">
        <w:rPr>
          <w:sz w:val="20"/>
          <w:lang w:val="es-MX"/>
        </w:rPr>
        <w:t>RaCl</w:t>
      </w:r>
      <w:r w:rsidR="001077CE" w:rsidRPr="001077CE">
        <w:rPr>
          <w:sz w:val="20"/>
          <w:vertAlign w:val="subscript"/>
          <w:lang w:val="es-MX"/>
        </w:rPr>
        <w:t>2</w:t>
      </w:r>
      <w:r w:rsidR="001077CE" w:rsidRPr="001077CE">
        <w:rPr>
          <w:sz w:val="20"/>
          <w:lang w:val="es-MX"/>
        </w:rPr>
        <w:t xml:space="preserve"> en la fecha y hora de referencia. Cada </w:t>
      </w:r>
      <w:r w:rsidR="007702A4" w:rsidRPr="001077CE">
        <w:rPr>
          <w:sz w:val="20"/>
          <w:lang w:val="es-MX"/>
        </w:rPr>
        <w:t>m</w:t>
      </w:r>
      <w:r w:rsidR="007702A4">
        <w:rPr>
          <w:sz w:val="20"/>
          <w:lang w:val="es-MX"/>
        </w:rPr>
        <w:t>ililitro</w:t>
      </w:r>
      <w:r w:rsidR="001077CE" w:rsidRPr="001077CE">
        <w:rPr>
          <w:sz w:val="20"/>
          <w:lang w:val="es-MX"/>
        </w:rPr>
        <w:t xml:space="preserve"> contiene 1000 kBq que corresponden a 0.53 </w:t>
      </w:r>
      <w:r w:rsidR="007702A4">
        <w:rPr>
          <w:sz w:val="20"/>
          <w:lang w:val="es-MX"/>
        </w:rPr>
        <w:sym w:font="Symbol" w:char="F068"/>
      </w:r>
      <w:r w:rsidR="001077CE" w:rsidRPr="001077CE">
        <w:rPr>
          <w:sz w:val="20"/>
          <w:lang w:val="es-MX"/>
        </w:rPr>
        <w:t xml:space="preserve">g de </w:t>
      </w:r>
      <w:r w:rsidR="001077CE" w:rsidRPr="001077CE">
        <w:rPr>
          <w:sz w:val="20"/>
          <w:vertAlign w:val="superscript"/>
          <w:lang w:val="es-MX"/>
        </w:rPr>
        <w:t>223</w:t>
      </w:r>
      <w:r w:rsidR="001077CE" w:rsidRPr="001077CE">
        <w:rPr>
          <w:sz w:val="20"/>
          <w:lang w:val="es-MX"/>
        </w:rPr>
        <w:t>Ra.</w:t>
      </w:r>
      <w:r w:rsidR="001077CE">
        <w:rPr>
          <w:sz w:val="20"/>
          <w:lang w:val="es-MX"/>
        </w:rPr>
        <w:t xml:space="preserve"> La ficha técnica indica la forma de obtener el volumen que se habrá de administrar a través</w:t>
      </w:r>
      <w:r w:rsidR="004F17A5">
        <w:rPr>
          <w:sz w:val="20"/>
          <w:lang w:val="es-MX"/>
        </w:rPr>
        <w:t xml:space="preserve"> de:</w:t>
      </w:r>
    </w:p>
    <w:p w:rsidR="001077CE" w:rsidRDefault="001077CE" w:rsidP="001077CE">
      <w:pPr>
        <w:ind w:firstLine="284"/>
        <w:jc w:val="both"/>
        <w:rPr>
          <w:sz w:val="20"/>
          <w:lang w:val="es-MX"/>
        </w:rPr>
      </w:pPr>
    </w:p>
    <w:p w:rsidR="001077CE" w:rsidRDefault="001077CE" w:rsidP="001077CE">
      <w:pPr>
        <w:ind w:firstLine="284"/>
        <w:jc w:val="center"/>
        <w:rPr>
          <w:lang w:val="es-MX"/>
        </w:rPr>
      </w:pPr>
      <w:r>
        <w:rPr>
          <w:noProof/>
          <w:sz w:val="24"/>
          <w:lang w:val="es-MX" w:eastAsia="es-MX"/>
        </w:rPr>
        <w:drawing>
          <wp:inline distT="0" distB="0" distL="0" distR="0" wp14:anchorId="23EC1BD1" wp14:editId="33F3D3CE">
            <wp:extent cx="1513703" cy="289449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0267" cy="290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77CE" w:rsidRDefault="001077CE" w:rsidP="001077CE">
      <w:pPr>
        <w:ind w:firstLine="284"/>
        <w:jc w:val="both"/>
        <w:rPr>
          <w:lang w:val="es-MX"/>
        </w:rPr>
      </w:pPr>
    </w:p>
    <w:p w:rsidR="001077CE" w:rsidRPr="001077CE" w:rsidRDefault="001077CE" w:rsidP="00C05D0D">
      <w:pPr>
        <w:pStyle w:val="Sinespaciado"/>
        <w:jc w:val="both"/>
        <w:rPr>
          <w:rFonts w:ascii="Times New Roman" w:hAnsi="Times New Roman" w:cs="Times New Roman"/>
          <w:sz w:val="20"/>
          <w:szCs w:val="20"/>
        </w:rPr>
      </w:pPr>
      <w:r w:rsidRPr="001077CE">
        <w:rPr>
          <w:rFonts w:ascii="Times New Roman" w:hAnsi="Times New Roman" w:cs="Times New Roman"/>
          <w:sz w:val="20"/>
          <w:szCs w:val="20"/>
        </w:rPr>
        <w:t>A partir de la masa contenida en el volumen administrado, se obt</w:t>
      </w:r>
      <w:r>
        <w:rPr>
          <w:rFonts w:ascii="Times New Roman" w:hAnsi="Times New Roman" w:cs="Times New Roman"/>
          <w:sz w:val="20"/>
          <w:szCs w:val="20"/>
        </w:rPr>
        <w:t>uvo</w:t>
      </w:r>
      <w:r w:rsidRPr="001077CE">
        <w:rPr>
          <w:rFonts w:ascii="Times New Roman" w:hAnsi="Times New Roman" w:cs="Times New Roman"/>
          <w:sz w:val="20"/>
          <w:szCs w:val="20"/>
        </w:rPr>
        <w:t xml:space="preserve"> la dosis por partículas-α correspondientes al </w:t>
      </w:r>
      <w:r w:rsidRPr="001077CE">
        <w:rPr>
          <w:rFonts w:ascii="Times New Roman" w:hAnsi="Times New Roman" w:cs="Times New Roman"/>
          <w:sz w:val="20"/>
          <w:szCs w:val="20"/>
          <w:vertAlign w:val="superscript"/>
        </w:rPr>
        <w:t>223</w:t>
      </w:r>
      <w:r w:rsidRPr="001077CE">
        <w:rPr>
          <w:rFonts w:ascii="Times New Roman" w:hAnsi="Times New Roman" w:cs="Times New Roman"/>
          <w:sz w:val="20"/>
          <w:szCs w:val="20"/>
        </w:rPr>
        <w:t xml:space="preserve">Ra a partir de la siguiente expresión. </w:t>
      </w:r>
    </w:p>
    <w:p w:rsidR="001077CE" w:rsidRPr="001077CE" w:rsidRDefault="001077CE" w:rsidP="001077CE">
      <w:pPr>
        <w:pStyle w:val="Sinespaciado"/>
        <w:spacing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1077CE">
        <w:rPr>
          <w:rFonts w:ascii="Times New Roman" w:hAnsi="Times New Roman" w:cs="Times New Roman"/>
          <w:noProof/>
          <w:sz w:val="20"/>
          <w:szCs w:val="20"/>
          <w:lang w:eastAsia="es-MX"/>
        </w:rPr>
        <w:drawing>
          <wp:inline distT="0" distB="0" distL="0" distR="0" wp14:anchorId="1567B541" wp14:editId="46A14C3D">
            <wp:extent cx="1057013" cy="150793"/>
            <wp:effectExtent l="0" t="0" r="0" b="190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120" cy="156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77CE" w:rsidRPr="001077CE" w:rsidRDefault="001077CE" w:rsidP="001077CE">
      <w:pPr>
        <w:pStyle w:val="Sinespaciado"/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077CE">
        <w:rPr>
          <w:rFonts w:ascii="Times New Roman" w:hAnsi="Times New Roman" w:cs="Times New Roman"/>
          <w:sz w:val="20"/>
          <w:szCs w:val="20"/>
        </w:rPr>
        <w:t>Donde</w:t>
      </w:r>
      <w:r w:rsidR="002F6D9D">
        <w:rPr>
          <w:rFonts w:ascii="Times New Roman" w:hAnsi="Times New Roman" w:cs="Times New Roman"/>
          <w:sz w:val="20"/>
          <w:szCs w:val="20"/>
        </w:rPr>
        <w:t>:</w:t>
      </w:r>
    </w:p>
    <w:p w:rsidR="001077CE" w:rsidRPr="001077CE" w:rsidRDefault="001077CE" w:rsidP="001077CE">
      <w:pPr>
        <w:pStyle w:val="Sinespaciado"/>
        <w:spacing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1077CE">
        <w:rPr>
          <w:rFonts w:ascii="Times New Roman" w:hAnsi="Times New Roman" w:cs="Times New Roman"/>
          <w:noProof/>
          <w:sz w:val="20"/>
          <w:szCs w:val="20"/>
          <w:lang w:eastAsia="es-MX"/>
        </w:rPr>
        <w:drawing>
          <wp:inline distT="0" distB="0" distL="0" distR="0" wp14:anchorId="34F6A0E5" wp14:editId="748737C5">
            <wp:extent cx="2737022" cy="191592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7957" cy="1930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77CE" w:rsidRPr="001077CE" w:rsidRDefault="001077CE" w:rsidP="001077CE">
      <w:pPr>
        <w:pStyle w:val="Sinespaciado"/>
        <w:spacing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1077CE">
        <w:rPr>
          <w:rFonts w:ascii="Times New Roman" w:hAnsi="Times New Roman" w:cs="Times New Roman"/>
          <w:noProof/>
          <w:sz w:val="20"/>
          <w:szCs w:val="20"/>
          <w:lang w:eastAsia="es-MX"/>
        </w:rPr>
        <w:drawing>
          <wp:inline distT="0" distB="0" distL="0" distR="0" wp14:anchorId="027384D2" wp14:editId="24BB1055">
            <wp:extent cx="1742303" cy="181356"/>
            <wp:effectExtent l="0" t="0" r="0" b="952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2183" cy="1875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77CE" w:rsidRDefault="001077CE" w:rsidP="001077CE">
      <w:pPr>
        <w:ind w:firstLine="284"/>
        <w:jc w:val="both"/>
        <w:rPr>
          <w:lang w:val="es-MX"/>
        </w:rPr>
      </w:pPr>
    </w:p>
    <w:p w:rsidR="00B52493" w:rsidRDefault="00B52493" w:rsidP="001077CE">
      <w:pPr>
        <w:ind w:firstLine="284"/>
        <w:jc w:val="both"/>
        <w:rPr>
          <w:lang w:val="es-MX"/>
        </w:rPr>
      </w:pPr>
    </w:p>
    <w:p w:rsidR="00B52493" w:rsidRPr="001077CE" w:rsidRDefault="00B52493" w:rsidP="001077CE">
      <w:pPr>
        <w:ind w:firstLine="284"/>
        <w:jc w:val="both"/>
        <w:rPr>
          <w:lang w:val="es-MX"/>
        </w:rPr>
      </w:pPr>
    </w:p>
    <w:p w:rsidR="00DE3FAC" w:rsidRDefault="00DE3FAC" w:rsidP="001077CE">
      <w:pPr>
        <w:jc w:val="both"/>
        <w:rPr>
          <w:bCs/>
          <w:sz w:val="20"/>
          <w:lang w:val="es-MX"/>
        </w:rPr>
      </w:pPr>
      <w:r w:rsidRPr="00123B7A">
        <w:rPr>
          <w:b/>
          <w:bCs/>
          <w:sz w:val="20"/>
          <w:lang w:val="es-MX"/>
        </w:rPr>
        <w:t>Resultados</w:t>
      </w:r>
      <w:r w:rsidRPr="00123B7A">
        <w:rPr>
          <w:bCs/>
          <w:sz w:val="20"/>
          <w:lang w:val="es-MX"/>
        </w:rPr>
        <w:t xml:space="preserve">: </w:t>
      </w:r>
      <w:r w:rsidR="001077CE">
        <w:rPr>
          <w:bCs/>
          <w:sz w:val="20"/>
          <w:lang w:val="es-MX"/>
        </w:rPr>
        <w:t xml:space="preserve">A partir de las expresiones anteriores se obtuvo </w:t>
      </w:r>
      <w:r w:rsidR="00CF0175">
        <w:rPr>
          <w:bCs/>
          <w:sz w:val="20"/>
          <w:lang w:val="es-MX"/>
        </w:rPr>
        <w:t>el cálculo de la contribuci</w:t>
      </w:r>
      <w:r w:rsidR="00B52493">
        <w:rPr>
          <w:bCs/>
          <w:sz w:val="20"/>
          <w:lang w:val="es-MX"/>
        </w:rPr>
        <w:t>ón</w:t>
      </w:r>
      <w:r w:rsidR="00CF0175">
        <w:rPr>
          <w:bCs/>
          <w:sz w:val="20"/>
          <w:lang w:val="es-MX"/>
        </w:rPr>
        <w:t xml:space="preserve"> </w:t>
      </w:r>
      <w:r w:rsidR="002F6D9D">
        <w:rPr>
          <w:bCs/>
          <w:sz w:val="20"/>
          <w:lang w:val="es-MX"/>
        </w:rPr>
        <w:t xml:space="preserve">gamma. Es preciso mencionar </w:t>
      </w:r>
      <w:r w:rsidR="00CF0175">
        <w:rPr>
          <w:bCs/>
          <w:sz w:val="20"/>
          <w:lang w:val="es-MX"/>
        </w:rPr>
        <w:t xml:space="preserve">que la expresión por </w:t>
      </w:r>
      <w:r w:rsidR="009A7217">
        <w:rPr>
          <w:bCs/>
          <w:sz w:val="20"/>
          <w:lang w:val="es-MX"/>
        </w:rPr>
        <w:t>contribución gamma es distinta.</w:t>
      </w:r>
    </w:p>
    <w:p w:rsidR="00CF0175" w:rsidRDefault="00CF0175" w:rsidP="001077CE">
      <w:pPr>
        <w:jc w:val="both"/>
        <w:rPr>
          <w:bCs/>
          <w:sz w:val="20"/>
          <w:lang w:val="es-MX"/>
        </w:rPr>
      </w:pPr>
    </w:p>
    <w:p w:rsidR="00CF0175" w:rsidRPr="00123B7A" w:rsidRDefault="00225735" w:rsidP="00CF0175">
      <w:pPr>
        <w:jc w:val="center"/>
        <w:rPr>
          <w:rFonts w:cs="Arial"/>
          <w:bCs/>
          <w:sz w:val="20"/>
          <w:lang w:val="es-MX"/>
        </w:rPr>
      </w:pPr>
      <w:r w:rsidRPr="00225735">
        <w:rPr>
          <w:position w:val="-52"/>
        </w:rPr>
        <w:object w:dxaOrig="5960" w:dyaOrig="11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90.1pt;height:36.3pt" o:ole="">
            <v:imagedata r:id="rId13" o:title=""/>
          </v:shape>
          <o:OLEObject Type="Embed" ProgID="Equation.3" ShapeID="_x0000_i1025" DrawAspect="Content" ObjectID="_1537088931" r:id="rId14"/>
        </w:object>
      </w:r>
    </w:p>
    <w:p w:rsidR="00DE3FAC" w:rsidRDefault="00DE3FAC" w:rsidP="00DE3FAC">
      <w:pPr>
        <w:autoSpaceDE w:val="0"/>
        <w:autoSpaceDN w:val="0"/>
        <w:adjustRightInd w:val="0"/>
        <w:ind w:firstLine="284"/>
        <w:jc w:val="both"/>
        <w:rPr>
          <w:rFonts w:cs="Arial"/>
          <w:bCs/>
          <w:sz w:val="20"/>
          <w:lang w:val="es-MX"/>
        </w:rPr>
      </w:pPr>
    </w:p>
    <w:p w:rsidR="00B52493" w:rsidRPr="00123B7A" w:rsidRDefault="00B52493" w:rsidP="00DE3FAC">
      <w:pPr>
        <w:autoSpaceDE w:val="0"/>
        <w:autoSpaceDN w:val="0"/>
        <w:adjustRightInd w:val="0"/>
        <w:ind w:firstLine="284"/>
        <w:jc w:val="both"/>
        <w:rPr>
          <w:rFonts w:cs="Arial"/>
          <w:bCs/>
          <w:sz w:val="20"/>
          <w:lang w:val="es-MX"/>
        </w:rPr>
      </w:pPr>
    </w:p>
    <w:p w:rsidR="00DE3FAC" w:rsidRPr="00123B7A" w:rsidRDefault="00C05D0D" w:rsidP="00DE3FAC">
      <w:pPr>
        <w:autoSpaceDE w:val="0"/>
        <w:autoSpaceDN w:val="0"/>
        <w:adjustRightInd w:val="0"/>
        <w:jc w:val="center"/>
        <w:rPr>
          <w:b/>
          <w:noProof/>
          <w:lang w:val="es-MX" w:eastAsia="es-MX"/>
        </w:rPr>
      </w:pPr>
      <w:r>
        <w:rPr>
          <w:noProof/>
          <w:lang w:val="es-MX" w:eastAsia="es-MX"/>
        </w:rPr>
        <w:drawing>
          <wp:inline distT="0" distB="0" distL="0" distR="0" wp14:anchorId="2B3A5594" wp14:editId="77F1EA66">
            <wp:extent cx="2418522" cy="1040807"/>
            <wp:effectExtent l="0" t="0" r="1270" b="6985"/>
            <wp:docPr id="1" name="Imagen 1" descr="ra223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a223d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1968" cy="1042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3FAC" w:rsidRPr="00123B7A" w:rsidRDefault="00DE3FAC" w:rsidP="001077CE">
      <w:pPr>
        <w:autoSpaceDE w:val="0"/>
        <w:autoSpaceDN w:val="0"/>
        <w:adjustRightInd w:val="0"/>
        <w:ind w:firstLine="284"/>
        <w:jc w:val="center"/>
        <w:rPr>
          <w:sz w:val="20"/>
          <w:lang w:val="es-MX"/>
        </w:rPr>
      </w:pPr>
      <w:r w:rsidRPr="00123B7A">
        <w:rPr>
          <w:b/>
          <w:sz w:val="20"/>
          <w:lang w:val="es-MX"/>
        </w:rPr>
        <w:t xml:space="preserve">Figura </w:t>
      </w:r>
      <w:r w:rsidRPr="00123B7A">
        <w:rPr>
          <w:b/>
          <w:sz w:val="20"/>
          <w:lang w:val="es-MX"/>
        </w:rPr>
        <w:fldChar w:fldCharType="begin"/>
      </w:r>
      <w:r w:rsidRPr="00123B7A">
        <w:rPr>
          <w:b/>
          <w:sz w:val="20"/>
          <w:lang w:val="es-MX"/>
        </w:rPr>
        <w:instrText xml:space="preserve"> </w:instrText>
      </w:r>
      <w:r>
        <w:rPr>
          <w:b/>
          <w:sz w:val="20"/>
          <w:lang w:val="es-MX"/>
        </w:rPr>
        <w:instrText>SEQ</w:instrText>
      </w:r>
      <w:r w:rsidRPr="00123B7A">
        <w:rPr>
          <w:b/>
          <w:sz w:val="20"/>
          <w:lang w:val="es-MX"/>
        </w:rPr>
        <w:instrText xml:space="preserve"> Figure \* ARABIC </w:instrText>
      </w:r>
      <w:r w:rsidRPr="00123B7A">
        <w:rPr>
          <w:b/>
          <w:sz w:val="20"/>
          <w:lang w:val="es-MX"/>
        </w:rPr>
        <w:fldChar w:fldCharType="separate"/>
      </w:r>
      <w:r w:rsidR="003D1912">
        <w:rPr>
          <w:b/>
          <w:noProof/>
          <w:sz w:val="20"/>
          <w:lang w:val="es-MX"/>
        </w:rPr>
        <w:t>1</w:t>
      </w:r>
      <w:r w:rsidRPr="00123B7A">
        <w:rPr>
          <w:b/>
          <w:sz w:val="20"/>
          <w:lang w:val="es-MX"/>
        </w:rPr>
        <w:fldChar w:fldCharType="end"/>
      </w:r>
      <w:r w:rsidRPr="00123B7A">
        <w:rPr>
          <w:b/>
          <w:sz w:val="20"/>
          <w:lang w:val="es-MX"/>
        </w:rPr>
        <w:t>:</w:t>
      </w:r>
      <w:r w:rsidRPr="00123B7A">
        <w:rPr>
          <w:sz w:val="20"/>
          <w:lang w:val="es-MX"/>
        </w:rPr>
        <w:t xml:space="preserve"> </w:t>
      </w:r>
      <w:r w:rsidR="001077CE">
        <w:rPr>
          <w:sz w:val="20"/>
          <w:lang w:val="es-MX"/>
        </w:rPr>
        <w:t xml:space="preserve">Decaimiento múltiple de </w:t>
      </w:r>
      <w:r w:rsidR="001077CE" w:rsidRPr="001077CE">
        <w:rPr>
          <w:sz w:val="20"/>
          <w:vertAlign w:val="superscript"/>
          <w:lang w:val="es-MX"/>
        </w:rPr>
        <w:t>223</w:t>
      </w:r>
      <w:r w:rsidR="001077CE">
        <w:rPr>
          <w:sz w:val="20"/>
          <w:lang w:val="es-MX"/>
        </w:rPr>
        <w:t>Ra</w:t>
      </w:r>
    </w:p>
    <w:p w:rsidR="00DE3FAC" w:rsidRPr="00123B7A" w:rsidRDefault="00DE3FAC" w:rsidP="00DE3FAC">
      <w:pPr>
        <w:ind w:firstLine="284"/>
        <w:jc w:val="both"/>
        <w:rPr>
          <w:rFonts w:cs="Arial"/>
          <w:bCs/>
          <w:sz w:val="20"/>
          <w:lang w:val="es-MX"/>
        </w:rPr>
      </w:pPr>
    </w:p>
    <w:p w:rsidR="00DE3FAC" w:rsidRPr="00123B7A" w:rsidRDefault="00DE3FAC" w:rsidP="002F6D9D">
      <w:pPr>
        <w:autoSpaceDE w:val="0"/>
        <w:autoSpaceDN w:val="0"/>
        <w:adjustRightInd w:val="0"/>
        <w:jc w:val="both"/>
        <w:rPr>
          <w:rStyle w:val="boldCar"/>
          <w:lang w:val="es-MX"/>
        </w:rPr>
      </w:pPr>
      <w:r w:rsidRPr="00123B7A">
        <w:rPr>
          <w:b/>
          <w:bCs/>
          <w:sz w:val="20"/>
          <w:lang w:val="es-MX"/>
        </w:rPr>
        <w:t xml:space="preserve">Conclusiones: </w:t>
      </w:r>
      <w:r w:rsidR="00C05D0D">
        <w:rPr>
          <w:sz w:val="20"/>
          <w:lang w:val="es-MX"/>
        </w:rPr>
        <w:t xml:space="preserve">Las contribuciones de toda la progenie del </w:t>
      </w:r>
      <w:r w:rsidR="00C05D0D" w:rsidRPr="007702A4">
        <w:rPr>
          <w:sz w:val="20"/>
          <w:vertAlign w:val="superscript"/>
          <w:lang w:val="es-MX"/>
        </w:rPr>
        <w:t>223</w:t>
      </w:r>
      <w:r w:rsidR="00C05D0D">
        <w:rPr>
          <w:sz w:val="20"/>
          <w:lang w:val="es-MX"/>
        </w:rPr>
        <w:t xml:space="preserve">Ra deben ser consideradas con seriedad. A pesar de que las vidas medias a partir del </w:t>
      </w:r>
      <w:r w:rsidR="00C05D0D" w:rsidRPr="007702A4">
        <w:rPr>
          <w:sz w:val="20"/>
          <w:vertAlign w:val="superscript"/>
          <w:lang w:val="es-MX"/>
        </w:rPr>
        <w:t>219</w:t>
      </w:r>
      <w:r w:rsidR="00C05D0D">
        <w:rPr>
          <w:sz w:val="20"/>
          <w:lang w:val="es-MX"/>
        </w:rPr>
        <w:t xml:space="preserve">Rn son muy cortas, las energías son considerables que pueden afectar la integridad del paciente. </w:t>
      </w:r>
    </w:p>
    <w:p w:rsidR="00DE3FAC" w:rsidRPr="00123B7A" w:rsidRDefault="00DE3FAC" w:rsidP="00DE3FAC">
      <w:pPr>
        <w:autoSpaceDE w:val="0"/>
        <w:autoSpaceDN w:val="0"/>
        <w:adjustRightInd w:val="0"/>
        <w:ind w:firstLine="284"/>
        <w:jc w:val="both"/>
        <w:rPr>
          <w:rStyle w:val="boldCar"/>
          <w:lang w:val="es-MX"/>
        </w:rPr>
      </w:pPr>
    </w:p>
    <w:p w:rsidR="008B0D84" w:rsidRDefault="008B0D84" w:rsidP="002F6D9D">
      <w:pPr>
        <w:autoSpaceDE w:val="0"/>
        <w:autoSpaceDN w:val="0"/>
        <w:adjustRightInd w:val="0"/>
        <w:jc w:val="both"/>
        <w:rPr>
          <w:rStyle w:val="boldCar"/>
          <w:lang w:val="es-MX"/>
        </w:rPr>
      </w:pPr>
      <w:r>
        <w:rPr>
          <w:rStyle w:val="boldCar"/>
          <w:lang w:val="es-MX"/>
        </w:rPr>
        <w:t>Agradecimientos</w:t>
      </w:r>
    </w:p>
    <w:p w:rsidR="00DE3FAC" w:rsidRPr="00C05D0D" w:rsidRDefault="00C05D0D" w:rsidP="002F6D9D">
      <w:pPr>
        <w:autoSpaceDE w:val="0"/>
        <w:autoSpaceDN w:val="0"/>
        <w:adjustRightInd w:val="0"/>
        <w:jc w:val="both"/>
        <w:rPr>
          <w:sz w:val="20"/>
          <w:lang w:val="es-MX"/>
        </w:rPr>
      </w:pPr>
      <w:r>
        <w:rPr>
          <w:sz w:val="20"/>
          <w:lang w:val="es-MX"/>
        </w:rPr>
        <w:t>Al Instituto Nacional de Investigaciones Nucleares</w:t>
      </w:r>
      <w:r w:rsidR="008D048A">
        <w:rPr>
          <w:sz w:val="20"/>
          <w:lang w:val="es-MX"/>
        </w:rPr>
        <w:t>,</w:t>
      </w:r>
      <w:r>
        <w:rPr>
          <w:sz w:val="20"/>
          <w:lang w:val="es-MX"/>
        </w:rPr>
        <w:t xml:space="preserve"> a través de su </w:t>
      </w:r>
      <w:r w:rsidR="008D048A">
        <w:rPr>
          <w:sz w:val="20"/>
          <w:lang w:val="es-MX"/>
        </w:rPr>
        <w:t>D</w:t>
      </w:r>
      <w:r>
        <w:rPr>
          <w:sz w:val="20"/>
          <w:lang w:val="es-MX"/>
        </w:rPr>
        <w:t>epartamento de Metrología</w:t>
      </w:r>
      <w:r w:rsidR="008D048A">
        <w:rPr>
          <w:sz w:val="20"/>
          <w:lang w:val="es-MX"/>
        </w:rPr>
        <w:t xml:space="preserve"> de Radiaciones Ionizantes</w:t>
      </w:r>
      <w:r w:rsidR="002F6D9D">
        <w:rPr>
          <w:sz w:val="20"/>
          <w:lang w:val="es-MX"/>
        </w:rPr>
        <w:t>,</w:t>
      </w:r>
      <w:r>
        <w:rPr>
          <w:sz w:val="20"/>
          <w:lang w:val="es-MX"/>
        </w:rPr>
        <w:t xml:space="preserve"> </w:t>
      </w:r>
      <w:r w:rsidR="008D048A">
        <w:rPr>
          <w:sz w:val="20"/>
          <w:lang w:val="es-MX"/>
        </w:rPr>
        <w:t xml:space="preserve">por el apoyo en la verificación </w:t>
      </w:r>
      <w:r w:rsidR="009A7217">
        <w:rPr>
          <w:sz w:val="20"/>
          <w:lang w:val="es-MX"/>
        </w:rPr>
        <w:t>de la metodología.</w:t>
      </w:r>
    </w:p>
    <w:p w:rsidR="00DE3FAC" w:rsidRPr="00C05D0D" w:rsidRDefault="00DE3FAC" w:rsidP="00DE3FAC">
      <w:pPr>
        <w:ind w:right="30" w:firstLine="284"/>
        <w:jc w:val="both"/>
        <w:rPr>
          <w:sz w:val="20"/>
          <w:lang w:val="es-MX"/>
        </w:rPr>
      </w:pPr>
    </w:p>
    <w:sectPr w:rsidR="00DE3FAC" w:rsidRPr="00C05D0D" w:rsidSect="00400F33">
      <w:type w:val="continuous"/>
      <w:pgSz w:w="12240" w:h="15840" w:code="1"/>
      <w:pgMar w:top="1418" w:right="1418" w:bottom="1418" w:left="1418" w:header="720" w:footer="720" w:gutter="0"/>
      <w:cols w:num="2" w:space="480"/>
      <w:docGrid w:linePitch="2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0FA4" w:rsidRDefault="00920FA4">
      <w:r>
        <w:separator/>
      </w:r>
    </w:p>
  </w:endnote>
  <w:endnote w:type="continuationSeparator" w:id="0">
    <w:p w:rsidR="00920FA4" w:rsidRDefault="00920F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241" w:rsidRDefault="005051AF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0FA4" w:rsidRDefault="00920FA4">
      <w:r>
        <w:separator/>
      </w:r>
    </w:p>
  </w:footnote>
  <w:footnote w:type="continuationSeparator" w:id="0">
    <w:p w:rsidR="00920FA4" w:rsidRDefault="00920F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241" w:rsidRDefault="005051AF">
    <w:pPr>
      <w:pStyle w:val="Encabezado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FAC"/>
    <w:rsid w:val="000D4EA5"/>
    <w:rsid w:val="001077CE"/>
    <w:rsid w:val="00225735"/>
    <w:rsid w:val="00246E52"/>
    <w:rsid w:val="002F6D9D"/>
    <w:rsid w:val="00374D9C"/>
    <w:rsid w:val="003D1912"/>
    <w:rsid w:val="00445C25"/>
    <w:rsid w:val="004F17A5"/>
    <w:rsid w:val="005051AF"/>
    <w:rsid w:val="005666E7"/>
    <w:rsid w:val="005E04C1"/>
    <w:rsid w:val="00663AF3"/>
    <w:rsid w:val="006B5531"/>
    <w:rsid w:val="006D445D"/>
    <w:rsid w:val="007702A4"/>
    <w:rsid w:val="008B0D84"/>
    <w:rsid w:val="008D048A"/>
    <w:rsid w:val="00920FA4"/>
    <w:rsid w:val="009A7217"/>
    <w:rsid w:val="00A846C8"/>
    <w:rsid w:val="00B52493"/>
    <w:rsid w:val="00C05388"/>
    <w:rsid w:val="00C05D0D"/>
    <w:rsid w:val="00C825D9"/>
    <w:rsid w:val="00CD66DC"/>
    <w:rsid w:val="00CF0175"/>
    <w:rsid w:val="00D16A3C"/>
    <w:rsid w:val="00DE3FAC"/>
    <w:rsid w:val="00E0130D"/>
    <w:rsid w:val="00EE006F"/>
    <w:rsid w:val="00FD0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5:docId w15:val="{6343BFC0-2D92-4848-B4E2-26D7B9EB6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3FAC"/>
    <w:pPr>
      <w:spacing w:after="0" w:line="240" w:lineRule="auto"/>
    </w:pPr>
    <w:rPr>
      <w:rFonts w:ascii="Times New Roman" w:eastAsia="Times New Roman" w:hAnsi="Times New Roman" w:cs="Times New Roman"/>
      <w:sz w:val="18"/>
      <w:szCs w:val="20"/>
      <w:lang w:val="en-US"/>
    </w:rPr>
  </w:style>
  <w:style w:type="paragraph" w:styleId="Ttulo2">
    <w:name w:val="heading 2"/>
    <w:aliases w:val="Authors"/>
    <w:basedOn w:val="Normal"/>
    <w:next w:val="Normal"/>
    <w:link w:val="Ttulo2Car"/>
    <w:qFormat/>
    <w:rsid w:val="00DE3FAC"/>
    <w:pPr>
      <w:keepNext/>
      <w:keepLines/>
      <w:suppressAutoHyphens/>
      <w:spacing w:before="240" w:after="240" w:line="384" w:lineRule="atLeast"/>
      <w:outlineLvl w:val="1"/>
    </w:pPr>
    <w:rPr>
      <w:sz w:val="32"/>
      <w:lang w:val="en-GB" w:eastAsia="de-D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aliases w:val="Authors Car"/>
    <w:basedOn w:val="Fuentedeprrafopredeter"/>
    <w:link w:val="Ttulo2"/>
    <w:rsid w:val="00DE3FAC"/>
    <w:rPr>
      <w:rFonts w:ascii="Times New Roman" w:eastAsia="Times New Roman" w:hAnsi="Times New Roman" w:cs="Times New Roman"/>
      <w:sz w:val="32"/>
      <w:szCs w:val="20"/>
      <w:lang w:val="en-GB" w:eastAsia="de-DE"/>
    </w:rPr>
  </w:style>
  <w:style w:type="paragraph" w:styleId="Piedepgina">
    <w:name w:val="footer"/>
    <w:basedOn w:val="Normal"/>
    <w:link w:val="PiedepginaCar"/>
    <w:rsid w:val="00DE3FAC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rsid w:val="00DE3FAC"/>
    <w:rPr>
      <w:rFonts w:ascii="Times New Roman" w:eastAsia="Times New Roman" w:hAnsi="Times New Roman" w:cs="Times New Roman"/>
      <w:sz w:val="18"/>
      <w:szCs w:val="20"/>
      <w:lang w:val="en-US"/>
    </w:rPr>
  </w:style>
  <w:style w:type="paragraph" w:styleId="Encabezado">
    <w:name w:val="header"/>
    <w:basedOn w:val="Normal"/>
    <w:link w:val="EncabezadoCar"/>
    <w:rsid w:val="00DE3FAC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rsid w:val="00DE3FAC"/>
    <w:rPr>
      <w:rFonts w:ascii="Times New Roman" w:eastAsia="Times New Roman" w:hAnsi="Times New Roman" w:cs="Times New Roman"/>
      <w:sz w:val="18"/>
      <w:szCs w:val="20"/>
      <w:lang w:val="en-US"/>
    </w:rPr>
  </w:style>
  <w:style w:type="character" w:styleId="Hipervnculo">
    <w:name w:val="Hyperlink"/>
    <w:rsid w:val="00DE3FAC"/>
    <w:rPr>
      <w:color w:val="0000FF"/>
      <w:u w:val="single"/>
    </w:rPr>
  </w:style>
  <w:style w:type="paragraph" w:customStyle="1" w:styleId="Reference">
    <w:name w:val="Reference"/>
    <w:basedOn w:val="Normal"/>
    <w:rsid w:val="00DE3FAC"/>
    <w:pPr>
      <w:ind w:left="270" w:hanging="270"/>
      <w:jc w:val="both"/>
    </w:pPr>
  </w:style>
  <w:style w:type="paragraph" w:customStyle="1" w:styleId="bold">
    <w:name w:val="bold"/>
    <w:basedOn w:val="Normal"/>
    <w:link w:val="boldCar"/>
    <w:rsid w:val="00DE3FAC"/>
    <w:pPr>
      <w:spacing w:line="240" w:lineRule="atLeast"/>
      <w:jc w:val="both"/>
    </w:pPr>
    <w:rPr>
      <w:b/>
      <w:sz w:val="20"/>
      <w:lang w:val="en-GB" w:eastAsia="de-DE"/>
    </w:rPr>
  </w:style>
  <w:style w:type="character" w:customStyle="1" w:styleId="boldCar">
    <w:name w:val="bold Car"/>
    <w:link w:val="bold"/>
    <w:rsid w:val="00DE3FAC"/>
    <w:rPr>
      <w:rFonts w:ascii="Times New Roman" w:eastAsia="Times New Roman" w:hAnsi="Times New Roman" w:cs="Times New Roman"/>
      <w:b/>
      <w:sz w:val="20"/>
      <w:szCs w:val="20"/>
      <w:lang w:val="en-GB" w:eastAsia="de-D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E3FA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E3FAC"/>
    <w:rPr>
      <w:rFonts w:ascii="Tahoma" w:eastAsia="Times New Roman" w:hAnsi="Tahoma" w:cs="Tahoma"/>
      <w:sz w:val="16"/>
      <w:szCs w:val="16"/>
      <w:lang w:val="en-US"/>
    </w:rPr>
  </w:style>
  <w:style w:type="paragraph" w:styleId="Sinespaciado">
    <w:name w:val="No Spacing"/>
    <w:uiPriority w:val="1"/>
    <w:qFormat/>
    <w:rsid w:val="00DE3FA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emf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image" Target="media/image4.emf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mailto:armando.astudillo@inin.gob.mx" TargetMode="External"/><Relationship Id="rId11" Type="http://schemas.openxmlformats.org/officeDocument/2006/relationships/image" Target="media/image3.emf"/><Relationship Id="rId5" Type="http://schemas.openxmlformats.org/officeDocument/2006/relationships/endnotes" Target="endnotes.xml"/><Relationship Id="rId15" Type="http://schemas.openxmlformats.org/officeDocument/2006/relationships/image" Target="media/image6.png"/><Relationship Id="rId10" Type="http://schemas.openxmlformats.org/officeDocument/2006/relationships/image" Target="media/image2.emf"/><Relationship Id="rId4" Type="http://schemas.openxmlformats.org/officeDocument/2006/relationships/footnotes" Target="footnotes.xml"/><Relationship Id="rId9" Type="http://schemas.openxmlformats.org/officeDocument/2006/relationships/image" Target="media/image1.emf"/><Relationship Id="rId14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360</Words>
  <Characters>1981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Armando Astvel</dc:creator>
  <cp:lastModifiedBy>USUARIO</cp:lastModifiedBy>
  <cp:revision>10</cp:revision>
  <cp:lastPrinted>2015-08-25T03:02:00Z</cp:lastPrinted>
  <dcterms:created xsi:type="dcterms:W3CDTF">2016-01-15T15:30:00Z</dcterms:created>
  <dcterms:modified xsi:type="dcterms:W3CDTF">2016-10-04T17:22:00Z</dcterms:modified>
</cp:coreProperties>
</file>