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9D2314" w14:textId="005717C0" w:rsidR="00D03886" w:rsidRPr="005E0A68" w:rsidRDefault="005E0A68">
      <w:pPr>
        <w:autoSpaceDE w:val="0"/>
        <w:jc w:val="center"/>
        <w:rPr>
          <w:b/>
          <w:caps/>
          <w:sz w:val="24"/>
          <w:szCs w:val="24"/>
          <w:lang w:val="es-MX"/>
        </w:rPr>
      </w:pPr>
      <w:r>
        <w:rPr>
          <w:b/>
          <w:caps/>
          <w:sz w:val="24"/>
          <w:szCs w:val="24"/>
          <w:lang w:val="es-MX"/>
        </w:rPr>
        <w:t xml:space="preserve">TLO2-4: </w:t>
      </w:r>
      <w:r w:rsidR="00D03886" w:rsidRPr="005E0A68">
        <w:rPr>
          <w:b/>
          <w:caps/>
          <w:sz w:val="24"/>
          <w:szCs w:val="24"/>
          <w:lang w:val="es-MX"/>
        </w:rPr>
        <w:t>R</w:t>
      </w:r>
      <w:r w:rsidR="00481D04" w:rsidRPr="005E0A68">
        <w:rPr>
          <w:b/>
          <w:sz w:val="24"/>
          <w:szCs w:val="24"/>
          <w:lang w:val="es-MX"/>
        </w:rPr>
        <w:t>eproducibilidad</w:t>
      </w:r>
      <w:r w:rsidR="00D03886" w:rsidRPr="005E0A68">
        <w:rPr>
          <w:b/>
          <w:caps/>
          <w:sz w:val="24"/>
          <w:szCs w:val="24"/>
          <w:lang w:val="es-MX"/>
        </w:rPr>
        <w:t xml:space="preserve"> </w:t>
      </w:r>
      <w:r w:rsidR="006619D5" w:rsidRPr="005E0A68">
        <w:rPr>
          <w:b/>
          <w:i/>
          <w:sz w:val="24"/>
          <w:szCs w:val="24"/>
          <w:lang w:val="es-MX"/>
        </w:rPr>
        <w:t>test-</w:t>
      </w:r>
      <w:proofErr w:type="spellStart"/>
      <w:r w:rsidR="006619D5" w:rsidRPr="005E0A68">
        <w:rPr>
          <w:b/>
          <w:i/>
          <w:sz w:val="24"/>
          <w:szCs w:val="24"/>
          <w:lang w:val="es-MX"/>
        </w:rPr>
        <w:t>retest</w:t>
      </w:r>
      <w:proofErr w:type="spellEnd"/>
      <w:r w:rsidR="006619D5" w:rsidRPr="005E0A68">
        <w:rPr>
          <w:b/>
          <w:sz w:val="24"/>
          <w:szCs w:val="24"/>
          <w:lang w:val="es-MX"/>
        </w:rPr>
        <w:t xml:space="preserve"> de las redes de conectividad intrínseca para </w:t>
      </w:r>
      <w:r w:rsidR="006619D5">
        <w:rPr>
          <w:b/>
          <w:sz w:val="24"/>
          <w:szCs w:val="24"/>
          <w:lang w:val="es-MX"/>
        </w:rPr>
        <w:t>resonancia magnética funcional</w:t>
      </w:r>
    </w:p>
    <w:p w14:paraId="6E57A4C8" w14:textId="4155EA85" w:rsidR="00D03886" w:rsidRDefault="00D03886">
      <w:pPr>
        <w:pStyle w:val="Ttulo2"/>
        <w:jc w:val="center"/>
        <w:rPr>
          <w:sz w:val="24"/>
          <w:szCs w:val="24"/>
          <w:vertAlign w:val="superscript"/>
          <w:lang w:val="es-MX"/>
        </w:rPr>
      </w:pPr>
      <w:r>
        <w:rPr>
          <w:sz w:val="24"/>
          <w:szCs w:val="24"/>
          <w:lang w:val="es-MX"/>
        </w:rPr>
        <w:t xml:space="preserve">A. </w:t>
      </w:r>
      <w:proofErr w:type="spellStart"/>
      <w:r>
        <w:rPr>
          <w:sz w:val="24"/>
          <w:szCs w:val="24"/>
          <w:lang w:val="es-MX"/>
        </w:rPr>
        <w:t>Hernández</w:t>
      </w:r>
      <w:r w:rsidR="00886E36">
        <w:rPr>
          <w:sz w:val="24"/>
          <w:szCs w:val="24"/>
          <w:vertAlign w:val="superscript"/>
          <w:lang w:val="es-MX"/>
        </w:rPr>
        <w:t>a</w:t>
      </w:r>
      <w:proofErr w:type="spellEnd"/>
      <w:r>
        <w:rPr>
          <w:sz w:val="24"/>
          <w:szCs w:val="24"/>
          <w:vertAlign w:val="superscript"/>
          <w:lang w:val="es-MX"/>
        </w:rPr>
        <w:t>,*</w:t>
      </w:r>
      <w:r>
        <w:rPr>
          <w:sz w:val="24"/>
          <w:szCs w:val="24"/>
          <w:lang w:val="es-MX"/>
        </w:rPr>
        <w:t xml:space="preserve">, M. </w:t>
      </w:r>
      <w:proofErr w:type="spellStart"/>
      <w:r>
        <w:rPr>
          <w:sz w:val="24"/>
          <w:szCs w:val="24"/>
          <w:lang w:val="es-MX"/>
        </w:rPr>
        <w:t>López</w:t>
      </w:r>
      <w:r w:rsidR="00886E36">
        <w:rPr>
          <w:sz w:val="24"/>
          <w:szCs w:val="24"/>
          <w:vertAlign w:val="superscript"/>
          <w:lang w:val="es-MX"/>
        </w:rPr>
        <w:t>b</w:t>
      </w:r>
      <w:proofErr w:type="spellEnd"/>
      <w:r w:rsidR="00842208">
        <w:rPr>
          <w:sz w:val="24"/>
          <w:szCs w:val="24"/>
          <w:vertAlign w:val="superscript"/>
          <w:lang w:val="es-MX"/>
        </w:rPr>
        <w:t>,</w:t>
      </w:r>
      <w:r w:rsidR="006619D5">
        <w:rPr>
          <w:sz w:val="24"/>
          <w:szCs w:val="24"/>
          <w:vertAlign w:val="superscript"/>
          <w:lang w:val="es-MX"/>
        </w:rPr>
        <w:t>*</w:t>
      </w:r>
    </w:p>
    <w:p w14:paraId="1DFD2525" w14:textId="7AE2BFCE" w:rsidR="00886E36" w:rsidRPr="00481D04" w:rsidRDefault="00886E36">
      <w:pPr>
        <w:rPr>
          <w:sz w:val="20"/>
          <w:lang w:val="es-MX"/>
        </w:rPr>
      </w:pPr>
      <w:proofErr w:type="gramStart"/>
      <w:r>
        <w:rPr>
          <w:sz w:val="22"/>
          <w:vertAlign w:val="superscript"/>
          <w:lang w:val="es-MX"/>
        </w:rPr>
        <w:t>a</w:t>
      </w:r>
      <w:proofErr w:type="gramEnd"/>
      <w:r w:rsidR="00D03886">
        <w:rPr>
          <w:sz w:val="22"/>
          <w:lang w:val="es-MX"/>
        </w:rPr>
        <w:t xml:space="preserve"> </w:t>
      </w:r>
      <w:r w:rsidR="00D03886" w:rsidRPr="00481D04">
        <w:rPr>
          <w:sz w:val="20"/>
          <w:lang w:val="es-MX"/>
        </w:rPr>
        <w:t>Facultad de Ciencias, Universidad Nacional Autónoma de México,</w:t>
      </w:r>
      <w:r w:rsidRPr="00481D04">
        <w:rPr>
          <w:sz w:val="20"/>
          <w:lang w:val="es-MX"/>
        </w:rPr>
        <w:t xml:space="preserve"> México</w:t>
      </w:r>
    </w:p>
    <w:p w14:paraId="335989DD" w14:textId="78E2EF69" w:rsidR="00D03886" w:rsidRPr="00481D04" w:rsidRDefault="00886E36">
      <w:pPr>
        <w:rPr>
          <w:sz w:val="20"/>
          <w:lang w:val="es-MX"/>
        </w:rPr>
      </w:pPr>
      <w:proofErr w:type="gramStart"/>
      <w:r w:rsidRPr="00481D04">
        <w:rPr>
          <w:sz w:val="20"/>
          <w:vertAlign w:val="superscript"/>
          <w:lang w:val="es-MX"/>
        </w:rPr>
        <w:t>b</w:t>
      </w:r>
      <w:proofErr w:type="gramEnd"/>
      <w:r w:rsidR="00D03886" w:rsidRPr="00481D04">
        <w:rPr>
          <w:sz w:val="20"/>
          <w:lang w:val="es-MX"/>
        </w:rPr>
        <w:t xml:space="preserve"> Instituto Nacional de Psiqu</w:t>
      </w:r>
      <w:r w:rsidRPr="00481D04">
        <w:rPr>
          <w:sz w:val="20"/>
          <w:lang w:val="es-MX"/>
        </w:rPr>
        <w:t>iatría Ramón de la Fuente Muñiz, México</w:t>
      </w:r>
    </w:p>
    <w:p w14:paraId="0D0AAAD8" w14:textId="35077A11" w:rsidR="00D03886" w:rsidRPr="00481D04" w:rsidRDefault="00D03886">
      <w:pPr>
        <w:rPr>
          <w:sz w:val="20"/>
          <w:lang w:val="es-MX"/>
        </w:rPr>
      </w:pPr>
      <w:r w:rsidRPr="00481D04">
        <w:rPr>
          <w:sz w:val="20"/>
          <w:vertAlign w:val="superscript"/>
          <w:lang w:val="es-MX"/>
        </w:rPr>
        <w:t>*</w:t>
      </w:r>
      <w:r w:rsidR="00886E36" w:rsidRPr="00481D04">
        <w:rPr>
          <w:sz w:val="20"/>
          <w:vertAlign w:val="superscript"/>
          <w:lang w:val="es-MX"/>
        </w:rPr>
        <w:t xml:space="preserve"> </w:t>
      </w:r>
      <w:r w:rsidR="00886E36" w:rsidRPr="00481D04">
        <w:rPr>
          <w:sz w:val="20"/>
          <w:lang w:val="es-MX"/>
        </w:rPr>
        <w:t>Autor para correspondencia:</w:t>
      </w:r>
      <w:r w:rsidRPr="00481D04">
        <w:rPr>
          <w:sz w:val="20"/>
          <w:lang w:val="es-MX"/>
        </w:rPr>
        <w:t xml:space="preserve"> </w:t>
      </w:r>
      <w:hyperlink r:id="rId7" w:history="1">
        <w:r w:rsidRPr="00481D04">
          <w:rPr>
            <w:rStyle w:val="Hipervnculo"/>
            <w:color w:val="auto"/>
            <w:sz w:val="20"/>
            <w:u w:val="none"/>
          </w:rPr>
          <w:t>ara171090@hotmail.com</w:t>
        </w:r>
      </w:hyperlink>
      <w:r w:rsidRPr="00481D04">
        <w:rPr>
          <w:sz w:val="20"/>
          <w:lang w:val="es-MX"/>
        </w:rPr>
        <w:t xml:space="preserve">, </w:t>
      </w:r>
      <w:hyperlink r:id="rId8" w:history="1">
        <w:r w:rsidRPr="00481D04">
          <w:rPr>
            <w:rStyle w:val="Hipervnculo"/>
            <w:color w:val="auto"/>
            <w:sz w:val="20"/>
            <w:u w:val="none"/>
          </w:rPr>
          <w:t>mtaliesin@gmail.com</w:t>
        </w:r>
      </w:hyperlink>
    </w:p>
    <w:p w14:paraId="6D48E5DA" w14:textId="77777777" w:rsidR="00D03886" w:rsidRDefault="00D03886">
      <w:pPr>
        <w:autoSpaceDE w:val="0"/>
        <w:rPr>
          <w:sz w:val="20"/>
          <w:lang w:val="es-MX"/>
        </w:rPr>
      </w:pPr>
    </w:p>
    <w:p w14:paraId="20A6BDAE" w14:textId="77777777" w:rsidR="00D03886" w:rsidRDefault="00D03886">
      <w:pPr>
        <w:sectPr w:rsidR="00D03886">
          <w:headerReference w:type="even" r:id="rId9"/>
          <w:headerReference w:type="default" r:id="rId10"/>
          <w:footerReference w:type="even" r:id="rId11"/>
          <w:footerReference w:type="default" r:id="rId12"/>
          <w:headerReference w:type="first" r:id="rId13"/>
          <w:footerReference w:type="first" r:id="rId14"/>
          <w:pgSz w:w="12240" w:h="15840"/>
          <w:pgMar w:top="1418" w:right="1325" w:bottom="1418" w:left="1418" w:header="720" w:footer="720" w:gutter="0"/>
          <w:cols w:space="720"/>
          <w:docGrid w:linePitch="245"/>
        </w:sectPr>
      </w:pPr>
    </w:p>
    <w:p w14:paraId="37C77BD3" w14:textId="59456956" w:rsidR="00D03886" w:rsidRDefault="00D03886">
      <w:pPr>
        <w:ind w:firstLine="288"/>
        <w:jc w:val="both"/>
        <w:rPr>
          <w:sz w:val="20"/>
          <w:lang w:val="es-MX"/>
        </w:rPr>
      </w:pPr>
      <w:r>
        <w:rPr>
          <w:b/>
          <w:sz w:val="20"/>
          <w:lang w:val="es-MX"/>
        </w:rPr>
        <w:lastRenderedPageBreak/>
        <w:t>Introducción:</w:t>
      </w:r>
      <w:r>
        <w:rPr>
          <w:sz w:val="20"/>
          <w:lang w:val="es-MX"/>
        </w:rPr>
        <w:t xml:space="preserve"> La señal de resonancia magnética funcional dependiente del nivel de oxigenación sanguínea (BOLD)</w:t>
      </w:r>
      <w:r w:rsidR="00772146">
        <w:rPr>
          <w:sz w:val="20"/>
          <w:lang w:val="es-MX"/>
        </w:rPr>
        <w:t>,</w:t>
      </w:r>
      <w:bookmarkStart w:id="0" w:name="_GoBack"/>
      <w:bookmarkEnd w:id="0"/>
      <w:r>
        <w:rPr>
          <w:sz w:val="20"/>
          <w:lang w:val="es-MX"/>
        </w:rPr>
        <w:t xml:space="preserve"> se usa para inferir la actividad cerebral. Esto ha permitido hacer mapas de correlación entre las series de tiempo de voxeles distantes. Incluso en estado de reposo, el cerebro humano tiene una actividad intrínseca, la cual se compone de fluctuaciones espontáneas de baj</w:t>
      </w:r>
      <w:r w:rsidR="00481D04">
        <w:rPr>
          <w:sz w:val="20"/>
          <w:lang w:val="es-MX"/>
        </w:rPr>
        <w:t>a frecuencia (0.001 a 0.01 Hz).</w:t>
      </w:r>
      <w:r w:rsidR="00481D04" w:rsidRPr="00481D04">
        <w:rPr>
          <w:sz w:val="20"/>
          <w:vertAlign w:val="superscript"/>
          <w:lang w:val="es-MX"/>
        </w:rPr>
        <w:t>1</w:t>
      </w:r>
      <w:r>
        <w:rPr>
          <w:sz w:val="20"/>
          <w:lang w:val="es-MX"/>
        </w:rPr>
        <w:t xml:space="preserve"> A partir de estos circuitos, conocidos como redes de activación intrínseca (ICN)</w:t>
      </w:r>
      <w:r w:rsidR="00481D04">
        <w:rPr>
          <w:sz w:val="20"/>
          <w:lang w:val="es-MX"/>
        </w:rPr>
        <w:t>,</w:t>
      </w:r>
      <w:r>
        <w:rPr>
          <w:sz w:val="20"/>
          <w:lang w:val="es-MX"/>
        </w:rPr>
        <w:t xml:space="preserve"> se han tratado de establecer biomarcadores para ayudar al diagnóstico de ciertas</w:t>
      </w:r>
      <w:r w:rsidR="00481D04">
        <w:rPr>
          <w:sz w:val="20"/>
          <w:lang w:val="es-MX"/>
        </w:rPr>
        <w:t xml:space="preserve"> patologías neuropsiquiátricas</w:t>
      </w:r>
      <w:r w:rsidR="00481D04" w:rsidRPr="00481D04">
        <w:rPr>
          <w:sz w:val="20"/>
          <w:vertAlign w:val="superscript"/>
          <w:lang w:val="es-MX"/>
        </w:rPr>
        <w:t>2</w:t>
      </w:r>
      <w:r w:rsidR="00481D04">
        <w:rPr>
          <w:sz w:val="20"/>
          <w:lang w:val="es-MX"/>
        </w:rPr>
        <w:t>.</w:t>
      </w:r>
    </w:p>
    <w:p w14:paraId="7AE62FA8" w14:textId="7F5B13D1" w:rsidR="00D03886" w:rsidRDefault="00D03886">
      <w:pPr>
        <w:ind w:firstLine="288"/>
        <w:jc w:val="both"/>
        <w:rPr>
          <w:sz w:val="20"/>
          <w:lang w:val="es-MX"/>
        </w:rPr>
      </w:pPr>
      <w:r>
        <w:rPr>
          <w:sz w:val="20"/>
          <w:lang w:val="es-MX"/>
        </w:rPr>
        <w:t xml:space="preserve">Sin embargo, antes de implementar estos marcadores en la práctica clínica es necesario caracterizar su rango </w:t>
      </w:r>
      <w:r w:rsidR="00481D04">
        <w:rPr>
          <w:sz w:val="20"/>
          <w:lang w:val="es-MX"/>
        </w:rPr>
        <w:t>de validez y reproducibilidad.</w:t>
      </w:r>
    </w:p>
    <w:p w14:paraId="6BBF3059" w14:textId="77777777" w:rsidR="00D03886" w:rsidRDefault="00D03886">
      <w:pPr>
        <w:ind w:firstLine="288"/>
        <w:jc w:val="both"/>
        <w:rPr>
          <w:sz w:val="20"/>
          <w:lang w:val="es-MX"/>
        </w:rPr>
      </w:pPr>
    </w:p>
    <w:p w14:paraId="20AEAAF7" w14:textId="77777777" w:rsidR="00D03886" w:rsidRDefault="00D03886">
      <w:pPr>
        <w:ind w:firstLine="284"/>
        <w:jc w:val="both"/>
        <w:rPr>
          <w:rFonts w:cs="Arial"/>
          <w:bCs/>
          <w:sz w:val="20"/>
          <w:lang w:val="es-MX"/>
        </w:rPr>
      </w:pPr>
      <w:r>
        <w:rPr>
          <w:rFonts w:cs="Arial"/>
          <w:b/>
          <w:bCs/>
          <w:sz w:val="20"/>
          <w:lang w:val="es-MX"/>
        </w:rPr>
        <w:t>Materiales y métodos:</w:t>
      </w:r>
      <w:r>
        <w:rPr>
          <w:rFonts w:cs="Arial"/>
          <w:bCs/>
          <w:sz w:val="20"/>
          <w:lang w:val="es-MX"/>
        </w:rPr>
        <w:t xml:space="preserve"> El presente trabajo estudia la reproducibilidad </w:t>
      </w:r>
      <w:r>
        <w:rPr>
          <w:rFonts w:cs="Arial"/>
          <w:bCs/>
          <w:i/>
          <w:iCs/>
          <w:sz w:val="20"/>
          <w:lang w:val="es-MX"/>
        </w:rPr>
        <w:t>test-retest</w:t>
      </w:r>
      <w:r>
        <w:rPr>
          <w:rFonts w:cs="Arial"/>
          <w:bCs/>
          <w:sz w:val="20"/>
          <w:lang w:val="es-MX"/>
        </w:rPr>
        <w:t xml:space="preserve"> de las componentes de la ICN con tres sesiones de resonancia magnética en un resonador de 3.0 Teslas (Philips Ingenia). </w:t>
      </w:r>
    </w:p>
    <w:p w14:paraId="67E1771B" w14:textId="77777777" w:rsidR="00D03886" w:rsidRDefault="00D03886">
      <w:pPr>
        <w:ind w:firstLine="284"/>
        <w:jc w:val="both"/>
        <w:rPr>
          <w:rFonts w:cs="Arial"/>
          <w:bCs/>
          <w:sz w:val="20"/>
          <w:lang w:val="es-MX"/>
        </w:rPr>
      </w:pPr>
      <w:r>
        <w:rPr>
          <w:rFonts w:cs="Arial"/>
          <w:bCs/>
          <w:sz w:val="20"/>
          <w:lang w:val="es-MX"/>
        </w:rPr>
        <w:t>Participaron 12 voluntarios sanos (6 hombres, 6 mujeres) de edades entre 20 y 40 años, diestros de acuerdo al Inventario de Lateralidad Manual de Edimburgo, sin antecedentes neurológicos, psicológicos o psiquiátricos, evaluados con la Mini Entrevista Neuropsiquiátrica Internacional, Inventario de los 90 Síntomas, Mini Examinación del Estado Mental, Inventario de Depresión de Beck y Escala de Autoestima de Rosemberg.</w:t>
      </w:r>
    </w:p>
    <w:p w14:paraId="4FA33B8C" w14:textId="722DB5AE" w:rsidR="00D03886" w:rsidRDefault="00D03886">
      <w:pPr>
        <w:ind w:firstLine="284"/>
        <w:jc w:val="both"/>
        <w:rPr>
          <w:rFonts w:cs="Arial"/>
          <w:bCs/>
          <w:sz w:val="20"/>
          <w:lang w:val="es-MX"/>
        </w:rPr>
      </w:pPr>
      <w:r>
        <w:rPr>
          <w:rFonts w:cs="Arial"/>
          <w:bCs/>
          <w:sz w:val="20"/>
          <w:lang w:val="es-MX"/>
        </w:rPr>
        <w:t>En cada sesión se adquirió una imagen estructural</w:t>
      </w:r>
      <w:r w:rsidR="006619D5">
        <w:rPr>
          <w:rFonts w:cs="Arial"/>
          <w:bCs/>
          <w:sz w:val="20"/>
          <w:lang w:val="es-MX"/>
        </w:rPr>
        <w:t xml:space="preserve"> ponderada en T1, con TE/TR= 30/</w:t>
      </w:r>
      <w:r>
        <w:rPr>
          <w:rFonts w:cs="Arial"/>
          <w:bCs/>
          <w:sz w:val="20"/>
          <w:lang w:val="es-MX"/>
        </w:rPr>
        <w:t xml:space="preserve">7 ms, FOV= 240 mm x 240 mm x 180 mm, pixel isométrico de 1 mm. </w:t>
      </w:r>
    </w:p>
    <w:p w14:paraId="4430438C" w14:textId="30C7E4BE" w:rsidR="001E3A94" w:rsidRDefault="00D03886" w:rsidP="001E3A94">
      <w:pPr>
        <w:ind w:firstLine="284"/>
        <w:jc w:val="both"/>
        <w:rPr>
          <w:rFonts w:cs="Arial"/>
          <w:bCs/>
          <w:sz w:val="20"/>
          <w:lang w:val="es-MX"/>
        </w:rPr>
      </w:pPr>
      <w:r>
        <w:rPr>
          <w:rFonts w:cs="Arial"/>
          <w:bCs/>
          <w:sz w:val="20"/>
          <w:lang w:val="es-MX"/>
        </w:rPr>
        <w:t xml:space="preserve">Para obtener las imágenes funcionales se utilizó una secuencia </w:t>
      </w:r>
      <w:r w:rsidR="006619D5">
        <w:rPr>
          <w:rFonts w:cs="Arial"/>
          <w:bCs/>
          <w:sz w:val="20"/>
          <w:lang w:val="es-MX"/>
        </w:rPr>
        <w:t xml:space="preserve">FE-EPI. TE/TR = 30/ 2000 ms, FA = 75º, </w:t>
      </w:r>
      <w:r>
        <w:rPr>
          <w:rFonts w:cs="Arial"/>
          <w:bCs/>
          <w:sz w:val="20"/>
          <w:lang w:val="es-MX"/>
        </w:rPr>
        <w:t>FOV= 240 mm x 240 mm x 123 mm, tamaño de matriz de 80x 78 x 35, voxel isométrico de 3mm, gap de 0.54 mm. Tiempo de adquisición 5:11 min. En cada sesión se les indicó a los participantes mantener los ojos abiertos, no quedarse dormidos y no pensar en algo particular. El tiempo entre sesiones fue de 15 días.</w:t>
      </w:r>
    </w:p>
    <w:p w14:paraId="0A9C3BF6" w14:textId="7539EBAB" w:rsidR="00D03886" w:rsidRPr="007F5A8B" w:rsidRDefault="00D03886" w:rsidP="001E3A94">
      <w:pPr>
        <w:ind w:firstLine="284"/>
        <w:jc w:val="both"/>
        <w:rPr>
          <w:rFonts w:cs="Arial"/>
          <w:bCs/>
          <w:sz w:val="20"/>
          <w:lang w:val="es-MX"/>
        </w:rPr>
      </w:pPr>
      <w:r>
        <w:rPr>
          <w:b/>
          <w:bCs/>
          <w:sz w:val="20"/>
          <w:lang w:val="es-MX"/>
        </w:rPr>
        <w:t>Resultados</w:t>
      </w:r>
      <w:r>
        <w:rPr>
          <w:bCs/>
          <w:sz w:val="20"/>
          <w:lang w:val="es-MX"/>
        </w:rPr>
        <w:t xml:space="preserve">: </w:t>
      </w:r>
      <w:r>
        <w:rPr>
          <w:rFonts w:cs="Arial"/>
          <w:bCs/>
          <w:sz w:val="20"/>
          <w:lang w:val="es-MX"/>
        </w:rPr>
        <w:t xml:space="preserve">Se utilizó Análisis Probabilístico de Componentes Independientes (PICA) implementado </w:t>
      </w:r>
      <w:r>
        <w:rPr>
          <w:rFonts w:cs="Arial"/>
          <w:bCs/>
          <w:sz w:val="20"/>
          <w:lang w:val="es-MX"/>
        </w:rPr>
        <w:lastRenderedPageBreak/>
        <w:t>con el paquete MELODIC del</w:t>
      </w:r>
      <w:r w:rsidR="00481D04">
        <w:rPr>
          <w:rFonts w:cs="Arial"/>
          <w:bCs/>
          <w:sz w:val="20"/>
          <w:lang w:val="es-MX"/>
        </w:rPr>
        <w:t xml:space="preserve"> software FSL 5.0.8.</w:t>
      </w:r>
      <w:r w:rsidR="00481D04" w:rsidRPr="00481D04">
        <w:rPr>
          <w:rFonts w:cs="Arial"/>
          <w:bCs/>
          <w:sz w:val="20"/>
          <w:vertAlign w:val="superscript"/>
          <w:lang w:val="es-MX"/>
        </w:rPr>
        <w:t>3</w:t>
      </w:r>
      <w:r w:rsidR="00481D04">
        <w:rPr>
          <w:rFonts w:cs="Arial"/>
          <w:bCs/>
          <w:sz w:val="20"/>
          <w:lang w:val="es-MX"/>
        </w:rPr>
        <w:t>.</w:t>
      </w:r>
      <w:r>
        <w:rPr>
          <w:rFonts w:cs="Arial"/>
          <w:bCs/>
          <w:sz w:val="20"/>
          <w:lang w:val="es-MX"/>
        </w:rPr>
        <w:t xml:space="preserve"> Para la primera parte del </w:t>
      </w:r>
      <w:r w:rsidR="00481D04">
        <w:rPr>
          <w:rFonts w:cs="Arial"/>
          <w:bCs/>
          <w:sz w:val="20"/>
          <w:lang w:val="es-MX"/>
        </w:rPr>
        <w:t>estudio, se hizo un análisis de</w:t>
      </w:r>
      <w:r>
        <w:rPr>
          <w:rFonts w:cs="Arial"/>
          <w:bCs/>
          <w:sz w:val="20"/>
          <w:lang w:val="es-MX"/>
        </w:rPr>
        <w:t xml:space="preserve"> </w:t>
      </w:r>
      <w:r>
        <w:rPr>
          <w:rFonts w:cs="Arial"/>
          <w:bCs/>
          <w:i/>
          <w:iCs/>
          <w:sz w:val="20"/>
          <w:lang w:val="es-MX"/>
        </w:rPr>
        <w:t xml:space="preserve">single </w:t>
      </w:r>
      <w:proofErr w:type="spellStart"/>
      <w:r>
        <w:rPr>
          <w:rFonts w:cs="Arial"/>
          <w:bCs/>
          <w:i/>
          <w:iCs/>
          <w:sz w:val="20"/>
          <w:lang w:val="es-MX"/>
        </w:rPr>
        <w:t>session</w:t>
      </w:r>
      <w:proofErr w:type="spellEnd"/>
      <w:r>
        <w:rPr>
          <w:rFonts w:cs="Arial"/>
          <w:bCs/>
          <w:sz w:val="20"/>
          <w:lang w:val="es-MX"/>
        </w:rPr>
        <w:t>, para una muestra de 5 sujetos, para cada una de las tres sesiones (15 sesiones en total). Se utilizó la herramienta de estimación automática de componentes y se calculó el Coeficiente de C</w:t>
      </w:r>
      <w:r w:rsidR="001E3A94">
        <w:rPr>
          <w:rFonts w:cs="Arial"/>
          <w:bCs/>
          <w:sz w:val="20"/>
          <w:lang w:val="es-MX"/>
        </w:rPr>
        <w:t>orrelación Intraclase usando</w:t>
      </w:r>
      <w:r>
        <w:rPr>
          <w:rFonts w:cs="Arial"/>
          <w:bCs/>
          <w:sz w:val="20"/>
          <w:lang w:val="es-MX"/>
        </w:rPr>
        <w:t xml:space="preserve"> para comparar el número de componentes estimadas en cada sesión.</w:t>
      </w:r>
    </w:p>
    <w:p w14:paraId="26B507A3" w14:textId="77777777" w:rsidR="00D03886" w:rsidRDefault="00D03886">
      <w:pPr>
        <w:ind w:firstLine="284"/>
        <w:jc w:val="both"/>
        <w:rPr>
          <w:rFonts w:cs="Arial"/>
          <w:bCs/>
          <w:sz w:val="20"/>
          <w:lang w:val="es-MX"/>
        </w:rPr>
      </w:pPr>
    </w:p>
    <w:p w14:paraId="09F2C5B2" w14:textId="77777777" w:rsidR="00D03886" w:rsidRDefault="00D03886">
      <w:pPr>
        <w:ind w:firstLine="284"/>
        <w:jc w:val="both"/>
        <w:rPr>
          <w:rFonts w:cs="Arial"/>
          <w:bCs/>
          <w:sz w:val="20"/>
          <w:lang w:val="es-MX"/>
        </w:rPr>
      </w:pPr>
      <w:r>
        <w:rPr>
          <w:rFonts w:cs="Arial"/>
          <w:b/>
          <w:bCs/>
          <w:sz w:val="20"/>
          <w:lang w:val="es-MX"/>
        </w:rPr>
        <w:t xml:space="preserve">Tabla </w:t>
      </w:r>
      <w:r>
        <w:rPr>
          <w:rFonts w:cs="Arial"/>
          <w:b/>
          <w:bCs/>
          <w:sz w:val="20"/>
          <w:lang w:val="es-MX"/>
        </w:rPr>
        <w:fldChar w:fldCharType="begin"/>
      </w:r>
      <w:r>
        <w:rPr>
          <w:rFonts w:cs="Arial"/>
          <w:b/>
          <w:bCs/>
          <w:sz w:val="20"/>
          <w:lang w:val="es-MX"/>
        </w:rPr>
        <w:instrText xml:space="preserve"> SEQ "Figure" \*Arabic </w:instrText>
      </w:r>
      <w:r>
        <w:rPr>
          <w:rFonts w:cs="Arial"/>
          <w:b/>
          <w:bCs/>
          <w:sz w:val="20"/>
          <w:lang w:val="es-MX"/>
        </w:rPr>
        <w:fldChar w:fldCharType="separate"/>
      </w:r>
      <w:r>
        <w:rPr>
          <w:rFonts w:cs="Arial"/>
          <w:b/>
          <w:bCs/>
          <w:sz w:val="20"/>
          <w:lang w:val="es-MX"/>
        </w:rPr>
        <w:t>1</w:t>
      </w:r>
      <w:r>
        <w:rPr>
          <w:rFonts w:cs="Arial"/>
          <w:b/>
          <w:bCs/>
          <w:sz w:val="20"/>
          <w:lang w:val="es-MX"/>
        </w:rPr>
        <w:fldChar w:fldCharType="end"/>
      </w:r>
      <w:r>
        <w:rPr>
          <w:rFonts w:cs="Arial"/>
          <w:b/>
          <w:bCs/>
          <w:sz w:val="20"/>
          <w:lang w:val="es-MX"/>
        </w:rPr>
        <w:t>:</w:t>
      </w:r>
      <w:r>
        <w:rPr>
          <w:rFonts w:cs="Arial"/>
          <w:bCs/>
          <w:sz w:val="20"/>
          <w:lang w:val="es-MX"/>
        </w:rPr>
        <w:t xml:space="preserve"> ICC para el número de componentes independientes entre sesiones.</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1115"/>
        <w:gridCol w:w="1116"/>
        <w:gridCol w:w="1115"/>
        <w:gridCol w:w="1116"/>
      </w:tblGrid>
      <w:tr w:rsidR="00D03886" w14:paraId="0F059468" w14:textId="77777777">
        <w:tc>
          <w:tcPr>
            <w:tcW w:w="1115" w:type="dxa"/>
            <w:tcBorders>
              <w:top w:val="single" w:sz="1" w:space="0" w:color="000000"/>
              <w:left w:val="single" w:sz="1" w:space="0" w:color="000000"/>
              <w:bottom w:val="single" w:sz="1" w:space="0" w:color="000000"/>
            </w:tcBorders>
            <w:shd w:val="clear" w:color="auto" w:fill="auto"/>
          </w:tcPr>
          <w:p w14:paraId="4196EA19" w14:textId="77777777" w:rsidR="00D03886" w:rsidRDefault="00D03886">
            <w:pPr>
              <w:pStyle w:val="Contenidodelatabla"/>
            </w:pPr>
            <w:proofErr w:type="spellStart"/>
            <w:r>
              <w:t>Sesiones</w:t>
            </w:r>
            <w:proofErr w:type="spellEnd"/>
          </w:p>
        </w:tc>
        <w:tc>
          <w:tcPr>
            <w:tcW w:w="1116" w:type="dxa"/>
            <w:tcBorders>
              <w:top w:val="single" w:sz="1" w:space="0" w:color="000000"/>
              <w:left w:val="single" w:sz="1" w:space="0" w:color="000000"/>
              <w:bottom w:val="single" w:sz="1" w:space="0" w:color="000000"/>
            </w:tcBorders>
            <w:shd w:val="clear" w:color="auto" w:fill="auto"/>
          </w:tcPr>
          <w:p w14:paraId="559F8FE8" w14:textId="77777777" w:rsidR="00D03886" w:rsidRDefault="00D03886">
            <w:pPr>
              <w:pStyle w:val="Contenidodelatabla"/>
            </w:pPr>
            <w:r>
              <w:t>1-2</w:t>
            </w:r>
          </w:p>
        </w:tc>
        <w:tc>
          <w:tcPr>
            <w:tcW w:w="1115" w:type="dxa"/>
            <w:tcBorders>
              <w:top w:val="single" w:sz="1" w:space="0" w:color="000000"/>
              <w:left w:val="single" w:sz="1" w:space="0" w:color="000000"/>
              <w:bottom w:val="single" w:sz="1" w:space="0" w:color="000000"/>
            </w:tcBorders>
            <w:shd w:val="clear" w:color="auto" w:fill="auto"/>
          </w:tcPr>
          <w:p w14:paraId="6560946A" w14:textId="77777777" w:rsidR="00D03886" w:rsidRDefault="00D03886">
            <w:pPr>
              <w:pStyle w:val="Contenidodelatabla"/>
            </w:pPr>
            <w:r>
              <w:t>2-3</w:t>
            </w:r>
          </w:p>
        </w:tc>
        <w:tc>
          <w:tcPr>
            <w:tcW w:w="1116" w:type="dxa"/>
            <w:tcBorders>
              <w:top w:val="single" w:sz="1" w:space="0" w:color="000000"/>
              <w:left w:val="single" w:sz="1" w:space="0" w:color="000000"/>
              <w:bottom w:val="single" w:sz="1" w:space="0" w:color="000000"/>
              <w:right w:val="single" w:sz="1" w:space="0" w:color="000000"/>
            </w:tcBorders>
            <w:shd w:val="clear" w:color="auto" w:fill="auto"/>
          </w:tcPr>
          <w:p w14:paraId="452A9E3E" w14:textId="77777777" w:rsidR="00D03886" w:rsidRDefault="00D03886">
            <w:pPr>
              <w:pStyle w:val="Contenidodelatabla"/>
            </w:pPr>
            <w:r>
              <w:t>1-3</w:t>
            </w:r>
          </w:p>
        </w:tc>
      </w:tr>
      <w:tr w:rsidR="00D03886" w14:paraId="64DC1E4E" w14:textId="77777777">
        <w:tc>
          <w:tcPr>
            <w:tcW w:w="1115" w:type="dxa"/>
            <w:tcBorders>
              <w:left w:val="single" w:sz="1" w:space="0" w:color="000000"/>
              <w:bottom w:val="single" w:sz="1" w:space="0" w:color="000000"/>
            </w:tcBorders>
            <w:shd w:val="clear" w:color="auto" w:fill="auto"/>
          </w:tcPr>
          <w:p w14:paraId="641B1220" w14:textId="77777777" w:rsidR="00D03886" w:rsidRDefault="00D03886">
            <w:pPr>
              <w:pStyle w:val="Contenidodelatabla"/>
            </w:pPr>
            <w:r>
              <w:t>ICC</w:t>
            </w:r>
          </w:p>
        </w:tc>
        <w:tc>
          <w:tcPr>
            <w:tcW w:w="1116" w:type="dxa"/>
            <w:tcBorders>
              <w:left w:val="single" w:sz="1" w:space="0" w:color="000000"/>
              <w:bottom w:val="single" w:sz="1" w:space="0" w:color="000000"/>
            </w:tcBorders>
            <w:shd w:val="clear" w:color="auto" w:fill="auto"/>
          </w:tcPr>
          <w:p w14:paraId="7D93463D" w14:textId="77777777" w:rsidR="00D03886" w:rsidRDefault="00D03886">
            <w:pPr>
              <w:pStyle w:val="Contenidodelatabla"/>
            </w:pPr>
            <w:r>
              <w:t>0.41</w:t>
            </w:r>
          </w:p>
        </w:tc>
        <w:tc>
          <w:tcPr>
            <w:tcW w:w="1115" w:type="dxa"/>
            <w:tcBorders>
              <w:left w:val="single" w:sz="1" w:space="0" w:color="000000"/>
              <w:bottom w:val="single" w:sz="1" w:space="0" w:color="000000"/>
            </w:tcBorders>
            <w:shd w:val="clear" w:color="auto" w:fill="auto"/>
          </w:tcPr>
          <w:p w14:paraId="15FA9297" w14:textId="77777777" w:rsidR="00D03886" w:rsidRDefault="00D03886">
            <w:pPr>
              <w:pStyle w:val="Contenidodelatabla"/>
            </w:pPr>
            <w:r>
              <w:t>0.65</w:t>
            </w:r>
          </w:p>
        </w:tc>
        <w:tc>
          <w:tcPr>
            <w:tcW w:w="1116" w:type="dxa"/>
            <w:tcBorders>
              <w:left w:val="single" w:sz="1" w:space="0" w:color="000000"/>
              <w:bottom w:val="single" w:sz="1" w:space="0" w:color="000000"/>
              <w:right w:val="single" w:sz="1" w:space="0" w:color="000000"/>
            </w:tcBorders>
            <w:shd w:val="clear" w:color="auto" w:fill="auto"/>
          </w:tcPr>
          <w:p w14:paraId="48D66B38" w14:textId="77777777" w:rsidR="00D03886" w:rsidRDefault="00D03886">
            <w:pPr>
              <w:pStyle w:val="Contenidodelatabla"/>
            </w:pPr>
            <w:r>
              <w:t>0.66</w:t>
            </w:r>
          </w:p>
        </w:tc>
      </w:tr>
    </w:tbl>
    <w:p w14:paraId="6B8383CE" w14:textId="77777777" w:rsidR="00D03886" w:rsidRDefault="00D03886">
      <w:pPr>
        <w:jc w:val="both"/>
        <w:rPr>
          <w:rFonts w:cs="Arial"/>
          <w:bCs/>
          <w:sz w:val="20"/>
          <w:lang w:val="es-MX"/>
        </w:rPr>
      </w:pPr>
    </w:p>
    <w:p w14:paraId="2F645E23" w14:textId="03C42158" w:rsidR="00D03886" w:rsidRDefault="00D03886">
      <w:pPr>
        <w:autoSpaceDE w:val="0"/>
        <w:ind w:firstLine="284"/>
        <w:jc w:val="both"/>
        <w:rPr>
          <w:sz w:val="20"/>
          <w:lang w:val="es-MX"/>
        </w:rPr>
      </w:pPr>
      <w:r>
        <w:rPr>
          <w:b/>
          <w:bCs/>
          <w:sz w:val="20"/>
          <w:lang w:val="es-MX"/>
        </w:rPr>
        <w:t xml:space="preserve">Conclusiones: </w:t>
      </w:r>
      <w:r>
        <w:rPr>
          <w:sz w:val="20"/>
          <w:lang w:val="es-MX"/>
        </w:rPr>
        <w:t>Se lograron</w:t>
      </w:r>
      <w:r>
        <w:rPr>
          <w:b/>
          <w:bCs/>
          <w:sz w:val="20"/>
          <w:lang w:val="es-MX"/>
        </w:rPr>
        <w:t xml:space="preserve"> </w:t>
      </w:r>
      <w:r w:rsidR="006619D5">
        <w:rPr>
          <w:sz w:val="20"/>
          <w:lang w:val="es-MX"/>
        </w:rPr>
        <w:t>identificar algunas de la</w:t>
      </w:r>
      <w:r>
        <w:rPr>
          <w:sz w:val="20"/>
          <w:lang w:val="es-MX"/>
        </w:rPr>
        <w:t xml:space="preserve">s componentes más prominentes de la ICN, como la </w:t>
      </w:r>
      <w:r>
        <w:rPr>
          <w:i/>
          <w:iCs/>
          <w:sz w:val="20"/>
          <w:lang w:val="es-MX"/>
        </w:rPr>
        <w:t>Default Mode Network,</w:t>
      </w:r>
      <w:r>
        <w:rPr>
          <w:sz w:val="20"/>
          <w:lang w:val="es-MX"/>
        </w:rPr>
        <w:t xml:space="preserve"> la red </w:t>
      </w:r>
      <w:r w:rsidR="00842208">
        <w:rPr>
          <w:sz w:val="20"/>
          <w:lang w:val="es-MX"/>
        </w:rPr>
        <w:t xml:space="preserve">de </w:t>
      </w:r>
      <w:proofErr w:type="spellStart"/>
      <w:r w:rsidR="00842208">
        <w:rPr>
          <w:sz w:val="20"/>
          <w:lang w:val="es-MX"/>
        </w:rPr>
        <w:t>saliencia</w:t>
      </w:r>
      <w:proofErr w:type="spellEnd"/>
      <w:r w:rsidR="00842208">
        <w:rPr>
          <w:sz w:val="20"/>
          <w:lang w:val="es-MX"/>
        </w:rPr>
        <w:t xml:space="preserve">, visual primaria, </w:t>
      </w:r>
      <w:r>
        <w:rPr>
          <w:sz w:val="20"/>
          <w:lang w:val="es-MX"/>
        </w:rPr>
        <w:t>sensomotora y auditiva. Sin embargo</w:t>
      </w:r>
      <w:r w:rsidR="00842208">
        <w:rPr>
          <w:sz w:val="20"/>
          <w:lang w:val="es-MX"/>
        </w:rPr>
        <w:t>,</w:t>
      </w:r>
      <w:r>
        <w:rPr>
          <w:sz w:val="20"/>
          <w:lang w:val="es-MX"/>
        </w:rPr>
        <w:t xml:space="preserve"> el número de componentes para cada sujeto tiene una gran variabilidad entre sesiones. Para trabajo a futuro se evaluará la reproducibilidad de cada una de las componentes. </w:t>
      </w:r>
    </w:p>
    <w:p w14:paraId="387C388F" w14:textId="77777777" w:rsidR="00D03886" w:rsidRDefault="00D03886">
      <w:pPr>
        <w:autoSpaceDE w:val="0"/>
        <w:ind w:firstLine="284"/>
        <w:jc w:val="both"/>
      </w:pPr>
    </w:p>
    <w:p w14:paraId="20AF18B7" w14:textId="77777777" w:rsidR="001D3C28" w:rsidRDefault="00D03886">
      <w:pPr>
        <w:autoSpaceDE w:val="0"/>
        <w:ind w:firstLine="284"/>
        <w:jc w:val="both"/>
        <w:rPr>
          <w:rStyle w:val="boldCar"/>
          <w:sz w:val="20"/>
          <w:lang w:val="es-MX"/>
        </w:rPr>
      </w:pPr>
      <w:r>
        <w:rPr>
          <w:rStyle w:val="boldCar"/>
          <w:sz w:val="20"/>
          <w:lang w:val="es-MX"/>
        </w:rPr>
        <w:t>Agrade</w:t>
      </w:r>
      <w:r w:rsidR="001D3C28">
        <w:rPr>
          <w:rStyle w:val="boldCar"/>
          <w:sz w:val="20"/>
          <w:lang w:val="es-MX"/>
        </w:rPr>
        <w:t>cimientos</w:t>
      </w:r>
    </w:p>
    <w:p w14:paraId="1092A99B" w14:textId="7853F58D" w:rsidR="00D03886" w:rsidRDefault="00D03886" w:rsidP="001D3C28">
      <w:pPr>
        <w:autoSpaceDE w:val="0"/>
        <w:jc w:val="both"/>
        <w:rPr>
          <w:sz w:val="20"/>
          <w:lang w:val="es-MX"/>
        </w:rPr>
      </w:pPr>
      <w:r>
        <w:rPr>
          <w:sz w:val="20"/>
          <w:lang w:val="es-MX"/>
        </w:rPr>
        <w:t xml:space="preserve"> Agradecemos al Instituto Nacional de Psiquiatría Ramón de la Fuente Muñiz. </w:t>
      </w:r>
    </w:p>
    <w:p w14:paraId="6581691C" w14:textId="5564D9C3" w:rsidR="001E3A94" w:rsidRDefault="001E3A94">
      <w:pPr>
        <w:autoSpaceDE w:val="0"/>
        <w:ind w:firstLine="284"/>
        <w:jc w:val="both"/>
        <w:rPr>
          <w:sz w:val="20"/>
          <w:lang w:val="es-MX"/>
        </w:rPr>
      </w:pPr>
      <w:r>
        <w:rPr>
          <w:sz w:val="20"/>
          <w:lang w:val="es-MX"/>
        </w:rPr>
        <w:t xml:space="preserve">Apoyo </w:t>
      </w:r>
      <w:r w:rsidR="00842208">
        <w:rPr>
          <w:sz w:val="20"/>
          <w:lang w:val="es-MX"/>
        </w:rPr>
        <w:t xml:space="preserve">de </w:t>
      </w:r>
      <w:r>
        <w:rPr>
          <w:sz w:val="20"/>
          <w:lang w:val="es-MX"/>
        </w:rPr>
        <w:t>CONACYT a través de la División de Física Médica, Sociedad Mexicana de Física para la inscripción al congreso.</w:t>
      </w:r>
    </w:p>
    <w:p w14:paraId="30AA5427" w14:textId="77777777" w:rsidR="00D03886" w:rsidRDefault="00D03886">
      <w:pPr>
        <w:autoSpaceDE w:val="0"/>
        <w:ind w:firstLine="284"/>
        <w:jc w:val="both"/>
      </w:pPr>
    </w:p>
    <w:p w14:paraId="116B351C" w14:textId="500FBB65" w:rsidR="00D03886" w:rsidRDefault="00886E36" w:rsidP="00886E36">
      <w:pPr>
        <w:ind w:right="30"/>
        <w:jc w:val="both"/>
        <w:rPr>
          <w:b/>
          <w:sz w:val="20"/>
        </w:rPr>
      </w:pPr>
      <w:proofErr w:type="spellStart"/>
      <w:r>
        <w:rPr>
          <w:b/>
          <w:sz w:val="20"/>
        </w:rPr>
        <w:t>Bibliografía</w:t>
      </w:r>
      <w:proofErr w:type="spellEnd"/>
    </w:p>
    <w:p w14:paraId="58E13DF3" w14:textId="5014E8A8" w:rsidR="00D03886" w:rsidRDefault="00D03886">
      <w:pPr>
        <w:pStyle w:val="Reference"/>
        <w:rPr>
          <w:sz w:val="20"/>
        </w:rPr>
      </w:pPr>
      <w:r>
        <w:rPr>
          <w:lang w:val="es-MX"/>
        </w:rPr>
        <w:fldChar w:fldCharType="begin"/>
      </w:r>
      <w:r>
        <w:rPr>
          <w:lang w:val="es-MX"/>
        </w:rPr>
        <w:instrText xml:space="preserve"> SEQ "References" \*Arabic </w:instrText>
      </w:r>
      <w:r>
        <w:rPr>
          <w:lang w:val="es-MX"/>
        </w:rPr>
        <w:fldChar w:fldCharType="separate"/>
      </w:r>
      <w:r>
        <w:rPr>
          <w:lang w:val="es-MX"/>
        </w:rPr>
        <w:t>1</w:t>
      </w:r>
      <w:r>
        <w:rPr>
          <w:lang w:val="es-MX"/>
        </w:rPr>
        <w:fldChar w:fldCharType="end"/>
      </w:r>
      <w:r>
        <w:rPr>
          <w:sz w:val="20"/>
        </w:rPr>
        <w:t>.</w:t>
      </w:r>
      <w:r>
        <w:rPr>
          <w:sz w:val="20"/>
        </w:rPr>
        <w:tab/>
        <w:t xml:space="preserve">P.E, Alvarez-Segura et al., </w:t>
      </w:r>
      <w:proofErr w:type="spellStart"/>
      <w:r>
        <w:rPr>
          <w:sz w:val="20"/>
        </w:rPr>
        <w:t>Actividad</w:t>
      </w:r>
      <w:proofErr w:type="spellEnd"/>
      <w:r>
        <w:rPr>
          <w:sz w:val="20"/>
        </w:rPr>
        <w:t xml:space="preserve"> </w:t>
      </w:r>
      <w:proofErr w:type="spellStart"/>
      <w:r>
        <w:rPr>
          <w:sz w:val="20"/>
        </w:rPr>
        <w:t>funcional</w:t>
      </w:r>
      <w:proofErr w:type="spellEnd"/>
      <w:r>
        <w:rPr>
          <w:sz w:val="20"/>
        </w:rPr>
        <w:t xml:space="preserve"> cerebral en </w:t>
      </w:r>
      <w:proofErr w:type="spellStart"/>
      <w:r>
        <w:rPr>
          <w:sz w:val="20"/>
        </w:rPr>
        <w:t>estado</w:t>
      </w:r>
      <w:proofErr w:type="spellEnd"/>
      <w:r>
        <w:rPr>
          <w:sz w:val="20"/>
        </w:rPr>
        <w:t xml:space="preserve"> de </w:t>
      </w:r>
      <w:proofErr w:type="spellStart"/>
      <w:r>
        <w:rPr>
          <w:sz w:val="20"/>
        </w:rPr>
        <w:t>reposo</w:t>
      </w:r>
      <w:proofErr w:type="spellEnd"/>
      <w:r>
        <w:rPr>
          <w:sz w:val="20"/>
        </w:rPr>
        <w:t xml:space="preserve">: </w:t>
      </w:r>
      <w:proofErr w:type="spellStart"/>
      <w:r>
        <w:rPr>
          <w:sz w:val="20"/>
        </w:rPr>
        <w:t>redes</w:t>
      </w:r>
      <w:proofErr w:type="spellEnd"/>
      <w:r>
        <w:rPr>
          <w:sz w:val="20"/>
        </w:rPr>
        <w:t xml:space="preserve"> en </w:t>
      </w:r>
      <w:proofErr w:type="spellStart"/>
      <w:r>
        <w:rPr>
          <w:sz w:val="20"/>
        </w:rPr>
        <w:t>conexión</w:t>
      </w:r>
      <w:proofErr w:type="spellEnd"/>
      <w:r>
        <w:rPr>
          <w:sz w:val="20"/>
        </w:rPr>
        <w:t xml:space="preserve">, </w:t>
      </w:r>
      <w:r w:rsidRPr="00886E36">
        <w:rPr>
          <w:sz w:val="20"/>
        </w:rPr>
        <w:t xml:space="preserve">Rev. </w:t>
      </w:r>
      <w:proofErr w:type="spellStart"/>
      <w:r w:rsidRPr="00886E36">
        <w:rPr>
          <w:sz w:val="20"/>
        </w:rPr>
        <w:t>Neourol</w:t>
      </w:r>
      <w:proofErr w:type="spellEnd"/>
      <w:r>
        <w:rPr>
          <w:i/>
          <w:sz w:val="20"/>
        </w:rPr>
        <w:t>.</w:t>
      </w:r>
      <w:r>
        <w:rPr>
          <w:sz w:val="20"/>
        </w:rPr>
        <w:t xml:space="preserve"> </w:t>
      </w:r>
      <w:r w:rsidR="00886E36">
        <w:rPr>
          <w:sz w:val="20"/>
        </w:rPr>
        <w:t>2011; 52(1) S3-10.</w:t>
      </w:r>
    </w:p>
    <w:bookmarkStart w:id="1" w:name="Name1"/>
    <w:p w14:paraId="541277C1" w14:textId="1A7D478D" w:rsidR="00D03886" w:rsidRDefault="00D03886">
      <w:pPr>
        <w:pStyle w:val="Reference"/>
        <w:rPr>
          <w:sz w:val="20"/>
          <w:lang w:val="es-MX"/>
        </w:rPr>
      </w:pPr>
      <w:r>
        <w:rPr>
          <w:sz w:val="20"/>
          <w:lang w:val="es-MX"/>
        </w:rPr>
        <w:fldChar w:fldCharType="begin"/>
      </w:r>
      <w:r>
        <w:rPr>
          <w:sz w:val="20"/>
          <w:lang w:val="es-MX"/>
        </w:rPr>
        <w:instrText xml:space="preserve"> SEQ "References" \*Arabic </w:instrText>
      </w:r>
      <w:r>
        <w:rPr>
          <w:sz w:val="20"/>
          <w:lang w:val="es-MX"/>
        </w:rPr>
        <w:fldChar w:fldCharType="separate"/>
      </w:r>
      <w:r>
        <w:rPr>
          <w:sz w:val="20"/>
          <w:lang w:val="es-MX"/>
        </w:rPr>
        <w:t>2</w:t>
      </w:r>
      <w:r>
        <w:rPr>
          <w:sz w:val="20"/>
          <w:lang w:val="es-MX"/>
        </w:rPr>
        <w:fldChar w:fldCharType="end"/>
      </w:r>
      <w:r>
        <w:rPr>
          <w:sz w:val="20"/>
        </w:rPr>
        <w:t>.</w:t>
      </w:r>
      <w:r>
        <w:rPr>
          <w:sz w:val="20"/>
        </w:rPr>
        <w:tab/>
      </w:r>
      <w:bookmarkEnd w:id="1"/>
      <w:r>
        <w:rPr>
          <w:sz w:val="20"/>
        </w:rPr>
        <w:t xml:space="preserve">M.D Fox and M. </w:t>
      </w:r>
      <w:proofErr w:type="spellStart"/>
      <w:r>
        <w:rPr>
          <w:sz w:val="20"/>
        </w:rPr>
        <w:t>Greicius</w:t>
      </w:r>
      <w:proofErr w:type="spellEnd"/>
      <w:r>
        <w:rPr>
          <w:sz w:val="20"/>
        </w:rPr>
        <w:t>, Clinical applications of resting state functional connectivity,</w:t>
      </w:r>
      <w:r>
        <w:rPr>
          <w:i/>
          <w:sz w:val="20"/>
        </w:rPr>
        <w:t xml:space="preserve"> </w:t>
      </w:r>
      <w:r w:rsidRPr="00886E36">
        <w:rPr>
          <w:sz w:val="20"/>
        </w:rPr>
        <w:t xml:space="preserve">Front. Syst. </w:t>
      </w:r>
      <w:proofErr w:type="spellStart"/>
      <w:r w:rsidRPr="00886E36">
        <w:rPr>
          <w:sz w:val="20"/>
        </w:rPr>
        <w:t>Neurosci</w:t>
      </w:r>
      <w:proofErr w:type="spellEnd"/>
      <w:r w:rsidRPr="00886E36">
        <w:rPr>
          <w:sz w:val="20"/>
        </w:rPr>
        <w:t xml:space="preserve">. </w:t>
      </w:r>
      <w:r w:rsidR="00886E36">
        <w:rPr>
          <w:sz w:val="20"/>
        </w:rPr>
        <w:t>2010</w:t>
      </w:r>
      <w:proofErr w:type="gramStart"/>
      <w:r w:rsidR="00886E36">
        <w:rPr>
          <w:sz w:val="20"/>
        </w:rPr>
        <w:t>;</w:t>
      </w:r>
      <w:proofErr w:type="gramEnd"/>
      <w:r w:rsidR="00886E36">
        <w:rPr>
          <w:sz w:val="20"/>
        </w:rPr>
        <w:t xml:space="preserve"> </w:t>
      </w:r>
      <w:r w:rsidRPr="00886E36">
        <w:rPr>
          <w:sz w:val="20"/>
          <w:lang w:val="es-MX"/>
        </w:rPr>
        <w:t>4,</w:t>
      </w:r>
      <w:r w:rsidR="00886E36">
        <w:rPr>
          <w:sz w:val="20"/>
          <w:lang w:val="es-MX"/>
        </w:rPr>
        <w:t xml:space="preserve"> 19</w:t>
      </w:r>
      <w:r>
        <w:rPr>
          <w:sz w:val="20"/>
          <w:lang w:val="es-MX"/>
        </w:rPr>
        <w:t>.</w:t>
      </w:r>
    </w:p>
    <w:p w14:paraId="63891734" w14:textId="77777777" w:rsidR="007F5A8B" w:rsidRDefault="00D03886">
      <w:pPr>
        <w:pStyle w:val="Reference"/>
        <w:rPr>
          <w:i/>
          <w:iCs/>
          <w:sz w:val="20"/>
        </w:rPr>
        <w:sectPr w:rsidR="007F5A8B" w:rsidSect="007F5A8B">
          <w:type w:val="continuous"/>
          <w:pgSz w:w="12240" w:h="15840"/>
          <w:pgMar w:top="1418" w:right="1325" w:bottom="851" w:left="1418" w:header="720" w:footer="720" w:gutter="0"/>
          <w:cols w:num="2" w:space="709"/>
          <w:docGrid w:linePitch="245"/>
        </w:sectPr>
      </w:pPr>
      <w:r>
        <w:rPr>
          <w:lang w:val="es-MX"/>
        </w:rPr>
        <w:fldChar w:fldCharType="begin"/>
      </w:r>
      <w:r>
        <w:rPr>
          <w:lang w:val="es-MX"/>
        </w:rPr>
        <w:instrText xml:space="preserve"> SEQ "References" \*Arabic </w:instrText>
      </w:r>
      <w:r>
        <w:rPr>
          <w:lang w:val="es-MX"/>
        </w:rPr>
        <w:fldChar w:fldCharType="separate"/>
      </w:r>
      <w:r>
        <w:rPr>
          <w:lang w:val="es-MX"/>
        </w:rPr>
        <w:t>3</w:t>
      </w:r>
      <w:r>
        <w:rPr>
          <w:lang w:val="es-MX"/>
        </w:rPr>
        <w:fldChar w:fldCharType="end"/>
      </w:r>
      <w:r>
        <w:rPr>
          <w:sz w:val="20"/>
        </w:rPr>
        <w:t>.</w:t>
      </w:r>
      <w:r>
        <w:rPr>
          <w:sz w:val="20"/>
        </w:rPr>
        <w:tab/>
        <w:t>C.F. Beckmann and S.M. Smith, Probabilistic Independent Component Analysis for Functional Magnetic Resonance Imaging,</w:t>
      </w:r>
      <w:r w:rsidR="007F5A8B">
        <w:rPr>
          <w:sz w:val="20"/>
        </w:rPr>
        <w:t xml:space="preserve"> </w:t>
      </w:r>
      <w:r w:rsidRPr="00886E36">
        <w:rPr>
          <w:iCs/>
          <w:sz w:val="20"/>
        </w:rPr>
        <w:t>FMRIB Technical Report TR02CB1</w:t>
      </w:r>
      <w:r>
        <w:rPr>
          <w:i/>
          <w:iCs/>
          <w:sz w:val="20"/>
        </w:rPr>
        <w:cr/>
      </w:r>
    </w:p>
    <w:p w14:paraId="1D4C1BE8" w14:textId="77777777" w:rsidR="00D03886" w:rsidRDefault="00D03886">
      <w:pPr>
        <w:pStyle w:val="Reference"/>
        <w:rPr>
          <w:i/>
          <w:iCs/>
          <w:sz w:val="20"/>
        </w:rPr>
      </w:pPr>
    </w:p>
    <w:p w14:paraId="0BD749FB" w14:textId="77777777" w:rsidR="00D03886" w:rsidRDefault="00D03886">
      <w:pPr>
        <w:pStyle w:val="Textocomentario1"/>
      </w:pPr>
    </w:p>
    <w:sectPr w:rsidR="00D03886">
      <w:type w:val="continuous"/>
      <w:pgSz w:w="12240" w:h="15840"/>
      <w:pgMar w:top="1418" w:right="1325" w:bottom="1418" w:left="1418" w:header="720" w:footer="720" w:gutter="0"/>
      <w:cols w:space="720"/>
      <w:docGrid w:linePitch="2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24C8B2" w14:textId="77777777" w:rsidR="00562E8E" w:rsidRDefault="00562E8E">
      <w:r>
        <w:separator/>
      </w:r>
    </w:p>
  </w:endnote>
  <w:endnote w:type="continuationSeparator" w:id="0">
    <w:p w14:paraId="352819B1" w14:textId="77777777" w:rsidR="00562E8E" w:rsidRDefault="00562E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80"/>
    <w:family w:val="auto"/>
    <w:pitch w:val="default"/>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12E4AD" w14:textId="77777777" w:rsidR="00D03886" w:rsidRDefault="00D03886">
    <w:pPr>
      <w:pStyle w:val="Piedep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C12CFB" w14:textId="77777777" w:rsidR="00D03886" w:rsidRDefault="00D03886">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CB2691" w14:textId="77777777" w:rsidR="00D03886" w:rsidRDefault="00D0388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66E023" w14:textId="77777777" w:rsidR="00562E8E" w:rsidRDefault="00562E8E">
      <w:r>
        <w:separator/>
      </w:r>
    </w:p>
  </w:footnote>
  <w:footnote w:type="continuationSeparator" w:id="0">
    <w:p w14:paraId="673AAD01" w14:textId="77777777" w:rsidR="00562E8E" w:rsidRDefault="00562E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9323F1" w14:textId="77777777" w:rsidR="00D03886" w:rsidRDefault="00D03886">
    <w:pPr>
      <w:pStyle w:val="Encabezado"/>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8ED64F" w14:textId="77777777" w:rsidR="00D03886" w:rsidRDefault="00D03886">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8B9486" w14:textId="77777777" w:rsidR="00D03886" w:rsidRDefault="00D038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pStyle w:val="Ttulo2"/>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isplayBackgroundShape/>
  <w:embedSystemFonts/>
  <w:proofState w:spelling="clean" w:grammar="clean"/>
  <w:defaultTabStop w:val="720"/>
  <w:autoHyphenation/>
  <w:hyphenationZone w:val="425"/>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5A8B"/>
    <w:rsid w:val="001D3C28"/>
    <w:rsid w:val="001E3A94"/>
    <w:rsid w:val="00481D04"/>
    <w:rsid w:val="00562E8E"/>
    <w:rsid w:val="005E0A68"/>
    <w:rsid w:val="006619D5"/>
    <w:rsid w:val="00772146"/>
    <w:rsid w:val="007F0FBC"/>
    <w:rsid w:val="007F5A8B"/>
    <w:rsid w:val="00842208"/>
    <w:rsid w:val="00867D01"/>
    <w:rsid w:val="00886E36"/>
    <w:rsid w:val="00AB6C88"/>
    <w:rsid w:val="00D03886"/>
    <w:rsid w:val="00F87801"/>
    <w:rsid w:val="00F97ADC"/>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4:docId w14:val="490223F6"/>
  <w14:defaultImageDpi w14:val="300"/>
  <w15:docId w15:val="{B8AF89A4-A7A8-4CC0-A1CC-1A97135991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18"/>
      <w:lang w:val="en-US" w:eastAsia="ar-SA"/>
    </w:rPr>
  </w:style>
  <w:style w:type="paragraph" w:styleId="Ttulo2">
    <w:name w:val="heading 2"/>
    <w:basedOn w:val="Normal"/>
    <w:next w:val="Normal"/>
    <w:qFormat/>
    <w:pPr>
      <w:keepNext/>
      <w:keepLines/>
      <w:numPr>
        <w:ilvl w:val="1"/>
        <w:numId w:val="1"/>
      </w:numPr>
      <w:suppressAutoHyphens/>
      <w:spacing w:before="240" w:after="240" w:line="384" w:lineRule="atLeast"/>
      <w:outlineLvl w:val="1"/>
    </w:pPr>
    <w:rPr>
      <w:sz w:val="32"/>
      <w:lang w:val="en-G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8Num1z0">
    <w:name w:val="WW8Num1z0"/>
    <w:rPr>
      <w:rFonts w:ascii="Symbol" w:hAnsi="Symbol"/>
    </w:rPr>
  </w:style>
  <w:style w:type="character" w:customStyle="1" w:styleId="WW8Num1z2">
    <w:name w:val="WW8Num1z2"/>
    <w:rPr>
      <w:rFonts w:ascii="Courier New" w:hAnsi="Courier New"/>
    </w:rPr>
  </w:style>
  <w:style w:type="character" w:customStyle="1" w:styleId="WW8Num1z3">
    <w:name w:val="WW8Num1z3"/>
    <w:rPr>
      <w:rFonts w:ascii="Wingdings" w:hAnsi="Wingdings"/>
    </w:rPr>
  </w:style>
  <w:style w:type="character" w:customStyle="1" w:styleId="WW8Num2z0">
    <w:name w:val="WW8Num2z0"/>
    <w:rPr>
      <w:b/>
    </w:rPr>
  </w:style>
  <w:style w:type="character" w:customStyle="1" w:styleId="WW8Num3z0">
    <w:name w:val="WW8Num3z0"/>
    <w:rPr>
      <w:b/>
    </w:rPr>
  </w:style>
  <w:style w:type="character" w:customStyle="1" w:styleId="Fuentedeprrafopredeter1">
    <w:name w:val="Fuente de párrafo predeter.1"/>
  </w:style>
  <w:style w:type="character" w:styleId="Hipervnculo">
    <w:name w:val="Hyperlink"/>
    <w:rPr>
      <w:color w:val="0000FF"/>
      <w:u w:val="single"/>
    </w:rPr>
  </w:style>
  <w:style w:type="character" w:customStyle="1" w:styleId="Refdecomentario1">
    <w:name w:val="Ref. de comentario1"/>
    <w:rPr>
      <w:sz w:val="16"/>
      <w:szCs w:val="16"/>
    </w:rPr>
  </w:style>
  <w:style w:type="character" w:styleId="Hipervnculovisitado">
    <w:name w:val="FollowedHyperlink"/>
    <w:rPr>
      <w:color w:val="800080"/>
      <w:u w:val="single"/>
    </w:rPr>
  </w:style>
  <w:style w:type="character" w:customStyle="1" w:styleId="Ttulo2Car">
    <w:name w:val="Título 2 Car"/>
    <w:rPr>
      <w:sz w:val="32"/>
      <w:lang w:val="en-GB"/>
    </w:rPr>
  </w:style>
  <w:style w:type="character" w:customStyle="1" w:styleId="boldCar">
    <w:name w:val="bold Car"/>
    <w:rPr>
      <w:b/>
      <w:lang w:val="en-GB"/>
    </w:rPr>
  </w:style>
  <w:style w:type="character" w:customStyle="1" w:styleId="author">
    <w:name w:val="author"/>
    <w:basedOn w:val="Fuentedeprrafopredeter1"/>
  </w:style>
  <w:style w:type="character" w:customStyle="1" w:styleId="Vietas">
    <w:name w:val="Viñetas"/>
    <w:rPr>
      <w:rFonts w:ascii="OpenSymbol" w:eastAsia="OpenSymbol" w:hAnsi="OpenSymbol" w:cs="OpenSymbol"/>
    </w:rPr>
  </w:style>
  <w:style w:type="paragraph" w:customStyle="1" w:styleId="Encabezado1">
    <w:name w:val="Encabezado1"/>
    <w:basedOn w:val="Normal"/>
    <w:next w:val="Textoindependiente"/>
    <w:pPr>
      <w:keepNext/>
      <w:spacing w:before="240" w:after="120"/>
    </w:pPr>
    <w:rPr>
      <w:rFonts w:ascii="Arial" w:eastAsia="Arial Unicode MS" w:hAnsi="Arial" w:cs="Arial Unicode MS"/>
      <w:sz w:val="28"/>
      <w:szCs w:val="28"/>
    </w:rPr>
  </w:style>
  <w:style w:type="paragraph" w:styleId="Textoindependiente">
    <w:name w:val="Body Text"/>
    <w:basedOn w:val="Normal"/>
    <w:pPr>
      <w:jc w:val="both"/>
    </w:pPr>
    <w:rPr>
      <w:bCs/>
      <w:sz w:val="20"/>
    </w:rPr>
  </w:style>
  <w:style w:type="paragraph" w:styleId="Lista">
    <w:name w:val="List"/>
    <w:basedOn w:val="Textoindependiente"/>
  </w:style>
  <w:style w:type="paragraph" w:customStyle="1" w:styleId="Etiqueta">
    <w:name w:val="Etiqueta"/>
    <w:basedOn w:val="Normal"/>
    <w:pPr>
      <w:suppressLineNumbers/>
      <w:spacing w:before="120" w:after="120"/>
    </w:pPr>
    <w:rPr>
      <w:i/>
      <w:iCs/>
      <w:sz w:val="24"/>
      <w:szCs w:val="24"/>
    </w:rPr>
  </w:style>
  <w:style w:type="paragraph" w:customStyle="1" w:styleId="ndice">
    <w:name w:val="Índice"/>
    <w:basedOn w:val="Normal"/>
    <w:pPr>
      <w:suppressLineNumbers/>
    </w:pPr>
  </w:style>
  <w:style w:type="paragraph" w:styleId="Piedepgina">
    <w:name w:val="footer"/>
    <w:basedOn w:val="Normal"/>
  </w:style>
  <w:style w:type="paragraph" w:styleId="Encabezado">
    <w:name w:val="header"/>
    <w:basedOn w:val="Normal"/>
  </w:style>
  <w:style w:type="paragraph" w:customStyle="1" w:styleId="Textoindependiente21">
    <w:name w:val="Texto independiente 21"/>
    <w:basedOn w:val="Normal"/>
    <w:pPr>
      <w:spacing w:line="240" w:lineRule="atLeast"/>
      <w:ind w:right="30"/>
      <w:jc w:val="both"/>
    </w:pPr>
    <w:rPr>
      <w:sz w:val="20"/>
    </w:rPr>
  </w:style>
  <w:style w:type="paragraph" w:customStyle="1" w:styleId="Epgrafe1">
    <w:name w:val="Epígrafe1"/>
    <w:basedOn w:val="Normal"/>
    <w:next w:val="Normal"/>
    <w:pPr>
      <w:spacing w:before="120" w:after="120"/>
    </w:pPr>
    <w:rPr>
      <w:b/>
      <w:bCs/>
      <w:sz w:val="20"/>
    </w:rPr>
  </w:style>
  <w:style w:type="paragraph" w:styleId="Textodeglobo">
    <w:name w:val="Balloon Text"/>
    <w:basedOn w:val="Normal"/>
    <w:rPr>
      <w:rFonts w:ascii="Tahoma" w:hAnsi="Tahoma" w:cs="Tahoma"/>
      <w:sz w:val="16"/>
      <w:szCs w:val="16"/>
    </w:rPr>
  </w:style>
  <w:style w:type="paragraph" w:customStyle="1" w:styleId="Textocomentario1">
    <w:name w:val="Texto comentario1"/>
    <w:basedOn w:val="Normal"/>
    <w:rPr>
      <w:sz w:val="20"/>
    </w:rPr>
  </w:style>
  <w:style w:type="paragraph" w:styleId="Asuntodelcomentario">
    <w:name w:val="annotation subject"/>
    <w:basedOn w:val="Textocomentario1"/>
    <w:next w:val="Textocomentario1"/>
    <w:rPr>
      <w:b/>
      <w:bCs/>
    </w:rPr>
  </w:style>
  <w:style w:type="paragraph" w:customStyle="1" w:styleId="Reference">
    <w:name w:val="Reference"/>
    <w:basedOn w:val="Normal"/>
    <w:pPr>
      <w:ind w:left="270" w:hanging="270"/>
      <w:jc w:val="both"/>
    </w:pPr>
  </w:style>
  <w:style w:type="paragraph" w:customStyle="1" w:styleId="bold">
    <w:name w:val="bold"/>
    <w:basedOn w:val="Normal"/>
    <w:pPr>
      <w:spacing w:line="240" w:lineRule="atLeast"/>
      <w:jc w:val="both"/>
    </w:pPr>
    <w:rPr>
      <w:b/>
      <w:sz w:val="20"/>
      <w:lang w:val="en-GB"/>
    </w:rPr>
  </w:style>
  <w:style w:type="paragraph" w:styleId="NormalWeb">
    <w:name w:val="Normal (Web)"/>
    <w:basedOn w:val="Normal"/>
    <w:pPr>
      <w:spacing w:before="280" w:after="280"/>
    </w:pPr>
    <w:rPr>
      <w:sz w:val="24"/>
      <w:szCs w:val="24"/>
      <w:lang w:val="es-MX"/>
    </w:rPr>
  </w:style>
  <w:style w:type="paragraph" w:customStyle="1" w:styleId="Contenidodelatabla">
    <w:name w:val="Contenido de la tabla"/>
    <w:basedOn w:val="Normal"/>
    <w:pPr>
      <w:suppressLineNumbers/>
    </w:pPr>
  </w:style>
  <w:style w:type="paragraph" w:customStyle="1" w:styleId="Encabezadodelatabla">
    <w:name w:val="Encabezado de la tabla"/>
    <w:basedOn w:val="Contenidodelatabla"/>
    <w:pPr>
      <w:jc w:val="center"/>
    </w:pPr>
    <w:rPr>
      <w:b/>
      <w:bCs/>
    </w:rPr>
  </w:style>
  <w:style w:type="paragraph" w:styleId="Prrafodelista">
    <w:name w:val="List Paragraph"/>
    <w:basedOn w:val="Normal"/>
    <w:uiPriority w:val="34"/>
    <w:qFormat/>
    <w:rsid w:val="00886E3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taliesin@gmail.com"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mailto:ara171090@hotmail.com"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1</Pages>
  <Words>634</Words>
  <Characters>3491</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template for two-page abstracts in Word 97 (PC)</vt:lpstr>
    </vt:vector>
  </TitlesOfParts>
  <Company>BE</Company>
  <LinksUpToDate>false</LinksUpToDate>
  <CharactersWithSpaces>4117</CharactersWithSpaces>
  <SharedDoc>false</SharedDoc>
  <HLinks>
    <vt:vector size="12" baseType="variant">
      <vt:variant>
        <vt:i4>8257627</vt:i4>
      </vt:variant>
      <vt:variant>
        <vt:i4>3</vt:i4>
      </vt:variant>
      <vt:variant>
        <vt:i4>0</vt:i4>
      </vt:variant>
      <vt:variant>
        <vt:i4>5</vt:i4>
      </vt:variant>
      <vt:variant>
        <vt:lpwstr>mailto:mtaliesin@gmail.com</vt:lpwstr>
      </vt:variant>
      <vt:variant>
        <vt:lpwstr/>
      </vt:variant>
      <vt:variant>
        <vt:i4>4849771</vt:i4>
      </vt:variant>
      <vt:variant>
        <vt:i4>0</vt:i4>
      </vt:variant>
      <vt:variant>
        <vt:i4>0</vt:i4>
      </vt:variant>
      <vt:variant>
        <vt:i4>5</vt:i4>
      </vt:variant>
      <vt:variant>
        <vt:lpwstr>mailto:ara171090@hotmail.com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two-page abstracts in Word 97 (PC)</dc:title>
  <dc:subject/>
  <dc:creator>LPI</dc:creator>
  <cp:keywords/>
  <cp:lastModifiedBy>USUARIO</cp:lastModifiedBy>
  <cp:revision>8</cp:revision>
  <cp:lastPrinted>2006-09-28T16:02:00Z</cp:lastPrinted>
  <dcterms:created xsi:type="dcterms:W3CDTF">2016-01-15T15:52:00Z</dcterms:created>
  <dcterms:modified xsi:type="dcterms:W3CDTF">2016-09-26T18:08:00Z</dcterms:modified>
</cp:coreProperties>
</file>