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6727" w:rsidRPr="001E45C6" w:rsidRDefault="001E45C6" w:rsidP="001E45C6">
      <w:pPr>
        <w:autoSpaceDE w:val="0"/>
        <w:autoSpaceDN w:val="0"/>
        <w:adjustRightInd w:val="0"/>
        <w:jc w:val="center"/>
        <w:rPr>
          <w:b/>
          <w:bCs/>
          <w:caps/>
          <w:sz w:val="24"/>
          <w:szCs w:val="24"/>
          <w:lang w:val="es-MX"/>
        </w:rPr>
      </w:pPr>
      <w:r w:rsidRPr="001E45C6">
        <w:rPr>
          <w:b/>
          <w:bCs/>
          <w:caps/>
          <w:sz w:val="24"/>
          <w:szCs w:val="24"/>
          <w:lang w:val="es-MX"/>
        </w:rPr>
        <w:t>T</w:t>
      </w:r>
      <w:r>
        <w:rPr>
          <w:b/>
          <w:bCs/>
          <w:caps/>
          <w:sz w:val="24"/>
          <w:szCs w:val="24"/>
          <w:lang w:val="es-MX"/>
        </w:rPr>
        <w:t xml:space="preserve">LC1-7: </w:t>
      </w:r>
      <w:r w:rsidR="001F6727" w:rsidRPr="001E45C6">
        <w:rPr>
          <w:b/>
          <w:bCs/>
          <w:caps/>
          <w:sz w:val="24"/>
          <w:szCs w:val="24"/>
          <w:lang w:val="es-MX"/>
        </w:rPr>
        <w:t>P</w:t>
      </w:r>
      <w:r w:rsidR="00335EA7" w:rsidRPr="001E45C6">
        <w:rPr>
          <w:b/>
          <w:bCs/>
          <w:sz w:val="24"/>
          <w:szCs w:val="24"/>
          <w:lang w:val="es-MX"/>
        </w:rPr>
        <w:t xml:space="preserve">roblemática de la trazabilidad metrológica en las dosis terapéuticas de </w:t>
      </w:r>
      <w:r w:rsidR="001F6727" w:rsidRPr="001E45C6">
        <w:rPr>
          <w:b/>
          <w:bCs/>
          <w:caps/>
          <w:sz w:val="24"/>
          <w:szCs w:val="24"/>
          <w:vertAlign w:val="superscript"/>
          <w:lang w:val="es-MX"/>
        </w:rPr>
        <w:t>223</w:t>
      </w:r>
      <w:r w:rsidR="001F6727" w:rsidRPr="001E45C6">
        <w:rPr>
          <w:b/>
          <w:bCs/>
          <w:caps/>
          <w:sz w:val="24"/>
          <w:szCs w:val="24"/>
          <w:lang w:val="es-MX"/>
        </w:rPr>
        <w:t>R</w:t>
      </w:r>
      <w:r w:rsidR="001F6727" w:rsidRPr="001E45C6">
        <w:rPr>
          <w:b/>
          <w:bCs/>
          <w:sz w:val="24"/>
          <w:szCs w:val="24"/>
          <w:lang w:val="es-MX"/>
        </w:rPr>
        <w:t>a</w:t>
      </w:r>
      <w:r w:rsidR="001F6727" w:rsidRPr="001E45C6">
        <w:rPr>
          <w:b/>
          <w:bCs/>
          <w:caps/>
          <w:sz w:val="24"/>
          <w:szCs w:val="24"/>
          <w:lang w:val="es-MX"/>
        </w:rPr>
        <w:t>C</w:t>
      </w:r>
      <w:r w:rsidR="001F6727" w:rsidRPr="001E45C6">
        <w:rPr>
          <w:b/>
          <w:bCs/>
          <w:sz w:val="24"/>
          <w:szCs w:val="24"/>
          <w:lang w:val="es-MX"/>
        </w:rPr>
        <w:t>l</w:t>
      </w:r>
      <w:r w:rsidR="001F6727" w:rsidRPr="001E45C6">
        <w:rPr>
          <w:b/>
          <w:bCs/>
          <w:caps/>
          <w:sz w:val="24"/>
          <w:szCs w:val="24"/>
          <w:vertAlign w:val="subscript"/>
          <w:lang w:val="es-MX"/>
        </w:rPr>
        <w:t>2</w:t>
      </w:r>
      <w:r w:rsidR="00335EA7">
        <w:rPr>
          <w:b/>
          <w:bCs/>
          <w:caps/>
          <w:sz w:val="24"/>
          <w:szCs w:val="24"/>
          <w:lang w:val="es-MX"/>
        </w:rPr>
        <w:t xml:space="preserve"> </w:t>
      </w:r>
      <w:r w:rsidR="00335EA7">
        <w:rPr>
          <w:b/>
          <w:bCs/>
          <w:sz w:val="24"/>
          <w:szCs w:val="24"/>
          <w:lang w:val="es-MX"/>
        </w:rPr>
        <w:t>a n</w:t>
      </w:r>
      <w:r w:rsidR="00335EA7" w:rsidRPr="001E45C6">
        <w:rPr>
          <w:b/>
          <w:bCs/>
          <w:sz w:val="24"/>
          <w:szCs w:val="24"/>
          <w:lang w:val="es-MX"/>
        </w:rPr>
        <w:t>ivel hospitalario</w:t>
      </w:r>
    </w:p>
    <w:p w:rsidR="001F6727" w:rsidRPr="00123B7A" w:rsidRDefault="001F6727" w:rsidP="001F6727">
      <w:pPr>
        <w:pStyle w:val="Ttulo2"/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L. Paredes-Gutiérrez</w:t>
      </w:r>
      <w:r w:rsidR="00335EA7">
        <w:rPr>
          <w:sz w:val="24"/>
          <w:szCs w:val="24"/>
          <w:vertAlign w:val="superscript"/>
          <w:lang w:val="es-MX"/>
        </w:rPr>
        <w:t>a,</w:t>
      </w:r>
      <w:r w:rsidR="00335EA7" w:rsidRPr="00335EA7">
        <w:rPr>
          <w:sz w:val="24"/>
          <w:szCs w:val="24"/>
          <w:vertAlign w:val="superscript"/>
          <w:lang w:val="es-MX"/>
        </w:rPr>
        <w:t>*</w:t>
      </w:r>
      <w:r>
        <w:rPr>
          <w:sz w:val="24"/>
          <w:szCs w:val="24"/>
          <w:lang w:val="es-MX"/>
        </w:rPr>
        <w:t>, A. Astudillo-Velázquez</w:t>
      </w:r>
      <w:r w:rsidR="00335EA7">
        <w:rPr>
          <w:sz w:val="24"/>
          <w:szCs w:val="24"/>
          <w:vertAlign w:val="superscript"/>
          <w:lang w:val="es-MX"/>
        </w:rPr>
        <w:t>a</w:t>
      </w:r>
    </w:p>
    <w:p w:rsidR="001F6727" w:rsidRPr="00123B7A" w:rsidRDefault="00335EA7" w:rsidP="00335EA7">
      <w:pPr>
        <w:rPr>
          <w:sz w:val="22"/>
          <w:lang w:val="es-MX"/>
        </w:rPr>
      </w:pPr>
      <w:r>
        <w:rPr>
          <w:sz w:val="22"/>
          <w:vertAlign w:val="superscript"/>
          <w:lang w:val="es-MX"/>
        </w:rPr>
        <w:t xml:space="preserve">a </w:t>
      </w:r>
      <w:r w:rsidR="001F6727">
        <w:rPr>
          <w:sz w:val="22"/>
          <w:lang w:val="es-MX"/>
        </w:rPr>
        <w:t>Ins</w:t>
      </w:r>
      <w:r>
        <w:rPr>
          <w:sz w:val="22"/>
          <w:lang w:val="es-MX"/>
        </w:rPr>
        <w:t>t</w:t>
      </w:r>
      <w:r w:rsidR="001F6727">
        <w:rPr>
          <w:sz w:val="22"/>
          <w:lang w:val="es-MX"/>
        </w:rPr>
        <w:t>ituto Nacional de Investigaciones Nucleares</w:t>
      </w:r>
      <w:r>
        <w:rPr>
          <w:sz w:val="22"/>
          <w:lang w:val="es-MX"/>
        </w:rPr>
        <w:t>, México</w:t>
      </w:r>
    </w:p>
    <w:p w:rsidR="001F6727" w:rsidRPr="00335EA7" w:rsidRDefault="00335EA7" w:rsidP="00335EA7">
      <w:pPr>
        <w:rPr>
          <w:sz w:val="22"/>
          <w:szCs w:val="22"/>
          <w:lang w:val="es-MX"/>
        </w:rPr>
      </w:pPr>
      <w:r w:rsidRPr="00420C4E">
        <w:rPr>
          <w:sz w:val="22"/>
          <w:szCs w:val="22"/>
          <w:vertAlign w:val="superscript"/>
          <w:lang w:val="es-MX"/>
        </w:rPr>
        <w:t>*</w:t>
      </w:r>
      <w:r w:rsidRPr="00420C4E">
        <w:rPr>
          <w:sz w:val="22"/>
          <w:szCs w:val="22"/>
          <w:lang w:val="es-MX"/>
        </w:rPr>
        <w:t xml:space="preserve">Autor para correspondencia: </w:t>
      </w:r>
      <w:hyperlink r:id="rId6" w:history="1">
        <w:r w:rsidR="001F6727" w:rsidRPr="00335EA7">
          <w:rPr>
            <w:rStyle w:val="Hipervnculo"/>
            <w:color w:val="auto"/>
            <w:sz w:val="22"/>
            <w:szCs w:val="22"/>
            <w:u w:val="none"/>
            <w:lang w:val="es-MX"/>
          </w:rPr>
          <w:t>lydia.paredes@inin.gob.mx</w:t>
        </w:r>
      </w:hyperlink>
    </w:p>
    <w:p w:rsidR="001F6727" w:rsidRPr="00D17E17" w:rsidRDefault="001F6727" w:rsidP="00335EA7">
      <w:pPr>
        <w:rPr>
          <w:sz w:val="22"/>
          <w:lang w:val="es-MX"/>
        </w:rPr>
      </w:pPr>
    </w:p>
    <w:p w:rsidR="001F6727" w:rsidRPr="00123B7A" w:rsidRDefault="001F6727" w:rsidP="001F6727">
      <w:pPr>
        <w:autoSpaceDE w:val="0"/>
        <w:autoSpaceDN w:val="0"/>
        <w:adjustRightInd w:val="0"/>
        <w:rPr>
          <w:sz w:val="20"/>
          <w:lang w:val="es-MX"/>
        </w:rPr>
      </w:pPr>
    </w:p>
    <w:p w:rsidR="001F6727" w:rsidRPr="00123B7A" w:rsidRDefault="001F6727" w:rsidP="001F6727">
      <w:pPr>
        <w:spacing w:line="240" w:lineRule="atLeast"/>
        <w:ind w:firstLine="288"/>
        <w:jc w:val="both"/>
        <w:rPr>
          <w:sz w:val="20"/>
          <w:lang w:val="es-MX"/>
        </w:rPr>
        <w:sectPr w:rsidR="001F6727" w:rsidRPr="00123B7A" w:rsidSect="007F2DBF">
          <w:headerReference w:type="even" r:id="rId7"/>
          <w:footerReference w:type="even" r:id="rId8"/>
          <w:pgSz w:w="12240" w:h="15840" w:code="1"/>
          <w:pgMar w:top="1418" w:right="1325" w:bottom="1418" w:left="1418" w:header="720" w:footer="720" w:gutter="0"/>
          <w:cols w:space="480"/>
          <w:docGrid w:linePitch="245"/>
        </w:sectPr>
      </w:pPr>
    </w:p>
    <w:p w:rsidR="00606113" w:rsidRDefault="001F6727" w:rsidP="00335EA7">
      <w:pPr>
        <w:jc w:val="both"/>
        <w:rPr>
          <w:sz w:val="20"/>
          <w:lang w:val="es-MX"/>
        </w:rPr>
      </w:pPr>
      <w:r w:rsidRPr="00123B7A">
        <w:rPr>
          <w:b/>
          <w:sz w:val="20"/>
          <w:lang w:val="es-MX"/>
        </w:rPr>
        <w:lastRenderedPageBreak/>
        <w:t>Introducción:</w:t>
      </w:r>
      <w:r w:rsidRPr="00123B7A">
        <w:rPr>
          <w:sz w:val="20"/>
          <w:lang w:val="es-MX"/>
        </w:rPr>
        <w:t xml:space="preserve"> </w:t>
      </w:r>
      <w:r w:rsidR="00245E7D">
        <w:rPr>
          <w:sz w:val="20"/>
          <w:lang w:val="es-MX"/>
        </w:rPr>
        <w:t xml:space="preserve">En enero de 2014, la COFEPRIS/SSA autorizó la utilización del </w:t>
      </w:r>
      <w:r w:rsidR="00245E7D" w:rsidRPr="004C22F1">
        <w:rPr>
          <w:sz w:val="20"/>
          <w:vertAlign w:val="superscript"/>
          <w:lang w:val="es-MX"/>
        </w:rPr>
        <w:t>223</w:t>
      </w:r>
      <w:r w:rsidR="00245E7D">
        <w:rPr>
          <w:sz w:val="20"/>
          <w:lang w:val="es-MX"/>
        </w:rPr>
        <w:t>RaCl</w:t>
      </w:r>
      <w:r w:rsidR="00245E7D" w:rsidRPr="004C22F1">
        <w:rPr>
          <w:sz w:val="20"/>
          <w:vertAlign w:val="subscript"/>
          <w:lang w:val="es-MX"/>
        </w:rPr>
        <w:t>2</w:t>
      </w:r>
      <w:r w:rsidR="00245E7D">
        <w:rPr>
          <w:sz w:val="20"/>
          <w:lang w:val="es-MX"/>
        </w:rPr>
        <w:t xml:space="preserve"> como el primer radiofármaco emiso</w:t>
      </w:r>
      <w:r w:rsidR="00245E7D" w:rsidRPr="004C22F1">
        <w:rPr>
          <w:rFonts w:ascii="Times" w:hAnsi="Times" w:cs="Tahoma"/>
          <w:sz w:val="20"/>
          <w:lang w:val="es-MX"/>
        </w:rPr>
        <w:t>r-</w:t>
      </w:r>
      <w:r w:rsidR="00245E7D" w:rsidRPr="004C22F1">
        <w:rPr>
          <w:sz w:val="20"/>
          <w:lang w:val="es-MX"/>
        </w:rPr>
        <w:t>α</w:t>
      </w:r>
      <w:r w:rsidR="00245E7D" w:rsidRPr="004C22F1">
        <w:rPr>
          <w:rFonts w:ascii="Times" w:hAnsi="Times" w:cs="Tahoma"/>
          <w:sz w:val="20"/>
          <w:lang w:val="es-MX"/>
        </w:rPr>
        <w:t xml:space="preserve">, </w:t>
      </w:r>
      <w:r w:rsidR="00245E7D">
        <w:rPr>
          <w:sz w:val="20"/>
          <w:lang w:val="es-MX"/>
        </w:rPr>
        <w:t>aprobado para humanos como tratamiento de la metástasis ósea por cáncer de próstata resistente a la castración.</w:t>
      </w:r>
      <w:r w:rsidR="00606113" w:rsidRPr="00606113">
        <w:rPr>
          <w:sz w:val="20"/>
          <w:lang w:val="es-MX"/>
        </w:rPr>
        <w:t xml:space="preserve"> </w:t>
      </w:r>
      <w:r w:rsidR="00606113">
        <w:rPr>
          <w:sz w:val="20"/>
          <w:lang w:val="es-MX"/>
        </w:rPr>
        <w:t xml:space="preserve">El </w:t>
      </w:r>
      <w:r w:rsidR="00606113" w:rsidRPr="00C96A7D">
        <w:rPr>
          <w:sz w:val="20"/>
          <w:vertAlign w:val="superscript"/>
          <w:lang w:val="es-MX"/>
        </w:rPr>
        <w:t>223</w:t>
      </w:r>
      <w:r w:rsidR="00606113">
        <w:rPr>
          <w:sz w:val="20"/>
          <w:lang w:val="es-MX"/>
        </w:rPr>
        <w:t>Ra tiene un decaimiento múltiple</w:t>
      </w:r>
      <w:r w:rsidR="00606113">
        <w:rPr>
          <w:sz w:val="20"/>
          <w:vertAlign w:val="superscript"/>
          <w:lang w:val="es-MX"/>
        </w:rPr>
        <w:t>3</w:t>
      </w:r>
      <w:r w:rsidR="00606113">
        <w:rPr>
          <w:sz w:val="20"/>
          <w:lang w:val="es-MX"/>
        </w:rPr>
        <w:t xml:space="preserve"> con 30 eventos-</w:t>
      </w:r>
      <w:r w:rsidR="00606113" w:rsidRPr="004C22F1">
        <w:rPr>
          <w:sz w:val="20"/>
          <w:lang w:val="es-MX"/>
        </w:rPr>
        <w:t>α</w:t>
      </w:r>
      <w:r w:rsidR="00606113">
        <w:rPr>
          <w:sz w:val="20"/>
          <w:lang w:val="es-MX"/>
        </w:rPr>
        <w:t xml:space="preserve"> y una vida media de 11.43 días, seguido de una cadena de decaimiento de 7 radisótopos con espectros complejos de emisión α</w:t>
      </w:r>
      <w:r w:rsidR="003D0886">
        <w:rPr>
          <w:sz w:val="20"/>
          <w:lang w:val="es-MX"/>
        </w:rPr>
        <w:t xml:space="preserve">, </w:t>
      </w:r>
      <w:r w:rsidR="00606113">
        <w:rPr>
          <w:sz w:val="20"/>
          <w:lang w:val="es-MX"/>
        </w:rPr>
        <w:t>β</w:t>
      </w:r>
      <w:r w:rsidR="003D0886">
        <w:rPr>
          <w:sz w:val="20"/>
          <w:vertAlign w:val="superscript"/>
          <w:lang w:val="es-MX"/>
        </w:rPr>
        <w:t>-</w:t>
      </w:r>
      <w:r w:rsidR="003D0886">
        <w:rPr>
          <w:sz w:val="20"/>
          <w:lang w:val="es-MX"/>
        </w:rPr>
        <w:t xml:space="preserve">, </w:t>
      </w:r>
      <w:r w:rsidR="00606113">
        <w:rPr>
          <w:sz w:val="20"/>
          <w:lang w:val="es-MX"/>
        </w:rPr>
        <w:sym w:font="Symbol" w:char="F067"/>
      </w:r>
      <w:r w:rsidR="003D0886">
        <w:rPr>
          <w:sz w:val="20"/>
          <w:lang w:val="es-MX"/>
        </w:rPr>
        <w:t xml:space="preserve">, </w:t>
      </w:r>
      <w:r w:rsidR="000D7F52">
        <w:rPr>
          <w:sz w:val="20"/>
          <w:lang w:val="es-MX"/>
        </w:rPr>
        <w:t>captura electrónica y conversión interna</w:t>
      </w:r>
      <w:r w:rsidR="00D85E47">
        <w:rPr>
          <w:sz w:val="20"/>
          <w:vertAlign w:val="superscript"/>
          <w:lang w:val="es-MX"/>
        </w:rPr>
        <w:t>3</w:t>
      </w:r>
      <w:r w:rsidR="003D0886">
        <w:rPr>
          <w:sz w:val="20"/>
          <w:lang w:val="es-MX"/>
        </w:rPr>
        <w:t>, con vidas medias entre 36 min a 0.1 ms</w:t>
      </w:r>
      <w:r w:rsidR="00606113">
        <w:rPr>
          <w:sz w:val="20"/>
          <w:lang w:val="es-MX"/>
        </w:rPr>
        <w:t>.</w:t>
      </w:r>
    </w:p>
    <w:p w:rsidR="00597C05" w:rsidRDefault="00597C05" w:rsidP="001F6727">
      <w:pPr>
        <w:ind w:firstLine="288"/>
        <w:jc w:val="both"/>
        <w:rPr>
          <w:sz w:val="20"/>
          <w:lang w:val="es-MX"/>
        </w:rPr>
      </w:pPr>
    </w:p>
    <w:p w:rsidR="001F6727" w:rsidRDefault="00606113" w:rsidP="000246A6">
      <w:pPr>
        <w:jc w:val="both"/>
        <w:rPr>
          <w:sz w:val="20"/>
          <w:lang w:val="es-MX"/>
        </w:rPr>
      </w:pPr>
      <w:r w:rsidRPr="00606113">
        <w:rPr>
          <w:b/>
          <w:sz w:val="20"/>
          <w:lang w:val="es-MX"/>
        </w:rPr>
        <w:t>Objetivo:</w:t>
      </w:r>
      <w:r w:rsidR="001F6727">
        <w:rPr>
          <w:sz w:val="20"/>
          <w:lang w:val="es-MX"/>
        </w:rPr>
        <w:t xml:space="preserve"> </w:t>
      </w:r>
      <w:r>
        <w:rPr>
          <w:sz w:val="20"/>
          <w:lang w:val="es-MX"/>
        </w:rPr>
        <w:t xml:space="preserve">Analizar </w:t>
      </w:r>
      <w:r w:rsidR="001F6727">
        <w:rPr>
          <w:sz w:val="20"/>
          <w:lang w:val="es-MX"/>
        </w:rPr>
        <w:t xml:space="preserve">las principales variables que afectan la </w:t>
      </w:r>
      <w:r>
        <w:rPr>
          <w:sz w:val="20"/>
          <w:lang w:val="es-MX"/>
        </w:rPr>
        <w:t xml:space="preserve">trazabilidad metrológica de las dosis terapéuticas de </w:t>
      </w:r>
      <w:r w:rsidRPr="00606113">
        <w:rPr>
          <w:sz w:val="20"/>
          <w:vertAlign w:val="superscript"/>
          <w:lang w:val="es-MX"/>
        </w:rPr>
        <w:t>223</w:t>
      </w:r>
      <w:r w:rsidRPr="00606113">
        <w:rPr>
          <w:sz w:val="20"/>
          <w:lang w:val="es-MX"/>
        </w:rPr>
        <w:t>RaCl</w:t>
      </w:r>
      <w:r w:rsidRPr="00606113">
        <w:rPr>
          <w:sz w:val="20"/>
          <w:vertAlign w:val="subscript"/>
          <w:lang w:val="es-MX"/>
        </w:rPr>
        <w:t>2</w:t>
      </w:r>
      <w:r>
        <w:rPr>
          <w:sz w:val="20"/>
          <w:lang w:val="es-MX"/>
        </w:rPr>
        <w:t xml:space="preserve"> al medir la actividad gamma con los </w:t>
      </w:r>
      <w:r w:rsidR="001F6727">
        <w:rPr>
          <w:sz w:val="20"/>
          <w:lang w:val="es-MX"/>
        </w:rPr>
        <w:t xml:space="preserve">activímetros </w:t>
      </w:r>
      <w:r>
        <w:rPr>
          <w:sz w:val="20"/>
          <w:lang w:val="es-MX"/>
        </w:rPr>
        <w:t>utilizados en los hospitales</w:t>
      </w:r>
      <w:r w:rsidR="00F035C8">
        <w:rPr>
          <w:sz w:val="20"/>
          <w:lang w:val="es-MX"/>
        </w:rPr>
        <w:t xml:space="preserve">, sin que se tenga un cálculo personalizado de la </w:t>
      </w:r>
      <w:r>
        <w:rPr>
          <w:sz w:val="20"/>
          <w:lang w:val="es-MX"/>
        </w:rPr>
        <w:t xml:space="preserve">dosis </w:t>
      </w:r>
      <w:r w:rsidR="00597C05">
        <w:rPr>
          <w:sz w:val="20"/>
          <w:lang w:val="es-MX"/>
        </w:rPr>
        <w:t xml:space="preserve">total </w:t>
      </w:r>
      <w:r w:rsidR="003D0886">
        <w:rPr>
          <w:sz w:val="20"/>
          <w:lang w:val="es-MX"/>
        </w:rPr>
        <w:t>absorbida al tejido blanco (hueso)</w:t>
      </w:r>
      <w:r w:rsidR="00F360B0">
        <w:rPr>
          <w:sz w:val="20"/>
          <w:lang w:val="es-MX"/>
        </w:rPr>
        <w:t xml:space="preserve"> y secundarios</w:t>
      </w:r>
      <w:r>
        <w:rPr>
          <w:sz w:val="20"/>
          <w:lang w:val="es-MX"/>
        </w:rPr>
        <w:t>.</w:t>
      </w:r>
    </w:p>
    <w:p w:rsidR="001F6727" w:rsidRPr="00123B7A" w:rsidRDefault="001F6727" w:rsidP="001F6727">
      <w:pPr>
        <w:ind w:firstLine="288"/>
        <w:jc w:val="both"/>
        <w:rPr>
          <w:sz w:val="20"/>
          <w:lang w:val="es-MX"/>
        </w:rPr>
      </w:pPr>
    </w:p>
    <w:p w:rsidR="00F035C8" w:rsidRDefault="001F6727" w:rsidP="00335EA7">
      <w:pPr>
        <w:jc w:val="both"/>
        <w:rPr>
          <w:sz w:val="20"/>
          <w:lang w:val="es-MX"/>
        </w:rPr>
      </w:pPr>
      <w:r w:rsidRPr="00123B7A">
        <w:rPr>
          <w:rFonts w:cs="Arial"/>
          <w:b/>
          <w:bCs/>
          <w:sz w:val="20"/>
          <w:lang w:val="es-MX"/>
        </w:rPr>
        <w:t>Materiales y métodos:</w:t>
      </w:r>
      <w:r w:rsidRPr="00123B7A">
        <w:rPr>
          <w:rFonts w:cs="Arial"/>
          <w:bCs/>
          <w:sz w:val="20"/>
          <w:lang w:val="es-MX"/>
        </w:rPr>
        <w:t xml:space="preserve"> </w:t>
      </w:r>
      <w:r w:rsidR="000D7F52">
        <w:rPr>
          <w:rFonts w:cs="Arial"/>
          <w:bCs/>
          <w:sz w:val="20"/>
          <w:lang w:val="es-MX"/>
        </w:rPr>
        <w:t xml:space="preserve">El proveedor recomienda un tratamiento de 6 </w:t>
      </w:r>
      <w:r w:rsidR="000174B5">
        <w:rPr>
          <w:rFonts w:cs="Arial"/>
          <w:bCs/>
          <w:sz w:val="20"/>
          <w:lang w:val="es-MX"/>
        </w:rPr>
        <w:t>ampolletas</w:t>
      </w:r>
      <w:r w:rsidR="000D7F52">
        <w:rPr>
          <w:rFonts w:cs="Arial"/>
          <w:bCs/>
          <w:sz w:val="20"/>
          <w:lang w:val="es-MX"/>
        </w:rPr>
        <w:t xml:space="preserve"> terapéuticas vía intravenosa, un</w:t>
      </w:r>
      <w:r w:rsidR="000174B5">
        <w:rPr>
          <w:rFonts w:cs="Arial"/>
          <w:bCs/>
          <w:sz w:val="20"/>
          <w:lang w:val="es-MX"/>
        </w:rPr>
        <w:t>a aplicación</w:t>
      </w:r>
      <w:r w:rsidR="000D7F52">
        <w:rPr>
          <w:rFonts w:cs="Arial"/>
          <w:bCs/>
          <w:sz w:val="20"/>
          <w:lang w:val="es-MX"/>
        </w:rPr>
        <w:t xml:space="preserve"> por mes a razón de 5</w:t>
      </w:r>
      <w:r w:rsidR="001D311F">
        <w:rPr>
          <w:rFonts w:cs="Arial"/>
          <w:bCs/>
          <w:sz w:val="20"/>
          <w:lang w:val="es-MX"/>
        </w:rPr>
        <w:t>0</w:t>
      </w:r>
      <w:r w:rsidR="00B751C0">
        <w:rPr>
          <w:rFonts w:cs="Arial"/>
          <w:bCs/>
          <w:sz w:val="20"/>
          <w:lang w:val="es-MX"/>
        </w:rPr>
        <w:t xml:space="preserve"> kBq/k</w:t>
      </w:r>
      <w:r w:rsidR="000D7F52">
        <w:rPr>
          <w:rFonts w:cs="Arial"/>
          <w:bCs/>
          <w:sz w:val="20"/>
          <w:lang w:val="es-MX"/>
        </w:rPr>
        <w:t>g de</w:t>
      </w:r>
      <w:r w:rsidR="001D311F">
        <w:rPr>
          <w:rFonts w:cs="Arial"/>
          <w:bCs/>
          <w:sz w:val="20"/>
          <w:lang w:val="es-MX"/>
        </w:rPr>
        <w:t xml:space="preserve"> peso de</w:t>
      </w:r>
      <w:r w:rsidR="000D7F52">
        <w:rPr>
          <w:rFonts w:cs="Arial"/>
          <w:bCs/>
          <w:sz w:val="20"/>
          <w:lang w:val="es-MX"/>
        </w:rPr>
        <w:t xml:space="preserve">l paciente. </w:t>
      </w:r>
      <w:r w:rsidR="001D311F">
        <w:rPr>
          <w:rFonts w:cs="Arial"/>
          <w:bCs/>
          <w:sz w:val="20"/>
          <w:lang w:val="es-MX"/>
        </w:rPr>
        <w:t>Por ejemplo</w:t>
      </w:r>
      <w:r w:rsidR="00335EA7">
        <w:rPr>
          <w:rFonts w:cs="Arial"/>
          <w:bCs/>
          <w:sz w:val="20"/>
          <w:lang w:val="es-MX"/>
        </w:rPr>
        <w:t>,</w:t>
      </w:r>
      <w:r w:rsidR="001D311F">
        <w:rPr>
          <w:rFonts w:cs="Arial"/>
          <w:bCs/>
          <w:sz w:val="20"/>
          <w:lang w:val="es-MX"/>
        </w:rPr>
        <w:t xml:space="preserve"> para </w:t>
      </w:r>
      <w:r w:rsidR="00B751C0">
        <w:rPr>
          <w:rFonts w:cs="Arial"/>
          <w:bCs/>
          <w:sz w:val="20"/>
          <w:lang w:val="es-MX"/>
        </w:rPr>
        <w:t>un paciente de 70 k</w:t>
      </w:r>
      <w:r w:rsidR="000D7F52">
        <w:rPr>
          <w:rFonts w:cs="Arial"/>
          <w:bCs/>
          <w:sz w:val="20"/>
          <w:lang w:val="es-MX"/>
        </w:rPr>
        <w:t xml:space="preserve">g, corresponde una </w:t>
      </w:r>
      <w:r w:rsidR="000174B5">
        <w:rPr>
          <w:rFonts w:cs="Arial"/>
          <w:bCs/>
          <w:sz w:val="20"/>
          <w:lang w:val="es-MX"/>
        </w:rPr>
        <w:t>ampolleta</w:t>
      </w:r>
      <w:r w:rsidR="000D7F52">
        <w:rPr>
          <w:rFonts w:cs="Arial"/>
          <w:bCs/>
          <w:sz w:val="20"/>
          <w:lang w:val="es-MX"/>
        </w:rPr>
        <w:t xml:space="preserve"> con una actividad gamma de 3500 </w:t>
      </w:r>
      <w:r w:rsidR="00B751C0">
        <w:rPr>
          <w:rFonts w:cs="Arial"/>
          <w:bCs/>
          <w:sz w:val="20"/>
          <w:lang w:val="es-MX"/>
        </w:rPr>
        <w:t>k</w:t>
      </w:r>
      <w:r w:rsidR="000D7F52">
        <w:rPr>
          <w:rFonts w:cs="Arial"/>
          <w:bCs/>
          <w:sz w:val="20"/>
          <w:lang w:val="es-MX"/>
        </w:rPr>
        <w:t>Bq</w:t>
      </w:r>
      <w:r w:rsidR="00F035C8">
        <w:rPr>
          <w:rFonts w:cs="Arial"/>
          <w:bCs/>
          <w:sz w:val="20"/>
          <w:lang w:val="es-MX"/>
        </w:rPr>
        <w:t>.</w:t>
      </w:r>
      <w:r w:rsidR="000D7F52">
        <w:rPr>
          <w:rFonts w:cs="Arial"/>
          <w:bCs/>
          <w:sz w:val="20"/>
          <w:lang w:val="es-MX"/>
        </w:rPr>
        <w:t xml:space="preserve"> </w:t>
      </w:r>
      <w:r w:rsidR="001D311F">
        <w:rPr>
          <w:rFonts w:cs="Arial"/>
          <w:bCs/>
          <w:sz w:val="20"/>
          <w:lang w:val="es-MX"/>
        </w:rPr>
        <w:t>Asimismo, s</w:t>
      </w:r>
      <w:r w:rsidR="000D7F52">
        <w:rPr>
          <w:sz w:val="20"/>
          <w:lang w:val="es-MX"/>
        </w:rPr>
        <w:t xml:space="preserve">e revisó el procedimiento recomendado por </w:t>
      </w:r>
      <w:r w:rsidR="001D311F">
        <w:rPr>
          <w:sz w:val="20"/>
          <w:lang w:val="es-MX"/>
        </w:rPr>
        <w:t>proveedor</w:t>
      </w:r>
      <w:r w:rsidR="000D7F52">
        <w:rPr>
          <w:sz w:val="20"/>
          <w:lang w:val="es-MX"/>
        </w:rPr>
        <w:t xml:space="preserve"> del radiofármaco</w:t>
      </w:r>
      <w:r w:rsidR="000174B5">
        <w:rPr>
          <w:sz w:val="20"/>
          <w:lang w:val="es-MX"/>
        </w:rPr>
        <w:t xml:space="preserve"> </w:t>
      </w:r>
      <w:r w:rsidR="000D7F52">
        <w:rPr>
          <w:sz w:val="20"/>
          <w:lang w:val="es-MX"/>
        </w:rPr>
        <w:t xml:space="preserve">y </w:t>
      </w:r>
      <w:r w:rsidR="00F360B0">
        <w:rPr>
          <w:sz w:val="20"/>
          <w:lang w:val="es-MX"/>
        </w:rPr>
        <w:t xml:space="preserve">la metodología para calibrar los activímetros y </w:t>
      </w:r>
      <w:r w:rsidR="000D7F52">
        <w:rPr>
          <w:sz w:val="20"/>
          <w:lang w:val="es-MX"/>
        </w:rPr>
        <w:t xml:space="preserve">se identificaron </w:t>
      </w:r>
      <w:r w:rsidR="00F360B0">
        <w:rPr>
          <w:sz w:val="20"/>
          <w:lang w:val="es-MX"/>
        </w:rPr>
        <w:t xml:space="preserve">los </w:t>
      </w:r>
      <w:r w:rsidR="000D7F52">
        <w:rPr>
          <w:sz w:val="20"/>
          <w:lang w:val="es-MX"/>
        </w:rPr>
        <w:t xml:space="preserve">problemas </w:t>
      </w:r>
      <w:r w:rsidR="00F035C8">
        <w:rPr>
          <w:sz w:val="20"/>
          <w:lang w:val="es-MX"/>
        </w:rPr>
        <w:t xml:space="preserve">metrológicos al </w:t>
      </w:r>
      <w:r w:rsidR="001D311F">
        <w:rPr>
          <w:sz w:val="20"/>
          <w:lang w:val="es-MX"/>
        </w:rPr>
        <w:t>medir la actividad gamma de</w:t>
      </w:r>
      <w:r w:rsidR="00F035C8">
        <w:rPr>
          <w:sz w:val="20"/>
          <w:lang w:val="es-MX"/>
        </w:rPr>
        <w:t>l Ra-223, sin considerar la cadena de decaimiento de 7 radisótopos con espectros complejos y vidas medias cortas</w:t>
      </w:r>
      <w:r w:rsidR="00335EA7">
        <w:rPr>
          <w:sz w:val="20"/>
          <w:lang w:val="es-MX"/>
        </w:rPr>
        <w:t xml:space="preserve"> (f</w:t>
      </w:r>
      <w:r w:rsidR="003D0886">
        <w:rPr>
          <w:sz w:val="20"/>
          <w:lang w:val="es-MX"/>
        </w:rPr>
        <w:t>ig</w:t>
      </w:r>
      <w:r w:rsidR="00335EA7">
        <w:rPr>
          <w:sz w:val="20"/>
          <w:lang w:val="es-MX"/>
        </w:rPr>
        <w:t>ura</w:t>
      </w:r>
      <w:r w:rsidR="003D0886">
        <w:rPr>
          <w:sz w:val="20"/>
          <w:lang w:val="es-MX"/>
        </w:rPr>
        <w:t>. 1)</w:t>
      </w:r>
      <w:r w:rsidR="00F035C8">
        <w:rPr>
          <w:sz w:val="20"/>
          <w:lang w:val="es-MX"/>
        </w:rPr>
        <w:t>.</w:t>
      </w:r>
    </w:p>
    <w:p w:rsidR="001F6727" w:rsidRPr="00123B7A" w:rsidRDefault="001F6727" w:rsidP="001F6727">
      <w:pPr>
        <w:ind w:firstLine="284"/>
        <w:jc w:val="both"/>
        <w:rPr>
          <w:rFonts w:cs="Arial"/>
          <w:bCs/>
          <w:sz w:val="20"/>
          <w:lang w:val="es-MX"/>
        </w:rPr>
      </w:pPr>
    </w:p>
    <w:p w:rsidR="00D85E47" w:rsidRDefault="001F6727" w:rsidP="00335EA7">
      <w:pPr>
        <w:jc w:val="both"/>
        <w:rPr>
          <w:bCs/>
          <w:sz w:val="20"/>
          <w:lang w:val="es-MX"/>
        </w:rPr>
      </w:pPr>
      <w:r w:rsidRPr="00123B7A">
        <w:rPr>
          <w:b/>
          <w:bCs/>
          <w:sz w:val="20"/>
          <w:lang w:val="es-MX"/>
        </w:rPr>
        <w:t>Resultados</w:t>
      </w:r>
      <w:r w:rsidRPr="00123B7A">
        <w:rPr>
          <w:bCs/>
          <w:sz w:val="20"/>
          <w:lang w:val="es-MX"/>
        </w:rPr>
        <w:t>:</w:t>
      </w:r>
      <w:r>
        <w:rPr>
          <w:bCs/>
          <w:sz w:val="20"/>
          <w:lang w:val="es-MX"/>
        </w:rPr>
        <w:t xml:space="preserve"> </w:t>
      </w:r>
      <w:r w:rsidR="001D311F">
        <w:rPr>
          <w:bCs/>
          <w:sz w:val="20"/>
          <w:lang w:val="es-MX"/>
        </w:rPr>
        <w:t>Los activ</w:t>
      </w:r>
      <w:r w:rsidR="00D85E47">
        <w:rPr>
          <w:bCs/>
          <w:sz w:val="20"/>
          <w:lang w:val="es-MX"/>
        </w:rPr>
        <w:t>í</w:t>
      </w:r>
      <w:r w:rsidR="001D311F">
        <w:rPr>
          <w:bCs/>
          <w:sz w:val="20"/>
          <w:lang w:val="es-MX"/>
        </w:rPr>
        <w:t>metros no son equipos adecuados para medir con precisión actividad gamma de radisótopos con espectros complejos de emisión y vidas medias cortas</w:t>
      </w:r>
      <w:r w:rsidR="00EE7026">
        <w:rPr>
          <w:bCs/>
          <w:sz w:val="20"/>
          <w:lang w:val="es-MX"/>
        </w:rPr>
        <w:t>. En México estos equipos no son calibrados para este radisótopo</w:t>
      </w:r>
      <w:r w:rsidR="001D311F">
        <w:rPr>
          <w:bCs/>
          <w:sz w:val="20"/>
          <w:lang w:val="es-MX"/>
        </w:rPr>
        <w:t xml:space="preserve">. </w:t>
      </w:r>
      <w:r w:rsidR="00F035C8">
        <w:rPr>
          <w:bCs/>
          <w:sz w:val="20"/>
          <w:lang w:val="es-MX"/>
        </w:rPr>
        <w:t xml:space="preserve">Se </w:t>
      </w:r>
      <w:r w:rsidR="00D85E47">
        <w:rPr>
          <w:bCs/>
          <w:sz w:val="20"/>
          <w:lang w:val="es-MX"/>
        </w:rPr>
        <w:t xml:space="preserve">determinaron variaciones de la incertidumbre de </w:t>
      </w:r>
      <w:r w:rsidR="00E02420">
        <w:rPr>
          <w:bCs/>
          <w:sz w:val="20"/>
          <w:lang w:val="es-MX"/>
        </w:rPr>
        <w:t xml:space="preserve">las </w:t>
      </w:r>
      <w:r w:rsidR="00D85E47">
        <w:rPr>
          <w:bCs/>
          <w:sz w:val="20"/>
          <w:lang w:val="es-MX"/>
        </w:rPr>
        <w:t>medida</w:t>
      </w:r>
      <w:r w:rsidR="00E02420">
        <w:rPr>
          <w:bCs/>
          <w:sz w:val="20"/>
          <w:lang w:val="es-MX"/>
        </w:rPr>
        <w:t>s</w:t>
      </w:r>
      <w:r w:rsidR="00D85E47">
        <w:rPr>
          <w:bCs/>
          <w:sz w:val="20"/>
          <w:lang w:val="es-MX"/>
        </w:rPr>
        <w:t xml:space="preserve"> </w:t>
      </w:r>
      <w:r w:rsidR="00F035C8">
        <w:rPr>
          <w:bCs/>
          <w:sz w:val="20"/>
          <w:lang w:val="es-MX"/>
        </w:rPr>
        <w:t>de</w:t>
      </w:r>
      <w:r w:rsidR="00E02420">
        <w:rPr>
          <w:bCs/>
          <w:sz w:val="20"/>
          <w:lang w:val="es-MX"/>
        </w:rPr>
        <w:t xml:space="preserve"> las muestras entre e</w:t>
      </w:r>
      <w:r w:rsidR="000246A6">
        <w:rPr>
          <w:bCs/>
          <w:sz w:val="20"/>
          <w:lang w:val="es-MX"/>
        </w:rPr>
        <w:t>l 30</w:t>
      </w:r>
      <w:r w:rsidR="00F035C8">
        <w:rPr>
          <w:bCs/>
          <w:sz w:val="20"/>
          <w:lang w:val="es-MX"/>
        </w:rPr>
        <w:t xml:space="preserve"> al 50% </w:t>
      </w:r>
      <w:r w:rsidR="00EE7026">
        <w:rPr>
          <w:bCs/>
          <w:sz w:val="20"/>
          <w:lang w:val="es-MX"/>
        </w:rPr>
        <w:t>a</w:t>
      </w:r>
      <w:r w:rsidR="00D85E47">
        <w:rPr>
          <w:bCs/>
          <w:sz w:val="20"/>
          <w:lang w:val="es-MX"/>
        </w:rPr>
        <w:t xml:space="preserve"> mayor tiempo de decaimiento de</w:t>
      </w:r>
      <w:r w:rsidR="00EE7026">
        <w:rPr>
          <w:bCs/>
          <w:sz w:val="20"/>
          <w:lang w:val="es-MX"/>
        </w:rPr>
        <w:t xml:space="preserve">l </w:t>
      </w:r>
      <w:r w:rsidR="00D85E47" w:rsidRPr="004C22F1">
        <w:rPr>
          <w:sz w:val="20"/>
          <w:vertAlign w:val="superscript"/>
          <w:lang w:val="es-MX"/>
        </w:rPr>
        <w:t>223</w:t>
      </w:r>
      <w:r w:rsidR="00D85E47">
        <w:rPr>
          <w:sz w:val="20"/>
          <w:lang w:val="es-MX"/>
        </w:rPr>
        <w:t>Ra</w:t>
      </w:r>
      <w:r w:rsidR="00D85E47">
        <w:rPr>
          <w:bCs/>
          <w:sz w:val="20"/>
          <w:lang w:val="es-MX"/>
        </w:rPr>
        <w:t xml:space="preserve"> y la presencia de toda la cadena de decaimiento. Es necesario </w:t>
      </w:r>
      <w:r w:rsidR="00EE7026">
        <w:rPr>
          <w:bCs/>
          <w:sz w:val="20"/>
          <w:lang w:val="es-MX"/>
        </w:rPr>
        <w:t>completar la medición con espectrometría alfa para evaluar</w:t>
      </w:r>
      <w:r w:rsidR="00D85E47">
        <w:rPr>
          <w:bCs/>
          <w:sz w:val="20"/>
          <w:lang w:val="es-MX"/>
        </w:rPr>
        <w:t xml:space="preserve"> la dosis </w:t>
      </w:r>
      <w:r w:rsidR="00EE7026">
        <w:rPr>
          <w:bCs/>
          <w:sz w:val="20"/>
          <w:lang w:val="es-MX"/>
        </w:rPr>
        <w:t xml:space="preserve">total </w:t>
      </w:r>
      <w:r w:rsidR="00D85E47">
        <w:rPr>
          <w:bCs/>
          <w:sz w:val="20"/>
          <w:lang w:val="es-MX"/>
        </w:rPr>
        <w:t xml:space="preserve">absorbida </w:t>
      </w:r>
      <w:r w:rsidR="00E02420">
        <w:rPr>
          <w:bCs/>
          <w:sz w:val="20"/>
          <w:lang w:val="es-MX"/>
        </w:rPr>
        <w:t xml:space="preserve">en hueso </w:t>
      </w:r>
      <w:r w:rsidR="00D85E47">
        <w:rPr>
          <w:bCs/>
          <w:sz w:val="20"/>
          <w:lang w:val="es-MX"/>
        </w:rPr>
        <w:t>por emisores-α</w:t>
      </w:r>
      <w:r w:rsidR="00EE7026">
        <w:rPr>
          <w:bCs/>
          <w:sz w:val="20"/>
          <w:lang w:val="es-MX"/>
        </w:rPr>
        <w:t>;</w:t>
      </w:r>
      <w:r w:rsidR="004865F4">
        <w:rPr>
          <w:bCs/>
          <w:sz w:val="20"/>
          <w:lang w:val="es-MX"/>
        </w:rPr>
        <w:t xml:space="preserve"> partícula que aporta la mayor energía depositada/unidad de longitud al </w:t>
      </w:r>
      <w:r w:rsidR="00E02420">
        <w:rPr>
          <w:bCs/>
          <w:sz w:val="20"/>
          <w:lang w:val="es-MX"/>
        </w:rPr>
        <w:t>órgano</w:t>
      </w:r>
      <w:r w:rsidR="004865F4">
        <w:rPr>
          <w:bCs/>
          <w:sz w:val="20"/>
          <w:lang w:val="es-MX"/>
        </w:rPr>
        <w:t xml:space="preserve"> blanco (hueso), con el objetivo de </w:t>
      </w:r>
      <w:r w:rsidR="00D85E47">
        <w:rPr>
          <w:bCs/>
          <w:sz w:val="20"/>
          <w:lang w:val="es-MX"/>
        </w:rPr>
        <w:t xml:space="preserve">personalizar las dosis total absorbida </w:t>
      </w:r>
      <w:r w:rsidR="00EE7026">
        <w:rPr>
          <w:bCs/>
          <w:sz w:val="20"/>
          <w:lang w:val="es-MX"/>
        </w:rPr>
        <w:t>a</w:t>
      </w:r>
      <w:r w:rsidR="00D85E47">
        <w:rPr>
          <w:bCs/>
          <w:sz w:val="20"/>
          <w:lang w:val="es-MX"/>
        </w:rPr>
        <w:t>l paciente.</w:t>
      </w:r>
    </w:p>
    <w:p w:rsidR="001F6727" w:rsidRDefault="001F6727" w:rsidP="001F6727">
      <w:pPr>
        <w:ind w:firstLine="284"/>
        <w:jc w:val="both"/>
        <w:rPr>
          <w:bCs/>
          <w:sz w:val="20"/>
          <w:lang w:val="es-MX"/>
        </w:rPr>
      </w:pPr>
    </w:p>
    <w:p w:rsidR="001F6727" w:rsidRPr="00123B7A" w:rsidRDefault="001F6727" w:rsidP="001F6727">
      <w:pPr>
        <w:autoSpaceDE w:val="0"/>
        <w:autoSpaceDN w:val="0"/>
        <w:adjustRightInd w:val="0"/>
        <w:jc w:val="center"/>
        <w:rPr>
          <w:b/>
          <w:noProof/>
          <w:lang w:val="es-MX" w:eastAsia="es-MX"/>
        </w:rPr>
      </w:pPr>
      <w:r>
        <w:rPr>
          <w:noProof/>
          <w:lang w:val="es-MX" w:eastAsia="es-MX"/>
        </w:rPr>
        <w:drawing>
          <wp:inline distT="0" distB="0" distL="0" distR="0">
            <wp:extent cx="3067091" cy="1796995"/>
            <wp:effectExtent l="0" t="0" r="0" b="0"/>
            <wp:docPr id="1" name="Imagen 1" descr="ra22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a223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3240" cy="1794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727" w:rsidRPr="00123B7A" w:rsidRDefault="001F6727" w:rsidP="001F6727">
      <w:pPr>
        <w:autoSpaceDE w:val="0"/>
        <w:autoSpaceDN w:val="0"/>
        <w:adjustRightInd w:val="0"/>
        <w:ind w:firstLine="284"/>
        <w:jc w:val="center"/>
        <w:rPr>
          <w:sz w:val="20"/>
          <w:lang w:val="es-MX"/>
        </w:rPr>
      </w:pPr>
      <w:r w:rsidRPr="00123B7A">
        <w:rPr>
          <w:b/>
          <w:sz w:val="20"/>
          <w:lang w:val="es-MX"/>
        </w:rPr>
        <w:t xml:space="preserve">Figura </w:t>
      </w:r>
      <w:r w:rsidRPr="00123B7A">
        <w:rPr>
          <w:b/>
          <w:sz w:val="20"/>
          <w:lang w:val="es-MX"/>
        </w:rPr>
        <w:fldChar w:fldCharType="begin"/>
      </w:r>
      <w:r w:rsidRPr="00123B7A">
        <w:rPr>
          <w:b/>
          <w:sz w:val="20"/>
          <w:lang w:val="es-MX"/>
        </w:rPr>
        <w:instrText xml:space="preserve"> </w:instrText>
      </w:r>
      <w:r>
        <w:rPr>
          <w:b/>
          <w:sz w:val="20"/>
          <w:lang w:val="es-MX"/>
        </w:rPr>
        <w:instrText>SEQ</w:instrText>
      </w:r>
      <w:r w:rsidRPr="00123B7A">
        <w:rPr>
          <w:b/>
          <w:sz w:val="20"/>
          <w:lang w:val="es-MX"/>
        </w:rPr>
        <w:instrText xml:space="preserve"> Figure \* ARABIC </w:instrText>
      </w:r>
      <w:r w:rsidRPr="00123B7A">
        <w:rPr>
          <w:b/>
          <w:sz w:val="20"/>
          <w:lang w:val="es-MX"/>
        </w:rPr>
        <w:fldChar w:fldCharType="separate"/>
      </w:r>
      <w:r>
        <w:rPr>
          <w:b/>
          <w:noProof/>
          <w:sz w:val="20"/>
          <w:lang w:val="es-MX"/>
        </w:rPr>
        <w:t>1</w:t>
      </w:r>
      <w:r w:rsidRPr="00123B7A">
        <w:rPr>
          <w:b/>
          <w:sz w:val="20"/>
          <w:lang w:val="es-MX"/>
        </w:rPr>
        <w:fldChar w:fldCharType="end"/>
      </w:r>
      <w:r w:rsidR="000F00D0">
        <w:rPr>
          <w:b/>
          <w:sz w:val="20"/>
          <w:lang w:val="es-MX"/>
        </w:rPr>
        <w:t>.</w:t>
      </w:r>
      <w:r w:rsidRPr="00123B7A">
        <w:rPr>
          <w:sz w:val="20"/>
          <w:lang w:val="es-MX"/>
        </w:rPr>
        <w:t xml:space="preserve"> </w:t>
      </w:r>
      <w:r>
        <w:rPr>
          <w:sz w:val="20"/>
          <w:lang w:val="es-MX"/>
        </w:rPr>
        <w:t xml:space="preserve">Decaimiento múltiple del </w:t>
      </w:r>
      <w:r w:rsidRPr="00C82205">
        <w:rPr>
          <w:sz w:val="20"/>
          <w:vertAlign w:val="superscript"/>
          <w:lang w:val="es-MX"/>
        </w:rPr>
        <w:t>223</w:t>
      </w:r>
      <w:r>
        <w:rPr>
          <w:sz w:val="20"/>
          <w:lang w:val="es-MX"/>
        </w:rPr>
        <w:t>Ra</w:t>
      </w:r>
      <w:r w:rsidR="000F00D0">
        <w:rPr>
          <w:sz w:val="20"/>
          <w:lang w:val="es-MX"/>
        </w:rPr>
        <w:t>.</w:t>
      </w:r>
    </w:p>
    <w:p w:rsidR="001F6727" w:rsidRPr="00123B7A" w:rsidRDefault="001F6727" w:rsidP="001F6727">
      <w:pPr>
        <w:ind w:firstLine="284"/>
        <w:jc w:val="both"/>
        <w:rPr>
          <w:rFonts w:cs="Arial"/>
          <w:bCs/>
          <w:sz w:val="20"/>
          <w:lang w:val="es-MX"/>
        </w:rPr>
      </w:pPr>
    </w:p>
    <w:p w:rsidR="00597C05" w:rsidRDefault="001F6727" w:rsidP="000246A6">
      <w:pPr>
        <w:autoSpaceDE w:val="0"/>
        <w:autoSpaceDN w:val="0"/>
        <w:adjustRightInd w:val="0"/>
        <w:jc w:val="both"/>
        <w:rPr>
          <w:sz w:val="20"/>
          <w:lang w:val="es-MX"/>
        </w:rPr>
      </w:pPr>
      <w:bookmarkStart w:id="0" w:name="_GoBack"/>
      <w:bookmarkEnd w:id="0"/>
      <w:r w:rsidRPr="00123B7A">
        <w:rPr>
          <w:b/>
          <w:bCs/>
          <w:sz w:val="20"/>
          <w:lang w:val="es-MX"/>
        </w:rPr>
        <w:t xml:space="preserve">Conclusiones: </w:t>
      </w:r>
      <w:r>
        <w:rPr>
          <w:sz w:val="20"/>
          <w:lang w:val="es-MX"/>
        </w:rPr>
        <w:t xml:space="preserve">El uso del </w:t>
      </w:r>
      <w:r w:rsidRPr="00C82205">
        <w:rPr>
          <w:sz w:val="20"/>
          <w:vertAlign w:val="superscript"/>
          <w:lang w:val="es-MX"/>
        </w:rPr>
        <w:t>223</w:t>
      </w:r>
      <w:r>
        <w:rPr>
          <w:sz w:val="20"/>
          <w:lang w:val="es-MX"/>
        </w:rPr>
        <w:t>Ra para pacientes de metástasis está sugerido</w:t>
      </w:r>
      <w:r w:rsidR="000F00D0">
        <w:rPr>
          <w:sz w:val="20"/>
          <w:lang w:val="es-MX"/>
        </w:rPr>
        <w:t>,</w:t>
      </w:r>
      <w:r>
        <w:rPr>
          <w:sz w:val="20"/>
          <w:lang w:val="es-MX"/>
        </w:rPr>
        <w:t xml:space="preserve"> sin embargo, es necesario precisar la dosis </w:t>
      </w:r>
      <w:r w:rsidR="00597C05">
        <w:rPr>
          <w:sz w:val="20"/>
          <w:lang w:val="es-MX"/>
        </w:rPr>
        <w:t xml:space="preserve">total </w:t>
      </w:r>
      <w:r>
        <w:rPr>
          <w:sz w:val="20"/>
          <w:lang w:val="es-MX"/>
        </w:rPr>
        <w:t>absorbida</w:t>
      </w:r>
      <w:r w:rsidR="00597C05">
        <w:rPr>
          <w:sz w:val="20"/>
          <w:lang w:val="es-MX"/>
        </w:rPr>
        <w:t xml:space="preserve"> (α-β-</w:t>
      </w:r>
      <w:r w:rsidR="00597C05">
        <w:rPr>
          <w:sz w:val="20"/>
          <w:lang w:val="es-MX"/>
        </w:rPr>
        <w:sym w:font="Symbol" w:char="F067"/>
      </w:r>
      <w:r w:rsidR="00597C05">
        <w:rPr>
          <w:sz w:val="20"/>
          <w:lang w:val="es-MX"/>
        </w:rPr>
        <w:t xml:space="preserve">) a hueso y </w:t>
      </w:r>
      <w:r w:rsidR="004E4330">
        <w:rPr>
          <w:sz w:val="20"/>
          <w:lang w:val="es-MX"/>
        </w:rPr>
        <w:t>órganos</w:t>
      </w:r>
      <w:r w:rsidR="00597C05">
        <w:rPr>
          <w:sz w:val="20"/>
          <w:lang w:val="es-MX"/>
        </w:rPr>
        <w:t xml:space="preserve"> secundario</w:t>
      </w:r>
      <w:r w:rsidR="004E4330">
        <w:rPr>
          <w:sz w:val="20"/>
          <w:lang w:val="es-MX"/>
        </w:rPr>
        <w:t>s</w:t>
      </w:r>
      <w:r w:rsidR="00597C05">
        <w:rPr>
          <w:sz w:val="20"/>
          <w:lang w:val="es-MX"/>
        </w:rPr>
        <w:t xml:space="preserve"> con menor incertidumbre. Es necesario contar con sistemas de espectrometría alfa para tener dosis personalizadas y mejorar la trazabilidad metrológica de la medición, así como </w:t>
      </w:r>
      <w:r w:rsidR="004E4330">
        <w:rPr>
          <w:sz w:val="20"/>
          <w:lang w:val="es-MX"/>
        </w:rPr>
        <w:t xml:space="preserve">la </w:t>
      </w:r>
      <w:r w:rsidR="00597C05">
        <w:rPr>
          <w:sz w:val="20"/>
          <w:lang w:val="es-MX"/>
        </w:rPr>
        <w:t xml:space="preserve">seguridad radiológica del paciente </w:t>
      </w:r>
      <w:r w:rsidR="004E4330">
        <w:rPr>
          <w:sz w:val="20"/>
          <w:lang w:val="es-MX"/>
        </w:rPr>
        <w:t>y</w:t>
      </w:r>
      <w:r w:rsidR="00597C05">
        <w:rPr>
          <w:sz w:val="20"/>
          <w:lang w:val="es-MX"/>
        </w:rPr>
        <w:t xml:space="preserve"> del personal médico</w:t>
      </w:r>
      <w:r w:rsidR="004E4330">
        <w:rPr>
          <w:sz w:val="20"/>
          <w:lang w:val="es-MX"/>
        </w:rPr>
        <w:t>,</w:t>
      </w:r>
      <w:r w:rsidR="00597C05">
        <w:rPr>
          <w:sz w:val="20"/>
          <w:lang w:val="es-MX"/>
        </w:rPr>
        <w:t xml:space="preserve"> previendo posibles problemas de contaminación superficial durante la preparación de las dosis.</w:t>
      </w:r>
    </w:p>
    <w:p w:rsidR="001F6727" w:rsidRPr="00123B7A" w:rsidRDefault="001F6727" w:rsidP="001F6727">
      <w:pPr>
        <w:autoSpaceDE w:val="0"/>
        <w:autoSpaceDN w:val="0"/>
        <w:adjustRightInd w:val="0"/>
        <w:ind w:firstLine="284"/>
        <w:jc w:val="both"/>
        <w:rPr>
          <w:rStyle w:val="boldCar"/>
          <w:lang w:val="es-MX"/>
        </w:rPr>
      </w:pPr>
    </w:p>
    <w:p w:rsidR="001F6727" w:rsidRPr="00DC64D3" w:rsidRDefault="001F6727" w:rsidP="001F6727">
      <w:pPr>
        <w:autoSpaceDE w:val="0"/>
        <w:autoSpaceDN w:val="0"/>
        <w:adjustRightInd w:val="0"/>
        <w:ind w:firstLine="284"/>
        <w:jc w:val="both"/>
        <w:rPr>
          <w:sz w:val="20"/>
          <w:lang w:val="es-MX"/>
        </w:rPr>
      </w:pPr>
      <w:r w:rsidRPr="00123B7A">
        <w:rPr>
          <w:rStyle w:val="boldCar"/>
          <w:lang w:val="es-MX"/>
        </w:rPr>
        <w:t>Agradecimientos.</w:t>
      </w:r>
      <w:r w:rsidRPr="00123B7A">
        <w:rPr>
          <w:sz w:val="20"/>
          <w:lang w:val="es-MX"/>
        </w:rPr>
        <w:t xml:space="preserve"> </w:t>
      </w:r>
      <w:r w:rsidR="00DC64D3">
        <w:rPr>
          <w:sz w:val="20"/>
          <w:lang w:val="es-MX"/>
        </w:rPr>
        <w:t>A</w:t>
      </w:r>
      <w:r w:rsidR="00EE7026">
        <w:rPr>
          <w:sz w:val="20"/>
          <w:lang w:val="es-MX"/>
        </w:rPr>
        <w:t xml:space="preserve"> </w:t>
      </w:r>
      <w:r w:rsidR="00DC64D3">
        <w:rPr>
          <w:sz w:val="20"/>
          <w:lang w:val="es-MX"/>
        </w:rPr>
        <w:t>l</w:t>
      </w:r>
      <w:r w:rsidR="00EE7026">
        <w:rPr>
          <w:sz w:val="20"/>
          <w:lang w:val="es-MX"/>
        </w:rPr>
        <w:t>a</w:t>
      </w:r>
      <w:r w:rsidR="00DC64D3">
        <w:rPr>
          <w:sz w:val="20"/>
          <w:lang w:val="es-MX"/>
        </w:rPr>
        <w:t xml:space="preserve"> M.C. Olga Celia García-Díaz</w:t>
      </w:r>
      <w:r w:rsidR="00135494">
        <w:rPr>
          <w:sz w:val="20"/>
          <w:lang w:val="es-MX"/>
        </w:rPr>
        <w:t>, Responsable del Lab</w:t>
      </w:r>
      <w:r w:rsidR="00EE7026">
        <w:rPr>
          <w:sz w:val="20"/>
          <w:lang w:val="es-MX"/>
        </w:rPr>
        <w:t xml:space="preserve">oratorio </w:t>
      </w:r>
      <w:r w:rsidR="00135494">
        <w:rPr>
          <w:sz w:val="20"/>
          <w:lang w:val="es-MX"/>
        </w:rPr>
        <w:t xml:space="preserve">de Patrones Radiactivos </w:t>
      </w:r>
      <w:r w:rsidR="00EE7026">
        <w:rPr>
          <w:sz w:val="20"/>
          <w:lang w:val="es-MX"/>
        </w:rPr>
        <w:t xml:space="preserve">del Instituto Nacional de Investigaciones Nucleares </w:t>
      </w:r>
      <w:r w:rsidR="00E02420">
        <w:rPr>
          <w:sz w:val="20"/>
          <w:lang w:val="es-MX"/>
        </w:rPr>
        <w:t xml:space="preserve">por </w:t>
      </w:r>
      <w:r w:rsidR="00EE7026">
        <w:rPr>
          <w:sz w:val="20"/>
          <w:lang w:val="es-MX"/>
        </w:rPr>
        <w:t>su apoyo sobre</w:t>
      </w:r>
      <w:r w:rsidR="00E02420">
        <w:rPr>
          <w:sz w:val="20"/>
          <w:lang w:val="es-MX"/>
        </w:rPr>
        <w:t xml:space="preserve"> </w:t>
      </w:r>
      <w:r w:rsidR="00DC64D3">
        <w:rPr>
          <w:sz w:val="20"/>
          <w:lang w:val="es-MX"/>
        </w:rPr>
        <w:t>activímetros.</w:t>
      </w:r>
    </w:p>
    <w:p w:rsidR="001F6727" w:rsidRPr="00DC64D3" w:rsidRDefault="001F6727" w:rsidP="001F6727">
      <w:pPr>
        <w:ind w:right="30" w:firstLine="284"/>
        <w:jc w:val="both"/>
        <w:rPr>
          <w:sz w:val="20"/>
          <w:lang w:val="es-MX"/>
        </w:rPr>
      </w:pPr>
    </w:p>
    <w:sectPr w:rsidR="001F6727" w:rsidRPr="00DC64D3" w:rsidSect="00400F33">
      <w:type w:val="continuous"/>
      <w:pgSz w:w="12240" w:h="15840" w:code="1"/>
      <w:pgMar w:top="1418" w:right="1418" w:bottom="1418" w:left="1418" w:header="720" w:footer="720" w:gutter="0"/>
      <w:cols w:num="2" w:space="480"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356A" w:rsidRDefault="0057356A">
      <w:r>
        <w:separator/>
      </w:r>
    </w:p>
  </w:endnote>
  <w:endnote w:type="continuationSeparator" w:id="0">
    <w:p w:rsidR="0057356A" w:rsidRDefault="00573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241" w:rsidRDefault="000246A6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356A" w:rsidRDefault="0057356A">
      <w:r>
        <w:separator/>
      </w:r>
    </w:p>
  </w:footnote>
  <w:footnote w:type="continuationSeparator" w:id="0">
    <w:p w:rsidR="0057356A" w:rsidRDefault="005735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241" w:rsidRDefault="000246A6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727"/>
    <w:rsid w:val="000127C6"/>
    <w:rsid w:val="000174B5"/>
    <w:rsid w:val="000246A6"/>
    <w:rsid w:val="000D7F52"/>
    <w:rsid w:val="000F00D0"/>
    <w:rsid w:val="00135494"/>
    <w:rsid w:val="00180D9B"/>
    <w:rsid w:val="001D311F"/>
    <w:rsid w:val="001E0E06"/>
    <w:rsid w:val="001E45C6"/>
    <w:rsid w:val="001F6727"/>
    <w:rsid w:val="00245E7D"/>
    <w:rsid w:val="00294211"/>
    <w:rsid w:val="002C364C"/>
    <w:rsid w:val="00335EA7"/>
    <w:rsid w:val="003D0886"/>
    <w:rsid w:val="00420C4E"/>
    <w:rsid w:val="004865F4"/>
    <w:rsid w:val="004E4330"/>
    <w:rsid w:val="0057356A"/>
    <w:rsid w:val="00597C05"/>
    <w:rsid w:val="005E2D78"/>
    <w:rsid w:val="00606113"/>
    <w:rsid w:val="00B535B0"/>
    <w:rsid w:val="00B751C0"/>
    <w:rsid w:val="00B8694A"/>
    <w:rsid w:val="00BF23DB"/>
    <w:rsid w:val="00D85E47"/>
    <w:rsid w:val="00DC64D3"/>
    <w:rsid w:val="00E02420"/>
    <w:rsid w:val="00E35304"/>
    <w:rsid w:val="00E94E3D"/>
    <w:rsid w:val="00EE7026"/>
    <w:rsid w:val="00F035C8"/>
    <w:rsid w:val="00F36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E1165991-27C1-4B88-A260-DE5F28680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6727"/>
    <w:pPr>
      <w:spacing w:after="0" w:line="240" w:lineRule="auto"/>
    </w:pPr>
    <w:rPr>
      <w:rFonts w:ascii="Times New Roman" w:eastAsia="Times New Roman" w:hAnsi="Times New Roman" w:cs="Times New Roman"/>
      <w:sz w:val="18"/>
      <w:szCs w:val="20"/>
      <w:lang w:val="en-US"/>
    </w:rPr>
  </w:style>
  <w:style w:type="paragraph" w:styleId="Ttulo2">
    <w:name w:val="heading 2"/>
    <w:aliases w:val="Authors"/>
    <w:basedOn w:val="Normal"/>
    <w:next w:val="Normal"/>
    <w:link w:val="Ttulo2Car"/>
    <w:qFormat/>
    <w:rsid w:val="001F6727"/>
    <w:pPr>
      <w:keepNext/>
      <w:keepLines/>
      <w:suppressAutoHyphens/>
      <w:spacing w:before="240" w:after="240" w:line="384" w:lineRule="atLeast"/>
      <w:outlineLvl w:val="1"/>
    </w:pPr>
    <w:rPr>
      <w:sz w:val="32"/>
      <w:lang w:val="en-GB" w:eastAsia="de-D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aliases w:val="Authors Car"/>
    <w:basedOn w:val="Fuentedeprrafopredeter"/>
    <w:link w:val="Ttulo2"/>
    <w:rsid w:val="001F6727"/>
    <w:rPr>
      <w:rFonts w:ascii="Times New Roman" w:eastAsia="Times New Roman" w:hAnsi="Times New Roman" w:cs="Times New Roman"/>
      <w:sz w:val="32"/>
      <w:szCs w:val="20"/>
      <w:lang w:val="en-GB" w:eastAsia="de-DE"/>
    </w:rPr>
  </w:style>
  <w:style w:type="paragraph" w:styleId="Piedepgina">
    <w:name w:val="footer"/>
    <w:basedOn w:val="Normal"/>
    <w:link w:val="PiedepginaCar"/>
    <w:rsid w:val="001F6727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rsid w:val="001F6727"/>
    <w:rPr>
      <w:rFonts w:ascii="Times New Roman" w:eastAsia="Times New Roman" w:hAnsi="Times New Roman" w:cs="Times New Roman"/>
      <w:sz w:val="18"/>
      <w:szCs w:val="20"/>
      <w:lang w:val="en-US"/>
    </w:rPr>
  </w:style>
  <w:style w:type="paragraph" w:styleId="Encabezado">
    <w:name w:val="header"/>
    <w:basedOn w:val="Normal"/>
    <w:link w:val="EncabezadoCar"/>
    <w:rsid w:val="001F6727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1F6727"/>
    <w:rPr>
      <w:rFonts w:ascii="Times New Roman" w:eastAsia="Times New Roman" w:hAnsi="Times New Roman" w:cs="Times New Roman"/>
      <w:sz w:val="18"/>
      <w:szCs w:val="20"/>
      <w:lang w:val="en-US"/>
    </w:rPr>
  </w:style>
  <w:style w:type="character" w:styleId="Hipervnculo">
    <w:name w:val="Hyperlink"/>
    <w:rsid w:val="001F6727"/>
    <w:rPr>
      <w:color w:val="0000FF"/>
      <w:u w:val="single"/>
    </w:rPr>
  </w:style>
  <w:style w:type="paragraph" w:customStyle="1" w:styleId="Reference">
    <w:name w:val="Reference"/>
    <w:basedOn w:val="Normal"/>
    <w:rsid w:val="001F6727"/>
    <w:pPr>
      <w:ind w:left="270" w:hanging="270"/>
      <w:jc w:val="both"/>
    </w:pPr>
  </w:style>
  <w:style w:type="paragraph" w:customStyle="1" w:styleId="bold">
    <w:name w:val="bold"/>
    <w:basedOn w:val="Normal"/>
    <w:link w:val="boldCar"/>
    <w:rsid w:val="001F6727"/>
    <w:pPr>
      <w:spacing w:line="240" w:lineRule="atLeast"/>
      <w:jc w:val="both"/>
    </w:pPr>
    <w:rPr>
      <w:b/>
      <w:sz w:val="20"/>
      <w:lang w:val="en-GB" w:eastAsia="de-DE"/>
    </w:rPr>
  </w:style>
  <w:style w:type="character" w:customStyle="1" w:styleId="boldCar">
    <w:name w:val="bold Car"/>
    <w:link w:val="bold"/>
    <w:rsid w:val="001F6727"/>
    <w:rPr>
      <w:rFonts w:ascii="Times New Roman" w:eastAsia="Times New Roman" w:hAnsi="Times New Roman" w:cs="Times New Roman"/>
      <w:b/>
      <w:sz w:val="20"/>
      <w:szCs w:val="20"/>
      <w:lang w:val="en-GB" w:eastAsia="de-D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F672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6727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2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28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67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36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35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ydia.paredes@inin.gob.mx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496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ARMANDO JEHU ASTUDILLO VELAZQUEZ</dc:creator>
  <cp:lastModifiedBy>USUARIO</cp:lastModifiedBy>
  <cp:revision>6</cp:revision>
  <dcterms:created xsi:type="dcterms:W3CDTF">2016-01-15T15:32:00Z</dcterms:created>
  <dcterms:modified xsi:type="dcterms:W3CDTF">2016-09-26T16:43:00Z</dcterms:modified>
</cp:coreProperties>
</file>